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autofit"/>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0" w:type="auto"/>
            <w:shd w:val="clear" w:color="auto" w:fill="FFFFFF"/>
          </w:tcPr>
          <w:tbl>
            <w:tblPr>
              <w:tblStyle w:val="4"/>
              <w:tblW w:w="5000" w:type="pct"/>
              <w:tblCellSpacing w:w="0" w:type="dxa"/>
              <w:tblInd w:w="0" w:type="dxa"/>
              <w:tblLayout w:type="autofit"/>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0" w:type="auto"/>
                </w:tcPr>
                <w:tbl>
                  <w:tblPr>
                    <w:tblStyle w:val="4"/>
                    <w:tblW w:w="5000" w:type="pct"/>
                    <w:tblCellSpacing w:w="0" w:type="dxa"/>
                    <w:tblInd w:w="0" w:type="dxa"/>
                    <w:tblLayout w:type="autofit"/>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0" w:type="auto"/>
                        <w:tcMar>
                          <w:top w:w="0" w:type="dxa"/>
                          <w:left w:w="30" w:type="dxa"/>
                          <w:bottom w:w="30" w:type="dxa"/>
                          <w:right w:w="30" w:type="dxa"/>
                        </w:tcMar>
                      </w:tcPr>
                      <w:tbl>
                        <w:tblPr>
                          <w:tblStyle w:val="4"/>
                          <w:tblW w:w="5000" w:type="pct"/>
                          <w:tblCellSpacing w:w="0" w:type="dxa"/>
                          <w:tblInd w:w="0" w:type="dxa"/>
                          <w:tblLayout w:type="autofit"/>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0" w:type="auto"/>
                              <w:shd w:val="clear" w:color="auto" w:fill="FFFFFF"/>
                            </w:tcPr>
                            <w:tbl>
                              <w:tblPr>
                                <w:tblStyle w:val="4"/>
                                <w:tblW w:w="8775" w:type="dxa"/>
                                <w:jc w:val="center"/>
                                <w:tblCellSpacing w:w="0" w:type="dxa"/>
                                <w:tblLayout w:type="autofit"/>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685" w:type="dxa"/>
                                    <w:tcMar>
                                      <w:top w:w="150" w:type="dxa"/>
                                      <w:left w:w="75" w:type="dxa"/>
                                      <w:bottom w:w="0" w:type="dxa"/>
                                      <w:right w:w="0" w:type="dxa"/>
                                    </w:tcMar>
                                  </w:tcPr>
                                  <w:p>
                                    <w:pPr>
                                      <w:ind w:firstLine="720" w:firstLineChars="200"/>
                                      <w:rPr>
                                        <w:rFonts w:ascii="楷体_GB2312" w:hAnsi="楷体_GB2312" w:eastAsia="楷体_GB2312" w:cs="楷体_GB2312"/>
                                        <w:sz w:val="32"/>
                                        <w:szCs w:val="32"/>
                                      </w:rPr>
                                    </w:pPr>
                                    <w:r>
                                      <w:rPr>
                                        <w:rFonts w:hint="eastAsia" w:ascii="方正小标宋简体" w:hAnsi="宋体" w:eastAsia="方正小标宋简体" w:cs="宋体"/>
                                        <w:color w:val="0066CC"/>
                                        <w:kern w:val="0"/>
                                        <w:sz w:val="36"/>
                                        <w:szCs w:val="36"/>
                                      </w:rPr>
                                      <w:t>毛日乡</w:t>
                                    </w:r>
                                    <w:r>
                                      <w:rPr>
                                        <w:rFonts w:hint="eastAsia" w:ascii="方正小标宋简体" w:hAnsi="宋体" w:eastAsia="方正小标宋简体" w:cs="宋体"/>
                                        <w:color w:val="0066CC"/>
                                        <w:kern w:val="0"/>
                                        <w:sz w:val="36"/>
                                        <w:szCs w:val="36"/>
                                        <w:lang w:val="en-US" w:eastAsia="zh-CN"/>
                                      </w:rPr>
                                      <w:t>2021</w:t>
                                    </w:r>
                                    <w:r>
                                      <w:rPr>
                                        <w:rFonts w:hint="eastAsia" w:ascii="方正小标宋简体" w:hAnsi="宋体" w:eastAsia="方正小标宋简体" w:cs="宋体"/>
                                        <w:color w:val="0066CC"/>
                                        <w:kern w:val="0"/>
                                        <w:sz w:val="36"/>
                                        <w:szCs w:val="36"/>
                                      </w:rPr>
                                      <w:t>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w:t>
                                    </w:r>
                                    <w:r>
                                      <w:rPr>
                                        <w:rFonts w:hint="eastAsia" w:ascii="楷体_GB2312" w:hAnsi="楷体_GB2312" w:eastAsia="楷体_GB2312" w:cs="楷体_GB2312"/>
                                        <w:sz w:val="32"/>
                                        <w:szCs w:val="32"/>
                                      </w:rPr>
                                      <w:t>（一）主要职能</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制定并组织实施村乡建设规划，部署重点工程建设，地方道路建设及公共设施，水利设施的管理，负责土地、林木、水等自然资源和生态环境的保护，做好护林防火工作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按计划组织本级财政收入，完成国家财政计划，管好财政资金，增强财政实力。</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抓好精神文明建设，丰富群众文化生活，提倡移风易俗，反对封建迷信，破除陈规陋习，树立社会主义新风尚。</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完成上级政府交办的</w:t>
                                    </w:r>
                                    <w:r>
                                      <w:rPr>
                                        <w:rFonts w:hint="eastAsia" w:ascii="仿宋_GB2312" w:hAnsi="仿宋_GB2312" w:eastAsia="仿宋_GB2312" w:cs="仿宋_GB2312"/>
                                        <w:sz w:val="32"/>
                                        <w:szCs w:val="32"/>
                                        <w:lang w:eastAsia="zh-CN"/>
                                      </w:rPr>
                                      <w:t>其他事项</w:t>
                                    </w:r>
                                    <w:r>
                                      <w:rPr>
                                        <w:rFonts w:hint="eastAsia" w:ascii="仿宋_GB2312" w:hAnsi="仿宋_GB2312" w:eastAsia="仿宋_GB2312" w:cs="仿宋_GB2312"/>
                                        <w:sz w:val="32"/>
                                        <w:szCs w:val="32"/>
                                      </w:rPr>
                                      <w:t>。</w:t>
                                    </w:r>
                                  </w:p>
                                  <w:p>
                                    <w:pPr>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val="en-US" w:eastAsia="zh-CN"/>
                                      </w:rPr>
                                      <w:t>2021</w:t>
                                    </w:r>
                                    <w:r>
                                      <w:rPr>
                                        <w:rFonts w:hint="eastAsia" w:ascii="楷体_GB2312" w:hAnsi="楷体_GB2312" w:eastAsia="楷体_GB2312" w:cs="楷体_GB2312"/>
                                        <w:sz w:val="32"/>
                                        <w:szCs w:val="32"/>
                                      </w:rPr>
                                      <w:t>年主要工作安排情况</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深入开展机关效能建设活动，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加强党建工作。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精准脱贫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p>
                                    <w:pPr>
                                      <w:widowControl/>
                                      <w:spacing w:line="480" w:lineRule="atLeast"/>
                                      <w:ind w:firstLine="60"/>
                                      <w:rPr>
                                        <w:rFonts w:ascii="仿宋_GB2312" w:hAnsi="仿宋_GB2312" w:eastAsia="仿宋_GB2312" w:cs="仿宋_GB2312"/>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年独立编制单位机构数为</w:t>
                                    </w: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个，财政供养人员编制为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名，其中行政编制</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名，行政工勤编制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名（其中参照公务员法管理人员编制</w:t>
                                    </w:r>
                                    <w:r>
                                      <w:rPr>
                                        <w:rFonts w:ascii="仿宋_GB2312" w:hAnsi="仿宋_GB2312" w:eastAsia="仿宋_GB2312" w:cs="仿宋_GB2312"/>
                                        <w:sz w:val="32"/>
                                        <w:szCs w:val="32"/>
                                      </w:rPr>
                                      <w:t xml:space="preserve">0 </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年实际财政供养人员</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人，较上年增加</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人（不含退休人员），其中：行政</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人，行政工勤</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人，事业</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三、收支预算情况说明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按照综合预算的原则，毛日乡所有收入和支出均纳入部门预算管理。收入包括：一般公共预算拨款收入、上年结转；支出包括：一般公共服务支出、教育支出、社会保障和就业支出、医疗卫生与计划生育支出、住房保障支出。毛日乡</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565.17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55.65</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10.92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年新进职工</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名预算增加。</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（一）收入预算情况。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565.17</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hint="eastAsia" w:ascii="仿宋_GB2312" w:hAnsi="仿宋_GB2312" w:eastAsia="仿宋_GB2312" w:cs="仿宋_GB2312"/>
                                        <w:sz w:val="32"/>
                                        <w:szCs w:val="32"/>
                                        <w:lang w:val="en-US" w:eastAsia="zh-CN"/>
                                      </w:rPr>
                                      <w:t>565.17</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（二）支出预算情况。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565.17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565.17</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四、财政拨款收支预算情况说明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565.17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55.65</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10.92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年新进职工</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名预算增加。</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收入包括：本年一般公共预算拨款收入</w:t>
                                    </w:r>
                                    <w:r>
                                      <w:rPr>
                                        <w:rFonts w:hint="eastAsia" w:ascii="仿宋_GB2312" w:hAnsi="仿宋_GB2312" w:eastAsia="仿宋_GB2312" w:cs="仿宋_GB2312"/>
                                        <w:sz w:val="32"/>
                                        <w:szCs w:val="32"/>
                                        <w:lang w:val="en-US" w:eastAsia="zh-CN"/>
                                      </w:rPr>
                                      <w:t>565.17</w:t>
                                    </w:r>
                                    <w:r>
                                      <w:rPr>
                                        <w:rFonts w:hint="eastAsia" w:ascii="仿宋_GB2312" w:hAnsi="仿宋_GB2312" w:eastAsia="仿宋_GB2312" w:cs="仿宋_GB2312"/>
                                        <w:sz w:val="32"/>
                                        <w:szCs w:val="32"/>
                                      </w:rPr>
                                      <w:t>万元；支出包括：一般公共服务支出</w:t>
                                    </w:r>
                                    <w:r>
                                      <w:rPr>
                                        <w:rFonts w:hint="eastAsia" w:ascii="仿宋_GB2312" w:hAnsi="仿宋_GB2312" w:eastAsia="仿宋_GB2312" w:cs="仿宋_GB2312"/>
                                        <w:sz w:val="32"/>
                                        <w:szCs w:val="32"/>
                                        <w:lang w:val="en-US" w:eastAsia="zh-CN"/>
                                      </w:rPr>
                                      <w:t>178.55</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54.12</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、卫生健康支出21.01万元、</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282.98</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27.06</w:t>
                                    </w:r>
                                    <w:r>
                                      <w:rPr>
                                        <w:rFonts w:hint="eastAsia" w:ascii="仿宋_GB2312" w:hAnsi="仿宋_GB2312" w:eastAsia="仿宋_GB2312" w:cs="仿宋_GB2312"/>
                                        <w:sz w:val="32"/>
                                        <w:szCs w:val="32"/>
                                      </w:rPr>
                                      <w:t>万元、其他支出</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五、一般公共预算当年拨款情况说明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（一）一般公共预算当年拨款规模变化情况。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565.17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55.65</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10.92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年新进职工</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名预算增加。</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（二）一般公共预算当年拨款结构情况。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一般公共服务支出</w:t>
                                    </w:r>
                                    <w:r>
                                      <w:rPr>
                                        <w:rFonts w:hint="eastAsia" w:ascii="仿宋_GB2312" w:hAnsi="仿宋_GB2312" w:eastAsia="仿宋_GB2312" w:cs="仿宋_GB2312"/>
                                        <w:sz w:val="32"/>
                                        <w:szCs w:val="32"/>
                                        <w:lang w:val="en-US" w:eastAsia="zh-CN"/>
                                      </w:rPr>
                                      <w:t>178.55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31.59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54.12</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9.58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21.01</w:t>
                                    </w:r>
                                    <w:r>
                                      <w:rPr>
                                        <w:rFonts w:hint="eastAsia" w:ascii="仿宋_GB2312" w:hAnsi="仿宋_GB2312" w:eastAsia="仿宋_GB2312" w:cs="仿宋_GB2312"/>
                                        <w:sz w:val="32"/>
                                        <w:szCs w:val="32"/>
                                      </w:rPr>
                                      <w:t>万元占3.</w:t>
                                    </w:r>
                                    <w:r>
                                      <w:rPr>
                                        <w:rFonts w:hint="eastAsia" w:ascii="仿宋_GB2312" w:hAnsi="仿宋_GB2312" w:eastAsia="仿宋_GB2312" w:cs="仿宋_GB2312"/>
                                        <w:sz w:val="32"/>
                                        <w:szCs w:val="32"/>
                                        <w:lang w:val="en-US" w:eastAsia="zh-CN"/>
                                      </w:rPr>
                                      <w:t>72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282.98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50.07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27.06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4.79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（三）一般公共预算当年拨款具体使用情况。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一般公共服务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178.55</w:t>
                                    </w:r>
                                    <w:r>
                                      <w:rPr>
                                        <w:rFonts w:hint="eastAsia" w:ascii="仿宋_GB2312" w:hAnsi="仿宋_GB2312" w:eastAsia="仿宋_GB2312" w:cs="仿宋_GB2312"/>
                                        <w:sz w:val="32"/>
                                        <w:szCs w:val="32"/>
                                      </w:rPr>
                                      <w:t>万元</w:t>
                                    </w:r>
                                  </w:p>
                                  <w:p>
                                    <w:pPr>
                                      <w:widowControl/>
                                      <w:spacing w:line="480" w:lineRule="atLeast"/>
                                      <w:ind w:firstLine="6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人人大事务（款）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日常人员经费</w:t>
                                    </w:r>
                                    <w:r>
                                      <w:rPr>
                                        <w:rFonts w:hint="eastAsia" w:ascii="仿宋_GB2312" w:hAnsi="仿宋_GB2312" w:eastAsia="仿宋_GB2312" w:cs="仿宋_GB2312"/>
                                        <w:sz w:val="32"/>
                                        <w:szCs w:val="32"/>
                                        <w:lang w:val="en-US" w:eastAsia="zh-CN"/>
                                      </w:rPr>
                                      <w:t>12.24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人大会议</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万元，主要用于：单位正常运转的基本支出，包括基本工资、津贴补贴等人员经费以及办公费、印刷费、水电费等日常公用经费。</w:t>
                                    </w:r>
                                  </w:p>
                                  <w:p>
                                    <w:pPr>
                                      <w:widowControl/>
                                      <w:spacing w:line="480" w:lineRule="atLeast"/>
                                      <w:ind w:firstLine="537" w:firstLineChars="168"/>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政府机构事务（款）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行政运行（项）：日常人员经费</w:t>
                                    </w:r>
                                    <w:r>
                                      <w:rPr>
                                        <w:rFonts w:hint="eastAsia" w:ascii="仿宋_GB2312" w:hAnsi="仿宋_GB2312" w:eastAsia="仿宋_GB2312" w:cs="仿宋_GB2312"/>
                                        <w:sz w:val="32"/>
                                        <w:szCs w:val="32"/>
                                        <w:lang w:val="en-US" w:eastAsia="zh-CN"/>
                                      </w:rPr>
                                      <w:t>112.63</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31.5</w:t>
                                    </w:r>
                                    <w:r>
                                      <w:rPr>
                                        <w:rFonts w:hint="eastAsia" w:ascii="仿宋_GB2312" w:hAnsi="仿宋_GB2312" w:eastAsia="仿宋_GB2312" w:cs="仿宋_GB2312"/>
                                        <w:sz w:val="32"/>
                                        <w:szCs w:val="32"/>
                                      </w:rPr>
                                      <w:t>万元，对家庭和个人的补助</w:t>
                                    </w:r>
                                    <w:r>
                                      <w:rPr>
                                        <w:rFonts w:hint="eastAsia" w:ascii="仿宋_GB2312" w:hAnsi="仿宋_GB2312" w:eastAsia="仿宋_GB2312" w:cs="仿宋_GB2312"/>
                                        <w:sz w:val="32"/>
                                        <w:szCs w:val="32"/>
                                        <w:lang w:val="en-US" w:eastAsia="zh-CN"/>
                                      </w:rPr>
                                      <w:t>9.53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党委事务（款）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（项）：行政运行（项）日常人员经费</w:t>
                                    </w:r>
                                    <w:r>
                                      <w:rPr>
                                        <w:rFonts w:hint="eastAsia" w:ascii="仿宋_GB2312" w:hAnsi="仿宋_GB2312" w:eastAsia="仿宋_GB2312" w:cs="仿宋_GB2312"/>
                                        <w:sz w:val="32"/>
                                        <w:szCs w:val="32"/>
                                        <w:lang w:val="en-US" w:eastAsia="zh-CN"/>
                                      </w:rPr>
                                      <w:t>12.54</w:t>
                                    </w:r>
                                    <w:r>
                                      <w:rPr>
                                        <w:rFonts w:hint="eastAsia" w:ascii="仿宋_GB2312" w:hAnsi="仿宋_GB2312" w:eastAsia="仿宋_GB2312" w:cs="仿宋_GB2312"/>
                                        <w:sz w:val="32"/>
                                        <w:szCs w:val="32"/>
                                      </w:rPr>
                                      <w:t>万元，对家庭和个人的补助</w:t>
                                    </w:r>
                                    <w:r>
                                      <w:rPr>
                                        <w:rFonts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万元。主要用于：单位正常运转的基本支出，包括基本工资、津贴补贴等人员经费以及办公费、印刷费、水电费等日常公用经费</w:t>
                                    </w:r>
                                  </w:p>
                                  <w:p>
                                    <w:pPr>
                                      <w:widowControl/>
                                      <w:spacing w:line="480" w:lineRule="atLeast"/>
                                      <w:ind w:firstLine="227" w:firstLineChars="71"/>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2. </w:t>
                                    </w:r>
                                    <w:r>
                                      <w:rPr>
                                        <w:rFonts w:hint="eastAsia" w:ascii="仿宋_GB2312" w:hAnsi="仿宋_GB2312" w:eastAsia="仿宋_GB2312" w:cs="仿宋_GB2312"/>
                                        <w:sz w:val="32"/>
                                        <w:szCs w:val="32"/>
                                      </w:rPr>
                                      <w:t>社会保障和就业（类）行政事业单位离退休（款）未归口管理的行政单位离退休（项）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54.12</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05</w:t>
                                    </w:r>
                                    <w:r>
                                      <w:rPr>
                                        <w:rFonts w:hint="eastAsia" w:ascii="仿宋_GB2312" w:hAnsi="仿宋_GB2312" w:eastAsia="仿宋_GB2312" w:cs="仿宋_GB2312"/>
                                        <w:sz w:val="32"/>
                                        <w:szCs w:val="32"/>
                                      </w:rPr>
                                      <w:t>行政事业单位离退休（款）机关事业单位基本养老保险缴费支出（项）</w:t>
                                    </w:r>
                                    <w:r>
                                      <w:rPr>
                                        <w:rFonts w:hint="eastAsia" w:ascii="仿宋_GB2312" w:hAnsi="仿宋_GB2312" w:eastAsia="仿宋_GB2312" w:cs="仿宋_GB2312"/>
                                        <w:sz w:val="32"/>
                                        <w:szCs w:val="32"/>
                                        <w:lang w:val="en-US" w:eastAsia="zh-CN"/>
                                      </w:rPr>
                                      <w:t>36.08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机关事业单位职业年金缴费支出（项）</w:t>
                                    </w:r>
                                    <w:r>
                                      <w:rPr>
                                        <w:rFonts w:hint="eastAsia" w:ascii="仿宋_GB2312" w:hAnsi="仿宋_GB2312" w:eastAsia="仿宋_GB2312" w:cs="仿宋_GB2312"/>
                                        <w:sz w:val="32"/>
                                        <w:szCs w:val="32"/>
                                        <w:lang w:val="en-US" w:eastAsia="zh-CN"/>
                                      </w:rPr>
                                      <w:t>18.04</w:t>
                                    </w:r>
                                    <w:r>
                                      <w:rPr>
                                        <w:rFonts w:hint="eastAsia" w:ascii="仿宋_GB2312" w:hAnsi="仿宋_GB2312" w:eastAsia="仿宋_GB2312" w:cs="仿宋_GB2312"/>
                                        <w:sz w:val="32"/>
                                        <w:szCs w:val="32"/>
                                      </w:rPr>
                                      <w:t>万元，主要用于：保障厅机关离退休人员经费支出。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医疗卫生与计划生育支出（类）：</w:t>
                                    </w:r>
                                    <w:r>
                                      <w:rPr>
                                        <w:rFonts w:hint="eastAsia" w:ascii="仿宋_GB2312" w:hAnsi="仿宋_GB2312" w:eastAsia="仿宋_GB2312" w:cs="仿宋_GB2312"/>
                                        <w:sz w:val="32"/>
                                        <w:szCs w:val="32"/>
                                        <w:lang w:val="en-US" w:eastAsia="zh-CN"/>
                                      </w:rPr>
                                      <w:t>21.01</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行政事业单位医疗（款）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行政单位医疗（项）</w:t>
                                    </w:r>
                                    <w:r>
                                      <w:rPr>
                                        <w:rFonts w:hint="eastAsia" w:ascii="仿宋_GB2312" w:hAnsi="仿宋_GB2312" w:eastAsia="仿宋_GB2312" w:cs="仿宋_GB2312"/>
                                        <w:sz w:val="32"/>
                                        <w:szCs w:val="32"/>
                                        <w:lang w:val="en-US" w:eastAsia="zh-CN"/>
                                      </w:rPr>
                                      <w:t>15.78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公务员医疗（项）</w:t>
                                    </w:r>
                                    <w:r>
                                      <w:rPr>
                                        <w:rFonts w:hint="eastAsia" w:ascii="仿宋_GB2312" w:hAnsi="仿宋_GB2312" w:eastAsia="仿宋_GB2312" w:cs="仿宋_GB2312"/>
                                        <w:sz w:val="32"/>
                                        <w:szCs w:val="32"/>
                                        <w:lang w:val="en-US" w:eastAsia="zh-CN"/>
                                      </w:rPr>
                                      <w:t>5.23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主要用于：厅机关及参公管理事业单位基本医疗保险缴费支出。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213</w:t>
                                    </w:r>
                                    <w:r>
                                      <w:rPr>
                                        <w:rFonts w:hint="eastAsia" w:ascii="仿宋_GB2312" w:hAnsi="仿宋_GB2312" w:eastAsia="仿宋_GB2312" w:cs="仿宋_GB2312"/>
                                        <w:sz w:val="32"/>
                                        <w:szCs w:val="32"/>
                                      </w:rPr>
                                      <w:t>农林水支出（类）：</w:t>
                                    </w:r>
                                    <w:r>
                                      <w:rPr>
                                        <w:rFonts w:hint="eastAsia" w:ascii="仿宋_GB2312" w:hAnsi="仿宋_GB2312" w:eastAsia="仿宋_GB2312" w:cs="仿宋_GB2312"/>
                                        <w:sz w:val="32"/>
                                        <w:szCs w:val="32"/>
                                        <w:lang w:val="en-US" w:eastAsia="zh-CN"/>
                                      </w:rPr>
                                      <w:t>282.98</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林业事业机构（项）</w:t>
                                    </w:r>
                                    <w:r>
                                      <w:rPr>
                                        <w:rFonts w:hint="eastAsia" w:ascii="仿宋_GB2312" w:hAnsi="仿宋_GB2312" w:eastAsia="仿宋_GB2312" w:cs="仿宋_GB2312"/>
                                        <w:sz w:val="32"/>
                                        <w:szCs w:val="32"/>
                                        <w:lang w:val="en-US" w:eastAsia="zh-CN"/>
                                      </w:rPr>
                                      <w:t>91.75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07</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对村民委员会和党支部补助（项）</w:t>
                                    </w:r>
                                    <w:r>
                                      <w:rPr>
                                        <w:rFonts w:hint="eastAsia" w:ascii="仿宋_GB2312" w:hAnsi="仿宋_GB2312" w:eastAsia="仿宋_GB2312" w:cs="仿宋_GB2312"/>
                                        <w:sz w:val="32"/>
                                        <w:szCs w:val="32"/>
                                        <w:lang w:val="en-US" w:eastAsia="zh-CN"/>
                                      </w:rPr>
                                      <w:t>191.23</w:t>
                                    </w:r>
                                    <w:r>
                                      <w:rPr>
                                        <w:rFonts w:hint="eastAsia" w:ascii="仿宋_GB2312" w:hAnsi="仿宋_GB2312" w:eastAsia="仿宋_GB2312" w:cs="仿宋_GB2312"/>
                                        <w:sz w:val="32"/>
                                        <w:szCs w:val="32"/>
                                      </w:rPr>
                                      <w:t>万元。主要用于：主要用于事业工资发放，对村民委员和党支部补助。</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221</w:t>
                                    </w:r>
                                    <w:r>
                                      <w:rPr>
                                        <w:rFonts w:hint="eastAsia" w:ascii="仿宋_GB2312" w:hAnsi="仿宋_GB2312" w:eastAsia="仿宋_GB2312" w:cs="仿宋_GB2312"/>
                                        <w:sz w:val="32"/>
                                        <w:szCs w:val="32"/>
                                      </w:rPr>
                                      <w:t>住房保障支出（类）</w:t>
                                    </w:r>
                                    <w:r>
                                      <w:rPr>
                                        <w:rFonts w:hint="eastAsia" w:ascii="仿宋_GB2312" w:hAnsi="仿宋_GB2312" w:eastAsia="仿宋_GB2312" w:cs="仿宋_GB2312"/>
                                        <w:sz w:val="32"/>
                                        <w:szCs w:val="32"/>
                                        <w:lang w:val="en-US" w:eastAsia="zh-CN"/>
                                      </w:rPr>
                                      <w:t>27.06</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02</w:t>
                                    </w:r>
                                    <w:r>
                                      <w:rPr>
                                        <w:rFonts w:hint="eastAsia" w:ascii="仿宋_GB2312" w:hAnsi="仿宋_GB2312" w:eastAsia="仿宋_GB2312" w:cs="仿宋_GB2312"/>
                                        <w:sz w:val="32"/>
                                        <w:szCs w:val="32"/>
                                      </w:rPr>
                                      <w:t>住房改革支出（款）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住房公积金（项）：全乡职工住房公积金</w:t>
                                    </w:r>
                                    <w:r>
                                      <w:rPr>
                                        <w:rFonts w:hint="eastAsia" w:ascii="仿宋_GB2312" w:hAnsi="仿宋_GB2312" w:eastAsia="仿宋_GB2312" w:cs="仿宋_GB2312"/>
                                        <w:sz w:val="32"/>
                                        <w:szCs w:val="32"/>
                                        <w:lang w:val="en-US" w:eastAsia="zh-CN"/>
                                      </w:rPr>
                                      <w:t>27.06</w:t>
                                    </w:r>
                                    <w:r>
                                      <w:rPr>
                                        <w:rFonts w:hint="eastAsia" w:ascii="仿宋_GB2312" w:hAnsi="仿宋_GB2312" w:eastAsia="仿宋_GB2312" w:cs="仿宋_GB2312"/>
                                        <w:sz w:val="32"/>
                                        <w:szCs w:val="32"/>
                                      </w:rPr>
                                      <w:t>万元，主要用于：部门按人力资源和社会保障部、财政部规定的基本工资和津贴补贴以及规定比例为职工缴纳的住房公积金支出。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229</w:t>
                                    </w:r>
                                    <w:r>
                                      <w:rPr>
                                        <w:rFonts w:hint="eastAsia" w:ascii="仿宋_GB2312" w:hAnsi="仿宋_GB2312" w:eastAsia="仿宋_GB2312" w:cs="仿宋_GB2312"/>
                                        <w:sz w:val="32"/>
                                        <w:szCs w:val="32"/>
                                      </w:rPr>
                                      <w:t>其他支出（类）：</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99</w:t>
                                    </w:r>
                                    <w:r>
                                      <w:rPr>
                                        <w:rFonts w:hint="eastAsia" w:ascii="仿宋_GB2312" w:hAnsi="仿宋_GB2312" w:eastAsia="仿宋_GB2312" w:cs="仿宋_GB2312"/>
                                        <w:sz w:val="32"/>
                                        <w:szCs w:val="32"/>
                                      </w:rPr>
                                      <w:t>其他支出（款）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其他支出（项）</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万元，主要用于：各村三老干部补助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六、一般公共预算基本支出情况说明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565.17</w:t>
                                    </w:r>
                                    <w:r>
                                      <w:rPr>
                                        <w:rFonts w:hint="eastAsia" w:ascii="仿宋_GB2312" w:hAnsi="仿宋_GB2312" w:eastAsia="仿宋_GB2312" w:cs="仿宋_GB2312"/>
                                        <w:sz w:val="32"/>
                                        <w:szCs w:val="32"/>
                                      </w:rPr>
                                      <w:t>万元，其中：</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456.57</w:t>
                                    </w:r>
                                    <w:r>
                                      <w:rPr>
                                        <w:rFonts w:hint="eastAsia" w:ascii="仿宋_GB2312" w:hAnsi="仿宋_GB2312" w:eastAsia="仿宋_GB2312" w:cs="仿宋_GB2312"/>
                                        <w:sz w:val="32"/>
                                        <w:szCs w:val="32"/>
                                      </w:rPr>
                                      <w:t>万元，主要包括：基本工资、津贴补贴、奖金、社会保险缴费等支出。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108.6</w:t>
                                    </w:r>
                                    <w:r>
                                      <w:rPr>
                                        <w:rFonts w:hint="eastAsia" w:ascii="仿宋_GB2312" w:hAnsi="仿宋_GB2312" w:eastAsia="仿宋_GB2312" w:cs="仿宋_GB2312"/>
                                        <w:sz w:val="32"/>
                                        <w:szCs w:val="32"/>
                                      </w:rPr>
                                      <w:t>万元，主要包括：办公费、水费、电费、邮电费、印刷费、差旅费、维修（护）费、劳务费等支出。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七、“三公”经费财政拨款预算安排情况说明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年“三公”经费财政拨款预算数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万元，其中：因公出国（境）经费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万元，公务用车购置及运行维护费</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（一）因公出国（境）经费与</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年预算持平。</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万元。全年安排因公出国（境）团组</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（二）公务接待费较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w:t>
                                    </w:r>
                                    <w:bookmarkStart w:id="0" w:name="_GoBack"/>
                                    <w:bookmarkEnd w:id="0"/>
                                    <w:r>
                                      <w:rPr>
                                        <w:rFonts w:hint="eastAsia" w:ascii="仿宋_GB2312" w:hAnsi="仿宋_GB2312" w:eastAsia="仿宋_GB2312" w:cs="仿宋_GB2312"/>
                                        <w:sz w:val="32"/>
                                        <w:szCs w:val="32"/>
                                      </w:rPr>
                                      <w:t>持平。</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年公务接待费计划用于执行公务、考察调研、检查指导等公务活动开支的交通费、住宿费、用餐费等。</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（三）公务用车购置及运行维护费与</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年相比增长</w:t>
                                    </w:r>
                                    <w:r>
                                      <w:rPr>
                                        <w:rFonts w:hint="eastAsia" w:ascii="仿宋_GB2312" w:hAnsi="仿宋_GB2312" w:eastAsia="仿宋_GB2312" w:cs="仿宋_GB2312"/>
                                        <w:sz w:val="32"/>
                                        <w:szCs w:val="32"/>
                                        <w:lang w:val="en-US" w:eastAsia="zh-CN"/>
                                      </w:rPr>
                                      <w:t>42.86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单位现有公务用车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辆、越野车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年未安排公务用车购置费。</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年安排公务用车运行维护费</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万元，用于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辆公务用车燃油、过路（桥）、维修、保险等方面支出，主要保障机关及下属单位财政改革工作调研、脱贫攻坚、财政监督检查及周转金清理、农村综合改革、财政支出绩效评价等工作开展。</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八、政府性基金预算支出情况说明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毛日乡人民政府</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年无政府性基金预算财政拨款支出预算情况</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九、国有资本经营预算支出情况说明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年没有使用国有资本经营预算拨款安排的支出。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十、其他重要事项的情况说明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（一）政府采购情况。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年度，政府采购支出总额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（三）国有资产占有使用情况。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截至</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年，毛日乡乡人民政府共有公务用车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辆，其中：一般公务用车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辆；无单价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万元以上通用设备及单价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十一、名词解释</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财政拨款收入：指县级财政当年拨付的资金。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事业收入：指事业单位开展专业业务活动及辅助活动所取得的收入。</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其他收入：指除上述“财政拨款收入”、“事业收入”、“经营收入”等以外的收入。</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社会保障和就业</w:t>
                                    </w:r>
                                    <w:r>
                                      <w:rPr>
                                        <w:rFonts w:ascii="仿宋_GB2312" w:hAnsi="仿宋_GB2312" w:eastAsia="仿宋_GB2312" w:cs="仿宋_GB2312"/>
                                        <w:sz w:val="32"/>
                                        <w:szCs w:val="32"/>
                                      </w:rPr>
                                      <w:t>2080101</w:t>
                                    </w:r>
                                    <w:r>
                                      <w:rPr>
                                        <w:rFonts w:hint="eastAsia" w:ascii="仿宋_GB2312" w:hAnsi="仿宋_GB2312" w:eastAsia="仿宋_GB2312" w:cs="仿宋_GB2312"/>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：指反映人大、党委、政府机构行政运行的支出。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文化体育与传媒</w:t>
                                    </w:r>
                                    <w:r>
                                      <w:rPr>
                                        <w:rFonts w:ascii="仿宋_GB2312" w:hAnsi="仿宋_GB2312" w:eastAsia="仿宋_GB2312" w:cs="仿宋_GB2312"/>
                                        <w:sz w:val="32"/>
                                        <w:szCs w:val="32"/>
                                      </w:rPr>
                                      <w:t>2070109</w:t>
                                    </w:r>
                                    <w:r>
                                      <w:rPr>
                                        <w:rFonts w:hint="eastAsia" w:ascii="仿宋_GB2312" w:hAnsi="仿宋_GB2312" w:eastAsia="仿宋_GB2312" w:cs="仿宋_GB2312"/>
                                        <w:sz w:val="32"/>
                                        <w:szCs w:val="32"/>
                                      </w:rPr>
                                      <w:t>群众文化：指文化站及社事中心运行的支出。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医疗卫生与计划生育</w:t>
                                    </w:r>
                                    <w:r>
                                      <w:rPr>
                                        <w:rFonts w:ascii="仿宋_GB2312" w:hAnsi="仿宋_GB2312" w:eastAsia="仿宋_GB2312" w:cs="仿宋_GB2312"/>
                                        <w:sz w:val="32"/>
                                        <w:szCs w:val="32"/>
                                      </w:rPr>
                                      <w:t>2100501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指职工的医疗保险。</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2210201</w:t>
                                    </w:r>
                                    <w:r>
                                      <w:rPr>
                                        <w:rFonts w:hint="eastAsia" w:ascii="仿宋_GB2312" w:hAnsi="仿宋_GB2312" w:eastAsia="仿宋_GB2312" w:cs="仿宋_GB2312"/>
                                        <w:sz w:val="32"/>
                                        <w:szCs w:val="32"/>
                                      </w:rPr>
                                      <w:t>：指职工的住房公积金。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2299901</w:t>
                                    </w:r>
                                    <w:r>
                                      <w:rPr>
                                        <w:rFonts w:hint="eastAsia" w:ascii="仿宋_GB2312" w:hAnsi="仿宋_GB2312" w:eastAsia="仿宋_GB2312" w:cs="仿宋_GB2312"/>
                                        <w:sz w:val="32"/>
                                        <w:szCs w:val="32"/>
                                      </w:rPr>
                                      <w:t>：指退休干部春节慰问金。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结余分配：指事业单位按规定提取的职工福利基金、事业基金和</w:t>
                                    </w:r>
                                    <w:r>
                                      <w:rPr>
                                        <w:rFonts w:hint="eastAsia" w:ascii="仿宋_GB2312" w:hAnsi="仿宋_GB2312" w:eastAsia="仿宋_GB2312" w:cs="仿宋_GB2312"/>
                                        <w:sz w:val="32"/>
                                        <w:szCs w:val="32"/>
                                        <w:lang w:eastAsia="zh-CN"/>
                                      </w:rPr>
                                      <w:t>缴纳得所</w:t>
                                    </w:r>
                                    <w:r>
                                      <w:rPr>
                                        <w:rFonts w:hint="eastAsia" w:ascii="仿宋_GB2312" w:hAnsi="仿宋_GB2312" w:eastAsia="仿宋_GB2312" w:cs="仿宋_GB2312"/>
                                        <w:sz w:val="32"/>
                                        <w:szCs w:val="32"/>
                                      </w:rPr>
                                      <w:t>得税，以及建设单位按规定应交回的基本建设竣工项目结余资金。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年末结转和结余：指本年度或以前年度预算安排、因客观条件发生变化无法按原计划实施，需延迟到以后年度按有关规定继续使用的资金。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基本支出：指为保障机构正常运转、完成日常工作任务而发生的人员支出和公用支出。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项目支出：指在基本支出之外为完成特定行政任务和事业发展目标所发生的支出。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0" w:type="auto"/>
                              <w:shd w:val="clear" w:color="auto" w:fill="FFFFFF"/>
                            </w:tcPr>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0" w:type="auto"/>
                        <w:gridSpan w:val="2"/>
                        <w:tcMar>
                          <w:top w:w="0" w:type="dxa"/>
                          <w:left w:w="0" w:type="dxa"/>
                          <w:bottom w:w="0" w:type="dxa"/>
                          <w:right w:w="1950" w:type="dxa"/>
                        </w:tcMar>
                        <w:vAlign w:val="center"/>
                      </w:tcPr>
                      <w:p>
                        <w:pPr>
                          <w:widowControl/>
                          <w:ind w:right="105"/>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0" w:type="auto"/>
            <w:vAlign w:val="center"/>
          </w:tcPr>
          <w:p>
            <w:pPr>
              <w:widowControl/>
              <w:jc w:val="left"/>
              <w:rPr>
                <w:rFonts w:ascii="宋体" w:cs="宋体"/>
                <w:kern w:val="0"/>
                <w:sz w:val="8"/>
                <w:szCs w:val="21"/>
              </w:rPr>
            </w:pP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081111"/>
    <w:rsid w:val="000A29C7"/>
    <w:rsid w:val="000D5907"/>
    <w:rsid w:val="00147EED"/>
    <w:rsid w:val="004A67CD"/>
    <w:rsid w:val="004D5C38"/>
    <w:rsid w:val="00580030"/>
    <w:rsid w:val="006F3D0A"/>
    <w:rsid w:val="00725E25"/>
    <w:rsid w:val="0079144A"/>
    <w:rsid w:val="007B6964"/>
    <w:rsid w:val="0085248E"/>
    <w:rsid w:val="00C3677A"/>
    <w:rsid w:val="00C43171"/>
    <w:rsid w:val="00D04CCC"/>
    <w:rsid w:val="00DE68AA"/>
    <w:rsid w:val="00E3430B"/>
    <w:rsid w:val="116378D6"/>
    <w:rsid w:val="21376B01"/>
    <w:rsid w:val="4EDD0019"/>
    <w:rsid w:val="63554E9B"/>
    <w:rsid w:val="765B4EC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99"/>
    <w:rPr>
      <w:rFonts w:cs="Times New Roman"/>
      <w:b/>
      <w:bCs/>
    </w:rPr>
  </w:style>
  <w:style w:type="character" w:customStyle="1" w:styleId="7">
    <w:name w:val="pagetext0031"/>
    <w:basedOn w:val="5"/>
    <w:qFormat/>
    <w:uiPriority w:val="99"/>
    <w:rPr>
      <w:rFonts w:ascii="宋体" w:hAnsi="宋体" w:eastAsia="宋体" w:cs="Times New Roman"/>
      <w:color w:val="555555"/>
      <w:sz w:val="21"/>
      <w:szCs w:val="21"/>
    </w:rPr>
  </w:style>
  <w:style w:type="character" w:customStyle="1" w:styleId="8">
    <w:name w:val="Header Char"/>
    <w:basedOn w:val="5"/>
    <w:link w:val="3"/>
    <w:semiHidden/>
    <w:qFormat/>
    <w:locked/>
    <w:uiPriority w:val="99"/>
    <w:rPr>
      <w:rFonts w:cs="Times New Roman"/>
      <w:sz w:val="18"/>
      <w:szCs w:val="18"/>
    </w:rPr>
  </w:style>
  <w:style w:type="character" w:customStyle="1" w:styleId="9">
    <w:name w:val="Footer Char"/>
    <w:basedOn w:val="5"/>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10</Pages>
  <Words>715</Words>
  <Characters>4081</Characters>
  <Lines>0</Lines>
  <Paragraphs>0</Paragraphs>
  <TotalTime>25</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2019-01-03T06:25:00Z</dcterms:created>
  <dc:creator>Lenovo User</dc:creator>
  <cp:lastModifiedBy>不改</cp:lastModifiedBy>
  <dcterms:modified xsi:type="dcterms:W3CDTF">2021-04-16T02:18:47Z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9D2C3C5FF1B24DAC90EFD2069AFDC2F1</vt:lpwstr>
  </property>
</Properties>
</file>