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szCs w:val="44"/>
        </w:rPr>
      </w:pPr>
      <w:r>
        <w:rPr>
          <w:rFonts w:hint="eastAsia"/>
          <w:sz w:val="44"/>
          <w:szCs w:val="44"/>
        </w:rPr>
        <w:t>金川县毛日乡人民政府2018年决算公开</w:t>
      </w:r>
    </w:p>
    <w:p>
      <w:r>
        <w:rPr>
          <w:rFonts w:hint="eastAsia"/>
        </w:rPr>
        <w:t xml:space="preserve"> </w:t>
      </w:r>
    </w:p>
    <w:p>
      <w:pPr>
        <w:jc w:val="left"/>
        <w:rPr>
          <w:sz w:val="32"/>
          <w:szCs w:val="32"/>
        </w:rPr>
      </w:pPr>
      <w:r>
        <w:rPr>
          <w:rFonts w:hint="eastAsia"/>
        </w:rPr>
        <w:t xml:space="preserve"> </w:t>
      </w:r>
      <w:r>
        <w:rPr>
          <w:rFonts w:hint="eastAsia"/>
          <w:sz w:val="32"/>
          <w:szCs w:val="32"/>
        </w:rPr>
        <w:t>目 录</w:t>
      </w:r>
    </w:p>
    <w:p>
      <w:pPr>
        <w:numPr>
          <w:ilvl w:val="0"/>
          <w:numId w:val="1"/>
        </w:numPr>
        <w:jc w:val="left"/>
        <w:rPr>
          <w:sz w:val="32"/>
          <w:szCs w:val="32"/>
        </w:rPr>
      </w:pPr>
      <w:r>
        <w:rPr>
          <w:rFonts w:hint="eastAsia"/>
          <w:sz w:val="32"/>
          <w:szCs w:val="32"/>
        </w:rPr>
        <w:t>基本职能及主要工作</w:t>
      </w:r>
    </w:p>
    <w:p>
      <w:pPr>
        <w:jc w:val="left"/>
        <w:rPr>
          <w:sz w:val="32"/>
          <w:szCs w:val="32"/>
        </w:rPr>
      </w:pPr>
      <w:r>
        <w:rPr>
          <w:rFonts w:hint="eastAsia"/>
          <w:sz w:val="32"/>
          <w:szCs w:val="32"/>
        </w:rPr>
        <w:t>（一）主要职能。</w:t>
      </w:r>
    </w:p>
    <w:p>
      <w:pPr>
        <w:jc w:val="left"/>
        <w:rPr>
          <w:sz w:val="32"/>
          <w:szCs w:val="32"/>
        </w:rPr>
      </w:pPr>
      <w:r>
        <w:rPr>
          <w:rFonts w:hint="eastAsia"/>
          <w:sz w:val="32"/>
          <w:szCs w:val="32"/>
        </w:rPr>
        <w:t>（二）2018年重点工作完成情况。</w:t>
      </w:r>
    </w:p>
    <w:p>
      <w:pPr>
        <w:jc w:val="left"/>
        <w:rPr>
          <w:sz w:val="32"/>
          <w:szCs w:val="32"/>
        </w:rPr>
      </w:pPr>
      <w:r>
        <w:rPr>
          <w:rFonts w:hint="eastAsia"/>
          <w:sz w:val="32"/>
          <w:szCs w:val="32"/>
        </w:rPr>
        <w:t>二、部门概况</w:t>
      </w:r>
    </w:p>
    <w:p>
      <w:pPr>
        <w:jc w:val="left"/>
        <w:rPr>
          <w:sz w:val="32"/>
          <w:szCs w:val="32"/>
        </w:rPr>
      </w:pPr>
      <w:r>
        <w:rPr>
          <w:rFonts w:hint="eastAsia"/>
          <w:sz w:val="32"/>
          <w:szCs w:val="32"/>
        </w:rPr>
        <w:t>三、收支决算总体情况说明</w:t>
      </w:r>
    </w:p>
    <w:p>
      <w:pPr>
        <w:jc w:val="left"/>
        <w:rPr>
          <w:sz w:val="32"/>
          <w:szCs w:val="32"/>
        </w:rPr>
      </w:pPr>
      <w:r>
        <w:rPr>
          <w:rFonts w:hint="eastAsia"/>
          <w:sz w:val="32"/>
          <w:szCs w:val="32"/>
        </w:rPr>
        <w:t>四、财政拨款收入支出决算总体情况说明</w:t>
      </w:r>
    </w:p>
    <w:p>
      <w:pPr>
        <w:jc w:val="left"/>
        <w:rPr>
          <w:sz w:val="32"/>
          <w:szCs w:val="32"/>
        </w:rPr>
      </w:pPr>
      <w:r>
        <w:rPr>
          <w:rFonts w:hint="eastAsia"/>
          <w:sz w:val="32"/>
          <w:szCs w:val="32"/>
        </w:rPr>
        <w:t>五、一般公共预算财政拨款支出决算情况说明</w:t>
      </w:r>
    </w:p>
    <w:p>
      <w:pPr>
        <w:jc w:val="left"/>
        <w:rPr>
          <w:sz w:val="32"/>
          <w:szCs w:val="32"/>
        </w:rPr>
      </w:pPr>
      <w:r>
        <w:rPr>
          <w:rFonts w:hint="eastAsia"/>
          <w:sz w:val="32"/>
          <w:szCs w:val="32"/>
        </w:rPr>
        <w:t>（一）一般公共预算财政拨款支出决算总体情况</w:t>
      </w:r>
    </w:p>
    <w:p>
      <w:pPr>
        <w:jc w:val="left"/>
        <w:rPr>
          <w:sz w:val="32"/>
          <w:szCs w:val="32"/>
        </w:rPr>
      </w:pPr>
      <w:r>
        <w:rPr>
          <w:rFonts w:hint="eastAsia"/>
          <w:sz w:val="32"/>
          <w:szCs w:val="32"/>
        </w:rPr>
        <w:t>（二）一般公共预算财政拨款支出决算结构情况</w:t>
      </w:r>
    </w:p>
    <w:p>
      <w:pPr>
        <w:jc w:val="left"/>
        <w:rPr>
          <w:sz w:val="32"/>
          <w:szCs w:val="32"/>
        </w:rPr>
      </w:pPr>
      <w:r>
        <w:rPr>
          <w:rFonts w:hint="eastAsia"/>
          <w:sz w:val="32"/>
          <w:szCs w:val="32"/>
        </w:rPr>
        <w:t>（三）一般公共预算财政拨款支出决算具体情况</w:t>
      </w:r>
    </w:p>
    <w:p>
      <w:pPr>
        <w:jc w:val="left"/>
        <w:rPr>
          <w:sz w:val="32"/>
          <w:szCs w:val="32"/>
        </w:rPr>
      </w:pPr>
      <w:r>
        <w:rPr>
          <w:rFonts w:hint="eastAsia"/>
          <w:sz w:val="32"/>
          <w:szCs w:val="32"/>
        </w:rPr>
        <w:t>六、一般公共预算财政拨款基本支出决算情况说明</w:t>
      </w:r>
    </w:p>
    <w:p>
      <w:pPr>
        <w:jc w:val="left"/>
        <w:rPr>
          <w:sz w:val="32"/>
          <w:szCs w:val="32"/>
        </w:rPr>
      </w:pPr>
      <w:r>
        <w:rPr>
          <w:rFonts w:hint="eastAsia"/>
          <w:sz w:val="32"/>
          <w:szCs w:val="32"/>
        </w:rPr>
        <w:t>七、“三公”经费财政拨款支出决算情况说明</w:t>
      </w:r>
    </w:p>
    <w:p>
      <w:pPr>
        <w:jc w:val="left"/>
        <w:rPr>
          <w:sz w:val="32"/>
          <w:szCs w:val="32"/>
        </w:rPr>
      </w:pPr>
      <w:r>
        <w:rPr>
          <w:rFonts w:hint="eastAsia"/>
          <w:sz w:val="32"/>
          <w:szCs w:val="32"/>
        </w:rPr>
        <w:t>（一）“三公”经费财政拨款支出决算总体情况说明</w:t>
      </w:r>
    </w:p>
    <w:p>
      <w:pPr>
        <w:jc w:val="left"/>
        <w:rPr>
          <w:sz w:val="32"/>
          <w:szCs w:val="32"/>
        </w:rPr>
      </w:pPr>
      <w:r>
        <w:rPr>
          <w:rFonts w:hint="eastAsia"/>
          <w:sz w:val="32"/>
          <w:szCs w:val="32"/>
        </w:rPr>
        <w:t>（二）“三公”经费财政拨款支出决算具体情况说明</w:t>
      </w:r>
    </w:p>
    <w:p>
      <w:pPr>
        <w:jc w:val="left"/>
        <w:rPr>
          <w:sz w:val="32"/>
          <w:szCs w:val="32"/>
        </w:rPr>
      </w:pPr>
      <w:r>
        <w:rPr>
          <w:rFonts w:hint="eastAsia"/>
          <w:sz w:val="32"/>
          <w:szCs w:val="32"/>
        </w:rPr>
        <w:t>八、政府性基金预算支出决算情况说明</w:t>
      </w:r>
    </w:p>
    <w:p>
      <w:pPr>
        <w:jc w:val="left"/>
        <w:rPr>
          <w:sz w:val="32"/>
          <w:szCs w:val="32"/>
        </w:rPr>
      </w:pPr>
      <w:r>
        <w:rPr>
          <w:rFonts w:hint="eastAsia"/>
          <w:sz w:val="32"/>
          <w:szCs w:val="32"/>
        </w:rPr>
        <w:t>九、国有资本经营预算支出决算情况说明</w:t>
      </w:r>
    </w:p>
    <w:p>
      <w:pPr>
        <w:jc w:val="left"/>
        <w:rPr>
          <w:sz w:val="32"/>
          <w:szCs w:val="32"/>
        </w:rPr>
      </w:pPr>
      <w:r>
        <w:rPr>
          <w:rFonts w:hint="eastAsia"/>
          <w:sz w:val="32"/>
          <w:szCs w:val="32"/>
        </w:rPr>
        <w:t>十、其他重要事项的情况说明</w:t>
      </w:r>
    </w:p>
    <w:p>
      <w:pPr>
        <w:jc w:val="left"/>
        <w:rPr>
          <w:sz w:val="32"/>
          <w:szCs w:val="32"/>
        </w:rPr>
      </w:pPr>
      <w:r>
        <w:rPr>
          <w:rFonts w:hint="eastAsia"/>
          <w:sz w:val="32"/>
          <w:szCs w:val="32"/>
        </w:rPr>
        <w:t>（一）机关运行经费支出情况</w:t>
      </w:r>
    </w:p>
    <w:p>
      <w:pPr>
        <w:jc w:val="left"/>
        <w:rPr>
          <w:sz w:val="32"/>
          <w:szCs w:val="32"/>
        </w:rPr>
      </w:pPr>
      <w:r>
        <w:rPr>
          <w:rFonts w:hint="eastAsia"/>
          <w:sz w:val="32"/>
          <w:szCs w:val="32"/>
        </w:rPr>
        <w:t>（二）政府采购支出情况</w:t>
      </w:r>
    </w:p>
    <w:p>
      <w:pPr>
        <w:jc w:val="left"/>
        <w:rPr>
          <w:sz w:val="32"/>
          <w:szCs w:val="32"/>
        </w:rPr>
      </w:pPr>
      <w:r>
        <w:rPr>
          <w:rFonts w:hint="eastAsia"/>
          <w:sz w:val="32"/>
          <w:szCs w:val="32"/>
        </w:rPr>
        <w:t>（三）国有资产占有使用情况</w:t>
      </w:r>
    </w:p>
    <w:p>
      <w:pPr>
        <w:jc w:val="left"/>
        <w:rPr>
          <w:sz w:val="32"/>
          <w:szCs w:val="32"/>
        </w:rPr>
      </w:pPr>
      <w:r>
        <w:rPr>
          <w:rFonts w:hint="eastAsia"/>
          <w:sz w:val="32"/>
          <w:szCs w:val="32"/>
        </w:rPr>
        <w:t>（四）预算绩效情况</w:t>
      </w:r>
    </w:p>
    <w:p>
      <w:pPr>
        <w:jc w:val="left"/>
        <w:rPr>
          <w:sz w:val="32"/>
          <w:szCs w:val="32"/>
        </w:rPr>
      </w:pPr>
      <w:r>
        <w:rPr>
          <w:rFonts w:hint="eastAsia"/>
          <w:sz w:val="32"/>
          <w:szCs w:val="32"/>
        </w:rPr>
        <w:t>1.绩效目标管理情况。</w:t>
      </w:r>
    </w:p>
    <w:p>
      <w:pPr>
        <w:jc w:val="left"/>
        <w:rPr>
          <w:sz w:val="32"/>
          <w:szCs w:val="32"/>
        </w:rPr>
      </w:pPr>
      <w:r>
        <w:rPr>
          <w:rFonts w:hint="eastAsia"/>
          <w:sz w:val="32"/>
          <w:szCs w:val="32"/>
        </w:rPr>
        <w:t>2.部门整体支出绩效自评开展情况。</w:t>
      </w:r>
    </w:p>
    <w:p>
      <w:pPr>
        <w:jc w:val="left"/>
        <w:rPr>
          <w:sz w:val="32"/>
          <w:szCs w:val="32"/>
        </w:rPr>
      </w:pPr>
      <w:r>
        <w:rPr>
          <w:rFonts w:hint="eastAsia"/>
          <w:sz w:val="32"/>
          <w:szCs w:val="32"/>
        </w:rPr>
        <w:t>3.部门自行组织绩效评价开展情况。</w:t>
      </w:r>
    </w:p>
    <w:p>
      <w:pPr>
        <w:jc w:val="left"/>
        <w:rPr>
          <w:sz w:val="32"/>
          <w:szCs w:val="32"/>
        </w:rPr>
      </w:pPr>
      <w:r>
        <w:rPr>
          <w:rFonts w:hint="eastAsia"/>
          <w:sz w:val="32"/>
          <w:szCs w:val="32"/>
        </w:rPr>
        <w:t>十一、名词解释</w:t>
      </w: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ind w:firstLine="643" w:firstLineChars="200"/>
        <w:rPr>
          <w:rFonts w:asciiTheme="majorHAnsi"/>
          <w:b/>
          <w:bCs/>
          <w:sz w:val="32"/>
          <w:szCs w:val="32"/>
        </w:rPr>
      </w:pPr>
      <w:r>
        <w:rPr>
          <w:rFonts w:hint="eastAsia" w:asciiTheme="majorHAnsi"/>
          <w:b/>
          <w:bCs/>
          <w:sz w:val="32"/>
          <w:szCs w:val="32"/>
        </w:rPr>
        <w:t>金川县毛日乡人民政府2018年部门决算公开编制说明</w:t>
      </w:r>
    </w:p>
    <w:p>
      <w:pPr>
        <w:rPr>
          <w:b/>
          <w:bCs/>
          <w:sz w:val="32"/>
          <w:szCs w:val="32"/>
        </w:rPr>
      </w:pPr>
      <w:r>
        <w:rPr>
          <w:rFonts w:hint="eastAsia"/>
          <w:b/>
          <w:bCs/>
          <w:sz w:val="32"/>
          <w:szCs w:val="32"/>
        </w:rPr>
        <w:t>一、基本职能及主要工作</w:t>
      </w:r>
    </w:p>
    <w:p>
      <w:pPr>
        <w:rPr>
          <w:sz w:val="32"/>
          <w:szCs w:val="32"/>
        </w:rPr>
      </w:pPr>
      <w:r>
        <w:rPr>
          <w:rFonts w:hint="eastAsia"/>
          <w:sz w:val="32"/>
          <w:szCs w:val="32"/>
        </w:rPr>
        <w:t>（一）主要职能。</w:t>
      </w:r>
    </w:p>
    <w:p>
      <w:pPr>
        <w:rPr>
          <w:rFonts w:ascii="仿宋_GB2312" w:eastAsia="仿宋_GB2312"/>
          <w:sz w:val="32"/>
          <w:szCs w:val="32"/>
        </w:rPr>
      </w:pPr>
      <w:r>
        <w:rPr>
          <w:rFonts w:hint="eastAsia" w:eastAsia="仿宋_GB2312"/>
          <w:bCs/>
          <w:color w:val="000000"/>
          <w:sz w:val="32"/>
          <w:szCs w:val="32"/>
        </w:rPr>
        <w:t xml:space="preserve">   </w:t>
      </w:r>
      <w:r>
        <w:rPr>
          <w:rFonts w:hint="eastAsia" w:ascii="仿宋_GB2312" w:eastAsia="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毛日发展的新局面。</w:t>
      </w:r>
    </w:p>
    <w:p>
      <w:pPr>
        <w:rPr>
          <w:sz w:val="32"/>
          <w:szCs w:val="32"/>
        </w:rPr>
      </w:pPr>
      <w:r>
        <w:rPr>
          <w:rFonts w:hint="eastAsia"/>
          <w:sz w:val="32"/>
          <w:szCs w:val="32"/>
        </w:rPr>
        <w:t>（二）2018年重点工作完成情况。</w:t>
      </w:r>
    </w:p>
    <w:p>
      <w:pPr>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1、乡党委围绕“两学一做”开展党建工作，提高乡村党员素质。</w:t>
      </w:r>
    </w:p>
    <w:p>
      <w:pPr>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2、本年度全乡进行精准脱贫攻坚工作，对全乡贫困户进行了精准摸排，并作出了脱贫安排，严格按照“六个一批”，对各贫困户制定了相应脱贫计划；2018年计划脱贫户顺利脱贫。</w:t>
      </w:r>
    </w:p>
    <w:p>
      <w:pPr>
        <w:snapToGrid w:val="0"/>
        <w:spacing w:line="360" w:lineRule="auto"/>
        <w:ind w:firstLine="640" w:firstLineChars="200"/>
        <w:rPr>
          <w:bCs/>
          <w:color w:val="000000"/>
          <w:sz w:val="32"/>
          <w:szCs w:val="32"/>
        </w:rPr>
      </w:pPr>
      <w:r>
        <w:rPr>
          <w:rFonts w:hint="eastAsia" w:ascii="仿宋_GB2312" w:hAnsi="宋体" w:eastAsia="仿宋_GB2312" w:cs="宋体"/>
          <w:kern w:val="0"/>
          <w:sz w:val="32"/>
          <w:szCs w:val="32"/>
        </w:rPr>
        <w:t>3、圆满完成了其他各项工作，并经验收合格。</w:t>
      </w:r>
    </w:p>
    <w:p>
      <w:pPr>
        <w:rPr>
          <w:b/>
          <w:bCs/>
          <w:sz w:val="32"/>
          <w:szCs w:val="32"/>
        </w:rPr>
      </w:pPr>
      <w:r>
        <w:rPr>
          <w:rFonts w:hint="eastAsia"/>
          <w:b/>
          <w:bCs/>
          <w:sz w:val="32"/>
          <w:szCs w:val="32"/>
        </w:rPr>
        <w:t>二、部门概况</w:t>
      </w:r>
    </w:p>
    <w:p>
      <w:pPr>
        <w:snapToGrid w:val="0"/>
        <w:spacing w:line="360" w:lineRule="auto"/>
        <w:ind w:firstLine="640" w:firstLineChars="200"/>
        <w:rPr>
          <w:rFonts w:ascii="仿宋_GB2312" w:hAnsi="宋体" w:eastAsia="仿宋_GB2312"/>
          <w:bCs/>
          <w:sz w:val="32"/>
        </w:rPr>
      </w:pPr>
      <w:r>
        <w:rPr>
          <w:rFonts w:ascii="仿宋_GB2312" w:eastAsia="仿宋_GB2312"/>
          <w:bCs/>
          <w:sz w:val="32"/>
        </w:rPr>
        <w:t> </w:t>
      </w:r>
      <w:r>
        <w:rPr>
          <w:rFonts w:hint="eastAsia" w:ascii="仿宋_GB2312" w:eastAsia="仿宋_GB2312"/>
          <w:bCs/>
          <w:sz w:val="32"/>
        </w:rPr>
        <w:t>我乡2018年有2个机构，无增减变动。</w:t>
      </w:r>
      <w:r>
        <w:rPr>
          <w:rFonts w:hint="eastAsia" w:ascii="仿宋_GB2312" w:hAnsi="宋体" w:eastAsia="仿宋_GB2312"/>
          <w:bCs/>
          <w:sz w:val="32"/>
        </w:rPr>
        <w:t>2018年年初在职18人（行政人员13人，行政工勤0人，事业管理3人、专计2人）；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2018年年末在职20人（行政人员15人，行政工勤0人，事业管理3人、专计2人）。</w:t>
      </w:r>
    </w:p>
    <w:p>
      <w:pPr>
        <w:rPr>
          <w:rFonts w:eastAsia="仿宋_GB2312"/>
          <w:sz w:val="32"/>
          <w:szCs w:val="32"/>
        </w:rPr>
      </w:pPr>
      <w:r>
        <w:rPr>
          <w:rFonts w:hint="eastAsia" w:ascii="仿宋_GB2312" w:hAnsi="宋体" w:eastAsia="仿宋_GB2312"/>
          <w:bCs/>
          <w:sz w:val="32"/>
        </w:rPr>
        <w:t>2018年行政人员增加2人.</w:t>
      </w:r>
    </w:p>
    <w:p>
      <w:pPr>
        <w:snapToGrid w:val="0"/>
        <w:spacing w:line="360" w:lineRule="auto"/>
        <w:rPr>
          <w:rFonts w:ascii="仿宋_GB2312" w:hAnsi="宋体" w:eastAsia="仿宋_GB2312"/>
          <w:b/>
          <w:sz w:val="32"/>
        </w:rPr>
      </w:pPr>
      <w:r>
        <w:rPr>
          <w:rFonts w:hint="eastAsia" w:ascii="仿宋_GB2312" w:hAnsi="宋体" w:eastAsia="仿宋_GB2312"/>
          <w:b/>
          <w:sz w:val="32"/>
        </w:rPr>
        <w:t>三、收支决算总体情况说明</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毛日乡本年收入合计545.4万元，其中：一般公共预算财政拨款收入545.4万元，占100%；政府性基金预算财政拨款收入0元，占0%；国有资本经营预算财政拨款收入0万元，占0%；事业收入0万元，占0%；经营收入0万元，占0%；附属单位上缴收入0万元，占0%；其他收入0万元，占0%。</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2018年毛日乡本年支出合计544.21万元，其中：基本支出293.16万元，占53.87%；项目支出251.05万元，占46.13%；上缴上级支出0万元，占0%；经营支出0万元，占0%；对附属单位补助支出0万元，占0%。</w:t>
      </w:r>
    </w:p>
    <w:p>
      <w:pPr>
        <w:snapToGrid w:val="0"/>
        <w:spacing w:line="360" w:lineRule="auto"/>
        <w:rPr>
          <w:rFonts w:ascii="仿宋_GB2312" w:hAnsi="宋体" w:eastAsia="仿宋_GB2312"/>
          <w:b/>
          <w:sz w:val="32"/>
        </w:rPr>
      </w:pPr>
      <w:r>
        <w:rPr>
          <w:rFonts w:hint="eastAsia" w:ascii="仿宋_GB2312" w:hAnsi="宋体" w:eastAsia="仿宋_GB2312"/>
          <w:b/>
          <w:sz w:val="32"/>
        </w:rPr>
        <w:t>四、财政拨款收入支出决算总体情况说明</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2018年度财政拨款收入总计545.4万元。与2017年相比，减少11.6%，财政拨款收入总计减少了71.55万元，减少39.16 %。财政拨款支出合计544.21元，财政拨款支出总计增加了51.26万元，增加10.4%</w:t>
      </w:r>
    </w:p>
    <w:p>
      <w:pPr>
        <w:snapToGrid w:val="0"/>
        <w:spacing w:line="360" w:lineRule="auto"/>
        <w:rPr>
          <w:rFonts w:ascii="仿宋_GB2312" w:hAnsi="宋体" w:eastAsia="仿宋_GB2312"/>
          <w:b/>
          <w:sz w:val="32"/>
        </w:rPr>
      </w:pPr>
      <w:r>
        <w:rPr>
          <w:rFonts w:hint="eastAsia" w:ascii="仿宋_GB2312" w:hAnsi="宋体" w:eastAsia="仿宋_GB2312"/>
          <w:b/>
          <w:sz w:val="32"/>
        </w:rPr>
        <w:t>五、一般公共预算财政拨款支出决算情况说明</w:t>
      </w:r>
    </w:p>
    <w:p>
      <w:pPr>
        <w:snapToGrid w:val="0"/>
        <w:spacing w:line="360" w:lineRule="auto"/>
        <w:rPr>
          <w:rFonts w:ascii="仿宋_GB2312" w:hAnsi="宋体" w:eastAsia="仿宋_GB2312"/>
          <w:bCs/>
          <w:sz w:val="32"/>
        </w:rPr>
      </w:pPr>
      <w:r>
        <w:rPr>
          <w:rFonts w:hint="eastAsia" w:ascii="仿宋_GB2312" w:hAnsi="宋体" w:eastAsia="仿宋_GB2312"/>
          <w:bCs/>
          <w:sz w:val="32"/>
        </w:rPr>
        <w:t>（一）一般公共预算财政拨款支出决算总体情况</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2018年度一般公共预算财政拨款支出544.21万元，占本年支出合计的100%。与2017年相比，一般公共预算财政拨款增加了51.26万元，增加10.4%。</w:t>
      </w:r>
    </w:p>
    <w:p>
      <w:pPr>
        <w:snapToGrid w:val="0"/>
        <w:spacing w:line="360" w:lineRule="auto"/>
        <w:rPr>
          <w:rFonts w:ascii="仿宋_GB2312" w:hAnsi="宋体" w:eastAsia="仿宋_GB2312"/>
          <w:bCs/>
          <w:sz w:val="32"/>
        </w:rPr>
      </w:pPr>
      <w:r>
        <w:rPr>
          <w:rFonts w:hint="eastAsia" w:ascii="仿宋_GB2312" w:hAnsi="宋体" w:eastAsia="仿宋_GB2312"/>
          <w:bCs/>
          <w:sz w:val="32"/>
        </w:rPr>
        <w:t>（二）一般公共预算财政拨款支出决算结构情况</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一般公共预算财政拨款支出544.21万元，主要用于以下方面:一般公共服务支出205.95万元，占37.85%；教育支出0万元，占0%；社会保障和就业支出40.02万元，占7.35%；医疗卫生支出11.28万元，占2.07%；农林水支出260.62万元，占47.89%；住房保障支出23.46万元，占4.31%；其他支出2.88万元，占0.53%。</w:t>
      </w:r>
    </w:p>
    <w:p>
      <w:pPr>
        <w:snapToGrid w:val="0"/>
        <w:spacing w:line="360" w:lineRule="auto"/>
        <w:rPr>
          <w:rFonts w:ascii="仿宋_GB2312" w:hAnsi="宋体" w:eastAsia="仿宋_GB2312"/>
          <w:bCs/>
          <w:sz w:val="32"/>
        </w:rPr>
      </w:pPr>
      <w:r>
        <w:rPr>
          <w:rFonts w:hint="eastAsia" w:ascii="仿宋_GB2312" w:hAnsi="宋体" w:eastAsia="仿宋_GB2312"/>
          <w:bCs/>
          <w:sz w:val="32"/>
        </w:rPr>
        <w:t>（三）一般公共预算财政拨款支出决算具体情况</w:t>
      </w:r>
    </w:p>
    <w:p>
      <w:pPr>
        <w:snapToGrid w:val="0"/>
        <w:spacing w:line="360" w:lineRule="auto"/>
        <w:rPr>
          <w:rFonts w:ascii="仿宋_GB2312" w:hAnsi="宋体" w:eastAsia="仿宋_GB2312"/>
          <w:bCs/>
          <w:sz w:val="32"/>
        </w:rPr>
      </w:pPr>
      <w:r>
        <w:rPr>
          <w:rFonts w:hint="eastAsia" w:ascii="仿宋_GB2312" w:hAnsi="宋体" w:eastAsia="仿宋_GB2312"/>
          <w:bCs/>
          <w:sz w:val="32"/>
        </w:rPr>
        <w:t>1.一般公共服务：</w:t>
      </w:r>
    </w:p>
    <w:p>
      <w:pPr>
        <w:snapToGrid w:val="0"/>
        <w:spacing w:line="560" w:lineRule="exact"/>
        <w:ind w:firstLine="640" w:firstLineChars="200"/>
        <w:rPr>
          <w:rFonts w:ascii="仿宋_GB2312" w:hAnsi="宋体" w:eastAsia="仿宋_GB2312"/>
          <w:bCs/>
          <w:sz w:val="32"/>
        </w:rPr>
      </w:pPr>
      <w:r>
        <w:rPr>
          <w:rFonts w:hint="eastAsia" w:ascii="仿宋_GB2312" w:hAnsi="宋体" w:eastAsia="仿宋_GB2312"/>
          <w:bCs/>
          <w:sz w:val="32"/>
        </w:rPr>
        <w:t>一般公共服务（类）201（款）01（项）01—行政运行: 支出决算为11.65万元，完成预算100%，决算数与预算数持平。</w:t>
      </w:r>
    </w:p>
    <w:p>
      <w:pPr>
        <w:snapToGrid w:val="0"/>
        <w:spacing w:line="560" w:lineRule="exact"/>
        <w:ind w:firstLine="640" w:firstLineChars="200"/>
        <w:rPr>
          <w:rFonts w:ascii="仿宋_GB2312" w:hAnsi="宋体" w:eastAsia="仿宋_GB2312"/>
          <w:bCs/>
          <w:sz w:val="32"/>
        </w:rPr>
      </w:pPr>
      <w:r>
        <w:rPr>
          <w:rFonts w:hint="eastAsia" w:ascii="仿宋_GB2312" w:hAnsi="宋体" w:eastAsia="仿宋_GB2312"/>
          <w:bCs/>
          <w:sz w:val="32"/>
        </w:rPr>
        <w:t>一般公共服务（类）201（款）01（项）04— 人大会议费：支出决算为0.1万元，完成预算100%，决算数与预算数持平。</w:t>
      </w:r>
    </w:p>
    <w:p>
      <w:pPr>
        <w:snapToGrid w:val="0"/>
        <w:spacing w:line="560" w:lineRule="exact"/>
        <w:ind w:firstLine="640" w:firstLineChars="200"/>
        <w:rPr>
          <w:rFonts w:ascii="仿宋_GB2312" w:hAnsi="宋体" w:eastAsia="仿宋_GB2312"/>
          <w:bCs/>
          <w:sz w:val="32"/>
        </w:rPr>
      </w:pPr>
      <w:r>
        <w:rPr>
          <w:rFonts w:hint="eastAsia" w:ascii="仿宋_GB2312" w:hAnsi="宋体" w:eastAsia="仿宋_GB2312"/>
          <w:bCs/>
          <w:sz w:val="32"/>
        </w:rPr>
        <w:t>一般公共服务（类）201（款）03（项）01—行政运行：支出决算为103.81万元，完成预算100%，决算数与预算数持平。</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一般公共服务（类）201（款）03（项）99—</w:t>
      </w:r>
      <w:r>
        <w:rPr>
          <w:rFonts w:hint="eastAsia" w:ascii="仿宋_GB2312" w:hAnsi="宋体" w:eastAsia="仿宋_GB2312"/>
          <w:bCs/>
          <w:sz w:val="32"/>
          <w:lang w:eastAsia="zh-CN"/>
        </w:rPr>
        <w:t>其他</w:t>
      </w:r>
      <w:r>
        <w:rPr>
          <w:rFonts w:hint="eastAsia" w:ascii="仿宋_GB2312" w:hAnsi="宋体" w:eastAsia="仿宋_GB2312"/>
          <w:bCs/>
          <w:sz w:val="32"/>
        </w:rPr>
        <w:t>政府办公厅及相关事务支出: 支出决算为33.46万元，完成预算100%，决算数与预算数持平。</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一般公共服务（类）201（款）06（项）01—行政运行: 支出决算为9.29万元，完成预算100%，决算数与预算数持平。</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一般公共服务（类）201（款）31（项）01—</w:t>
      </w:r>
      <w:r>
        <w:rPr>
          <w:rFonts w:hint="eastAsia" w:ascii="仿宋_GB2312" w:hAnsi="宋体" w:eastAsia="仿宋_GB2312"/>
          <w:bCs/>
          <w:sz w:val="32"/>
          <w:lang w:eastAsia="zh-CN"/>
        </w:rPr>
        <w:t>其他</w:t>
      </w:r>
      <w:r>
        <w:rPr>
          <w:rFonts w:hint="eastAsia" w:ascii="仿宋_GB2312" w:hAnsi="宋体" w:eastAsia="仿宋_GB2312"/>
          <w:bCs/>
          <w:sz w:val="32"/>
        </w:rPr>
        <w:t>政府办公厅及相关事务支出: 支出决算为47.63万元，完成预算100%，决算数与预算数持平。</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2.社会保障和就业（类）208（款）05（项）05—  机关事业单位基本养老保险缴费支出：支出决算为28.57万元，完成预算100%，决算数与预算数持平。</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社会保障和就业（类）208（款）05（项）06— 机关事业单位职业年金缴费支出：支出决算为11.45万元，完成预算100%，决算数</w:t>
      </w:r>
      <w:r>
        <w:rPr>
          <w:rFonts w:hint="eastAsia" w:ascii="仿宋_GB2312" w:hAnsi="宋体" w:eastAsia="仿宋_GB2312"/>
          <w:bCs/>
          <w:sz w:val="32"/>
          <w:lang w:eastAsia="zh-CN"/>
        </w:rPr>
        <w:t>大于</w:t>
      </w:r>
      <w:r>
        <w:rPr>
          <w:rFonts w:hint="eastAsia" w:ascii="仿宋_GB2312" w:hAnsi="宋体" w:eastAsia="仿宋_GB2312"/>
          <w:bCs/>
          <w:sz w:val="32"/>
        </w:rPr>
        <w:t>预算数持平。</w:t>
      </w:r>
    </w:p>
    <w:p>
      <w:pPr>
        <w:snapToGrid w:val="0"/>
        <w:spacing w:line="360" w:lineRule="auto"/>
        <w:rPr>
          <w:rFonts w:ascii="仿宋_GB2312" w:hAnsi="宋体" w:eastAsia="仿宋_GB2312"/>
          <w:bCs/>
          <w:sz w:val="32"/>
        </w:rPr>
      </w:pPr>
      <w:r>
        <w:rPr>
          <w:rFonts w:hint="eastAsia" w:ascii="仿宋_GB2312" w:hAnsi="宋体" w:eastAsia="仿宋_GB2312"/>
          <w:bCs/>
          <w:sz w:val="32"/>
        </w:rPr>
        <w:t>3.医疗卫生与计划生育</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医疗卫生与计划生育（类）210（款）11（项）01— 行政单位医疗:支出决算为8.38万元，完成预算100%，决算数与预算数持平。</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医疗卫生与计划生育（类）210（款）11（项）02— 事业单位医疗:支出决算为2.9万元，完成预算100%，决算数与预算数持平。</w:t>
      </w:r>
    </w:p>
    <w:p>
      <w:pPr>
        <w:snapToGrid w:val="0"/>
        <w:spacing w:line="360" w:lineRule="auto"/>
        <w:rPr>
          <w:rFonts w:ascii="仿宋_GB2312" w:hAnsi="宋体" w:eastAsia="仿宋_GB2312"/>
          <w:bCs/>
          <w:sz w:val="32"/>
        </w:rPr>
      </w:pPr>
      <w:r>
        <w:rPr>
          <w:rFonts w:hint="eastAsia" w:ascii="仿宋_GB2312" w:hAnsi="宋体" w:eastAsia="仿宋_GB2312"/>
          <w:bCs/>
          <w:sz w:val="32"/>
        </w:rPr>
        <w:t>4.农林水支出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农林水支出（类）213（款）01（项）42—农村道路建设：支出决算为2.0万元，完成预算100%，决算数与预算数持平。</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农林水支出（类）213（款）01（项）52—对高校毕业生到基层任职补助：支出决算为0.44万元，完成预算100%，决算数与预算数持平。</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农林水支出（类）213（款）02（项）04—林业事业机构：支出决算为46.02万元，完成预算100%，决算数与预算数持平。</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农林水支出（类）213（款）03（项）14—防汛：支出决算为3.92万元，完成预算100%，决算数与预算数持平。</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农林水支出（类）213（款）07（项）05—对村民委员会和党支部补助：支出决算为208.25万元，完成预算100%，决算数与预算数持平。</w:t>
      </w:r>
    </w:p>
    <w:p>
      <w:pPr>
        <w:numPr>
          <w:ilvl w:val="0"/>
          <w:numId w:val="2"/>
        </w:num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住房保障支出（类）221（款）02（项）01— 住房公积金:支出决算为23.46万元，完成预算100%，决算数与预算数持平。</w:t>
      </w:r>
    </w:p>
    <w:p>
      <w:pPr>
        <w:numPr>
          <w:ilvl w:val="0"/>
          <w:numId w:val="2"/>
        </w:num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其他支出（类）229（款）99（项）01— 其他支出:支出决算为2.88万元，完成预算100%，决算数与预算数持平。</w:t>
      </w:r>
    </w:p>
    <w:p>
      <w:pPr>
        <w:snapToGrid w:val="0"/>
        <w:spacing w:line="360" w:lineRule="auto"/>
        <w:rPr>
          <w:rFonts w:ascii="仿宋_GB2312" w:hAnsi="宋体" w:eastAsia="仿宋_GB2312"/>
          <w:b/>
          <w:sz w:val="32"/>
        </w:rPr>
      </w:pPr>
      <w:r>
        <w:rPr>
          <w:rFonts w:hint="eastAsia" w:ascii="仿宋_GB2312" w:hAnsi="宋体" w:eastAsia="仿宋_GB2312"/>
          <w:b/>
          <w:sz w:val="32"/>
        </w:rPr>
        <w:t>六、一般公共预算财政拨款基本支出决算情况说明</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2018年度一般公共预算财政拨款基本支出293.16万元，其中：</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人员经费273.51万元，主要包括：基本工资56.05万元、津贴补贴113.69万元、奖金4.6万元、伙食补助费0万元、绩效工资15.09万元、机关事业单位基本养老保险缴费28.57万元、职业年金缴费11.45万元、基本医疗保障缴费11.28万元、其他社会保障缴费3.66万元、生活补助5.62万元、奖励金0.04万元、住房公积金23.46万元。</w:t>
      </w:r>
    </w:p>
    <w:p>
      <w:pPr>
        <w:snapToGrid w:val="0"/>
        <w:spacing w:line="360" w:lineRule="auto"/>
        <w:ind w:firstLine="640" w:firstLineChars="200"/>
        <w:rPr>
          <w:rFonts w:asciiTheme="minorEastAsia" w:hAnsiTheme="minorEastAsia" w:cstheme="minorEastAsia"/>
          <w:sz w:val="32"/>
          <w:szCs w:val="32"/>
        </w:rPr>
      </w:pPr>
      <w:r>
        <w:rPr>
          <w:rFonts w:hint="eastAsia" w:ascii="仿宋_GB2312" w:hAnsi="宋体" w:eastAsia="仿宋_GB2312"/>
          <w:bCs/>
          <w:sz w:val="32"/>
        </w:rPr>
        <w:t>公用经费19.65万元，主要包括：办公费3.07万元、印刷费1万元、电费2.5万元、邮电费2.5万元、取暖费0.2万元、差旅费1.78万元、劳务费3.6万元、公务用车运行维护费5</w:t>
      </w:r>
      <w:r>
        <w:rPr>
          <w:rFonts w:hint="eastAsia" w:asciiTheme="minorEastAsia" w:hAnsiTheme="minorEastAsia" w:cstheme="minorEastAsia"/>
          <w:sz w:val="32"/>
          <w:szCs w:val="32"/>
        </w:rPr>
        <w:t>万元</w:t>
      </w:r>
      <w:r>
        <w:rPr>
          <w:rFonts w:hint="eastAsia" w:ascii="仿宋_GB2312" w:hAnsi="宋体" w:eastAsia="仿宋_GB2312"/>
          <w:bCs/>
          <w:sz w:val="32"/>
        </w:rPr>
        <w:t>。</w:t>
      </w:r>
    </w:p>
    <w:p>
      <w:pPr>
        <w:rPr>
          <w:rFonts w:asciiTheme="minorEastAsia" w:hAnsiTheme="minorEastAsia" w:cstheme="minorEastAsia"/>
          <w:b/>
          <w:bCs/>
          <w:sz w:val="32"/>
          <w:szCs w:val="32"/>
        </w:rPr>
      </w:pPr>
      <w:r>
        <w:rPr>
          <w:rFonts w:hint="eastAsia" w:asciiTheme="minorEastAsia" w:hAnsiTheme="minorEastAsia" w:cstheme="minorEastAsia"/>
          <w:b/>
          <w:bCs/>
          <w:sz w:val="32"/>
          <w:szCs w:val="32"/>
        </w:rPr>
        <w:t>七、“三公”经费财政拨款支出决算情况说明</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（一）“三公”经费财政拨款支出决算总体情况说明</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2018年度“三公”经费财政拨款支出决算为5万元，完成预算100%，决算数与预算数持平。</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（二）“三公”经费财政拨款支出决算具体情况说明</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2018年度“三公”经费财政拨款支出决算中，因公出国（境）费支出决算0万元，占0%；公务用车购置及运行维护费支出决算5万元，占100%；公务接待费支出决算0万元，占100%。具体情况如下：</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1.因公出国（境）经费支出0万元。全年安排因公出国</w:t>
      </w:r>
    </w:p>
    <w:p>
      <w:pPr>
        <w:snapToGrid w:val="0"/>
        <w:spacing w:line="360" w:lineRule="auto"/>
        <w:rPr>
          <w:rFonts w:ascii="仿宋_GB2312" w:hAnsi="宋体" w:eastAsia="仿宋_GB2312"/>
          <w:bCs/>
          <w:sz w:val="32"/>
        </w:rPr>
      </w:pPr>
      <w:r>
        <w:rPr>
          <w:rFonts w:hint="eastAsia" w:ascii="仿宋_GB2312" w:hAnsi="宋体" w:eastAsia="仿宋_GB2312"/>
          <w:bCs/>
          <w:sz w:val="32"/>
        </w:rPr>
        <w:t>（境）团组0次，出国（境）0人。因公出国（境）支出决算比2017年比无变化。</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公务用车购置及运行维护费支出5万元。其中：公务用车购置支出0万元。公务用车运行维护费支出5万元。其中5万元用于开展日常事务时车辆的燃料费、维修费、过路过桥费、保险费等支出。公务用车购置及运行维护费支出决算比2017年减少2万元，减少28.57%。主要原因是我乡2018年修车费尚未支付。</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3.公务接待费支出0万元。接待费用的支出决算比2017年减少0.2万元，下降100%。主要原因是我乡2018年未接待人员。</w:t>
      </w:r>
    </w:p>
    <w:p>
      <w:pPr>
        <w:snapToGrid w:val="0"/>
        <w:spacing w:line="360" w:lineRule="auto"/>
        <w:rPr>
          <w:rFonts w:ascii="仿宋_GB2312" w:hAnsi="宋体" w:eastAsia="仿宋_GB2312"/>
          <w:b/>
          <w:sz w:val="32"/>
        </w:rPr>
      </w:pPr>
      <w:r>
        <w:rPr>
          <w:rFonts w:hint="eastAsia" w:ascii="仿宋_GB2312" w:hAnsi="宋体" w:eastAsia="仿宋_GB2312"/>
          <w:b/>
          <w:sz w:val="32"/>
        </w:rPr>
        <w:t>八、政府性基金预算支出决算情况说明</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2018年度政府性基金预算拨款支出0万元。</w:t>
      </w:r>
    </w:p>
    <w:p>
      <w:pPr>
        <w:snapToGrid w:val="0"/>
        <w:spacing w:line="360" w:lineRule="auto"/>
        <w:rPr>
          <w:rFonts w:ascii="仿宋_GB2312" w:hAnsi="宋体" w:eastAsia="仿宋_GB2312"/>
          <w:b/>
          <w:sz w:val="32"/>
        </w:rPr>
      </w:pPr>
      <w:r>
        <w:rPr>
          <w:rFonts w:hint="eastAsia" w:ascii="仿宋_GB2312" w:hAnsi="宋体" w:eastAsia="仿宋_GB2312"/>
          <w:b/>
          <w:sz w:val="32"/>
        </w:rPr>
        <w:t>九、国有资本经营预算支出决算情况说明</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2018年度国有资本经营预算拨款支出0万元。</w:t>
      </w:r>
    </w:p>
    <w:p>
      <w:pPr>
        <w:numPr>
          <w:ilvl w:val="0"/>
          <w:numId w:val="3"/>
        </w:numPr>
        <w:snapToGrid w:val="0"/>
        <w:spacing w:line="360" w:lineRule="auto"/>
        <w:rPr>
          <w:rFonts w:ascii="仿宋_GB2312" w:hAnsi="宋体" w:eastAsia="仿宋_GB2312"/>
          <w:bCs/>
          <w:sz w:val="32"/>
        </w:rPr>
      </w:pPr>
      <w:r>
        <w:rPr>
          <w:rFonts w:hint="eastAsia" w:ascii="仿宋_GB2312" w:hAnsi="宋体" w:eastAsia="仿宋_GB2312"/>
          <w:b/>
          <w:sz w:val="32"/>
        </w:rPr>
        <w:t>其他重要事项的情况说明</w:t>
      </w:r>
    </w:p>
    <w:p>
      <w:pPr>
        <w:snapToGrid w:val="0"/>
        <w:spacing w:line="360" w:lineRule="auto"/>
        <w:rPr>
          <w:rFonts w:ascii="仿宋_GB2312" w:hAnsi="宋体" w:eastAsia="仿宋_GB2312"/>
          <w:bCs/>
          <w:sz w:val="32"/>
        </w:rPr>
      </w:pPr>
      <w:r>
        <w:rPr>
          <w:rFonts w:hint="eastAsia" w:ascii="仿宋_GB2312" w:hAnsi="宋体" w:eastAsia="仿宋_GB2312"/>
          <w:bCs/>
          <w:sz w:val="32"/>
        </w:rPr>
        <w:t>（一）机关运行经费支出情况</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2018年度，我乡机关运行经费支出293.16万元，比2017年减少11.95万元，增长3.92%，主要原因是2018年我乡日常公用经费减少。</w:t>
      </w:r>
    </w:p>
    <w:p>
      <w:pPr>
        <w:snapToGrid w:val="0"/>
        <w:spacing w:line="360" w:lineRule="auto"/>
        <w:rPr>
          <w:rFonts w:ascii="仿宋_GB2312" w:hAnsi="宋体" w:eastAsia="仿宋_GB2312"/>
          <w:bCs/>
          <w:sz w:val="32"/>
        </w:rPr>
      </w:pPr>
      <w:r>
        <w:rPr>
          <w:rFonts w:hint="eastAsia" w:ascii="仿宋_GB2312" w:hAnsi="宋体" w:eastAsia="仿宋_GB2312"/>
          <w:bCs/>
          <w:sz w:val="32"/>
        </w:rPr>
        <w:t>（二）政府采购支出情况</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2018年度，我乡政府采购支出总额0万元。</w:t>
      </w:r>
    </w:p>
    <w:p>
      <w:pPr>
        <w:snapToGrid w:val="0"/>
        <w:spacing w:line="360" w:lineRule="auto"/>
        <w:rPr>
          <w:rFonts w:ascii="仿宋_GB2312" w:hAnsi="宋体" w:eastAsia="仿宋_GB2312"/>
          <w:bCs/>
          <w:sz w:val="32"/>
        </w:rPr>
      </w:pPr>
      <w:r>
        <w:rPr>
          <w:rFonts w:hint="eastAsia" w:ascii="仿宋_GB2312" w:hAnsi="宋体" w:eastAsia="仿宋_GB2312"/>
          <w:bCs/>
          <w:sz w:val="32"/>
        </w:rPr>
        <w:t>（三）国有资产占有使用情况</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截至2018年12月31日，我乡共有车辆2辆，其中：部级领导干部用车0辆、一般公务用车2辆、一般执法执勤用车0辆、特种专业技术用车0辆、其他用车0辆；单价50万元以上通用设备0台（套），单价100万元以上专用设备0台（套）。</w:t>
      </w:r>
    </w:p>
    <w:p>
      <w:pPr>
        <w:snapToGrid w:val="0"/>
        <w:spacing w:line="360" w:lineRule="auto"/>
        <w:rPr>
          <w:rFonts w:ascii="仿宋_GB2312" w:hAnsi="宋体" w:eastAsia="仿宋_GB2312"/>
          <w:bCs/>
          <w:sz w:val="32"/>
        </w:rPr>
      </w:pPr>
      <w:r>
        <w:rPr>
          <w:rFonts w:hint="eastAsia" w:ascii="仿宋_GB2312" w:hAnsi="宋体" w:eastAsia="仿宋_GB2312"/>
          <w:bCs/>
          <w:sz w:val="32"/>
        </w:rPr>
        <w:t>（四）预算绩效情况</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1.绩效目标管理情况。</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按照预算绩效管理要求，我乡对2018年一般公共预算项目支出开展了绩效目标管理，共编制绩效目标1个，涉及财政资金544.21万元，覆盖率达到100%。</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2.部门整体支出绩效自评开展情况。</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我乡对2018年整体支出开展绩效自评，自评得分73分，存在的问题：一是目标任务完成不太理想，二是内部控制</w:t>
      </w:r>
      <w:r>
        <w:rPr>
          <w:rFonts w:hint="eastAsia" w:ascii="仿宋_GB2312" w:hAnsi="宋体" w:eastAsia="仿宋_GB2312"/>
          <w:bCs/>
          <w:sz w:val="32"/>
          <w:lang w:eastAsia="zh-CN"/>
        </w:rPr>
        <w:t>制度</w:t>
      </w:r>
      <w:r>
        <w:rPr>
          <w:rFonts w:hint="eastAsia" w:ascii="仿宋_GB2312" w:hAnsi="宋体" w:eastAsia="仿宋_GB2312"/>
          <w:bCs/>
          <w:sz w:val="32"/>
        </w:rPr>
        <w:t>健全不太完整，三是绩效目标动态监控不强。下一步改进措施：一是加强部门决策的合理性，明确性，相关性，二是加强内部控制制度的健全和绩效目标的动态管理。</w:t>
      </w:r>
    </w:p>
    <w:p>
      <w:pPr>
        <w:snapToGrid w:val="0"/>
        <w:spacing w:line="360" w:lineRule="auto"/>
        <w:rPr>
          <w:rFonts w:ascii="仿宋_GB2312" w:hAnsi="宋体" w:eastAsia="仿宋_GB2312"/>
          <w:b/>
          <w:sz w:val="32"/>
        </w:rPr>
      </w:pPr>
      <w:r>
        <w:rPr>
          <w:rFonts w:hint="eastAsia" w:ascii="仿宋_GB2312" w:hAnsi="宋体" w:eastAsia="仿宋_GB2312"/>
          <w:b/>
          <w:sz w:val="32"/>
        </w:rPr>
        <w:t>十一、名词解释</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1.财政拨款收入：指单位从同级财政部门取得的财政预算资金。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2.其他收入：指单位取得财政拨款收入以外的各项收入。主要是眉山援建项目收入等。</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3.年初结转和结余：指以前年度尚未完成、结转到本年按有关规定继续使用的资金。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4、年末结转和结余：指单位按有关规定结转到下年或以后年度继续使用的资金。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5. 一般公共服务（类）201（款）01（项）01——行政运行：反映行政单位（包括实行公务员管理的事业单位）的基本支出反映行政单位（包括实行公务员管理的事业单位）的基本支出。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6. 一般公共服务（类）201（款）01（项）04——人大会议费：反映各级人大召开"人代会"等专门会议的支出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7. 一般公共服务（类）201（款03（项）01——行政运行：反映各级政府办公厅（室）及相关机构的支出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8. 一般公共服务（类）201（款）03（项）99——其他政府办公厅（室）及相关机构事务支出：反映除上述项目以外的其他政府办公厅（室）及相关机构事务支出。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9. 一般公共服务（类）201（款）06（项）01—行政运行: 反映财政事务方面的支出。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10. 一般公共服务（类）201（款）31（项）01—</w:t>
      </w:r>
      <w:r>
        <w:rPr>
          <w:rFonts w:hint="eastAsia" w:ascii="仿宋_GB2312" w:hAnsi="宋体" w:eastAsia="仿宋_GB2312"/>
          <w:bCs/>
          <w:sz w:val="32"/>
          <w:lang w:eastAsia="zh-CN"/>
        </w:rPr>
        <w:t>其他</w:t>
      </w:r>
      <w:r>
        <w:rPr>
          <w:rFonts w:hint="eastAsia" w:ascii="仿宋_GB2312" w:hAnsi="宋体" w:eastAsia="仿宋_GB2312"/>
          <w:bCs/>
          <w:sz w:val="32"/>
        </w:rPr>
        <w:t xml:space="preserve">政府办公厅及相关事务支出:反映行政单位（包括实行公务员管理的事业单位）的基本支出 </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11.社会保障和就业支出（类）208（款）05（项）05——机关事业单位基本养老保险缴费支出：反映机关事业单位实施养老保险制度的单位缴纳的基本养老保险费支出。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12. 社会保障和就业支出（类）208（款）05（项）06——机关事业单位职业年金缴费支出：反映机关事业单位实施养老保险制度匝单位缴纳的职业年金支出。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13.医疗卫生与计划生育支出(类）210（款）11（项）01——行政单位医疗：反映财政部门集中安排的公务员医疗补助经费。</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14.医疗卫生与计划生育支出(类）210（款）11（项）02——事业单位医疗：反映除为行政单位（包括实行公务员管理的事业单位）提供后勤服务的各类后勤服务中心、医务室等附属事业单位外的其他事业单位基本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15.农林水支出（类）213（款）01（项）42—农村道路建设：反映用于农村公路、乡村道路建设方面的支出。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16.农林水支出（类）213（款）01（项）52—对高校毕业生到基层任职补助：反映按规定对高校毕业生到基层任职的补助支出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17.农林水支出（类）213（款）02（项）04—林业事业机构：反映用于林业事业单位的基本支出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18.农林水支出（类）213（款）03（项）14—防汛：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r>
        <w:rPr>
          <w:rFonts w:hint="eastAsia" w:ascii="仿宋_GB2312" w:hAnsi="宋体" w:eastAsia="仿宋_GB2312"/>
          <w:bCs/>
          <w:sz w:val="32"/>
          <w:lang w:eastAsia="zh-CN"/>
        </w:rPr>
        <w:t>。</w:t>
      </w:r>
      <w:bookmarkStart w:id="0" w:name="_GoBack"/>
      <w:bookmarkEnd w:id="0"/>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19.农林水支出（类）213（款）07（项）05—对村民委员会和党支部补助：反映各级财政对村民委员会和村党支部的补助支出，以及支持建立县级基本财力保障机制安排的村级组织运转奖补资金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20.住房保障支出(类）221（款）02（项）01————住房公积金：反映行政事业单位按人力资源和社会保障部、财政部规定的基本工资和津贴补贴以及规定比例为职工缴纳的住房公积金。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21.其他支出(类）229（款）99（项）01————其他支出：反映除上述项目以外其他不能划分到具体功能科目中的支出项目</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22.年末结转和结余：指本年度或以前年度预算安排、因客观条件发生变化无法按原计划实施，需延迟到以后年度按有关规定继续使用的资金。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23.基本支出：指为保障机构正常运转、完成日常工作任务而发生的人员支出和公用支出。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24.项目支出：指在基本支出之外为完成特定行政任务和事业发展目标所发生的支出。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25.“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snapToGrid w:val="0"/>
        <w:spacing w:line="360" w:lineRule="auto"/>
        <w:ind w:firstLine="640" w:firstLineChars="200"/>
        <w:rPr>
          <w:rFonts w:ascii="仿宋_GB2312" w:hAnsi="宋体" w:eastAsia="仿宋_GB2312"/>
          <w:bCs/>
          <w:sz w:val="32"/>
        </w:rPr>
      </w:pP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 xml:space="preserve"> </w:t>
      </w:r>
    </w:p>
    <w:p>
      <w:pPr>
        <w:snapToGrid w:val="0"/>
        <w:spacing w:line="360" w:lineRule="auto"/>
        <w:ind w:firstLine="640" w:firstLineChars="200"/>
        <w:rPr>
          <w:rFonts w:ascii="仿宋_GB2312" w:hAnsi="宋体" w:eastAsia="仿宋_GB2312"/>
          <w:bCs/>
          <w:sz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roman"/>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75A988"/>
    <w:multiLevelType w:val="singleLevel"/>
    <w:tmpl w:val="A875A988"/>
    <w:lvl w:ilvl="0" w:tentative="0">
      <w:start w:val="3"/>
      <w:numFmt w:val="decimal"/>
      <w:suff w:val="space"/>
      <w:lvlText w:val="%1."/>
      <w:lvlJc w:val="left"/>
    </w:lvl>
  </w:abstractNum>
  <w:abstractNum w:abstractNumId="1">
    <w:nsid w:val="E39185F7"/>
    <w:multiLevelType w:val="singleLevel"/>
    <w:tmpl w:val="E39185F7"/>
    <w:lvl w:ilvl="0" w:tentative="0">
      <w:start w:val="10"/>
      <w:numFmt w:val="chineseCounting"/>
      <w:suff w:val="nothing"/>
      <w:lvlText w:val="%1、"/>
      <w:lvlJc w:val="left"/>
      <w:rPr>
        <w:rFonts w:hint="eastAsia"/>
      </w:rPr>
    </w:lvl>
  </w:abstractNum>
  <w:abstractNum w:abstractNumId="2">
    <w:nsid w:val="E99A9841"/>
    <w:multiLevelType w:val="singleLevel"/>
    <w:tmpl w:val="E99A9841"/>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06D2E"/>
    <w:rsid w:val="00056B64"/>
    <w:rsid w:val="00751D98"/>
    <w:rsid w:val="00AA7F65"/>
    <w:rsid w:val="00E06D2E"/>
    <w:rsid w:val="1A131E41"/>
    <w:rsid w:val="2B1C7BD1"/>
    <w:rsid w:val="4CE91D14"/>
    <w:rsid w:val="595E6805"/>
    <w:rsid w:val="5FD75CAC"/>
    <w:rsid w:val="75B87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Lines="30"/>
    </w:pPr>
    <w:rPr>
      <w:rFonts w:ascii="仿宋_GB2312" w:eastAsia="仿宋_GB2312"/>
      <w:kern w:val="0"/>
      <w:sz w:val="30"/>
    </w:rPr>
  </w:style>
  <w:style w:type="paragraph" w:styleId="3">
    <w:name w:val="footer"/>
    <w:basedOn w:val="1"/>
    <w:link w:val="12"/>
    <w:uiPriority w:val="0"/>
    <w:pPr>
      <w:tabs>
        <w:tab w:val="center" w:pos="4153"/>
        <w:tab w:val="right" w:pos="8306"/>
      </w:tabs>
      <w:snapToGrid w:val="0"/>
      <w:jc w:val="left"/>
    </w:pPr>
    <w:rPr>
      <w:sz w:val="18"/>
      <w:szCs w:val="18"/>
    </w:rPr>
  </w:style>
  <w:style w:type="paragraph" w:styleId="4">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color w:val="FF3300"/>
      <w:kern w:val="0"/>
      <w:sz w:val="24"/>
      <w:u w:val="single"/>
    </w:rPr>
  </w:style>
  <w:style w:type="character" w:styleId="8">
    <w:name w:val="Strong"/>
    <w:basedOn w:val="7"/>
    <w:qFormat/>
    <w:uiPriority w:val="0"/>
    <w:rPr>
      <w:b/>
    </w:rPr>
  </w:style>
  <w:style w:type="character" w:styleId="9">
    <w:name w:val="FollowedHyperlink"/>
    <w:basedOn w:val="7"/>
    <w:qFormat/>
    <w:uiPriority w:val="0"/>
    <w:rPr>
      <w:color w:val="4E4342"/>
      <w:u w:val="none"/>
    </w:rPr>
  </w:style>
  <w:style w:type="character" w:styleId="10">
    <w:name w:val="Hyperlink"/>
    <w:basedOn w:val="7"/>
    <w:qFormat/>
    <w:uiPriority w:val="0"/>
    <w:rPr>
      <w:color w:val="4E4342"/>
      <w:u w:val="none"/>
    </w:rPr>
  </w:style>
  <w:style w:type="character" w:customStyle="1" w:styleId="11">
    <w:name w:val="页眉 Char"/>
    <w:basedOn w:val="7"/>
    <w:link w:val="4"/>
    <w:uiPriority w:val="0"/>
    <w:rPr>
      <w:rFonts w:asciiTheme="minorHAnsi" w:hAnsiTheme="minorHAnsi" w:eastAsiaTheme="minorEastAsia" w:cstheme="minorBidi"/>
      <w:kern w:val="2"/>
      <w:sz w:val="18"/>
      <w:szCs w:val="18"/>
    </w:rPr>
  </w:style>
  <w:style w:type="character" w:customStyle="1" w:styleId="12">
    <w:name w:val="页脚 Char"/>
    <w:basedOn w:val="7"/>
    <w:link w:val="3"/>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935</Words>
  <Characters>5333</Characters>
  <Lines>44</Lines>
  <Paragraphs>12</Paragraphs>
  <TotalTime>3</TotalTime>
  <ScaleCrop>false</ScaleCrop>
  <LinksUpToDate>false</LinksUpToDate>
  <CharactersWithSpaces>6256</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2021-05-20T07:22:00Z</dcterms:created>
  <dc:creator>Administrator</dc:creator>
  <cp:lastModifiedBy>平淡无奇</cp:lastModifiedBy>
  <dcterms:modified xsi:type="dcterms:W3CDTF">2021-06-07T02:52:15Z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F8E728B4660A43649D8CBB17EC977A30</vt:lpwstr>
  </property>
</Properties>
</file>