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Times New Roman" w:eastAsia="方正小标宋简体" w:cs="Times New Roman" w:hAnsi="Times New Roman"/>
          <w:sz w:val="72"/>
          <w:szCs w:val="72"/>
        </w:rPr>
      </w:pPr>
      <w:bookmarkStart w:id="0" w:name="_Toc15377193"/>
      <w:bookmarkStart w:id="1" w:name="_Toc15378441"/>
      <w:bookmarkStart w:id="2" w:name="_Toc15377425"/>
      <w:bookmarkStart w:id="3" w:name="_Toc15396597"/>
      <w:bookmarkStart w:id="4" w:name="_Toc15396475"/>
      <w:bookmarkStart w:id="5" w:name="_Toc15306267"/>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spacing w:line="600" w:lineRule="exact"/>
        <w:jc w:val="center"/>
        <w:outlineLvl w:val="0"/>
        <w:rPr>
          <w:rFonts w:ascii="Times New Roman" w:eastAsia="方正小标宋简体" w:cs="Times New Roman" w:hAnsi="Times New Roman"/>
          <w:sz w:val="72"/>
          <w:szCs w:val="72"/>
        </w:rPr>
      </w:pPr>
    </w:p>
    <w:p>
      <w:pPr>
        <w:adjustRightInd w:val="0"/>
        <w:snapToGrid w:val="0"/>
        <w:spacing w:line="360" w:lineRule="auto"/>
        <w:jc w:val="center"/>
        <w:outlineLvl w:val="0"/>
        <w:rPr>
          <w:rFonts w:ascii="Times New Roman" w:eastAsia="方正小标宋简体" w:cs="Times New Roman" w:hAnsi="Times New Roman"/>
          <w:sz w:val="72"/>
          <w:szCs w:val="72"/>
        </w:rPr>
      </w:pPr>
      <w:bookmarkStart w:id="6" w:name="_Toc26843601"/>
      <w:r>
        <w:rPr>
          <w:rFonts w:ascii="Times New Roman" w:eastAsia="方正小标宋简体" w:cs="Times New Roman" w:hAnsi="Times New Roman"/>
          <w:sz w:val="72"/>
          <w:szCs w:val="72"/>
        </w:rPr>
        <w:t>202</w:t>
      </w:r>
      <w:r>
        <w:rPr>
          <w:rFonts w:eastAsia="方正小标宋简体" w:cs="Times New Roman" w:hint="eastAsia"/>
          <w:sz w:val="72"/>
          <w:szCs w:val="72"/>
          <w:lang w:val="en-US" w:eastAsia="zh-CN"/>
        </w:rPr>
        <w:t>2</w:t>
      </w:r>
      <w:r>
        <w:rPr>
          <w:rFonts w:ascii="Times New Roman" w:eastAsia="方正小标宋简体" w:cs="Times New Roman" w:hAnsi="Times New Roman"/>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ascii="Times New Roman" w:eastAsia="方正小标宋简体" w:cs="Times New Roman" w:hAnsi="Times New Roman"/>
          <w:sz w:val="72"/>
          <w:szCs w:val="72"/>
        </w:rPr>
      </w:pPr>
      <w:bookmarkStart w:id="7" w:name="_Toc15378442"/>
      <w:bookmarkStart w:id="8" w:name="_Toc15396476"/>
      <w:bookmarkStart w:id="9" w:name="_Toc15396598"/>
      <w:bookmarkStart w:id="10" w:name="_Toc26843603"/>
      <w:bookmarkStart w:id="11" w:name="_Toc15377426"/>
      <w:bookmarkStart w:id="12" w:name="_Toc15377194"/>
      <w:bookmarkStart w:id="13" w:name="_Toc15306268"/>
      <w:bookmarkEnd w:id="5"/>
      <w:r>
        <w:rPr>
          <w:rFonts w:eastAsia="方正小标宋简体" w:cs="Times New Roman" w:hint="eastAsia"/>
          <w:sz w:val="72"/>
          <w:szCs w:val="72"/>
          <w:lang w:val="en-US" w:eastAsia="zh-CN"/>
        </w:rPr>
        <w:t>金川县阿科里乡人</w:t>
      </w:r>
      <w:r>
        <w:rPr>
          <w:rFonts w:eastAsia="方正小标宋简体" w:cs="Times New Roman"/>
          <w:sz w:val="72"/>
          <w:szCs w:val="72"/>
          <w:lang w:val="en-US" w:eastAsia="zh-CN"/>
        </w:rPr>
        <w:t>民</w:t>
      </w:r>
      <w:r>
        <w:rPr>
          <w:rFonts w:eastAsia="方正小标宋简体" w:cs="Times New Roman" w:hint="eastAsia"/>
          <w:sz w:val="72"/>
          <w:szCs w:val="72"/>
          <w:lang w:val="en-US" w:eastAsia="zh-CN"/>
        </w:rPr>
        <w:t>政府</w:t>
      </w:r>
      <w:r>
        <w:rPr>
          <w:rFonts w:ascii="Times New Roman" w:eastAsia="方正小标宋简体" w:cs="Times New Roman" w:hAnsi="Times New Roman"/>
          <w:sz w:val="72"/>
          <w:szCs w:val="72"/>
        </w:rPr>
        <w:t>部门决算</w:t>
      </w:r>
      <w:bookmarkStart w:id="14" w:name="_GoBack"/>
      <w:bookmarkEnd w:id="7"/>
      <w:bookmarkEnd w:id="8"/>
      <w:bookmarkEnd w:id="9"/>
      <w:bookmarkEnd w:id="10"/>
      <w:bookmarkEnd w:id="11"/>
      <w:bookmarkEnd w:id="12"/>
      <w:bookmarkEnd w:id="13"/>
      <w:bookmarkEnd w:id="14"/>
    </w:p>
    <w:p>
      <w:pPr>
        <w:pStyle w:val="16"/>
        <w:spacing w:beforeLines="0" w:before="93"/>
        <w:rPr>
          <w:rFonts w:ascii="Times New Roman" w:eastAsia="方正小标宋简体" w:cs="Times New Roman" w:hAnsi="Times New Roman"/>
          <w:sz w:val="52"/>
          <w:szCs w:val="52"/>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pStyle w:val="16"/>
        <w:spacing w:beforeLines="0" w:before="93"/>
        <w:rPr>
          <w:rFonts w:ascii="Times New Roman" w:cs="Times New Roman" w:hAnsi="Times New Roman"/>
        </w:rPr>
      </w:pPr>
    </w:p>
    <w:p>
      <w:pPr>
        <w:widowControl/>
        <w:jc w:val="center"/>
        <w:rPr>
          <w:rFonts w:ascii="Times New Roman" w:eastAsia="黑体" w:cs="Times New Roman" w:hAnsi="Times New Roman"/>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1"/>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4</w:t>
      </w:r>
      <w:r>
        <w:rPr>
          <w:rFonts w:ascii="Times New Roman" w:cs="Times New Roman" w:hAnsi="Times New Roman"/>
        </w:rPr>
        <w:t>日</w:t>
      </w:r>
    </w:p>
    <w:p>
      <w:pPr>
        <w:pStyle w:val="21"/>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PageRef _Toc26843604 \h</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4</w:t>
      </w:r>
      <w:r>
        <w:rPr>
          <w:rFonts w:ascii="Times New Roman" w:eastAsia="仿宋" w:cs="Times New Roman" w:hAnsi="Times New Roman"/>
          <w:sz w:val="24"/>
          <w:szCs w:val="28"/>
        </w:rPr>
        <w:fldChar w:fldCharType="end"/>
      </w:r>
      <w:r>
        <w:rPr>
          <w:rFonts w:ascii="Times New Roman" w:eastAsia="仿宋" w:cs="Times New Roman" w:hAnsi="Times New Roman"/>
          <w:sz w:val="24"/>
          <w:szCs w:val="28"/>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_Toc26843605 \h</w:instrText>
      </w:r>
      <w:r>
        <w:rPr>
          <w:rFonts w:ascii="Times New Roman" w:cs="Times New Roman" w:hAnsi="Times New Roman"/>
          <w:sz w:val="24"/>
        </w:rPr>
        <w:fldChar w:fldCharType="separate"/>
      </w:r>
      <w:r>
        <w:rPr>
          <w:rFonts w:ascii="Times New Roman" w:cs="Times New Roman" w:hAnsi="Times New Roman"/>
          <w:sz w:val="24"/>
        </w:rPr>
        <w:t>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_Toc26843606 \h</w:instrText>
      </w:r>
      <w:r>
        <w:rPr>
          <w:rFonts w:ascii="Times New Roman" w:cs="Times New Roman" w:hAnsi="Times New Roman"/>
          <w:sz w:val="24"/>
        </w:rPr>
        <w:fldChar w:fldCharType="separate"/>
      </w:r>
      <w:r>
        <w:rPr>
          <w:rFonts w:ascii="Times New Roman" w:cs="Times New Roman" w:hAnsi="Times New Roman"/>
          <w:sz w:val="24"/>
        </w:rPr>
        <w:t>7</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_Toc26843607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_Toc26843608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_Toc26843609 \h</w:instrText>
      </w:r>
      <w:r>
        <w:rPr>
          <w:rFonts w:ascii="Times New Roman" w:cs="Times New Roman" w:hAnsi="Times New Roman"/>
          <w:sz w:val="24"/>
        </w:rPr>
        <w:fldChar w:fldCharType="separate"/>
      </w:r>
      <w:r>
        <w:rPr>
          <w:rFonts w:ascii="Times New Roman" w:cs="Times New Roman" w:hAnsi="Times New Roman"/>
          <w:sz w:val="24"/>
        </w:rPr>
        <w:t>8</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_Toc26843612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_Toc26843615 \h</w:instrText>
      </w:r>
      <w:r>
        <w:rPr>
          <w:rFonts w:ascii="Times New Roman" w:cs="Times New Roman" w:hAnsi="Times New Roman"/>
          <w:sz w:val="24"/>
        </w:rPr>
        <w:fldChar w:fldCharType="separate"/>
      </w:r>
      <w:r>
        <w:rPr>
          <w:rFonts w:ascii="Times New Roman" w:cs="Times New Roman" w:hAnsi="Times New Roman"/>
          <w:sz w:val="24"/>
        </w:rPr>
        <w:t>9</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_Toc26843616 \h</w:instrText>
      </w:r>
      <w:r>
        <w:rPr>
          <w:rFonts w:ascii="Times New Roman" w:cs="Times New Roman" w:hAnsi="Times New Roman"/>
          <w:sz w:val="24"/>
        </w:rPr>
        <w:fldChar w:fldCharType="separate"/>
      </w:r>
      <w:r>
        <w:rPr>
          <w:rFonts w:ascii="Times New Roman" w:cs="Times New Roman" w:hAnsi="Times New Roman"/>
          <w:sz w:val="24"/>
        </w:rPr>
        <w:t>10</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_Toc26843617 \h</w:instrText>
      </w:r>
      <w:r>
        <w:rPr>
          <w:rFonts w:ascii="Times New Roman" w:cs="Times New Roman" w:hAnsi="Times New Roman"/>
          <w:sz w:val="24"/>
        </w:rPr>
        <w:fldChar w:fldCharType="separate"/>
      </w:r>
      <w:r>
        <w:rPr>
          <w:rFonts w:ascii="Times New Roman" w:cs="Times New Roman" w:hAnsi="Times New Roman"/>
          <w:sz w:val="24"/>
        </w:rPr>
        <w:t>13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_Toc26843618 \h</w:instrText>
      </w:r>
      <w:r>
        <w:rPr>
          <w:rFonts w:ascii="Times New Roman" w:cs="Times New Roman" w:hAnsi="Times New Roman"/>
          <w:sz w:val="24"/>
        </w:rPr>
        <w:fldChar w:fldCharType="separate"/>
      </w:r>
      <w:r>
        <w:rPr>
          <w:rFonts w:ascii="Times New Roman" w:cs="Times New Roman" w:hAnsi="Times New Roman"/>
          <w:sz w:val="24"/>
        </w:rPr>
        <w:t>14</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_Toc26843619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_Toc26843620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_Toc26843621 \h</w:instrText>
      </w:r>
      <w:r>
        <w:rPr>
          <w:rFonts w:ascii="Times New Roman" w:cs="Times New Roman" w:hAnsi="Times New Roman"/>
          <w:sz w:val="24"/>
        </w:rPr>
        <w:fldChar w:fldCharType="separate"/>
      </w:r>
      <w:r>
        <w:rPr>
          <w:rFonts w:ascii="Times New Roman" w:cs="Times New Roman" w:hAnsi="Times New Roman"/>
          <w:sz w:val="24"/>
        </w:rPr>
        <w:t>16</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_Toc26843622 \h</w:instrText>
      </w:r>
      <w:r>
        <w:rPr>
          <w:rFonts w:ascii="Times New Roman" w:cs="Times New Roman" w:hAnsi="Times New Roman"/>
          <w:sz w:val="24"/>
        </w:rPr>
        <w:fldChar w:fldCharType="separate"/>
      </w:r>
      <w:r>
        <w:rPr>
          <w:rFonts w:ascii="Times New Roman" w:cs="Times New Roman" w:hAnsi="Times New Roman"/>
          <w:sz w:val="24"/>
        </w:rPr>
        <w:t>18</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_Toc26843623 \h</w:instrText>
      </w:r>
      <w:r>
        <w:rPr>
          <w:rFonts w:ascii="Times New Roman" w:cs="Times New Roman" w:hAnsi="Times New Roman"/>
          <w:sz w:val="24"/>
        </w:rPr>
        <w:fldChar w:fldCharType="separate"/>
      </w:r>
      <w:r>
        <w:rPr>
          <w:rFonts w:ascii="Times New Roman" w:cs="Times New Roman" w:hAnsi="Times New Roman"/>
          <w:sz w:val="24"/>
        </w:rPr>
        <w:t>20</w:t>
      </w:r>
      <w:r>
        <w:rPr>
          <w:rFonts w:ascii="Times New Roman" w:cs="Times New Roman" w:hAnsi="Times New Roman"/>
          <w:sz w:val="24"/>
        </w:rPr>
        <w:fldChar w:fldCharType="end"/>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"_Toc26843625"</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五部分 附表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_Toc26843625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_Toc26843626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_Toc26843627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_Toc26843628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_Toc26843629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_Toc26843630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_Toc26843631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_Toc26843632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_Toc26843633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_Toc26843634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_Toc26843635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_Toc26843636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"_Toc26843637"</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十二、国</w:t>
      </w:r>
      <w:r>
        <w:rPr>
          <w:rFonts w:ascii="Times New Roman" w:cs="Times New Roman" w:hAnsi="Times New Roman"/>
          <w:sz w:val="24"/>
          <w:lang w:val="en-US" w:eastAsia="zh-CN" w:bidi="ar-SA"/>
        </w:rPr>
        <w:t>有资本经营预算财政拨款支出决算</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_Toc26843637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十三、</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ascii="Times New Roman" w:cs="Times New Roman" w:hAnsi="Times New Roman"/>
          <w:sz w:val="24"/>
        </w:rPr>
        <w:fldChar w:fldCharType="begin"/>
      </w:r>
      <w:r>
        <w:rPr>
          <w:rFonts w:ascii="Times New Roman" w:cs="Times New Roman" w:hAnsi="Times New Roman"/>
          <w:sz w:val="24"/>
        </w:rPr>
        <w:instrText>PageRef _Toc26843638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rPr>
      </w:pPr>
      <w:r>
        <w:rPr>
          <w:rFonts w:ascii="Times New Roman" w:cs="Times New Roman" w:hAnsi="Times New Roman"/>
          <w:sz w:val="24"/>
        </w:rPr>
        <w:fldChar w:fldCharType="begin"/>
      </w:r>
      <w:r>
        <w:rPr>
          <w:rFonts w:ascii="Times New Roman" w:cs="Times New Roman" w:hAnsi="Times New Roman"/>
          <w:sz w:val="24"/>
        </w:rPr>
        <w:instrText>Hyperlink \l "_Toc26843639"</w:instrText>
      </w:r>
      <w:r>
        <w:rPr>
          <w:rFonts w:ascii="Times New Roman" w:cs="Times New Roman" w:hAnsi="Times New Roman"/>
          <w:sz w:val="24"/>
        </w:rPr>
        <w:fldChar w:fldCharType="separate"/>
      </w:r>
      <w:r>
        <w:rPr>
          <w:rFonts w:ascii="Times New Roman" w:cs="Times New Roman" w:hAnsi="Times New Roman"/>
          <w:sz w:val="24"/>
        </w:rPr>
        <w:fldChar w:fldCharType="begin"/>
      </w:r>
      <w:r>
        <w:rPr>
          <w:rFonts w:ascii="Times New Roman" w:cs="Times New Roman" w:hAnsi="Times New Roman"/>
          <w:sz w:val="24"/>
        </w:rPr>
        <w:instrText>PageRef _Toc26843639 \h</w:instrText>
      </w:r>
      <w:r>
        <w:rPr>
          <w:rFonts w:ascii="Times New Roman" w:cs="Times New Roman" w:hAnsi="Times New Roman"/>
          <w:sz w:val="24"/>
        </w:rPr>
        <w:fldChar w:fldCharType="separate"/>
      </w:r>
      <w:r>
        <w:rPr>
          <w:rFonts w:ascii="Times New Roman" w:cs="Times New Roman" w:hAnsi="Times New Roman"/>
          <w:sz w:val="24"/>
        </w:rPr>
        <w:t>33</w:t>
      </w:r>
      <w:r>
        <w:rPr>
          <w:rFonts w:ascii="Times New Roman" w:cs="Times New Roman" w:hAnsi="Times New Roman"/>
          <w:sz w:val="24"/>
        </w:rPr>
        <w:fldChar w:fldCharType="end"/>
      </w:r>
      <w:r>
        <w:rPr>
          <w:rFonts w:ascii="Times New Roman" w:cs="Times New Roman" w:hAnsi="Times New Roman"/>
          <w:sz w:val="24"/>
        </w:rPr>
        <w:fldChar w:fldCharType="end"/>
      </w:r>
      <w:r>
        <w:rPr>
          <w:rFonts w:ascii="Times New Roman" w:cs="Times New Roman" w:hAnsi="Times New Roman"/>
        </w:rPr>
        <w:fldChar w:fldCharType="end"/>
      </w:r>
    </w:p>
    <w:p>
      <w:pPr>
        <w:widowControl/>
        <w:spacing w:line="440" w:lineRule="exact"/>
        <w:jc w:val="left"/>
        <w:rPr>
          <w:rFonts w:ascii="Times New Roman" w:eastAsia="仿宋" w:cs="Times New Roman" w:hAnsi="Times New Roman"/>
          <w:bCs/>
          <w:kern w:val="44"/>
          <w:sz w:val="24"/>
        </w:rPr>
      </w:pPr>
      <w:bookmarkStart w:id="15" w:name="_Toc15377196"/>
      <w:bookmarkStart w:id="16" w:name="_Toc15396599"/>
      <w:r>
        <w:rPr>
          <w:rFonts w:ascii="Times New Roman" w:eastAsia="仿宋" w:cs="Times New Roman" w:hAnsi="Times New Roman"/>
          <w:b/>
          <w:sz w:val="24"/>
        </w:rPr>
        <w:br w:type="page"/>
      </w:r>
    </w:p>
    <w:p>
      <w:pPr>
        <w:pStyle w:val="1"/>
        <w:keepNext/>
        <w:keepLines/>
        <w:pageBreakBefore w:val="0"/>
        <w:widowControl w:val="0"/>
        <w:kinsoku/>
        <w:wordWrap/>
        <w:overflowPunct/>
        <w:topLinePunct w:val="0"/>
        <w:bidi w:val="0"/>
        <w:spacing w:line="576" w:lineRule="exact"/>
        <w:jc w:val="center"/>
        <w:rPr>
          <w:rStyle w:val="1Char"/>
          <w:rFonts w:ascii="Times New Roman" w:eastAsia="黑体" w:cs="Times New Roman" w:hAnsi="Times New Roman"/>
          <w:b/>
          <w:bCs w:val="0"/>
        </w:rPr>
      </w:pPr>
      <w:bookmarkStart w:id="17" w:name="_Toc26843604"/>
      <w:r>
        <w:rPr>
          <w:rFonts w:ascii="Times New Roman" w:eastAsia="黑体" w:cs="Times New Roman" w:hAnsi="Times New Roman"/>
          <w:b w:val="0"/>
        </w:rPr>
        <w:t xml:space="preserve">第一部分 </w:t>
      </w:r>
      <w:r>
        <w:rPr>
          <w:rFonts w:ascii="Times New Roman" w:eastAsia="黑体" w:cs="Times New Roman" w:hAnsi="Times New Roman"/>
          <w:b w:val="0"/>
          <w:kern w:val="44"/>
          <w:sz w:val="44"/>
          <w:szCs w:val="44"/>
        </w:rPr>
        <w:t>部门概况</w:t>
      </w:r>
      <w:bookmarkEnd w:id="15"/>
      <w:bookmarkEnd w:id="16"/>
      <w:bookmarkEnd w:id="17"/>
    </w:p>
    <w:p>
      <w:pPr>
        <w:pageBreakBefore w:val="0"/>
        <w:widowControl/>
        <w:kinsoku/>
        <w:wordWrap/>
        <w:overflowPunct/>
        <w:topLinePunct w:val="0"/>
        <w:bidi w:val="0"/>
        <w:spacing w:line="576" w:lineRule="exact"/>
        <w:jc w:val="left"/>
        <w:rPr>
          <w:rFonts w:ascii="Times New Roman" w:eastAsia="黑体" w:cs="Times New Roman" w:hAnsi="Times New Roman"/>
          <w:sz w:val="32"/>
          <w:szCs w:val="32"/>
        </w:rPr>
      </w:pPr>
    </w:p>
    <w:p>
      <w:pPr>
        <w:pStyle w:val="2"/>
        <w:keepNext/>
        <w:keepLines/>
        <w:pageBreakBefore w:val="0"/>
        <w:widowControl w:val="0"/>
        <w:kinsoku/>
        <w:wordWrap/>
        <w:overflowPunct/>
        <w:topLinePunct w:val="0"/>
        <w:bidi w:val="0"/>
        <w:spacing w:after="0" w:line="576" w:lineRule="exact"/>
        <w:rPr>
          <w:rStyle w:val="2Char"/>
          <w:rFonts w:ascii="Times New Roman" w:eastAsia="黑体" w:cs="Times New Roman" w:hAnsi="Times New Roman"/>
          <w:b w:val="0"/>
          <w:bCs w:val="0"/>
        </w:rPr>
      </w:pPr>
      <w:bookmarkStart w:id="18" w:name="_Toc15377197"/>
      <w:bookmarkStart w:id="19" w:name="_Toc26843605"/>
      <w:bookmarkStart w:id="20" w:name="_Toc15396600"/>
      <w:r>
        <w:rPr>
          <w:rStyle w:val="2Char"/>
          <w:rFonts w:ascii="Times New Roman" w:eastAsia="黑体" w:cs="Times New Roman" w:hAnsi="Times New Roman"/>
          <w:b w:val="0"/>
          <w:bCs w:val="0"/>
        </w:rPr>
        <w:t>一、基本职能及主要工作</w:t>
      </w:r>
      <w:bookmarkEnd w:id="18"/>
      <w:bookmarkEnd w:id="19"/>
      <w:bookmarkEnd w:id="20"/>
    </w:p>
    <w:p>
      <w:pPr>
        <w:pStyle w:val="18"/>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21" w:name="_Toc15377198"/>
      <w:bookmarkStart w:id="22" w:name="_Toc15378445"/>
      <w:r>
        <w:rPr>
          <w:rFonts w:ascii="Times New Roman" w:eastAsia="楷体" w:cs="Times New Roman" w:hAnsi="Times New Roman"/>
          <w:b/>
          <w:color w:val="000000"/>
          <w:kern w:val="0"/>
          <w:sz w:val="32"/>
          <w:szCs w:val="32"/>
          <w:shd w:val="clear" w:color="auto" w:fill="auto"/>
        </w:rPr>
        <w:t>（一）主要职能。</w:t>
      </w:r>
      <w:bookmarkEnd w:id="21"/>
      <w:bookmarkEnd w:id="22"/>
    </w:p>
    <w:p>
      <w:pPr>
        <w:widowControl/>
        <w:spacing w:line="560" w:lineRule="exact"/>
        <w:ind w:firstLineChars="250" w:firstLine="800"/>
        <w:jc w:val="left"/>
        <w:rPr>
          <w:rFonts w:ascii="仿宋_GB2312" w:eastAsia="仿宋_GB2312" w:hint="eastAsia"/>
          <w:sz w:val="32"/>
          <w:szCs w:val="32"/>
        </w:rPr>
      </w:pPr>
      <w:bookmarkStart w:id="23" w:name="_Toc15378446"/>
      <w:bookmarkStart w:id="24" w:name="_Toc15377199"/>
      <w:r>
        <w:rPr>
          <w:rFonts w:ascii="仿宋_GB2312" w:eastAsia="仿宋_GB2312" w:hint="eastAsia"/>
          <w:sz w:val="32"/>
          <w:szCs w:val="32"/>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（1）、贯彻落实党和政府各项路线方针政策。深入贯彻党的</w:t>
      </w:r>
      <w:r>
        <w:rPr>
          <w:rFonts w:ascii="仿宋_GB2312" w:eastAsia="仿宋_GB2312" w:hint="eastAsia"/>
          <w:sz w:val="32"/>
          <w:szCs w:val="32"/>
          <w:lang w:eastAsia="zh-CN"/>
        </w:rPr>
        <w:t>二十</w:t>
      </w:r>
      <w:r>
        <w:rPr>
          <w:rFonts w:ascii="仿宋_GB2312" w:eastAsia="仿宋_GB2312" w:hint="eastAsia"/>
          <w:sz w:val="32"/>
          <w:szCs w:val="32"/>
        </w:rPr>
        <w:t>大精神，宣传和贯彻执行党的路线、方针、政策和国家的法律、法令；宣传和贯彻上级机关的政策、法规、规章、决定等；执行本级党代会和人代会的决定、决议；研究决定辖区内政治、经济、文化等重大问题。</w:t>
      </w:r>
    </w:p>
    <w:p>
      <w:pPr>
        <w:snapToGrid w:val="0"/>
        <w:spacing w:line="560" w:lineRule="exact"/>
        <w:ind w:firstLineChars="150" w:firstLine="480"/>
        <w:rPr>
          <w:rFonts w:ascii="仿宋_GB2312" w:eastAsia="仿宋_GB2312" w:hint="eastAsia"/>
          <w:sz w:val="32"/>
          <w:szCs w:val="32"/>
        </w:rPr>
      </w:pPr>
      <w:r>
        <w:rPr>
          <w:rFonts w:ascii="仿宋_GB2312" w:eastAsia="仿宋_GB2312" w:hint="eastAsia"/>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Chars="150" w:firstLine="480"/>
        <w:rPr>
          <w:rFonts w:ascii="仿宋_GB2312" w:eastAsia="仿宋_GB2312" w:hint="eastAsia"/>
          <w:sz w:val="32"/>
          <w:szCs w:val="32"/>
        </w:rPr>
      </w:pPr>
      <w:r>
        <w:rPr>
          <w:rFonts w:ascii="仿宋_GB2312" w:eastAsia="仿宋_GB2312" w:hint="eastAsia"/>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（4）、进一步强化社会管理职能，加强辖区内的社会治安综合管理。建立村、企业及单位治安综合治理网络，实行群防群治。加强法制宣传教育，积极做好平安</w:t>
      </w:r>
      <w:r>
        <w:rPr>
          <w:rFonts w:ascii="仿宋_GB2312" w:eastAsia="仿宋_GB2312" w:hint="eastAsia"/>
          <w:sz w:val="32"/>
          <w:szCs w:val="32"/>
          <w:lang w:val="en-US" w:eastAsia="zh-CN"/>
        </w:rPr>
        <w:t>乡</w:t>
      </w:r>
      <w:r>
        <w:rPr>
          <w:rFonts w:ascii="仿宋_GB2312" w:eastAsia="仿宋_GB2312" w:hint="eastAsia"/>
          <w:sz w:val="32"/>
          <w:szCs w:val="32"/>
        </w:rPr>
        <w:t>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snapToGrid w:val="0"/>
        <w:spacing w:line="560" w:lineRule="exact"/>
        <w:ind w:firstLineChars="200" w:firstLine="640"/>
        <w:rPr>
          <w:rFonts w:hint="eastAsia"/>
          <w:bCs/>
          <w:color w:val="000000"/>
          <w:sz w:val="32"/>
          <w:szCs w:val="32"/>
          <w:highlight w:val="yellow"/>
        </w:rPr>
      </w:pPr>
      <w:r>
        <w:rPr>
          <w:rFonts w:ascii="仿宋_GB2312" w:eastAsia="仿宋_GB2312" w:hint="eastAsia"/>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18"/>
        <w:pageBreakBefore w:val="0"/>
        <w:widowControl w:val="0"/>
        <w:kinsoku/>
        <w:wordWrap/>
        <w:overflowPunct/>
        <w:topLinePunct w:val="0"/>
        <w:bidi w:val="0"/>
        <w:adjustRightInd w:val="0"/>
        <w:snapToGrid w:val="0"/>
        <w:spacing w:before="93" w:line="576" w:lineRule="exact"/>
        <w:outlineLvl w:val="2"/>
        <w:rPr>
          <w:rFonts w:ascii="Times New Roman" w:eastAsia="方正楷体_GBK" w:cs="Times New Roman" w:hAnsi="Times New Roman"/>
          <w:b/>
          <w:bCs/>
          <w:color w:val="000000"/>
          <w:kern w:val="0"/>
          <w:sz w:val="32"/>
          <w:szCs w:val="32"/>
          <w:shd w:val="clear" w:color="auto" w:fill="auto"/>
        </w:rPr>
      </w:pPr>
      <w:r>
        <w:rPr>
          <w:rFonts w:ascii="Times New Roman" w:eastAsia="方正楷体_GBK" w:cs="Times New Roman" w:hAnsi="Times New Roman"/>
          <w:b/>
          <w:bCs/>
          <w:color w:val="000000"/>
          <w:kern w:val="0"/>
          <w:sz w:val="32"/>
          <w:szCs w:val="32"/>
          <w:shd w:val="clear" w:color="auto" w:fill="auto"/>
        </w:rPr>
        <w:t>（二）202</w:t>
      </w:r>
      <w:r>
        <w:rPr>
          <w:rFonts w:eastAsia="方正楷体_GBK" w:cs="Times New Roman" w:hint="eastAsia"/>
          <w:b/>
          <w:bCs/>
          <w:color w:val="000000"/>
          <w:kern w:val="0"/>
          <w:sz w:val="32"/>
          <w:szCs w:val="32"/>
          <w:shd w:val="clear" w:color="auto" w:fill="auto"/>
          <w:lang w:val="en-US" w:eastAsia="zh-CN"/>
        </w:rPr>
        <w:t>2</w:t>
      </w:r>
      <w:r>
        <w:rPr>
          <w:rFonts w:ascii="Times New Roman" w:eastAsia="方正楷体_GBK" w:cs="Times New Roman" w:hAnsi="Times New Roman"/>
          <w:b/>
          <w:bCs/>
          <w:color w:val="000000"/>
          <w:kern w:val="0"/>
          <w:sz w:val="32"/>
          <w:szCs w:val="32"/>
          <w:shd w:val="clear" w:color="auto" w:fill="auto"/>
        </w:rPr>
        <w:t>年重点工作完成情况。</w:t>
      </w:r>
      <w:bookmarkEnd w:id="23"/>
      <w:bookmarkEnd w:id="24"/>
    </w:p>
    <w:p>
      <w:pPr>
        <w:spacing w:line="576" w:lineRule="exact"/>
        <w:ind w:firstLineChars="300" w:firstLine="960"/>
        <w:rPr>
          <w:rFonts w:ascii="仿宋_GB2312" w:eastAsia="仿宋_GB2312" w:hint="eastAsia"/>
          <w:sz w:val="32"/>
          <w:szCs w:val="32"/>
        </w:rPr>
      </w:pPr>
      <w:bookmarkStart w:id="25" w:name="_Toc79163605"/>
      <w:bookmarkStart w:id="26" w:name="_Toc79163855"/>
      <w:r>
        <w:rPr>
          <w:rFonts w:ascii="仿宋_GB2312" w:eastAsia="仿宋_GB2312" w:hint="eastAsia"/>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年，我乡在县委、县政府的领导下，在乡人大的监督支持下，在各村两委的密切配合下，紧紧团结依靠全乡人民，健全完善了相关管理制度，认真贯彻落实科学发展观、党的</w:t>
      </w:r>
      <w:r>
        <w:rPr>
          <w:rFonts w:ascii="仿宋_GB2312" w:eastAsia="仿宋_GB2312" w:cs="仿宋_GB2312" w:hint="eastAsia"/>
          <w:sz w:val="32"/>
          <w:szCs w:val="32"/>
          <w:lang w:eastAsia="zh-CN"/>
        </w:rPr>
        <w:t>二十</w:t>
      </w:r>
      <w:r>
        <w:rPr>
          <w:rFonts w:ascii="仿宋_GB2312" w:eastAsia="仿宋_GB2312" w:cs="仿宋_GB2312" w:hint="eastAsia"/>
          <w:sz w:val="32"/>
          <w:szCs w:val="32"/>
        </w:rPr>
        <w:t>大</w:t>
      </w:r>
      <w:r>
        <w:rPr>
          <w:rFonts w:ascii="仿宋_GB2312" w:eastAsia="仿宋_GB2312" w:hint="eastAsia"/>
          <w:sz w:val="32"/>
          <w:szCs w:val="32"/>
        </w:rPr>
        <w:t>精神和习近平总书记系列重要讲话精神。按照省委</w:t>
      </w:r>
      <w:r>
        <w:rPr>
          <w:rFonts w:ascii="仿宋_GB2312" w:eastAsia="仿宋_GB2312"/>
          <w:sz w:val="32"/>
          <w:szCs w:val="32"/>
        </w:rPr>
        <w:t>“</w:t>
      </w:r>
      <w:r>
        <w:rPr>
          <w:rFonts w:ascii="仿宋_GB2312" w:eastAsia="仿宋_GB2312" w:hint="eastAsia"/>
          <w:sz w:val="32"/>
          <w:szCs w:val="32"/>
        </w:rPr>
        <w:t>三大发展战略</w:t>
      </w:r>
      <w:r>
        <w:rPr>
          <w:rFonts w:ascii="仿宋_GB2312" w:eastAsia="仿宋_GB2312"/>
          <w:sz w:val="32"/>
          <w:szCs w:val="32"/>
        </w:rPr>
        <w:t>”</w:t>
      </w:r>
      <w:r>
        <w:rPr>
          <w:rFonts w:ascii="仿宋_GB2312" w:eastAsia="仿宋_GB2312" w:hint="eastAsia"/>
          <w:sz w:val="32"/>
          <w:szCs w:val="32"/>
        </w:rPr>
        <w:t>、州委</w:t>
      </w:r>
      <w:r>
        <w:rPr>
          <w:rFonts w:ascii="仿宋_GB2312" w:eastAsia="仿宋_GB2312"/>
          <w:sz w:val="32"/>
          <w:szCs w:val="32"/>
        </w:rPr>
        <w:t>“</w:t>
      </w:r>
      <w:r>
        <w:rPr>
          <w:rFonts w:ascii="仿宋_GB2312" w:eastAsia="仿宋_GB2312" w:hint="eastAsia"/>
          <w:sz w:val="32"/>
          <w:szCs w:val="32"/>
        </w:rPr>
        <w:t>五为</w:t>
      </w:r>
      <w:r>
        <w:rPr>
          <w:rFonts w:ascii="仿宋_GB2312" w:eastAsia="仿宋_GB2312"/>
          <w:sz w:val="32"/>
          <w:szCs w:val="32"/>
        </w:rPr>
        <w:t>”</w:t>
      </w:r>
      <w:r>
        <w:rPr>
          <w:rFonts w:ascii="仿宋_GB2312" w:eastAsia="仿宋_GB2312" w:hint="eastAsia"/>
          <w:sz w:val="32"/>
          <w:szCs w:val="32"/>
        </w:rPr>
        <w:t>总体工作要求，把握</w:t>
      </w:r>
      <w:r>
        <w:rPr>
          <w:rFonts w:ascii="仿宋_GB2312" w:eastAsia="仿宋_GB2312"/>
          <w:sz w:val="32"/>
          <w:szCs w:val="32"/>
        </w:rPr>
        <w:t>“</w:t>
      </w:r>
      <w:r>
        <w:rPr>
          <w:rFonts w:ascii="仿宋_GB2312" w:eastAsia="仿宋_GB2312" w:hint="eastAsia"/>
          <w:sz w:val="32"/>
          <w:szCs w:val="32"/>
        </w:rPr>
        <w:t>夯实基础、增量提质、跨越发展</w:t>
      </w:r>
      <w:r>
        <w:rPr>
          <w:rFonts w:ascii="仿宋_GB2312" w:eastAsia="仿宋_GB2312"/>
          <w:sz w:val="32"/>
          <w:szCs w:val="32"/>
        </w:rPr>
        <w:t>”</w:t>
      </w:r>
      <w:r>
        <w:rPr>
          <w:rFonts w:ascii="仿宋_GB2312" w:eastAsia="仿宋_GB2312" w:hint="eastAsia"/>
          <w:sz w:val="32"/>
          <w:szCs w:val="32"/>
        </w:rPr>
        <w:t>的工作基调，紧紧围绕县委县政府</w:t>
      </w:r>
      <w:r>
        <w:rPr>
          <w:rFonts w:ascii="仿宋_GB2312" w:eastAsia="仿宋_GB2312"/>
          <w:sz w:val="32"/>
          <w:szCs w:val="32"/>
        </w:rPr>
        <w:t>“</w:t>
      </w:r>
      <w:r>
        <w:rPr>
          <w:rFonts w:ascii="仿宋_GB2312" w:eastAsia="仿宋_GB2312" w:hint="eastAsia"/>
          <w:sz w:val="32"/>
          <w:szCs w:val="32"/>
        </w:rPr>
        <w:t>一二三四五</w:t>
      </w:r>
      <w:r>
        <w:rPr>
          <w:rFonts w:ascii="仿宋_GB2312" w:eastAsia="仿宋_GB2312"/>
          <w:sz w:val="32"/>
          <w:szCs w:val="32"/>
        </w:rPr>
        <w:t>”</w:t>
      </w:r>
      <w:r>
        <w:rPr>
          <w:rFonts w:ascii="仿宋_GB2312" w:eastAsia="仿宋_GB2312" w:hint="eastAsia"/>
          <w:sz w:val="32"/>
          <w:szCs w:val="32"/>
        </w:rPr>
        <w:t>发展战略、</w:t>
      </w:r>
      <w:r>
        <w:rPr>
          <w:rFonts w:ascii="仿宋_GB2312" w:eastAsia="仿宋_GB2312"/>
          <w:sz w:val="32"/>
          <w:szCs w:val="32"/>
        </w:rPr>
        <w:t>“</w:t>
      </w:r>
      <w:r>
        <w:rPr>
          <w:rFonts w:ascii="仿宋_GB2312" w:eastAsia="仿宋_GB2312" w:hint="eastAsia"/>
          <w:sz w:val="32"/>
          <w:szCs w:val="32"/>
        </w:rPr>
        <w:t>一四三四</w:t>
      </w:r>
      <w:r>
        <w:rPr>
          <w:rFonts w:ascii="仿宋_GB2312" w:eastAsia="仿宋_GB2312"/>
          <w:sz w:val="32"/>
          <w:szCs w:val="32"/>
        </w:rPr>
        <w:t>”</w:t>
      </w:r>
      <w:r>
        <w:rPr>
          <w:rFonts w:ascii="仿宋_GB2312" w:eastAsia="仿宋_GB2312" w:hint="eastAsia"/>
          <w:sz w:val="32"/>
          <w:szCs w:val="32"/>
        </w:rPr>
        <w:t>治县方略，为加快“四地三县”建设，牢牢抓住中央和省州支持民族地区跨越发展的大好机遇，攻坚克难、乘势而上，全面完成了年初既定确定的各项任务。</w:t>
      </w:r>
    </w:p>
    <w:p>
      <w:pPr>
        <w:spacing w:line="578" w:lineRule="exact"/>
        <w:ind w:left="0" w:firstLineChars="200" w:firstLine="640"/>
        <w:rPr>
          <w:rFonts w:ascii="仿宋_GB2312" w:eastAsia="仿宋_GB2312" w:hint="eastAsia"/>
          <w:sz w:val="32"/>
          <w:szCs w:val="32"/>
          <w:lang w:eastAsia="zh-CN"/>
        </w:rPr>
      </w:pPr>
      <w:r>
        <w:rPr>
          <w:rFonts w:ascii="仿宋_GB2312" w:eastAsia="仿宋_GB2312" w:hint="eastAsia"/>
          <w:sz w:val="32"/>
          <w:szCs w:val="32"/>
        </w:rPr>
        <w:t>20</w:t>
      </w:r>
      <w:r>
        <w:rPr>
          <w:rFonts w:ascii="仿宋_GB2312" w:eastAsia="仿宋_GB2312" w:hint="eastAsia"/>
          <w:sz w:val="32"/>
          <w:szCs w:val="32"/>
          <w:lang w:val="en-US" w:eastAsia="zh-CN"/>
        </w:rPr>
        <w:t>22</w:t>
      </w:r>
      <w:r>
        <w:rPr>
          <w:rFonts w:ascii="仿宋_GB2312" w:eastAsia="仿宋_GB2312" w:hint="eastAsia"/>
          <w:sz w:val="32"/>
          <w:szCs w:val="32"/>
        </w:rPr>
        <w:t>年以来，班子成员以“四个全面”为主线，以“党建引领，和谐稳定，补齐短板，调整产业，脱贫奔康，发展旅游，凝心聚力”为思路，以“发展特色产业，拓宽致富渠道，建设生态小康</w:t>
      </w:r>
      <w:r>
        <w:rPr>
          <w:rFonts w:ascii="仿宋_GB2312" w:eastAsia="仿宋_GB2312" w:hint="eastAsia"/>
          <w:sz w:val="32"/>
          <w:szCs w:val="32"/>
          <w:lang w:eastAsia="zh-CN"/>
        </w:rPr>
        <w:t>阿科里</w:t>
      </w:r>
      <w:r>
        <w:rPr>
          <w:rFonts w:ascii="仿宋_GB2312" w:eastAsia="仿宋_GB2312" w:hint="eastAsia"/>
          <w:sz w:val="32"/>
          <w:szCs w:val="32"/>
        </w:rPr>
        <w:t>；发展公益事业，提升民生水平，建设民主和谐</w:t>
      </w:r>
      <w:r>
        <w:rPr>
          <w:rFonts w:ascii="仿宋_GB2312" w:eastAsia="仿宋_GB2312" w:hint="eastAsia"/>
          <w:sz w:val="32"/>
          <w:szCs w:val="32"/>
          <w:lang w:eastAsia="zh-CN"/>
        </w:rPr>
        <w:t>阿科里</w:t>
      </w:r>
      <w:r>
        <w:rPr>
          <w:rFonts w:ascii="仿宋_GB2312" w:eastAsia="仿宋_GB2312" w:hint="eastAsia"/>
          <w:sz w:val="32"/>
          <w:szCs w:val="32"/>
        </w:rPr>
        <w:t>；弘扬孝德文化，壮大旅游产业，建设孝德美丽</w:t>
      </w:r>
      <w:r>
        <w:rPr>
          <w:rFonts w:ascii="仿宋_GB2312" w:eastAsia="仿宋_GB2312" w:hint="eastAsia"/>
          <w:sz w:val="32"/>
          <w:szCs w:val="32"/>
          <w:lang w:eastAsia="zh-CN"/>
        </w:rPr>
        <w:t>阿科里</w:t>
      </w:r>
      <w:r>
        <w:rPr>
          <w:rFonts w:ascii="仿宋_GB2312" w:eastAsia="仿宋_GB2312" w:hint="eastAsia"/>
          <w:sz w:val="32"/>
          <w:szCs w:val="32"/>
        </w:rPr>
        <w:t>；依托资源优势，加快小康进程，建设幸福安康</w:t>
      </w:r>
      <w:r>
        <w:rPr>
          <w:rFonts w:ascii="仿宋_GB2312" w:eastAsia="仿宋_GB2312" w:hint="eastAsia"/>
          <w:sz w:val="32"/>
          <w:szCs w:val="32"/>
          <w:lang w:eastAsia="zh-CN"/>
        </w:rPr>
        <w:t>阿科里</w:t>
      </w:r>
      <w:r>
        <w:rPr>
          <w:rFonts w:ascii="仿宋_GB2312" w:eastAsia="仿宋_GB2312" w:hint="eastAsia"/>
          <w:sz w:val="32"/>
          <w:szCs w:val="32"/>
        </w:rPr>
        <w:t>”的工作目标，进一步理清工作思路，创新工作方式、振奋精神，抢抓机遇、攻坚破难，继续夯实基础设施，大力发展特色优势产业，积极培育壮大集体经济，奋力推进旅游强乡工作基调，带动群众增收致富</w:t>
      </w:r>
      <w:r>
        <w:rPr>
          <w:rFonts w:ascii="仿宋_GB2312" w:eastAsia="仿宋_GB2312" w:hint="eastAsia"/>
          <w:sz w:val="32"/>
          <w:szCs w:val="32"/>
          <w:lang w:eastAsia="zh-CN"/>
        </w:rPr>
        <w:t>。</w:t>
      </w:r>
    </w:p>
    <w:p>
      <w:pPr>
        <w:pStyle w:val="2"/>
        <w:keepNext/>
        <w:keepLines/>
        <w:pageBreakBefore w:val="0"/>
        <w:widowControl w:val="0"/>
        <w:kinsoku/>
        <w:wordWrap/>
        <w:overflowPunct/>
        <w:topLinePunct w:val="0"/>
        <w:bidi w:val="0"/>
        <w:spacing w:after="0" w:line="576" w:lineRule="exact"/>
        <w:rPr>
          <w:rStyle w:val="2Char"/>
          <w:rFonts w:ascii="Times New Roman" w:eastAsia="方正黑体_GBK" w:cs="Times New Roman" w:hAnsi="Times New Roman"/>
          <w:b w:val="0"/>
          <w:bCs w:val="0"/>
        </w:rPr>
      </w:pPr>
      <w:r>
        <w:rPr>
          <w:rFonts w:ascii="Times New Roman" w:eastAsia="黑体" w:cs="Times New Roman" w:hAnsi="Times New Roman"/>
          <w:b w:val="0"/>
          <w:color w:val="000000"/>
          <w:lang w:val="en-US" w:eastAsia="zh-CN"/>
        </w:rPr>
        <w:t xml:space="preserve">   </w:t>
      </w:r>
      <w:bookmarkStart w:id="27" w:name="_Toc15377200"/>
      <w:bookmarkStart w:id="28" w:name="_Toc26843606"/>
      <w:bookmarkStart w:id="29" w:name="_Toc15396601"/>
      <w:bookmarkEnd w:id="25"/>
      <w:bookmarkEnd w:id="26"/>
      <w:r>
        <w:rPr>
          <w:rStyle w:val="2Char"/>
          <w:rFonts w:ascii="Times New Roman" w:eastAsia="黑体" w:cs="Times New Roman" w:hAnsi="Times New Roman"/>
          <w:b w:val="0"/>
          <w:bCs w:val="0"/>
        </w:rPr>
        <w:t>二、机构设置</w:t>
      </w:r>
      <w:bookmarkEnd w:id="27"/>
      <w:bookmarkEnd w:id="28"/>
      <w:bookmarkEnd w:id="29"/>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1、机构情况：阿科里乡人民政府有一个行政核算机构。</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2、人员情况：</w:t>
      </w:r>
      <w:r>
        <w:rPr>
          <w:rFonts w:ascii="Times New Roman" w:eastAsia="仿宋_GB2312" w:cs="Times New Roman" w:hAnsi="Times New Roman"/>
          <w:sz w:val="32"/>
          <w:szCs w:val="32"/>
          <w:lang w:val="en-US" w:eastAsia="zh-CN"/>
        </w:rPr>
        <w:t> </w:t>
      </w:r>
      <w:r>
        <w:rPr>
          <w:rFonts w:ascii="Times New Roman" w:eastAsia="仿宋_GB2312" w:cs="Times New Roman" w:hAnsi="Times New Roman"/>
          <w:bCs/>
          <w:kern w:val="0"/>
          <w:sz w:val="32"/>
          <w:szCs w:val="32"/>
          <w:shd w:val="clear" w:color="auto" w:fill="FFFFFF"/>
          <w:lang w:val="zh-CN"/>
        </w:rPr>
        <w:t>我</w:t>
      </w:r>
      <w:r>
        <w:rPr>
          <w:rFonts w:eastAsia="仿宋_GB2312" w:cs="Times New Roman" w:hint="eastAsia"/>
          <w:bCs/>
          <w:kern w:val="0"/>
          <w:sz w:val="32"/>
          <w:szCs w:val="32"/>
          <w:shd w:val="clear" w:color="auto" w:fill="FFFFFF"/>
          <w:lang w:val="en-US" w:eastAsia="zh-CN"/>
        </w:rPr>
        <w:t>乡</w:t>
      </w:r>
      <w:r>
        <w:rPr>
          <w:rFonts w:ascii="Times New Roman" w:eastAsia="仿宋_GB2312" w:cs="Times New Roman" w:hAnsi="Times New Roman"/>
          <w:bCs/>
          <w:kern w:val="0"/>
          <w:sz w:val="32"/>
          <w:szCs w:val="32"/>
          <w:shd w:val="clear" w:color="auto" w:fill="FFFFFF"/>
          <w:lang w:val="zh-CN"/>
        </w:rPr>
        <w:t>人员编制</w:t>
      </w:r>
      <w:r>
        <w:rPr>
          <w:rFonts w:eastAsia="仿宋_GB2312" w:cs="Times New Roman" w:hint="eastAsia"/>
          <w:bCs/>
          <w:kern w:val="0"/>
          <w:sz w:val="32"/>
          <w:szCs w:val="32"/>
          <w:shd w:val="clear" w:color="auto" w:fill="FFFFFF"/>
          <w:lang w:val="en-US" w:eastAsia="zh-CN"/>
        </w:rPr>
        <w:t>总数26</w:t>
      </w:r>
      <w:r>
        <w:rPr>
          <w:rFonts w:ascii="Times New Roman" w:eastAsia="仿宋_GB2312" w:cs="Times New Roman" w:hAnsi="Times New Roman"/>
          <w:bCs/>
          <w:kern w:val="0"/>
          <w:sz w:val="32"/>
          <w:szCs w:val="32"/>
          <w:shd w:val="clear" w:color="auto" w:fill="FFFFFF"/>
          <w:lang w:val="zh-CN"/>
        </w:rPr>
        <w:t>名，其中：公务员编制</w:t>
      </w:r>
      <w:r>
        <w:rPr>
          <w:rFonts w:eastAsia="仿宋_GB2312" w:cs="Times New Roman" w:hint="eastAsia"/>
          <w:bCs/>
          <w:kern w:val="0"/>
          <w:sz w:val="32"/>
          <w:szCs w:val="32"/>
          <w:shd w:val="clear" w:color="auto" w:fill="FFFFFF"/>
          <w:lang w:val="en-US" w:eastAsia="zh-CN"/>
        </w:rPr>
        <w:t>14</w:t>
      </w:r>
      <w:r>
        <w:rPr>
          <w:rFonts w:ascii="Times New Roman" w:eastAsia="仿宋_GB2312" w:cs="Times New Roman" w:hAnsi="Times New Roman"/>
          <w:bCs/>
          <w:kern w:val="0"/>
          <w:sz w:val="32"/>
          <w:szCs w:val="32"/>
          <w:shd w:val="clear" w:color="auto" w:fill="FFFFFF"/>
          <w:lang w:val="zh-CN"/>
        </w:rPr>
        <w:t>名，机关工勤编制</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rPr>
        <w:t>名</w:t>
      </w:r>
      <w:r>
        <w:rPr>
          <w:rFonts w:ascii="Times New Roman" w:eastAsia="仿宋_GB2312" w:cs="Times New Roman" w:hAnsi="Times New Roman"/>
          <w:bCs/>
          <w:kern w:val="0"/>
          <w:sz w:val="32"/>
          <w:szCs w:val="32"/>
          <w:shd w:val="clear" w:color="auto" w:fill="FFFFFF"/>
          <w:lang w:val="zh-CN" w:eastAsia="zh-CN"/>
        </w:rPr>
        <w:t>，公益一类事业编制</w:t>
      </w:r>
      <w:r>
        <w:rPr>
          <w:rFonts w:eastAsia="仿宋_GB2312" w:cs="Times New Roman" w:hint="eastAsia"/>
          <w:bCs/>
          <w:kern w:val="0"/>
          <w:sz w:val="32"/>
          <w:szCs w:val="32"/>
          <w:shd w:val="clear" w:color="auto" w:fill="FFFFFF"/>
          <w:lang w:val="en-US" w:eastAsia="zh-CN"/>
        </w:rPr>
        <w:t>10</w:t>
      </w:r>
      <w:r>
        <w:rPr>
          <w:rFonts w:ascii="Times New Roman" w:eastAsia="仿宋_GB2312" w:cs="Times New Roman" w:hAnsi="Times New Roman"/>
          <w:bCs/>
          <w:kern w:val="0"/>
          <w:sz w:val="32"/>
          <w:szCs w:val="32"/>
          <w:shd w:val="clear" w:color="auto" w:fill="FFFFFF"/>
          <w:lang w:val="zh-CN" w:eastAsia="zh-CN"/>
        </w:rPr>
        <w:t>名。</w:t>
      </w:r>
      <w:r>
        <w:rPr>
          <w:rFonts w:ascii="Times New Roman" w:eastAsia="仿宋_GB2312" w:cs="Times New Roman" w:hAnsi="Times New Roman"/>
          <w:sz w:val="32"/>
          <w:szCs w:val="32"/>
          <w:lang w:val="en-US" w:eastAsia="zh-CN"/>
        </w:rPr>
        <w:t> </w:t>
      </w:r>
      <w:r>
        <w:rPr>
          <w:rFonts w:ascii="Times New Roman" w:eastAsia="仿宋_GB2312" w:cs="Times New Roman" w:hAnsi="Times New Roman"/>
          <w:bCs/>
          <w:kern w:val="0"/>
          <w:sz w:val="32"/>
          <w:szCs w:val="32"/>
          <w:shd w:val="clear" w:color="auto" w:fill="FFFFFF"/>
          <w:lang w:val="zh-CN" w:eastAsia="zh-CN"/>
        </w:rPr>
        <w:t>年末实有人数</w:t>
      </w:r>
      <w:r>
        <w:rPr>
          <w:rFonts w:eastAsia="仿宋_GB2312" w:cs="Times New Roman" w:hint="eastAsia"/>
          <w:bCs/>
          <w:kern w:val="0"/>
          <w:sz w:val="32"/>
          <w:szCs w:val="32"/>
          <w:shd w:val="clear" w:color="auto" w:fill="FFFFFF"/>
          <w:lang w:val="en-US" w:eastAsia="zh-CN"/>
        </w:rPr>
        <w:t>23名</w:t>
      </w:r>
      <w:r>
        <w:rPr>
          <w:rFonts w:ascii="Times New Roman" w:eastAsia="仿宋_GB2312" w:cs="Times New Roman" w:hAnsi="Times New Roman"/>
          <w:bCs/>
          <w:kern w:val="0"/>
          <w:sz w:val="32"/>
          <w:szCs w:val="32"/>
          <w:shd w:val="clear" w:color="auto" w:fill="FFFFFF"/>
          <w:lang w:val="zh-CN" w:eastAsia="zh-CN"/>
        </w:rPr>
        <w:t>，其中：行政公务员</w:t>
      </w:r>
      <w:r>
        <w:rPr>
          <w:rFonts w:eastAsia="仿宋_GB2312" w:cs="Times New Roman" w:hint="eastAsia"/>
          <w:bCs/>
          <w:kern w:val="0"/>
          <w:sz w:val="32"/>
          <w:szCs w:val="32"/>
          <w:shd w:val="clear" w:color="auto" w:fill="FFFFFF"/>
          <w:lang w:val="en-US" w:eastAsia="zh-CN"/>
        </w:rPr>
        <w:t>13</w:t>
      </w:r>
      <w:r>
        <w:rPr>
          <w:rFonts w:ascii="Times New Roman" w:eastAsia="仿宋_GB2312" w:cs="Times New Roman" w:hAnsi="Times New Roman"/>
          <w:bCs/>
          <w:kern w:val="0"/>
          <w:sz w:val="32"/>
          <w:szCs w:val="32"/>
          <w:shd w:val="clear" w:color="auto" w:fill="FFFFFF"/>
          <w:lang w:val="zh-CN" w:eastAsia="zh-CN"/>
        </w:rPr>
        <w:t>名，行政工勤</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eastAsia="zh-CN"/>
        </w:rPr>
        <w:t>名，事业人员</w:t>
      </w:r>
      <w:r>
        <w:rPr>
          <w:rFonts w:eastAsia="仿宋_GB2312" w:cs="Times New Roman" w:hint="eastAsia"/>
          <w:bCs/>
          <w:kern w:val="0"/>
          <w:sz w:val="32"/>
          <w:szCs w:val="32"/>
          <w:shd w:val="clear" w:color="auto" w:fill="FFFFFF"/>
          <w:lang w:val="en-US" w:eastAsia="zh-CN"/>
        </w:rPr>
        <w:t>8</w:t>
      </w:r>
      <w:r>
        <w:rPr>
          <w:rFonts w:ascii="Times New Roman" w:eastAsia="仿宋_GB2312" w:cs="Times New Roman" w:hAnsi="Times New Roman"/>
          <w:bCs/>
          <w:kern w:val="0"/>
          <w:sz w:val="32"/>
          <w:szCs w:val="32"/>
          <w:shd w:val="clear" w:color="auto" w:fill="FFFFFF"/>
          <w:lang w:val="zh-CN" w:eastAsia="zh-CN"/>
        </w:rPr>
        <w:t>名。</w:t>
      </w:r>
      <w:r>
        <w:rPr>
          <w:rFonts w:ascii="Times New Roman" w:eastAsia="仿宋_GB2312" w:cs="Times New Roman" w:hAnsi="Times New Roman" w:hint="eastAsia"/>
          <w:sz w:val="32"/>
          <w:szCs w:val="32"/>
          <w:lang w:val="en-US" w:eastAsia="zh-CN"/>
        </w:rPr>
        <w:t>2022年年初在职26人，年末在职23人。</w:t>
      </w:r>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left"/>
        <w:textAlignment w:val="auto"/>
        <w:rPr>
          <w:rFonts w:ascii="Times New Roman" w:eastAsia="仿宋" w:cs="Times New Roman" w:hAnsi="Times New Roman"/>
          <w:kern w:val="0"/>
          <w:sz w:val="32"/>
          <w:szCs w:val="32"/>
        </w:rPr>
      </w:pPr>
      <w:r>
        <w:rPr>
          <w:rFonts w:ascii="Times New Roman" w:eastAsia="仿宋" w:cs="Times New Roman" w:hAnsi="Times New Roman"/>
          <w:sz w:val="32"/>
          <w:szCs w:val="32"/>
        </w:rPr>
        <w:br w:type="page"/>
      </w:r>
    </w:p>
    <w:p>
      <w:pPr>
        <w:pStyle w:val="1"/>
        <w:keepNext/>
        <w:keepLines/>
        <w:pageBreakBefore w:val="0"/>
        <w:widowControl w:val="0"/>
        <w:kinsoku/>
        <w:wordWrap/>
        <w:overflowPunct/>
        <w:topLinePunct w:val="0"/>
        <w:bidi w:val="0"/>
        <w:spacing w:line="576" w:lineRule="exact"/>
        <w:ind w:right="440"/>
        <w:jc w:val="center"/>
        <w:rPr>
          <w:rStyle w:val="1Char"/>
          <w:rFonts w:ascii="Times New Roman" w:eastAsia="黑体" w:cs="Times New Roman" w:hAnsi="Times New Roman"/>
          <w:b w:val="0"/>
          <w:bCs/>
        </w:rPr>
      </w:pPr>
      <w:bookmarkStart w:id="30" w:name="_Toc15396602"/>
      <w:bookmarkStart w:id="31" w:name="_Toc15377204"/>
      <w:bookmarkStart w:id="32" w:name="_Toc26843607"/>
      <w:r>
        <w:rPr>
          <w:rFonts w:ascii="Times New Roman" w:eastAsia="黑体" w:cs="Times New Roman" w:hAnsi="Times New Roman"/>
          <w:b w:val="0"/>
        </w:rPr>
        <w:t>第二部分 202</w:t>
      </w:r>
      <w:r>
        <w:rPr>
          <w:rFonts w:eastAsia="黑体" w:cs="Times New Roman" w:hint="eastAsia"/>
          <w:b w:val="0"/>
          <w:lang w:val="en-US" w:eastAsia="zh-CN"/>
        </w:rPr>
        <w:t>2</w:t>
      </w:r>
      <w:r>
        <w:rPr>
          <w:rFonts w:ascii="Times New Roman" w:eastAsia="黑体" w:cs="Times New Roman" w:hAnsi="Times New Roman"/>
          <w:b w:val="0"/>
        </w:rPr>
        <w:t>年度</w:t>
      </w:r>
      <w:r>
        <w:rPr>
          <w:rFonts w:ascii="Times New Roman" w:eastAsia="黑体" w:cs="Times New Roman" w:hAnsi="Times New Roman"/>
          <w:b w:val="0"/>
          <w:kern w:val="44"/>
          <w:sz w:val="44"/>
          <w:szCs w:val="44"/>
        </w:rPr>
        <w:t>部门决算情况说明</w:t>
      </w:r>
      <w:bookmarkEnd w:id="30"/>
      <w:bookmarkEnd w:id="31"/>
      <w:bookmarkEnd w:id="32"/>
    </w:p>
    <w:p>
      <w:pPr>
        <w:pageBreakBefore w:val="0"/>
        <w:widowControl w:val="0"/>
        <w:kinsoku/>
        <w:wordWrap/>
        <w:overflowPunct/>
        <w:topLinePunct w:val="0"/>
        <w:bidi w:val="0"/>
        <w:spacing w:line="576" w:lineRule="exact"/>
        <w:rPr>
          <w:rFonts w:ascii="Times New Roman" w:cs="Times New Roman" w:hAnsi="Times New Roman"/>
        </w:rPr>
      </w:pPr>
    </w:p>
    <w:p>
      <w:pPr>
        <w:pStyle w:val="29"/>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3" w:name="_Toc26843608"/>
      <w:bookmarkStart w:id="34" w:name="_Toc15377205"/>
      <w:bookmarkStart w:id="35" w:name="_Toc15396603"/>
      <w:r>
        <w:rPr>
          <w:rFonts w:ascii="Times New Roman" w:eastAsia="黑体" w:cs="Times New Roman" w:hAnsi="Times New Roman"/>
          <w:sz w:val="32"/>
          <w:szCs w:val="32"/>
        </w:rPr>
        <w:t>收</w:t>
      </w:r>
      <w:r>
        <w:rPr>
          <w:rStyle w:val="2Char"/>
          <w:rFonts w:ascii="Times New Roman" w:eastAsia="黑体" w:cs="Times New Roman" w:hAnsi="Times New Roman"/>
          <w:b w:val="0"/>
        </w:rPr>
        <w:t>入支出决算总体情况说明</w:t>
      </w:r>
      <w:bookmarkEnd w:id="33"/>
      <w:bookmarkEnd w:id="34"/>
      <w:bookmarkEnd w:id="35"/>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年度收、支总计</w:t>
      </w:r>
      <w:r>
        <w:rPr>
          <w:rFonts w:eastAsia="仿宋_GB2312" w:cs="Times New Roman" w:hint="eastAsia"/>
          <w:spacing w:val="-2"/>
          <w:kern w:val="2"/>
          <w:sz w:val="32"/>
          <w:szCs w:val="32"/>
          <w:lang w:val="en-US" w:eastAsia="zh-CN" w:bidi="ar-SA"/>
        </w:rPr>
        <w:t>704.16</w:t>
      </w:r>
      <w:r>
        <w:rPr>
          <w:rFonts w:ascii="Times New Roman" w:eastAsia="仿宋_GB2312" w:cs="Times New Roman" w:hAnsi="Times New Roman"/>
          <w:sz w:val="32"/>
          <w:szCs w:val="32"/>
        </w:rPr>
        <w:t>万元。与202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年相比，收、支总计各增加</w:t>
      </w:r>
      <w:r>
        <w:rPr>
          <w:rFonts w:ascii="仿宋_GB2312" w:eastAsia="仿宋_GB2312" w:hint="eastAsia"/>
          <w:color w:val="000000"/>
          <w:spacing w:val="-2"/>
          <w:kern w:val="2"/>
          <w:sz w:val="32"/>
          <w:szCs w:val="32"/>
          <w:lang w:val="en-US" w:eastAsia="zh-CN" w:bidi="ar-SA"/>
        </w:rPr>
        <w:t>44.82</w:t>
      </w:r>
      <w:r>
        <w:rPr>
          <w:rFonts w:ascii="Times New Roman" w:eastAsia="仿宋_GB2312" w:cs="Times New Roman" w:hAnsi="Times New Roman"/>
          <w:sz w:val="32"/>
          <w:szCs w:val="32"/>
        </w:rPr>
        <w:t>万元，增长</w:t>
      </w:r>
      <w:r>
        <w:rPr>
          <w:rFonts w:ascii="仿宋_GB2312" w:eastAsia="仿宋_GB2312" w:hint="eastAsia"/>
          <w:color w:val="000000"/>
          <w:spacing w:val="-2"/>
          <w:kern w:val="2"/>
          <w:sz w:val="32"/>
          <w:szCs w:val="32"/>
          <w:lang w:val="en-US" w:eastAsia="zh-CN" w:bidi="ar-SA"/>
        </w:rPr>
        <w:t>6.80</w:t>
      </w:r>
      <w:r>
        <w:rPr>
          <w:rFonts w:ascii="Times New Roman" w:eastAsia="仿宋_GB2312" w:cs="Times New Roman" w:hAnsi="Times New Roman"/>
          <w:sz w:val="32"/>
          <w:szCs w:val="32"/>
        </w:rPr>
        <w:t>%。主要变动原因是本年度</w:t>
      </w:r>
      <w:r>
        <w:rPr>
          <w:rFonts w:eastAsia="仿宋_GB2312" w:cs="Times New Roman" w:hint="eastAsia"/>
          <w:sz w:val="32"/>
          <w:szCs w:val="32"/>
          <w:lang w:val="en-US" w:eastAsia="zh-CN"/>
        </w:rPr>
        <w:t>人员经费增加</w:t>
      </w:r>
      <w:r>
        <w:rPr>
          <w:rFonts w:ascii="Times New Roman" w:eastAsia="仿宋_GB2312" w:cs="Times New Roman" w:hAnsi="Times New Roman"/>
          <w:color w:val="000000"/>
          <w:sz w:val="32"/>
          <w:szCs w:val="32"/>
          <w:lang w:val="en-US" w:eastAsia="zh-CN"/>
        </w:rPr>
        <w:t>。</w:t>
      </w:r>
    </w:p>
    <w:p>
      <w:pPr>
        <w:pageBreakBefore w:val="0"/>
        <w:widowControl w:val="0"/>
        <w:kinsoku/>
        <w:wordWrap/>
        <w:overflowPunct/>
        <w:topLinePunct w:val="0"/>
        <w:bidi w:val="0"/>
        <w:spacing w:line="576" w:lineRule="exact"/>
        <w:ind w:firstLineChars="200" w:firstLine="420"/>
        <w:rPr>
          <w:rFonts w:ascii="Times New Roman" w:eastAsia="仿宋" w:cs="Times New Roman" w:hAnsi="Times New Roman"/>
          <w:sz w:val="32"/>
          <w:szCs w:val="32"/>
        </w:rPr>
      </w:pPr>
      <w:r>
        <w:drawing>
          <wp:anchor distT="0" distB="0" distL="114300" distR="114300" simplePos="0" relativeHeight="20" behindDoc="0" locked="0" layoutInCell="1" hidden="0" allowOverlap="1">
            <wp:simplePos x="0" y="0"/>
            <wp:positionH relativeFrom="column">
              <wp:posOffset>539750</wp:posOffset>
            </wp:positionH>
            <wp:positionV relativeFrom="paragraph">
              <wp:posOffset>31115</wp:posOffset>
            </wp:positionV>
            <wp:extent cx="4055109" cy="2581275"/>
            <wp:effectExtent l="0" t="0" r="0" b="0"/>
            <wp:wrapNone/>
            <wp:docPr id="1" name="图表 7"/>
            <wp:cNvGraphicFramePr>
              <a:graphicFrameLocks noChangeAspect="0"/>
            </wp:cNvGraphicFramePr>
            <a:graphic>
              <a:graphicData uri="http://schemas.openxmlformats.org/drawingml/2006/chart">
                <c:chart xmlns:c="http://schemas.openxmlformats.org/drawingml/2006/chart" r:id="rId4"/>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p>
    <w:p>
      <w:pPr>
        <w:pStyle w:val="16"/>
        <w:pageBreakBefore w:val="0"/>
        <w:widowControl w:val="0"/>
        <w:kinsoku/>
        <w:wordWrap/>
        <w:overflowPunct/>
        <w:topLinePunct w:val="0"/>
        <w:bidi w:val="0"/>
        <w:spacing w:line="576" w:lineRule="exact"/>
        <w:rPr>
          <w:rFonts w:ascii="Times New Roman" w:cs="Times New Roman" w:hAnsi="Times New Roman"/>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（图1：收、支决算总计变动情况图）（柱状图）</w:t>
      </w:r>
    </w:p>
    <w:p>
      <w:pPr>
        <w:pStyle w:val="16"/>
        <w:pageBreakBefore w:val="0"/>
        <w:widowControl w:val="0"/>
        <w:kinsoku/>
        <w:wordWrap/>
        <w:overflowPunct/>
        <w:topLinePunct w:val="0"/>
        <w:bidi w:val="0"/>
        <w:spacing w:line="576" w:lineRule="exact"/>
        <w:rPr>
          <w:rFonts w:ascii="Times New Roman" w:cs="Times New Roman" w:hAnsi="Times New Roman"/>
        </w:rPr>
      </w:pPr>
    </w:p>
    <w:p>
      <w:pPr>
        <w:pStyle w:val="29"/>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36" w:name="_Toc26843609"/>
      <w:bookmarkStart w:id="37" w:name="_Toc15396604"/>
      <w:bookmarkStart w:id="38" w:name="_Toc15377206"/>
      <w:r>
        <w:rPr>
          <w:rFonts w:ascii="Times New Roman" w:eastAsia="黑体" w:cs="Times New Roman" w:hAnsi="Times New Roman"/>
          <w:sz w:val="32"/>
          <w:szCs w:val="32"/>
        </w:rPr>
        <w:t>收</w:t>
      </w:r>
      <w:r>
        <w:rPr>
          <w:rStyle w:val="2Char"/>
          <w:rFonts w:ascii="Times New Roman" w:eastAsia="黑体" w:cs="Times New Roman" w:hAnsi="Times New Roman"/>
          <w:b w:val="0"/>
        </w:rPr>
        <w:t>入决算情况说明</w:t>
      </w:r>
      <w:bookmarkEnd w:id="36"/>
      <w:bookmarkEnd w:id="37"/>
      <w:bookmarkEnd w:id="38"/>
    </w:p>
    <w:p>
      <w:pPr>
        <w:pageBreakBefore w:val="0"/>
        <w:widowControl w:val="0"/>
        <w:kinsoku/>
        <w:wordWrap/>
        <w:overflowPunct/>
        <w:topLinePunct w:val="0"/>
        <w:bidi w:val="0"/>
        <w:spacing w:line="576" w:lineRule="exact"/>
        <w:ind w:firstLineChars="200" w:firstLine="640"/>
        <w:outlineLvl w:val="1"/>
        <w:rPr>
          <w:rFonts w:ascii="Times New Roman" w:eastAsia="仿宋" w:cs="Times New Roman" w:hAnsi="Times New Roman"/>
          <w:sz w:val="32"/>
          <w:szCs w:val="32"/>
        </w:rPr>
      </w:pPr>
      <w:bookmarkStart w:id="39" w:name="_Toc26843610"/>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年度收入合计</w:t>
      </w:r>
      <w:r>
        <w:rPr>
          <w:rFonts w:ascii="仿宋_GB2312" w:eastAsia="仿宋_GB2312" w:hint="eastAsia"/>
          <w:color w:val="000000"/>
          <w:spacing w:val="-2"/>
          <w:kern w:val="2"/>
          <w:sz w:val="32"/>
          <w:szCs w:val="32"/>
          <w:lang w:val="en-US" w:eastAsia="zh-CN" w:bidi="ar-SA"/>
        </w:rPr>
        <w:t>704.16</w:t>
      </w:r>
      <w:r>
        <w:rPr>
          <w:rFonts w:ascii="Times New Roman" w:eastAsia="仿宋_GB2312" w:cs="Times New Roman" w:hAnsi="Times New Roman"/>
          <w:sz w:val="32"/>
          <w:szCs w:val="32"/>
        </w:rPr>
        <w:t>万元，其中：一般公共预算财政拨款收入</w:t>
      </w:r>
      <w:r>
        <w:rPr>
          <w:rFonts w:ascii="仿宋_GB2312" w:eastAsia="仿宋_GB2312" w:hint="eastAsia"/>
          <w:color w:val="000000"/>
          <w:spacing w:val="-2"/>
          <w:kern w:val="2"/>
          <w:sz w:val="32"/>
          <w:szCs w:val="32"/>
          <w:lang w:val="en-US" w:eastAsia="zh-CN" w:bidi="ar-SA"/>
        </w:rPr>
        <w:t>704.16</w:t>
      </w:r>
      <w:r>
        <w:rPr>
          <w:rFonts w:ascii="Times New Roman" w:eastAsia="仿宋_GB2312" w:cs="Times New Roman" w:hAnsi="Times New Roman"/>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bookmarkEnd w:id="39"/>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r>
        <w:rPr>
          <w:rFonts w:ascii="黑体" w:eastAsia="黑体" w:cs="Times New Roman" w:hint="eastAsia"/>
          <w:color w:val="000000"/>
          <w:kern w:val="2"/>
          <w:sz w:val="32"/>
          <w:szCs w:val="32"/>
          <w:lang w:val="en-US" w:eastAsia="zh-CN" w:bidi="ar-SA"/>
        </w:rPr>
        <w:drawing>
          <wp:anchor distT="0" distB="0" distL="114300" distR="114300" simplePos="0" relativeHeight="22" behindDoc="0" locked="0" layoutInCell="1" hidden="0" allowOverlap="1">
            <wp:simplePos x="0" y="0"/>
            <wp:positionH relativeFrom="column">
              <wp:posOffset>742315</wp:posOffset>
            </wp:positionH>
            <wp:positionV relativeFrom="paragraph">
              <wp:posOffset>-607695</wp:posOffset>
            </wp:positionV>
            <wp:extent cx="3587750" cy="1697355"/>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r>
        <w:rPr>
          <w:rFonts w:ascii="黑体" w:eastAsia="黑体" w:cs="Times New Roman" w:hint="eastAsia"/>
          <w:color w:val="000000"/>
          <w:kern w:val="2"/>
          <w:sz w:val="32"/>
          <w:szCs w:val="32"/>
          <w:lang w:val="en-US" w:eastAsia="zh-CN" w:bidi="ar-SA"/>
        </w:rPr>
        <w:t xml:space="preserve">   </w:t>
      </w:r>
      <w:r>
        <w:rPr>
          <w:rFonts w:ascii="Times New Roman" w:eastAsia="仿宋_GB2312" w:cs="Times New Roman" w:hAnsi="Times New Roman"/>
          <w:color w:val="auto"/>
          <w:sz w:val="32"/>
          <w:szCs w:val="32"/>
        </w:rPr>
        <w:t>（图2：收入决算结构图）（饼状图）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Style w:val="29"/>
        <w:pageBreakBefore w:val="0"/>
        <w:widowControl w:val="0"/>
        <w:numPr>
          <w:ilvl w:val="0"/>
          <w:numId w:val="1"/>
        </w:numPr>
        <w:kinsoku/>
        <w:wordWrap/>
        <w:overflowPunct/>
        <w:topLinePunct w:val="0"/>
        <w:bidi w:val="0"/>
        <w:spacing w:line="576" w:lineRule="exact"/>
        <w:ind w:firstLineChars="0"/>
        <w:outlineLvl w:val="1"/>
        <w:rPr>
          <w:rStyle w:val="2Char"/>
          <w:rFonts w:ascii="Times New Roman" w:eastAsia="黑体" w:cs="Times New Roman" w:hAnsi="Times New Roman"/>
          <w:b w:val="0"/>
        </w:rPr>
      </w:pPr>
      <w:bookmarkStart w:id="40" w:name="_Toc15396605"/>
      <w:bookmarkStart w:id="41" w:name="_Toc15377207"/>
      <w:bookmarkStart w:id="42" w:name="_Toc26843612"/>
      <w:r>
        <w:rPr>
          <w:rFonts w:ascii="Times New Roman" w:eastAsia="黑体" w:cs="Times New Roman" w:hAnsi="Times New Roman"/>
          <w:sz w:val="32"/>
          <w:szCs w:val="32"/>
        </w:rPr>
        <w:t>支</w:t>
      </w:r>
      <w:r>
        <w:rPr>
          <w:rStyle w:val="2Char"/>
          <w:rFonts w:ascii="Times New Roman" w:eastAsia="黑体" w:cs="Times New Roman" w:hAnsi="Times New Roman"/>
          <w:b w:val="0"/>
        </w:rPr>
        <w:t>出决算情况说明</w:t>
      </w:r>
      <w:bookmarkEnd w:id="40"/>
      <w:bookmarkEnd w:id="41"/>
      <w:bookmarkEnd w:id="42"/>
    </w:p>
    <w:p>
      <w:pPr>
        <w:pageBreakBefore w:val="0"/>
        <w:widowControl w:val="0"/>
        <w:kinsoku/>
        <w:wordWrap/>
        <w:overflowPunct/>
        <w:topLinePunct w:val="0"/>
        <w:bidi w:val="0"/>
        <w:spacing w:line="576" w:lineRule="exact"/>
        <w:ind w:firstLineChars="200" w:firstLine="640"/>
        <w:outlineLvl w:val="1"/>
        <w:rPr>
          <w:rFonts w:ascii="Times New Roman" w:eastAsia="仿宋_GB2312" w:cs="Times New Roman" w:hAnsi="Times New Roman"/>
          <w:sz w:val="32"/>
          <w:szCs w:val="32"/>
        </w:rPr>
      </w:pPr>
      <w:bookmarkStart w:id="43" w:name="_Toc26843613"/>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年度支出合计</w:t>
      </w:r>
      <w:r>
        <w:rPr>
          <w:rFonts w:ascii="仿宋_GB2312" w:eastAsia="仿宋_GB2312" w:hint="eastAsia"/>
          <w:color w:val="000000"/>
          <w:spacing w:val="-2"/>
          <w:kern w:val="2"/>
          <w:sz w:val="32"/>
          <w:szCs w:val="32"/>
          <w:lang w:val="en-US" w:eastAsia="zh-CN" w:bidi="ar-SA"/>
        </w:rPr>
        <w:t>704.16</w:t>
      </w:r>
      <w:r>
        <w:rPr>
          <w:rFonts w:ascii="Times New Roman" w:eastAsia="仿宋_GB2312" w:cs="Times New Roman" w:hAnsi="Times New Roman"/>
          <w:sz w:val="32"/>
          <w:szCs w:val="32"/>
        </w:rPr>
        <w:t>万元，其中：基本支出</w:t>
      </w:r>
      <w:r>
        <w:rPr>
          <w:rFonts w:ascii="仿宋_GB2312" w:eastAsia="仿宋_GB2312" w:hint="eastAsia"/>
          <w:sz w:val="32"/>
          <w:szCs w:val="32"/>
          <w:lang w:val="en-US" w:eastAsia="zh-CN"/>
        </w:rPr>
        <w:t>561.81</w:t>
      </w:r>
      <w:r>
        <w:rPr>
          <w:rFonts w:ascii="Times New Roman" w:eastAsia="仿宋_GB2312" w:cs="Times New Roman" w:hAnsi="Times New Roman"/>
          <w:sz w:val="32"/>
          <w:szCs w:val="32"/>
        </w:rPr>
        <w:t>万元，占</w:t>
      </w:r>
      <w:r>
        <w:rPr>
          <w:rFonts w:ascii="仿宋" w:eastAsia="仿宋" w:hint="eastAsia"/>
          <w:color w:val="000000"/>
          <w:sz w:val="32"/>
          <w:szCs w:val="32"/>
          <w:lang w:val="en-US" w:eastAsia="zh-CN"/>
        </w:rPr>
        <w:t>79.78</w:t>
      </w:r>
      <w:r>
        <w:rPr>
          <w:rFonts w:ascii="Times New Roman" w:eastAsia="仿宋_GB2312" w:cs="Times New Roman" w:hAnsi="Times New Roman"/>
          <w:sz w:val="32"/>
          <w:szCs w:val="32"/>
        </w:rPr>
        <w:t>%；项目支出</w:t>
      </w:r>
      <w:r>
        <w:rPr>
          <w:rFonts w:ascii="仿宋_GB2312" w:eastAsia="仿宋_GB2312" w:hint="eastAsia"/>
          <w:sz w:val="32"/>
          <w:szCs w:val="32"/>
          <w:lang w:val="en-US" w:eastAsia="zh-CN"/>
        </w:rPr>
        <w:t>142.35</w:t>
      </w:r>
      <w:r>
        <w:rPr>
          <w:rFonts w:ascii="Times New Roman" w:eastAsia="仿宋_GB2312" w:cs="Times New Roman" w:hAnsi="Times New Roman"/>
          <w:sz w:val="32"/>
          <w:szCs w:val="32"/>
        </w:rPr>
        <w:t>万元，占</w:t>
      </w:r>
      <w:r>
        <w:rPr>
          <w:rFonts w:ascii="仿宋" w:eastAsia="仿宋" w:hint="eastAsia"/>
          <w:color w:val="000000"/>
          <w:sz w:val="32"/>
          <w:szCs w:val="32"/>
          <w:lang w:val="en-US" w:eastAsia="zh-CN"/>
        </w:rPr>
        <w:t>20.22</w:t>
      </w:r>
      <w:r>
        <w:rPr>
          <w:rFonts w:ascii="Times New Roman" w:eastAsia="仿宋_GB2312" w:cs="Times New Roman" w:hAnsi="Times New Roman"/>
          <w:sz w:val="32"/>
          <w:szCs w:val="32"/>
        </w:rPr>
        <w:t>%；上缴上级支出0万元，占0%；经营支出0万元，占0%；对附属单位补助支出0万元，占0%。</w:t>
      </w:r>
      <w:bookmarkEnd w:id="43"/>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shd w:val="pct10" w:color="auto" w:fill="FFFFFF"/>
        </w:rPr>
      </w:pPr>
      <w:r>
        <w:rPr>
          <w:rFonts w:ascii="Times New Roman" w:eastAsia="仿宋" w:cs="Times New Roman" w:hAnsi="Times New Roman"/>
          <w:sz w:val="32"/>
          <w:szCs w:val="32"/>
          <w:lang w:val="en-US" w:eastAsia="zh-CN"/>
        </w:rPr>
        <w:drawing>
          <wp:anchor distT="0" distB="0" distL="114300" distR="114300" simplePos="0" relativeHeight="18" behindDoc="0" locked="0" layoutInCell="1" hidden="0" allowOverlap="1">
            <wp:simplePos x="0" y="0"/>
            <wp:positionH relativeFrom="column">
              <wp:posOffset>963930</wp:posOffset>
            </wp:positionH>
            <wp:positionV relativeFrom="paragraph">
              <wp:posOffset>233045</wp:posOffset>
            </wp:positionV>
            <wp:extent cx="3674745" cy="2312035"/>
            <wp:effectExtent l="0" t="0" r="0" b="0"/>
            <wp:wrapNone/>
            <wp:docPr id="3" name="图表 2"/>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shd w:val="pct10" w:color="auto" w:fill="FFFFFF"/>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（图3：支出决算结构图）（饼状图）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44" w:name="_Toc26843615"/>
      <w:bookmarkStart w:id="45" w:name="_Toc15377208"/>
      <w:bookmarkStart w:id="46" w:name="_Toc15396606"/>
      <w:r>
        <w:rPr>
          <w:rFonts w:ascii="Times New Roman" w:eastAsia="黑体" w:cs="Times New Roman" w:hAnsi="Times New Roman"/>
          <w:sz w:val="32"/>
          <w:szCs w:val="32"/>
        </w:rPr>
        <w:t>四、财</w:t>
      </w:r>
      <w:r>
        <w:rPr>
          <w:rStyle w:val="2Char"/>
          <w:rFonts w:ascii="Times New Roman" w:eastAsia="黑体" w:cs="Times New Roman" w:hAnsi="Times New Roman"/>
          <w:b w:val="0"/>
        </w:rPr>
        <w:t>政拨款收入支出决算总体情况说明</w:t>
      </w:r>
      <w:bookmarkEnd w:id="44"/>
      <w:bookmarkEnd w:id="45"/>
      <w:bookmarkEnd w:id="46"/>
    </w:p>
    <w:p>
      <w:pPr>
        <w:pStyle w:val="16"/>
        <w:pageBreakBefore w:val="0"/>
        <w:widowControl w:val="0"/>
        <w:kinsoku/>
        <w:wordWrap/>
        <w:overflowPunct/>
        <w:topLinePunct w:val="0"/>
        <w:bidi w:val="0"/>
        <w:adjustRightInd w:val="0"/>
        <w:snapToGrid w:val="0"/>
        <w:spacing w:beforeLines="0" w:before="93" w:line="576" w:lineRule="exact"/>
        <w:ind w:firstLineChars="208" w:firstLine="666"/>
        <w:rPr>
          <w:rFonts w:ascii="Times New Roman" w:eastAsia="仿宋" w:cs="Times New Roman" w:hAnsi="Times New Roman"/>
          <w:sz w:val="32"/>
          <w:szCs w:val="32"/>
          <w:lang w:val="en-US"/>
        </w:rPr>
      </w:pPr>
      <w:r>
        <w:rPr>
          <w:rFonts w:ascii="Times New Roman" w:eastAsia="仿宋_GB2312" w:cs="Times New Roman" w:hAnsi="Times New Roman"/>
          <w:sz w:val="32"/>
          <w:szCs w:val="32"/>
          <w:lang w:val="en-US" w:eastAsia="zh-CN"/>
        </w:rPr>
        <w:t>202</w:t>
      </w:r>
      <w:r>
        <w:rPr>
          <w:rFonts w:ascii="Times New Roman" w:cs="Times New Roman" w:hAnsi="Times New Roman" w:hint="eastAsia"/>
          <w:sz w:val="32"/>
          <w:szCs w:val="32"/>
          <w:lang w:val="en-US" w:eastAsia="zh-CN"/>
        </w:rPr>
        <w:t>2</w:t>
      </w:r>
      <w:r>
        <w:rPr>
          <w:rFonts w:ascii="Times New Roman" w:eastAsia="仿宋_GB2312" w:cs="Times New Roman" w:hAnsi="Times New Roman"/>
          <w:sz w:val="32"/>
          <w:szCs w:val="32"/>
          <w:lang w:val="en-US" w:eastAsia="zh-CN"/>
        </w:rPr>
        <w:t>年财政拨款收、支总计</w:t>
      </w:r>
      <w:r>
        <w:rPr>
          <w:rFonts w:ascii="仿宋_GB2312" w:eastAsia="仿宋_GB2312" w:hint="eastAsia"/>
          <w:color w:val="000000"/>
          <w:spacing w:val="-2"/>
          <w:kern w:val="2"/>
          <w:sz w:val="32"/>
          <w:szCs w:val="32"/>
          <w:lang w:val="en-US" w:eastAsia="zh-CN" w:bidi="ar-SA"/>
        </w:rPr>
        <w:t>704.16</w:t>
      </w:r>
      <w:r>
        <w:rPr>
          <w:rFonts w:ascii="Times New Roman" w:eastAsia="仿宋_GB2312" w:cs="Times New Roman" w:hAnsi="Times New Roman"/>
          <w:sz w:val="32"/>
          <w:szCs w:val="32"/>
          <w:lang w:val="en-US" w:eastAsia="zh-CN"/>
        </w:rPr>
        <w:t>万元。与202</w:t>
      </w:r>
      <w:r>
        <w:rPr>
          <w:rFonts w:ascii="Times New Roman" w:cs="Times New Roman" w:hAnsi="Times New Roman" w:hint="eastAsia"/>
          <w:sz w:val="32"/>
          <w:szCs w:val="32"/>
          <w:lang w:val="en-US" w:eastAsia="zh-CN"/>
        </w:rPr>
        <w:t>1</w:t>
      </w:r>
      <w:r>
        <w:rPr>
          <w:rFonts w:ascii="Times New Roman" w:eastAsia="仿宋_GB2312" w:cs="Times New Roman" w:hAnsi="Times New Roman"/>
          <w:sz w:val="32"/>
          <w:szCs w:val="32"/>
          <w:lang w:val="en-US" w:eastAsia="zh-CN"/>
        </w:rPr>
        <w:t>年相比，财政拨款收、支总计各增加</w:t>
      </w:r>
      <w:r>
        <w:rPr>
          <w:rFonts w:ascii="仿宋_GB2312" w:eastAsia="仿宋_GB2312" w:hint="eastAsia"/>
          <w:color w:val="000000"/>
          <w:spacing w:val="-2"/>
          <w:kern w:val="2"/>
          <w:sz w:val="32"/>
          <w:szCs w:val="32"/>
          <w:lang w:val="en-US" w:eastAsia="zh-CN" w:bidi="ar-SA"/>
        </w:rPr>
        <w:t>44.82</w:t>
      </w:r>
      <w:r>
        <w:rPr>
          <w:rFonts w:ascii="Times New Roman" w:eastAsia="仿宋_GB2312" w:cs="Times New Roman" w:hAnsi="Times New Roman"/>
          <w:sz w:val="32"/>
          <w:szCs w:val="32"/>
          <w:lang w:val="en-US" w:eastAsia="zh-CN"/>
        </w:rPr>
        <w:t>万元，增长</w:t>
      </w:r>
      <w:r>
        <w:rPr>
          <w:rFonts w:ascii="仿宋_GB2312" w:eastAsia="仿宋_GB2312" w:hint="eastAsia"/>
          <w:color w:val="000000"/>
          <w:spacing w:val="-2"/>
          <w:kern w:val="2"/>
          <w:sz w:val="32"/>
          <w:szCs w:val="32"/>
          <w:lang w:val="en-US" w:eastAsia="zh-CN" w:bidi="ar-SA"/>
        </w:rPr>
        <w:t>6.80</w:t>
      </w:r>
      <w:r>
        <w:rPr>
          <w:rFonts w:ascii="Times New Roman" w:eastAsia="仿宋_GB2312" w:cs="Times New Roman" w:hAnsi="Times New Roman"/>
          <w:sz w:val="32"/>
          <w:szCs w:val="32"/>
          <w:lang w:val="en-US" w:eastAsia="zh-CN"/>
        </w:rPr>
        <w:t>%。主要变动原因是</w:t>
      </w:r>
      <w:r>
        <w:rPr>
          <w:rFonts w:ascii="Times New Roman" w:cs="Times New Roman" w:hAnsi="Times New Roman" w:hint="eastAsia"/>
          <w:sz w:val="32"/>
          <w:szCs w:val="32"/>
          <w:lang w:val="en-US" w:eastAsia="zh-CN"/>
        </w:rPr>
        <w:t>本年度人员经费增加。</w:t>
      </w: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488315</wp:posOffset>
            </wp:positionH>
            <wp:positionV relativeFrom="paragraph">
              <wp:posOffset>-8605520</wp:posOffset>
            </wp:positionV>
            <wp:extent cx="4036695" cy="231076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p>
    <w:p>
      <w:pPr>
        <w:pStyle w:val="16"/>
        <w:pageBreakBefore w:val="0"/>
        <w:widowControl w:val="0"/>
        <w:kinsoku/>
        <w:wordWrap/>
        <w:overflowPunct/>
        <w:topLinePunct w:val="0"/>
        <w:bidi w:val="0"/>
        <w:spacing w:line="576" w:lineRule="exact"/>
        <w:rPr>
          <w:rFonts w:ascii="Times New Roman" w:eastAsia="仿宋" w:cs="Times New Roman" w:hAnsi="Times New Roman"/>
          <w:sz w:val="32"/>
          <w:szCs w:val="32"/>
          <w:lang w:eastAsia="zh-CN"/>
        </w:rPr>
      </w:pPr>
    </w:p>
    <w:p>
      <w:pPr>
        <w:pageBreakBefore w:val="0"/>
        <w:widowControl w:val="0"/>
        <w:kinsoku/>
        <w:wordWrap/>
        <w:overflowPunct/>
        <w:topLinePunct w:val="0"/>
        <w:bidi w:val="0"/>
        <w:spacing w:line="576" w:lineRule="exact"/>
        <w:ind w:firstLineChars="100" w:firstLine="320"/>
        <w:rPr>
          <w:rFonts w:ascii="Times New Roman" w:eastAsia="黑体" w:cs="Times New Roman" w:hAnsi="Times New Roman"/>
          <w:sz w:val="32"/>
          <w:szCs w:val="32"/>
        </w:rPr>
      </w:pPr>
      <w:r>
        <w:rPr>
          <w:rFonts w:ascii="Times New Roman" w:eastAsia="仿宋_GB2312" w:cs="Times New Roman" w:hAnsi="Times New Roman"/>
          <w:color w:val="auto"/>
          <w:sz w:val="32"/>
          <w:szCs w:val="32"/>
        </w:rPr>
        <w:t>（图4：财政拨款收、支决算总计变动情况）（柱状图）</w:t>
      </w:r>
      <w:bookmarkStart w:id="47" w:name="_Toc26843616"/>
      <w:bookmarkStart w:id="48" w:name="_Toc15377209"/>
      <w:bookmarkStart w:id="49" w:name="_Toc15396607"/>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r>
        <w:rPr>
          <w:rFonts w:ascii="Times New Roman" w:eastAsia="黑体" w:cs="Times New Roman" w:hAnsi="Times New Roman"/>
          <w:sz w:val="32"/>
          <w:szCs w:val="32"/>
        </w:rPr>
        <w:t>五、</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般公共预算财政拨款支出决算情况说明</w:t>
      </w:r>
      <w:bookmarkEnd w:id="47"/>
      <w:bookmarkEnd w:id="48"/>
      <w:bookmarkEnd w:id="49"/>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0" w:name="_Toc15377210"/>
      <w:r>
        <w:rPr>
          <w:rFonts w:ascii="Times New Roman" w:eastAsia="仿宋" w:cs="Times New Roman" w:hAnsi="Times New Roman"/>
          <w:b/>
          <w:sz w:val="32"/>
          <w:szCs w:val="32"/>
        </w:rPr>
        <w:t>（一）一般公共预算财政拨款支出决算总体情况</w:t>
      </w:r>
      <w:bookmarkEnd w:id="50"/>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年一般公共预算财政拨款支出</w:t>
      </w:r>
      <w:r>
        <w:rPr>
          <w:rFonts w:ascii="仿宋_GB2312" w:eastAsia="仿宋_GB2312" w:hint="eastAsia"/>
          <w:color w:val="000000"/>
          <w:spacing w:val="-2"/>
          <w:kern w:val="2"/>
          <w:sz w:val="32"/>
          <w:szCs w:val="32"/>
          <w:lang w:val="en-US" w:eastAsia="zh-CN" w:bidi="ar-SA"/>
        </w:rPr>
        <w:t>704.16</w:t>
      </w:r>
      <w:r>
        <w:rPr>
          <w:rFonts w:ascii="Times New Roman" w:eastAsia="仿宋_GB2312" w:cs="Times New Roman" w:hAnsi="Times New Roman"/>
          <w:sz w:val="32"/>
          <w:szCs w:val="32"/>
        </w:rPr>
        <w:t>万元，占本年支出合计的100%。与202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年相比</w:t>
      </w:r>
      <w:r>
        <w:rPr>
          <w:rFonts w:ascii="仿宋" w:eastAsia="仿宋" w:hint="eastAsia"/>
          <w:color w:val="auto"/>
          <w:sz w:val="32"/>
          <w:szCs w:val="32"/>
          <w:lang w:val="en-US" w:eastAsia="zh-CN"/>
        </w:rPr>
        <w:t>较上年</w:t>
      </w:r>
      <w:r>
        <w:rPr>
          <w:rFonts w:ascii="Times New Roman" w:eastAsia="仿宋_GB2312" w:cs="Times New Roman" w:hAnsi="Times New Roman"/>
          <w:sz w:val="32"/>
          <w:szCs w:val="32"/>
        </w:rPr>
        <w:t>支出增加</w:t>
      </w:r>
      <w:r>
        <w:rPr>
          <w:rFonts w:ascii="仿宋_GB2312" w:eastAsia="仿宋_GB2312" w:hint="eastAsia"/>
          <w:color w:val="000000"/>
          <w:spacing w:val="-2"/>
          <w:kern w:val="2"/>
          <w:sz w:val="32"/>
          <w:szCs w:val="32"/>
          <w:lang w:val="en-US" w:eastAsia="zh-CN" w:bidi="ar-SA"/>
        </w:rPr>
        <w:t>44.82</w:t>
      </w:r>
      <w:r>
        <w:rPr>
          <w:rFonts w:ascii="Times New Roman" w:eastAsia="仿宋_GB2312" w:cs="Times New Roman" w:hAnsi="Times New Roman"/>
          <w:sz w:val="32"/>
          <w:szCs w:val="32"/>
        </w:rPr>
        <w:t>万元，增长</w:t>
      </w:r>
      <w:r>
        <w:rPr>
          <w:rFonts w:ascii="仿宋_GB2312" w:eastAsia="仿宋_GB2312" w:hint="eastAsia"/>
          <w:color w:val="000000"/>
          <w:spacing w:val="-2"/>
          <w:kern w:val="2"/>
          <w:sz w:val="32"/>
          <w:szCs w:val="32"/>
          <w:lang w:val="en-US" w:eastAsia="zh-CN" w:bidi="ar-SA"/>
        </w:rPr>
        <w:t>6.80</w:t>
      </w:r>
      <w:r>
        <w:rPr>
          <w:rFonts w:ascii="Times New Roman" w:eastAsia="仿宋_GB2312" w:cs="Times New Roman" w:hAnsi="Times New Roman"/>
          <w:sz w:val="32"/>
          <w:szCs w:val="32"/>
        </w:rPr>
        <w:t>%。主要变动原因是</w:t>
      </w:r>
      <w:r>
        <w:rPr>
          <w:rFonts w:eastAsia="仿宋_GB2312" w:cs="Times New Roman" w:hint="eastAsia"/>
          <w:sz w:val="32"/>
          <w:szCs w:val="32"/>
          <w:lang w:val="en-US" w:eastAsia="zh-CN"/>
        </w:rPr>
        <w:t>本年度人员经费增加。</w:t>
      </w:r>
    </w:p>
    <w:p>
      <w:pPr>
        <w:pageBreakBefore w:val="0"/>
        <w:widowControl w:val="0"/>
        <w:kinsoku/>
        <w:wordWrap/>
        <w:overflowPunct/>
        <w:topLinePunct w:val="0"/>
        <w:bidi w:val="0"/>
        <w:spacing w:line="576" w:lineRule="exact"/>
        <w:ind w:firstLineChars="200" w:firstLine="420"/>
        <w:rPr>
          <w:rFonts w:ascii="Times New Roman" w:eastAsia="仿宋" w:cs="Times New Roman" w:hAnsi="Times New Roman"/>
          <w:color w:val="FF0000"/>
          <w:sz w:val="32"/>
          <w:szCs w:val="32"/>
        </w:rPr>
      </w:pPr>
      <w:r>
        <w:drawing>
          <wp:anchor distT="0" distB="0" distL="114300" distR="114300" simplePos="0" relativeHeight="26" behindDoc="0" locked="0" layoutInCell="1" hidden="0" allowOverlap="1">
            <wp:simplePos x="0" y="0"/>
            <wp:positionH relativeFrom="column">
              <wp:posOffset>548005</wp:posOffset>
            </wp:positionH>
            <wp:positionV relativeFrom="paragraph">
              <wp:posOffset>186055</wp:posOffset>
            </wp:positionV>
            <wp:extent cx="4381500" cy="2819400"/>
            <wp:effectExtent l="0" t="0" r="0" b="0"/>
            <wp:wrapNone/>
            <wp:docPr id="5" name="图表 7"/>
            <wp:cNvGraphicFramePr>
              <a:graphicFrameLocks noChangeAspect="0"/>
            </wp:cNvGraphicFramePr>
            <a:graphic>
              <a:graphicData uri="http://schemas.openxmlformats.org/drawingml/2006/chart">
                <c:chart xmlns:c="http://schemas.openxmlformats.org/drawingml/2006/chart" r:id="rId8"/>
              </a:graphicData>
            </a:graphic>
          </wp:anchor>
        </w:drawing>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rPr>
          <w:rFonts w:ascii="Times New Roman" w:eastAsia="仿宋" w:cs="Times New Roman" w:hAnsi="Times New Roman"/>
          <w:color w:val="FF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（图5：一般公共预算财政拨款支出决算变动情况）（柱状图）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1" w:name="_Toc15377211"/>
      <w:r>
        <w:rPr>
          <w:rFonts w:ascii="Times New Roman" w:eastAsia="仿宋" w:cs="Times New Roman" w:hAnsi="Times New Roman"/>
          <w:b/>
          <w:sz w:val="32"/>
          <w:szCs w:val="32"/>
        </w:rPr>
        <w:t>（二）一般公共预算财政拨款支出决算结构情况</w:t>
      </w:r>
      <w:bookmarkEnd w:id="51"/>
    </w:p>
    <w:p>
      <w:pPr>
        <w:spacing w:line="600" w:lineRule="exact"/>
        <w:ind w:firstLine="640"/>
        <w:rPr>
          <w:rFonts w:ascii="仿宋" w:eastAsia="仿宋"/>
          <w:color w:val="000000"/>
          <w:sz w:val="32"/>
          <w:szCs w:val="32"/>
          <w:lang w:val="en-US" w:eastAsia="zh-CN"/>
        </w:rPr>
      </w:pPr>
      <w:r>
        <w:rPr>
          <w:rFonts w:ascii="Times New Roman" w:eastAsia="仿宋" w:cs="Times New Roman" w:hAnsi="Times New Roman"/>
          <w:sz w:val="32"/>
          <w:szCs w:val="32"/>
        </w:rPr>
        <w:t>202</w:t>
      </w:r>
      <w:r>
        <w:rPr>
          <w:rFonts w:eastAsia="仿宋" w:cs="Times New Roman" w:hint="eastAsia"/>
          <w:sz w:val="32"/>
          <w:szCs w:val="32"/>
          <w:lang w:val="en-US" w:eastAsia="zh-CN"/>
        </w:rPr>
        <w:t>2</w:t>
      </w:r>
      <w:r>
        <w:rPr>
          <w:rFonts w:ascii="Times New Roman" w:eastAsia="仿宋" w:cs="Times New Roman" w:hAnsi="Times New Roman"/>
          <w:sz w:val="32"/>
          <w:szCs w:val="32"/>
        </w:rPr>
        <w:t>年一般公共预算财政拨款支出</w:t>
      </w:r>
      <w:r>
        <w:rPr>
          <w:rFonts w:ascii="仿宋_GB2312" w:eastAsia="仿宋_GB2312" w:hint="eastAsia"/>
          <w:color w:val="000000"/>
          <w:spacing w:val="-2"/>
          <w:kern w:val="2"/>
          <w:sz w:val="32"/>
          <w:szCs w:val="32"/>
          <w:lang w:val="en-US" w:eastAsia="zh-CN" w:bidi="ar-SA"/>
        </w:rPr>
        <w:t>704.16</w:t>
      </w:r>
      <w:r>
        <w:rPr>
          <w:rFonts w:ascii="Times New Roman" w:eastAsia="仿宋" w:cs="Times New Roman" w:hAnsi="Times New Roman"/>
          <w:sz w:val="32"/>
          <w:szCs w:val="32"/>
        </w:rPr>
        <w:t>万元，主要用于以下方面:</w:t>
      </w:r>
      <w:r>
        <w:rPr>
          <w:rFonts w:ascii="Times New Roman" w:eastAsia="仿宋" w:cs="Times New Roman" w:hAnsi="Times New Roman"/>
          <w:b/>
          <w:sz w:val="32"/>
          <w:szCs w:val="32"/>
        </w:rPr>
        <w:t>一般公共服务（201）</w:t>
      </w:r>
      <w:r>
        <w:rPr>
          <w:rFonts w:ascii="Times New Roman" w:eastAsia="仿宋" w:cs="Times New Roman" w:hAnsi="Times New Roman"/>
          <w:sz w:val="32"/>
          <w:szCs w:val="32"/>
        </w:rPr>
        <w:t>支出</w:t>
      </w:r>
      <w:r>
        <w:rPr>
          <w:rFonts w:ascii="仿宋" w:eastAsia="仿宋" w:hint="eastAsia"/>
          <w:color w:val="000000"/>
          <w:sz w:val="32"/>
          <w:szCs w:val="32"/>
          <w:lang w:val="en-US" w:eastAsia="zh-CN"/>
        </w:rPr>
        <w:t>273.49</w:t>
      </w:r>
      <w:r>
        <w:rPr>
          <w:rFonts w:ascii="Times New Roman" w:eastAsia="仿宋" w:cs="Times New Roman" w:hAnsi="Times New Roman"/>
          <w:sz w:val="32"/>
          <w:szCs w:val="32"/>
        </w:rPr>
        <w:t>万元，占</w:t>
      </w:r>
      <w:r>
        <w:rPr>
          <w:rFonts w:ascii="仿宋" w:eastAsia="仿宋" w:hint="eastAsia"/>
          <w:color w:val="000000"/>
          <w:sz w:val="32"/>
          <w:szCs w:val="32"/>
          <w:lang w:val="en-US" w:eastAsia="zh-CN"/>
        </w:rPr>
        <w:t>38.84</w:t>
      </w:r>
      <w:r>
        <w:rPr>
          <w:rFonts w:ascii="Times New Roman" w:eastAsia="仿宋" w:cs="Times New Roman" w:hAnsi="Times New Roman"/>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59.6</w:t>
      </w:r>
      <w:r>
        <w:rPr>
          <w:rFonts w:ascii="仿宋" w:eastAsia="仿宋" w:hint="eastAsia"/>
          <w:color w:val="000000"/>
          <w:sz w:val="32"/>
          <w:szCs w:val="32"/>
        </w:rPr>
        <w:t>万元，占</w:t>
      </w:r>
      <w:r>
        <w:rPr>
          <w:rFonts w:ascii="仿宋" w:eastAsia="仿宋" w:hint="eastAsia"/>
          <w:color w:val="000000"/>
          <w:sz w:val="32"/>
          <w:szCs w:val="32"/>
          <w:lang w:val="en-US" w:eastAsia="zh-CN"/>
        </w:rPr>
        <w:t>8.46</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30.45</w:t>
      </w:r>
      <w:r>
        <w:rPr>
          <w:rFonts w:ascii="仿宋" w:eastAsia="仿宋" w:hint="eastAsia"/>
          <w:color w:val="000000"/>
          <w:sz w:val="32"/>
          <w:szCs w:val="32"/>
        </w:rPr>
        <w:t>万元，占</w:t>
      </w:r>
      <w:r>
        <w:rPr>
          <w:rFonts w:ascii="仿宋" w:eastAsia="仿宋" w:hint="eastAsia"/>
          <w:color w:val="000000"/>
          <w:sz w:val="32"/>
          <w:szCs w:val="32"/>
          <w:lang w:val="en-US" w:eastAsia="zh-CN"/>
        </w:rPr>
        <w:t>4.32</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lang w:val="en-US" w:eastAsia="zh-CN"/>
        </w:rPr>
        <w:t>农林水支出</w:t>
      </w:r>
      <w:r>
        <w:rPr>
          <w:rFonts w:ascii="仿宋" w:eastAsia="仿宋" w:hint="eastAsia"/>
          <w:color w:val="000000"/>
          <w:sz w:val="32"/>
          <w:szCs w:val="32"/>
          <w:lang w:val="en-US" w:eastAsia="zh-CN"/>
        </w:rPr>
        <w:t>301.84万元，</w:t>
      </w:r>
      <w:r>
        <w:rPr>
          <w:rFonts w:ascii="仿宋" w:eastAsia="仿宋" w:hint="eastAsia"/>
          <w:color w:val="000000"/>
          <w:sz w:val="32"/>
          <w:szCs w:val="32"/>
        </w:rPr>
        <w:t>占</w:t>
      </w:r>
      <w:r>
        <w:rPr>
          <w:rFonts w:ascii="仿宋" w:eastAsia="仿宋" w:hint="eastAsia"/>
          <w:color w:val="000000"/>
          <w:sz w:val="32"/>
          <w:szCs w:val="32"/>
          <w:lang w:val="en-US" w:eastAsia="zh-CN"/>
        </w:rPr>
        <w:t>42，87</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38.78</w:t>
      </w:r>
      <w:r>
        <w:rPr>
          <w:rFonts w:ascii="仿宋" w:eastAsia="仿宋" w:hint="eastAsia"/>
          <w:color w:val="000000"/>
          <w:sz w:val="32"/>
          <w:szCs w:val="32"/>
        </w:rPr>
        <w:t>万元，占</w:t>
      </w:r>
      <w:r>
        <w:rPr>
          <w:rFonts w:ascii="仿宋" w:eastAsia="仿宋" w:hint="eastAsia"/>
          <w:color w:val="000000"/>
          <w:sz w:val="32"/>
          <w:szCs w:val="32"/>
          <w:lang w:val="en-US" w:eastAsia="zh-CN"/>
        </w:rPr>
        <w:t>5.51</w:t>
      </w:r>
      <w:r>
        <w:rPr>
          <w:rFonts w:ascii="仿宋" w:eastAsia="仿宋"/>
          <w:color w:val="000000"/>
          <w:sz w:val="32"/>
          <w:szCs w:val="32"/>
        </w:rPr>
        <w:t>%</w:t>
      </w:r>
      <w:r>
        <w:rPr>
          <w:rFonts w:ascii="仿宋" w:eastAsia="仿宋" w:hint="eastAsia"/>
          <w:color w:val="000000"/>
          <w:sz w:val="32"/>
          <w:szCs w:val="32"/>
          <w:lang w:eastAsia="zh-CN"/>
        </w:rPr>
        <w:t>。</w:t>
      </w:r>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lang w:eastAsia="zh-CN"/>
        </w:rPr>
      </w:pPr>
    </w:p>
    <w:p>
      <w:pPr>
        <w:pStyle w:val="16"/>
        <w:jc w:val="distribute"/>
        <w:rPr>
          <w:rFonts w:ascii="Times New Roman" w:eastAsia="仿宋" w:cs="Times New Roman" w:hAnsi="Times New Roman"/>
          <w:sz w:val="32"/>
          <w:szCs w:val="32"/>
        </w:rPr>
      </w:pPr>
      <w:r>
        <w:rPr>
          <w:rFonts w:ascii="仿宋" w:eastAsia="仿宋" w:hint="eastAsia"/>
          <w:color w:val="000000"/>
          <w:sz w:val="32"/>
          <w:szCs w:val="32"/>
          <w:lang w:eastAsia="zh-CN"/>
        </w:rPr>
        <w:drawing>
          <wp:anchor distT="0" distB="0" distL="114300" distR="114300" simplePos="0" relativeHeight="28" behindDoc="0" locked="0" layoutInCell="1" hidden="0" allowOverlap="1">
            <wp:simplePos x="0" y="0"/>
            <wp:positionH relativeFrom="column">
              <wp:posOffset>83819</wp:posOffset>
            </wp:positionH>
            <wp:positionV relativeFrom="paragraph">
              <wp:posOffset>4445</wp:posOffset>
            </wp:positionV>
            <wp:extent cx="5161915" cy="2541270"/>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r>
        <w:rPr>
          <w:rFonts w:ascii="仿宋" w:eastAsia="仿宋" w:hint="eastAsia"/>
          <w:color w:val="000000"/>
          <w:sz w:val="32"/>
          <w:szCs w:val="32"/>
          <w:lang w:val="en-US" w:eastAsia="zh-CN"/>
        </w:rPr>
        <w:t xml:space="preserve"> </w:t>
      </w:r>
      <w:r>
        <w:rPr>
          <w:rFonts w:ascii="Times New Roman" w:eastAsia="仿宋" w:cs="Times New Roman" w:hAnsi="Times New Roman"/>
          <w:color w:val="auto"/>
          <w:sz w:val="32"/>
          <w:szCs w:val="32"/>
        </w:rPr>
        <w:t>（图6：一般公共预算财政拨款支出决算结构）（饼状图）</w:t>
      </w:r>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b/>
          <w:sz w:val="32"/>
          <w:szCs w:val="32"/>
        </w:rPr>
      </w:pPr>
      <w:bookmarkStart w:id="52" w:name="_Toc15377212"/>
      <w:r>
        <w:rPr>
          <w:rFonts w:ascii="Times New Roman" w:eastAsia="仿宋" w:cs="Times New Roman" w:hAnsi="Times New Roman"/>
          <w:b/>
          <w:sz w:val="32"/>
          <w:szCs w:val="32"/>
        </w:rPr>
        <w:t>（三）一般公共预算财政拨款支出决算具体情况</w:t>
      </w:r>
      <w:bookmarkEnd w:id="52"/>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53" w:name="_Toc15377444"/>
      <w:bookmarkStart w:id="54" w:name="_Toc15378460"/>
      <w:bookmarkStart w:id="55" w:name="_Toc15377213"/>
      <w:r>
        <w:rPr>
          <w:rFonts w:ascii="Times New Roman" w:eastAsia="仿宋" w:cs="Times New Roman" w:hAnsi="Times New Roman"/>
          <w:b/>
          <w:sz w:val="32"/>
          <w:szCs w:val="32"/>
        </w:rPr>
        <w:t>202</w:t>
      </w:r>
      <w:r>
        <w:rPr>
          <w:rFonts w:eastAsia="仿宋" w:cs="Times New Roman" w:hint="eastAsia"/>
          <w:b/>
          <w:sz w:val="32"/>
          <w:szCs w:val="32"/>
          <w:lang w:val="en-US" w:eastAsia="zh-CN"/>
        </w:rPr>
        <w:t>2</w:t>
      </w:r>
      <w:r>
        <w:rPr>
          <w:rFonts w:ascii="Times New Roman" w:eastAsia="仿宋" w:cs="Times New Roman" w:hAnsi="Times New Roman"/>
          <w:b/>
          <w:sz w:val="32"/>
          <w:szCs w:val="32"/>
        </w:rPr>
        <w:t>年一般公共预算支出决算数为</w:t>
      </w:r>
      <w:r>
        <w:rPr>
          <w:rFonts w:ascii="仿宋_GB2312" w:eastAsia="仿宋_GB2312" w:hint="eastAsia"/>
          <w:color w:val="000000"/>
          <w:spacing w:val="-2"/>
          <w:kern w:val="2"/>
          <w:sz w:val="32"/>
          <w:szCs w:val="32"/>
          <w:lang w:val="en-US" w:eastAsia="zh-CN" w:bidi="ar-SA"/>
        </w:rPr>
        <w:t>704.16</w:t>
      </w:r>
      <w:r>
        <w:rPr>
          <w:rFonts w:ascii="Times New Roman" w:eastAsia="仿宋" w:cs="Times New Roman" w:hAnsi="Times New Roman"/>
          <w:sz w:val="32"/>
          <w:szCs w:val="32"/>
        </w:rPr>
        <w:t>，</w:t>
      </w:r>
      <w:r>
        <w:rPr>
          <w:rStyle w:val="23"/>
          <w:rFonts w:ascii="Times New Roman" w:eastAsia="仿宋" w:cs="Times New Roman" w:hAnsi="Times New Roman"/>
          <w:bCs/>
          <w:sz w:val="32"/>
          <w:szCs w:val="32"/>
        </w:rPr>
        <w:t>完成预算100%。其中：</w:t>
      </w:r>
      <w:bookmarkEnd w:id="53"/>
      <w:bookmarkEnd w:id="54"/>
      <w:bookmarkEnd w:id="55"/>
    </w:p>
    <w:p>
      <w:pPr>
        <w:spacing w:line="600" w:lineRule="exact"/>
        <w:ind w:firstLineChars="200" w:firstLine="640"/>
        <w:rPr>
          <w:rStyle w:val="23"/>
          <w:rFonts w:ascii="仿宋" w:eastAsia="仿宋" w:hint="eastAsia"/>
          <w:b w:val="0"/>
          <w:bCs/>
          <w:color w:val="000000"/>
          <w:sz w:val="32"/>
          <w:szCs w:val="32"/>
          <w:lang w:eastAsia="zh-CN"/>
        </w:rPr>
      </w:pPr>
      <w:bookmarkStart w:id="56" w:name="_Toc15377214"/>
      <w:bookmarkStart w:id="57" w:name="_Toc15396608"/>
      <w:bookmarkStart w:id="58" w:name="_Toc26843617"/>
      <w:r>
        <w:rPr>
          <w:rStyle w:val="23"/>
          <w:rFonts w:ascii="仿宋" w:eastAsia="仿宋" w:hint="eastAsia"/>
          <w:bCs/>
          <w:color w:val="000000"/>
          <w:sz w:val="32"/>
          <w:szCs w:val="32"/>
          <w:lang w:val="en-US" w:eastAsia="zh-CN"/>
        </w:rPr>
        <w:t>1.</w:t>
      </w:r>
      <w:r>
        <w:rPr>
          <w:rStyle w:val="23"/>
          <w:rFonts w:ascii="仿宋" w:eastAsia="仿宋" w:hint="eastAsia"/>
          <w:bCs/>
          <w:color w:val="000000"/>
          <w:sz w:val="32"/>
          <w:szCs w:val="32"/>
        </w:rPr>
        <w:t>一般公共服务（类）</w:t>
      </w:r>
      <w:r>
        <w:rPr>
          <w:rStyle w:val="23"/>
          <w:rFonts w:ascii="仿宋" w:eastAsia="仿宋" w:hint="eastAsia"/>
          <w:bCs/>
          <w:color w:val="000000"/>
          <w:sz w:val="32"/>
          <w:szCs w:val="32"/>
          <w:lang w:val="en-US" w:eastAsia="zh-CN"/>
        </w:rPr>
        <w:t>政府办公厅（室）及相关机构事务</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一般行政管理事务</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Fonts w:ascii="仿宋" w:eastAsia="仿宋" w:hint="eastAsia"/>
          <w:color w:val="000000"/>
          <w:sz w:val="32"/>
          <w:szCs w:val="32"/>
          <w:lang w:val="en-US" w:eastAsia="zh-CN"/>
        </w:rPr>
        <w:t>273.49</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lang w:val="en-US" w:eastAsia="zh-CN"/>
        </w:rPr>
        <w:t>2</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Cs/>
          <w:color w:val="000000"/>
          <w:sz w:val="32"/>
          <w:szCs w:val="32"/>
        </w:rPr>
        <w:t>社会保障和就业（类）</w:t>
      </w:r>
      <w:r>
        <w:rPr>
          <w:rStyle w:val="23"/>
          <w:rFonts w:ascii="仿宋" w:eastAsia="仿宋" w:hint="eastAsia"/>
          <w:bCs/>
          <w:color w:val="000000"/>
          <w:sz w:val="32"/>
          <w:szCs w:val="32"/>
          <w:lang w:val="en-US" w:eastAsia="zh-CN"/>
        </w:rPr>
        <w:t>行政事业单位离退休</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机关事业单位基本养老保险缴费支出</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39.74</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3</w:t>
      </w:r>
      <w:r>
        <w:rPr>
          <w:rStyle w:val="23"/>
          <w:rFonts w:ascii="仿宋" w:eastAsia="仿宋"/>
          <w:bCs/>
          <w:color w:val="000000"/>
          <w:sz w:val="32"/>
          <w:szCs w:val="32"/>
        </w:rPr>
        <w:t>.</w:t>
      </w:r>
      <w:r>
        <w:rPr>
          <w:rStyle w:val="23"/>
          <w:rFonts w:ascii="仿宋" w:eastAsia="仿宋" w:hint="eastAsia"/>
          <w:bCs/>
          <w:color w:val="000000"/>
          <w:sz w:val="32"/>
          <w:szCs w:val="32"/>
        </w:rPr>
        <w:t>社会保障和就业（类）</w:t>
      </w:r>
      <w:r>
        <w:rPr>
          <w:rStyle w:val="23"/>
          <w:rFonts w:ascii="仿宋" w:eastAsia="仿宋" w:hint="eastAsia"/>
          <w:bCs/>
          <w:color w:val="000000"/>
          <w:sz w:val="32"/>
          <w:szCs w:val="32"/>
          <w:lang w:val="en-US" w:eastAsia="zh-CN"/>
        </w:rPr>
        <w:t>行政事业单位离退休</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机关事业单位基本职业年金缴费支出</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19.87</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4.卫生健康支出（类）公共卫生</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突发公共卫生事件应急处理（</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5.卫生健康支出（类）行政事业单位医疗</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行政单位医疗</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14.28</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6.卫生健康支出（类）行政事业单位医疗</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事业单位医疗</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6.49</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spacing w:line="600" w:lineRule="exact"/>
        <w:ind w:firstLineChars="200" w:firstLine="640"/>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7.</w:t>
      </w:r>
      <w:r>
        <w:rPr>
          <w:rStyle w:val="23"/>
          <w:rFonts w:ascii="仿宋" w:eastAsia="仿宋" w:hint="eastAsia"/>
          <w:bCs/>
          <w:color w:val="000000"/>
          <w:sz w:val="32"/>
          <w:szCs w:val="32"/>
          <w:lang w:eastAsia="zh-CN"/>
        </w:rPr>
        <w:t>卫生健康支出</w:t>
      </w:r>
      <w:r>
        <w:rPr>
          <w:rStyle w:val="23"/>
          <w:rFonts w:ascii="仿宋" w:eastAsia="仿宋" w:hint="eastAsia"/>
          <w:bCs/>
          <w:color w:val="000000"/>
          <w:sz w:val="32"/>
          <w:szCs w:val="32"/>
        </w:rPr>
        <w:t>（类）</w:t>
      </w:r>
      <w:r>
        <w:rPr>
          <w:rStyle w:val="23"/>
          <w:rFonts w:ascii="仿宋" w:eastAsia="仿宋" w:hint="eastAsia"/>
          <w:bCs/>
          <w:color w:val="000000"/>
          <w:sz w:val="32"/>
          <w:szCs w:val="32"/>
          <w:lang w:val="en-US" w:eastAsia="zh-CN"/>
        </w:rPr>
        <w:t>行政事业单位医疗</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公务员医疗补助</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2.85</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8.农林水支出（类）农业农村</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农村道路建设</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55.02</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9.</w:t>
      </w:r>
      <w:r>
        <w:rPr>
          <w:rStyle w:val="23"/>
          <w:rFonts w:ascii="仿宋" w:eastAsia="仿宋" w:hint="eastAsia"/>
          <w:bCs/>
          <w:color w:val="000000"/>
          <w:sz w:val="32"/>
          <w:szCs w:val="32"/>
        </w:rPr>
        <w:t>农林水支出（类）农业农村（款）事业运行（项）：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164.59</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rPr>
        <w:t>10.农林水支出（类）农村综合改革</w:t>
      </w:r>
      <w:r>
        <w:rPr>
          <w:rStyle w:val="23"/>
          <w:rFonts w:ascii="仿宋" w:eastAsia="仿宋" w:hint="eastAsia"/>
          <w:bCs/>
          <w:color w:val="000000"/>
          <w:sz w:val="32"/>
          <w:szCs w:val="32"/>
        </w:rPr>
        <w:t>（款）</w:t>
      </w:r>
      <w:r>
        <w:rPr>
          <w:rStyle w:val="23"/>
          <w:rFonts w:ascii="仿宋" w:eastAsia="仿宋" w:hint="eastAsia"/>
          <w:bCs/>
          <w:color w:val="000000"/>
          <w:sz w:val="32"/>
          <w:szCs w:val="32"/>
          <w:lang w:val="en-US" w:eastAsia="zh-CN"/>
        </w:rPr>
        <w:t>对村民委员会和党支部补助</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82.23</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3"/>
          <w:rFonts w:ascii="仿宋" w:eastAsia="仿宋" w:hint="eastAsia"/>
          <w:b w:val="0"/>
          <w:bCs/>
          <w:color w:val="000000"/>
          <w:sz w:val="32"/>
          <w:szCs w:val="32"/>
          <w:lang w:eastAsia="zh-CN"/>
          <w:highlight w:val="auto"/>
        </w:rPr>
      </w:pPr>
      <w:r>
        <w:rPr>
          <w:rStyle w:val="23"/>
          <w:rFonts w:ascii="仿宋" w:eastAsia="仿宋" w:hint="eastAsia"/>
          <w:bCs/>
          <w:color w:val="000000"/>
          <w:sz w:val="32"/>
          <w:szCs w:val="32"/>
          <w:lang w:val="en-US" w:eastAsia="zh-CN"/>
          <w:highlight w:val="auto"/>
        </w:rPr>
        <w:t>11.住房保障（类）住房改革支出（款）住房公积金（项）：</w:t>
      </w:r>
      <w:r>
        <w:rPr>
          <w:rStyle w:val="23"/>
          <w:rFonts w:ascii="仿宋" w:eastAsia="仿宋" w:hint="eastAsia"/>
          <w:b w:val="0"/>
          <w:bCs/>
          <w:color w:val="000000"/>
          <w:sz w:val="32"/>
          <w:szCs w:val="32"/>
          <w:highlight w:val="auto"/>
        </w:rPr>
        <w:t>支出决算为</w:t>
      </w:r>
      <w:r>
        <w:rPr>
          <w:rStyle w:val="23"/>
          <w:rFonts w:ascii="仿宋" w:eastAsia="仿宋" w:hint="eastAsia"/>
          <w:b w:val="0"/>
          <w:bCs/>
          <w:color w:val="000000"/>
          <w:sz w:val="32"/>
          <w:szCs w:val="32"/>
          <w:lang w:val="en-US" w:eastAsia="zh-CN"/>
          <w:highlight w:val="auto"/>
        </w:rPr>
        <w:t>38.78</w:t>
      </w:r>
      <w:r>
        <w:rPr>
          <w:rStyle w:val="23"/>
          <w:rFonts w:ascii="仿宋" w:eastAsia="仿宋" w:hint="eastAsia"/>
          <w:b w:val="0"/>
          <w:bCs/>
          <w:color w:val="000000"/>
          <w:sz w:val="32"/>
          <w:szCs w:val="32"/>
          <w:highlight w:val="auto"/>
        </w:rPr>
        <w:t>万元</w:t>
      </w:r>
      <w:r>
        <w:rPr>
          <w:rStyle w:val="23"/>
          <w:rFonts w:ascii="仿宋" w:eastAsia="仿宋" w:hint="eastAsia"/>
          <w:b w:val="0"/>
          <w:bCs/>
          <w:color w:val="000000"/>
          <w:sz w:val="32"/>
          <w:szCs w:val="32"/>
          <w:lang w:eastAsia="zh-CN"/>
          <w:highlight w:val="auto"/>
        </w:rPr>
        <w:t>，</w:t>
      </w:r>
      <w:r>
        <w:rPr>
          <w:rStyle w:val="23"/>
          <w:rFonts w:ascii="仿宋" w:eastAsia="仿宋" w:hint="eastAsia"/>
          <w:b w:val="0"/>
          <w:bCs/>
          <w:color w:val="000000"/>
          <w:sz w:val="32"/>
          <w:szCs w:val="32"/>
        </w:rPr>
        <w:t>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3"/>
          <w:rFonts w:ascii="仿宋" w:eastAsia="仿宋" w:hint="eastAsia"/>
          <w:b w:val="0"/>
          <w:bCs/>
          <w:color w:val="000000"/>
          <w:sz w:val="32"/>
          <w:szCs w:val="32"/>
          <w:lang w:eastAsia="zh-CN"/>
        </w:rPr>
      </w:pPr>
      <w:r>
        <w:rPr>
          <w:rStyle w:val="23"/>
          <w:rFonts w:ascii="仿宋" w:eastAsia="仿宋" w:hint="eastAsia"/>
          <w:bCs/>
          <w:color w:val="000000"/>
          <w:sz w:val="32"/>
          <w:szCs w:val="32"/>
          <w:lang w:val="en-US" w:eastAsia="zh-CN"/>
          <w:highlight w:val="auto"/>
        </w:rPr>
        <w:t>12.其他支出（类）其他支出（款）其他支出（项）：</w:t>
      </w:r>
      <w:r>
        <w:rPr>
          <w:rStyle w:val="23"/>
          <w:rFonts w:ascii="仿宋" w:eastAsia="仿宋" w:hint="eastAsia"/>
          <w:b w:val="0"/>
          <w:bCs/>
          <w:color w:val="000000"/>
          <w:sz w:val="32"/>
          <w:szCs w:val="32"/>
          <w:highlight w:val="auto"/>
        </w:rPr>
        <w:t>支出决算为</w:t>
      </w:r>
      <w:r>
        <w:rPr>
          <w:rStyle w:val="23"/>
          <w:rFonts w:ascii="仿宋" w:eastAsia="仿宋" w:hint="eastAsia"/>
          <w:b w:val="0"/>
          <w:bCs/>
          <w:color w:val="000000"/>
          <w:sz w:val="32"/>
          <w:szCs w:val="32"/>
          <w:lang w:val="en-US" w:eastAsia="zh-CN"/>
          <w:highlight w:val="auto"/>
        </w:rPr>
        <w:t>0</w:t>
      </w:r>
      <w:r>
        <w:rPr>
          <w:rStyle w:val="23"/>
          <w:rFonts w:ascii="仿宋" w:eastAsia="仿宋" w:hint="eastAsia"/>
          <w:b w:val="0"/>
          <w:bCs/>
          <w:color w:val="000000"/>
          <w:sz w:val="32"/>
          <w:szCs w:val="32"/>
          <w:highlight w:val="auto"/>
        </w:rPr>
        <w:t>万元</w:t>
      </w:r>
      <w:r>
        <w:rPr>
          <w:rStyle w:val="23"/>
          <w:rFonts w:ascii="仿宋" w:eastAsia="仿宋" w:hint="eastAsia"/>
          <w:b w:val="0"/>
          <w:bCs/>
          <w:color w:val="000000"/>
          <w:sz w:val="32"/>
          <w:szCs w:val="32"/>
          <w:lang w:eastAsia="zh-CN"/>
          <w:highlight w:val="auto"/>
        </w:rPr>
        <w:t>，</w:t>
      </w:r>
      <w:r>
        <w:rPr>
          <w:rStyle w:val="23"/>
          <w:rFonts w:ascii="仿宋" w:eastAsia="仿宋" w:hint="eastAsia"/>
          <w:b w:val="0"/>
          <w:bCs/>
          <w:color w:val="000000"/>
          <w:sz w:val="32"/>
          <w:szCs w:val="32"/>
        </w:rPr>
        <w:t>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lang w:eastAsia="zh-CN"/>
        </w:rPr>
        <w:t>。</w:t>
      </w:r>
    </w:p>
    <w:p>
      <w:pPr>
        <w:pageBreakBefore w:val="0"/>
        <w:widowControl w:val="0"/>
        <w:tabs>
          <w:tab w:val="right" w:pos="8306"/>
        </w:tabs>
        <w:kinsoku/>
        <w:wordWrap/>
        <w:overflowPunct/>
        <w:topLinePunct w:val="0"/>
        <w:bidi w:val="0"/>
        <w:spacing w:line="576" w:lineRule="exact"/>
        <w:ind w:firstLine="640"/>
        <w:outlineLvl w:val="1"/>
        <w:rPr>
          <w:rStyle w:val="2Char"/>
          <w:rFonts w:ascii="Times New Roman" w:cs="Times New Roman" w:hAnsi="Times New Roman"/>
        </w:rPr>
      </w:pPr>
      <w:r>
        <w:rPr>
          <w:rFonts w:ascii="Times New Roman" w:eastAsia="黑体" w:cs="Times New Roman" w:hAnsi="Times New Roman"/>
          <w:sz w:val="32"/>
          <w:szCs w:val="32"/>
        </w:rPr>
        <w:t>六</w:t>
      </w:r>
      <w:r>
        <w:rPr>
          <w:rFonts w:ascii="Times New Roman" w:eastAsia="黑体" w:cs="Times New Roman" w:hAnsi="Times New Roman"/>
          <w:b/>
          <w:sz w:val="32"/>
          <w:szCs w:val="32"/>
        </w:rPr>
        <w:t>、一</w:t>
      </w:r>
      <w:r>
        <w:rPr>
          <w:rStyle w:val="2Char"/>
          <w:rFonts w:ascii="Times New Roman" w:eastAsia="黑体" w:cs="Times New Roman" w:hAnsi="Times New Roman"/>
          <w:b w:val="0"/>
        </w:rPr>
        <w:t>般公共预算财政拨款基本支出决算情况说明</w:t>
      </w:r>
      <w:bookmarkEnd w:id="56"/>
      <w:bookmarkEnd w:id="57"/>
      <w:r>
        <w:rPr>
          <w:rStyle w:val="2Char"/>
          <w:rFonts w:ascii="Times New Roman" w:eastAsia="黑体" w:cs="Times New Roman" w:hAnsi="Times New Roman"/>
          <w:b w:val="0"/>
        </w:rPr>
        <w:tab/>
      </w:r>
      <w:bookmarkEnd w:id="58"/>
    </w:p>
    <w:p>
      <w:pPr>
        <w:pageBreakBefore w:val="0"/>
        <w:widowControl w:val="0"/>
        <w:kinsoku/>
        <w:wordWrap/>
        <w:overflowPunct/>
        <w:topLinePunct w:val="0"/>
        <w:bidi w:val="0"/>
        <w:spacing w:line="576" w:lineRule="exact"/>
        <w:ind w:firstLine="645"/>
        <w:rPr>
          <w:rFonts w:ascii="Times New Roman" w:eastAsia="仿宋_GB2312" w:cs="Times New Roman" w:hAnsi="Times New Roman"/>
          <w:sz w:val="32"/>
          <w:szCs w:val="32"/>
        </w:rPr>
      </w:pPr>
      <w:r>
        <w:rPr>
          <w:rFonts w:ascii="Times New Roman" w:eastAsia="仿宋_GB2312" w:cs="Times New Roman" w:hAnsi="Times New Roman"/>
          <w:sz w:val="32"/>
          <w:szCs w:val="32"/>
        </w:rPr>
        <w:t>202年一般公共预算财政拨款基本支出</w:t>
      </w:r>
      <w:r>
        <w:rPr>
          <w:rFonts w:ascii="仿宋_GB2312" w:eastAsia="仿宋_GB2312" w:hint="eastAsia"/>
          <w:sz w:val="32"/>
          <w:szCs w:val="32"/>
          <w:lang w:val="en-US" w:eastAsia="zh-CN"/>
        </w:rPr>
        <w:t>561.81</w:t>
      </w:r>
      <w:r>
        <w:rPr>
          <w:rFonts w:ascii="Times New Roman" w:eastAsia="仿宋_GB2312" w:cs="Times New Roman" w:hAnsi="Times New Roman"/>
          <w:sz w:val="32"/>
          <w:szCs w:val="32"/>
        </w:rPr>
        <w:t>万元，其中：</w:t>
      </w:r>
    </w:p>
    <w:p>
      <w:pPr>
        <w:spacing w:line="600" w:lineRule="exact"/>
        <w:ind w:firstLine="645"/>
        <w:rPr>
          <w:rFonts w:ascii="仿宋" w:eastAsia="仿宋" w:hint="eastAsia"/>
          <w:color w:val="000000"/>
          <w:sz w:val="32"/>
          <w:szCs w:val="32"/>
          <w:lang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537.22</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94.73万元</w:t>
      </w:r>
      <w:r>
        <w:rPr>
          <w:rFonts w:ascii="仿宋" w:eastAsia="仿宋" w:hint="eastAsia"/>
          <w:color w:val="000000"/>
          <w:sz w:val="32"/>
          <w:szCs w:val="32"/>
        </w:rPr>
        <w:t>、津贴补贴</w:t>
      </w:r>
      <w:r>
        <w:rPr>
          <w:rFonts w:ascii="仿宋" w:eastAsia="仿宋" w:hint="eastAsia"/>
          <w:color w:val="000000"/>
          <w:sz w:val="32"/>
          <w:szCs w:val="32"/>
          <w:lang w:val="en-US" w:eastAsia="zh-CN"/>
        </w:rPr>
        <w:t>147.7万元</w:t>
      </w:r>
      <w:r>
        <w:rPr>
          <w:rFonts w:ascii="仿宋" w:eastAsia="仿宋" w:hint="eastAsia"/>
          <w:color w:val="000000"/>
          <w:sz w:val="32"/>
          <w:szCs w:val="32"/>
        </w:rPr>
        <w:t>、奖金</w:t>
      </w:r>
      <w:r>
        <w:rPr>
          <w:rFonts w:ascii="仿宋" w:eastAsia="仿宋" w:hint="eastAsia"/>
          <w:color w:val="000000"/>
          <w:sz w:val="32"/>
          <w:szCs w:val="32"/>
          <w:lang w:val="en-US" w:eastAsia="zh-CN"/>
        </w:rPr>
        <w:t>91.95万元，绩效20.71万元，其他社会保险缴费7.06万元，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39.74万元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19.87万元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职工基本医疗保险缴费20.77万元、公务员医疗补助缴费2.85万元、</w:t>
      </w:r>
      <w:r>
        <w:rPr>
          <w:rFonts w:ascii="仿宋" w:eastAsia="仿宋" w:hint="eastAsia"/>
          <w:color w:val="000000"/>
          <w:sz w:val="32"/>
          <w:szCs w:val="32"/>
        </w:rPr>
        <w:t>住房公积金</w:t>
      </w:r>
      <w:r>
        <w:rPr>
          <w:rFonts w:ascii="仿宋" w:eastAsia="仿宋" w:hint="eastAsia"/>
          <w:color w:val="000000"/>
          <w:sz w:val="32"/>
          <w:szCs w:val="32"/>
          <w:lang w:val="en-US" w:eastAsia="zh-CN"/>
        </w:rPr>
        <w:t>38.78万元</w:t>
      </w:r>
      <w:r>
        <w:rPr>
          <w:rFonts w:ascii="仿宋" w:eastAsia="仿宋" w:hint="eastAsia"/>
          <w:color w:val="000000"/>
          <w:sz w:val="32"/>
          <w:szCs w:val="32"/>
        </w:rPr>
        <w:t>、</w:t>
      </w:r>
      <w:r>
        <w:rPr>
          <w:rFonts w:ascii="仿宋" w:eastAsia="仿宋" w:hint="eastAsia"/>
          <w:color w:val="000000"/>
          <w:sz w:val="32"/>
          <w:szCs w:val="32"/>
          <w:lang w:val="en-US" w:eastAsia="zh-CN"/>
        </w:rPr>
        <w:t>奖励金53.08万元</w:t>
      </w:r>
      <w:r>
        <w:rPr>
          <w:rFonts w:ascii="仿宋" w:eastAsia="仿宋" w:hint="eastAsia"/>
          <w:color w:val="000000"/>
          <w:sz w:val="32"/>
          <w:szCs w:val="32"/>
        </w:rPr>
        <w:t>等。</w:t>
      </w:r>
    </w:p>
    <w:p>
      <w:pPr>
        <w:spacing w:line="600" w:lineRule="exact"/>
        <w:ind w:firstLineChars="100" w:firstLine="320"/>
        <w:rPr>
          <w:rFonts w:ascii="仿宋" w:eastAsia="仿宋"/>
          <w:color w:val="000000"/>
          <w:sz w:val="32"/>
          <w:szCs w:val="32"/>
          <w:lang w:val="en-US" w:eastAsia="zh-CN"/>
        </w:rPr>
      </w:pPr>
      <w:r>
        <w:rPr>
          <w:rFonts w:ascii="仿宋" w:eastAsia="仿宋" w:hint="eastAsia"/>
          <w:color w:val="000000"/>
          <w:sz w:val="32"/>
          <w:szCs w:val="32"/>
        </w:rPr>
        <w:t>公用经费</w:t>
      </w:r>
      <w:r>
        <w:rPr>
          <w:rFonts w:ascii="仿宋" w:eastAsia="仿宋" w:hint="eastAsia"/>
          <w:color w:val="000000"/>
          <w:sz w:val="32"/>
          <w:szCs w:val="32"/>
          <w:lang w:val="en-US" w:eastAsia="zh-CN"/>
        </w:rPr>
        <w:t>24.59</w:t>
      </w:r>
      <w:r>
        <w:rPr>
          <w:rFonts w:ascii="仿宋" w:eastAsia="仿宋" w:hint="eastAsia"/>
          <w:color w:val="000000"/>
          <w:sz w:val="32"/>
          <w:szCs w:val="32"/>
        </w:rPr>
        <w:t>万元，主要包括：</w:t>
      </w:r>
      <w:r>
        <w:rPr>
          <w:rFonts w:ascii="仿宋" w:eastAsia="仿宋" w:hint="eastAsia"/>
          <w:color w:val="000000"/>
          <w:sz w:val="32"/>
          <w:szCs w:val="32"/>
          <w:lang w:eastAsia="zh-CN"/>
        </w:rPr>
        <w:t>办公费</w:t>
      </w:r>
      <w:r>
        <w:rPr>
          <w:rFonts w:ascii="仿宋" w:eastAsia="仿宋" w:hint="eastAsia"/>
          <w:color w:val="000000"/>
          <w:sz w:val="32"/>
          <w:szCs w:val="32"/>
          <w:lang w:val="en-US" w:eastAsia="zh-CN"/>
        </w:rPr>
        <w:t>1.41万元，印刷费2.17万元，手续费0.02万元，电费3.9万元，邮电费2.2万元，差旅费3.49万元，维修维护费2万元，劳务费3.6万元，公务用车运行维护费5.8万元。</w:t>
      </w:r>
    </w:p>
    <w:p>
      <w:pPr>
        <w:spacing w:line="600" w:lineRule="exact"/>
        <w:ind w:firstLine="645"/>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w:t>
      </w:r>
      <w:r>
        <w:rPr>
          <w:rFonts w:ascii="仿宋" w:eastAsia="仿宋" w:hint="eastAsia"/>
          <w:color w:val="000000"/>
          <w:sz w:val="32"/>
          <w:szCs w:val="32"/>
          <w:lang w:eastAsia="zh-CN"/>
        </w:rPr>
        <w:t>项目</w:t>
      </w:r>
      <w:r>
        <w:rPr>
          <w:rFonts w:ascii="仿宋" w:eastAsia="仿宋" w:hint="eastAsia"/>
          <w:color w:val="000000"/>
          <w:sz w:val="32"/>
          <w:szCs w:val="32"/>
        </w:rPr>
        <w:t>支出</w:t>
      </w:r>
      <w:r>
        <w:rPr>
          <w:rFonts w:ascii="仿宋_GB2312" w:eastAsia="仿宋_GB2312" w:hint="eastAsia"/>
          <w:sz w:val="32"/>
          <w:szCs w:val="32"/>
          <w:lang w:val="en-US" w:eastAsia="zh-CN"/>
        </w:rPr>
        <w:t>142.35</w:t>
      </w:r>
      <w:r>
        <w:rPr>
          <w:rFonts w:ascii="仿宋" w:eastAsia="仿宋" w:hint="eastAsia"/>
          <w:color w:val="000000"/>
          <w:sz w:val="32"/>
          <w:szCs w:val="32"/>
        </w:rPr>
        <w:t>万元</w:t>
      </w:r>
      <w:r>
        <w:rPr>
          <w:rFonts w:ascii="仿宋" w:eastAsia="仿宋" w:hint="eastAsia"/>
          <w:color w:val="000000"/>
          <w:sz w:val="32"/>
          <w:szCs w:val="32"/>
          <w:lang w:eastAsia="zh-CN"/>
        </w:rPr>
        <w:t>。</w:t>
      </w:r>
    </w:p>
    <w:p>
      <w:pPr>
        <w:pageBreakBefore w:val="0"/>
        <w:widowControl w:val="0"/>
        <w:kinsoku/>
        <w:wordWrap/>
        <w:overflowPunct/>
        <w:topLinePunct w:val="0"/>
        <w:bidi w:val="0"/>
        <w:spacing w:line="576" w:lineRule="exact"/>
        <w:ind w:firstLineChars="200" w:firstLine="640"/>
        <w:outlineLvl w:val="1"/>
        <w:rPr>
          <w:rStyle w:val="2Char"/>
          <w:rFonts w:ascii="Times New Roman" w:eastAsia="黑体" w:cs="Times New Roman" w:hAnsi="Times New Roman"/>
          <w:b w:val="0"/>
        </w:rPr>
      </w:pPr>
      <w:bookmarkStart w:id="59" w:name="_Toc26843618"/>
      <w:bookmarkStart w:id="60" w:name="_Toc15377215"/>
      <w:bookmarkStart w:id="61" w:name="_Toc15396609"/>
      <w:r>
        <w:rPr>
          <w:rFonts w:ascii="Times New Roman" w:eastAsia="黑体" w:cs="Times New Roman" w:hAnsi="Times New Roman"/>
          <w:sz w:val="32"/>
          <w:szCs w:val="32"/>
        </w:rPr>
        <w:t>七、</w:t>
      </w:r>
      <w:r>
        <w:rPr>
          <w:rStyle w:val="2Char"/>
          <w:rFonts w:ascii="Times New Roman" w:eastAsia="黑体" w:cs="Times New Roman" w:hAnsi="Times New Roman"/>
        </w:rPr>
        <w:t>“</w:t>
      </w:r>
      <w:r>
        <w:rPr>
          <w:rStyle w:val="2Char"/>
          <w:rFonts w:ascii="Times New Roman" w:eastAsia="黑体" w:cs="Times New Roman" w:hAnsi="Times New Roman"/>
          <w:b w:val="0"/>
        </w:rPr>
        <w:t>三公”经费财政拨款支出决算情况说明</w:t>
      </w:r>
      <w:bookmarkEnd w:id="59"/>
      <w:bookmarkEnd w:id="60"/>
      <w:bookmarkEnd w:id="61"/>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62" w:name="_Toc15377216"/>
      <w:r>
        <w:rPr>
          <w:rFonts w:ascii="Times New Roman" w:eastAsia="仿宋" w:cs="Times New Roman" w:hAnsi="Times New Roman"/>
          <w:b/>
          <w:sz w:val="32"/>
          <w:szCs w:val="32"/>
        </w:rPr>
        <w:t>（一）“三公”经费财政拨款支出决算总体情况说明</w:t>
      </w:r>
      <w:bookmarkEnd w:id="62"/>
    </w:p>
    <w:p>
      <w:pPr>
        <w:pageBreakBefore w:val="0"/>
        <w:widowControl w:val="0"/>
        <w:kinsoku/>
        <w:wordWrap/>
        <w:overflowPunct/>
        <w:topLinePunct w:val="0"/>
        <w:bidi w:val="0"/>
        <w:spacing w:line="576" w:lineRule="exact"/>
        <w:ind w:firstLine="640"/>
        <w:rPr>
          <w:rFonts w:ascii="Times New Roman" w:eastAsia="仿宋_GB2312" w:cs="Times New Roman" w:hAnsi="Times New Roman" w:hint="eastAsia"/>
          <w:sz w:val="32"/>
          <w:szCs w:val="32"/>
          <w:lang w:eastAsia="zh-CN"/>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年“三公”经费财政拨款支出决算为</w:t>
      </w:r>
      <w:r>
        <w:rPr>
          <w:rFonts w:ascii="仿宋" w:eastAsia="仿宋" w:hint="eastAsia"/>
          <w:color w:val="000000"/>
          <w:sz w:val="32"/>
          <w:szCs w:val="32"/>
          <w:lang w:val="en-US" w:eastAsia="zh-CN"/>
        </w:rPr>
        <w:t>5.8</w:t>
      </w:r>
      <w:r>
        <w:rPr>
          <w:rFonts w:ascii="Times New Roman" w:eastAsia="仿宋_GB2312" w:cs="Times New Roman" w:hAnsi="Times New Roman"/>
          <w:sz w:val="32"/>
          <w:szCs w:val="32"/>
        </w:rPr>
        <w:t>万元，完成预算</w:t>
      </w:r>
      <w:r>
        <w:rPr>
          <w:rFonts w:eastAsia="仿宋_GB2312" w:cs="Times New Roman" w:hint="eastAsia"/>
          <w:sz w:val="32"/>
          <w:szCs w:val="32"/>
          <w:lang w:val="en-US" w:eastAsia="zh-CN"/>
        </w:rPr>
        <w:t>100</w:t>
      </w:r>
      <w:r>
        <w:rPr>
          <w:rFonts w:ascii="Times New Roman" w:eastAsia="仿宋_GB2312" w:cs="Times New Roman" w:hAnsi="Times New Roman"/>
          <w:sz w:val="32"/>
          <w:szCs w:val="32"/>
        </w:rPr>
        <w:t>%</w:t>
      </w:r>
      <w:r>
        <w:rPr>
          <w:rFonts w:eastAsia="仿宋_GB2312" w:cs="Times New Roman" w:hint="eastAsia"/>
          <w:sz w:val="32"/>
          <w:szCs w:val="32"/>
          <w:lang w:eastAsia="zh-CN"/>
        </w:rPr>
        <w:t>。</w:t>
      </w:r>
    </w:p>
    <w:p>
      <w:pPr>
        <w:pageBreakBefore w:val="0"/>
        <w:widowControl w:val="0"/>
        <w:kinsoku/>
        <w:wordWrap/>
        <w:overflowPunct/>
        <w:topLinePunct w:val="0"/>
        <w:bidi w:val="0"/>
        <w:spacing w:line="576" w:lineRule="exact"/>
        <w:ind w:firstLine="640"/>
        <w:outlineLvl w:val="2"/>
        <w:rPr>
          <w:rFonts w:ascii="Times New Roman" w:eastAsia="仿宋" w:cs="Times New Roman" w:hAnsi="Times New Roman"/>
          <w:b/>
          <w:sz w:val="32"/>
          <w:szCs w:val="32"/>
        </w:rPr>
      </w:pPr>
      <w:bookmarkStart w:id="63" w:name="_Toc15377217"/>
      <w:r>
        <w:rPr>
          <w:rFonts w:ascii="Times New Roman" w:eastAsia="仿宋" w:cs="Times New Roman" w:hAnsi="Times New Roman"/>
          <w:b/>
          <w:sz w:val="32"/>
          <w:szCs w:val="32"/>
        </w:rPr>
        <w:t>（二）“三公”经费财政拨款支出决算具体情况说明</w:t>
      </w:r>
      <w:bookmarkEnd w:id="63"/>
    </w:p>
    <w:p>
      <w:pPr>
        <w:pageBreakBefore w:val="0"/>
        <w:widowControl w:val="0"/>
        <w:kinsoku/>
        <w:wordWrap/>
        <w:overflowPunct/>
        <w:topLinePunct w:val="0"/>
        <w:bidi w:val="0"/>
        <w:spacing w:line="576" w:lineRule="exact"/>
        <w:ind w:firstLine="640"/>
        <w:rPr>
          <w:rFonts w:ascii="Times New Roman" w:eastAsia="仿宋"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年“三公”经费财政拨款支出决算中，因公出国（境）费支出决算0万元，占0%；公务用车购置及运行维护费支出决算</w:t>
      </w:r>
      <w:r>
        <w:rPr>
          <w:rFonts w:eastAsia="仿宋_GB2312" w:cs="Times New Roman" w:hint="eastAsia"/>
          <w:sz w:val="32"/>
          <w:szCs w:val="32"/>
          <w:lang w:val="en-US" w:eastAsia="zh-CN"/>
        </w:rPr>
        <w:t>5.8</w:t>
      </w:r>
      <w:r>
        <w:rPr>
          <w:rFonts w:ascii="Times New Roman" w:eastAsia="仿宋_GB2312" w:cs="Times New Roman" w:hAnsi="Times New Roman"/>
          <w:sz w:val="32"/>
          <w:szCs w:val="32"/>
        </w:rPr>
        <w:t>万元，占</w:t>
      </w:r>
      <w:r>
        <w:rPr>
          <w:rFonts w:eastAsia="仿宋_GB2312" w:cs="Times New Roman" w:hint="eastAsia"/>
          <w:sz w:val="32"/>
          <w:szCs w:val="32"/>
          <w:lang w:val="en-US" w:eastAsia="zh-CN"/>
        </w:rPr>
        <w:t>100</w:t>
      </w:r>
      <w:r>
        <w:rPr>
          <w:rFonts w:ascii="Times New Roman" w:eastAsia="仿宋_GB2312" w:cs="Times New Roman" w:hAnsi="Times New Roman"/>
          <w:sz w:val="32"/>
          <w:szCs w:val="32"/>
        </w:rPr>
        <w:t>%；公务接待费支出决算</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w:t>
      </w:r>
      <w:r>
        <w:rPr>
          <w:rFonts w:ascii="Times New Roman" w:eastAsia="仿宋" w:cs="Times New Roman" w:hAnsi="Times New Roman"/>
          <w:sz w:val="32"/>
          <w:szCs w:val="32"/>
        </w:rPr>
        <w:t>元，占0%。具体情况如下：</w:t>
      </w:r>
    </w:p>
    <w:p>
      <w:pPr>
        <w:pStyle w:val="16"/>
        <w:pageBreakBefore w:val="0"/>
        <w:widowControl w:val="0"/>
        <w:kinsoku/>
        <w:wordWrap/>
        <w:overflowPunct/>
        <w:topLinePunct w:val="0"/>
        <w:bidi w:val="0"/>
        <w:spacing w:line="576" w:lineRule="exact"/>
        <w:rPr>
          <w:rFonts w:ascii="Times New Roman" w:eastAsia="仿宋" w:cs="Times New Roman" w:hAnsi="Times New Roman"/>
          <w:color w:val="auto"/>
          <w:sz w:val="32"/>
          <w:szCs w:val="32"/>
        </w:rPr>
      </w:pPr>
      <w:r>
        <w:rPr>
          <w:rFonts w:ascii="仿宋" w:eastAsia="仿宋" w:hint="eastAsia"/>
          <w:color w:val="000000"/>
          <w:sz w:val="32"/>
          <w:szCs w:val="32"/>
          <w:lang w:eastAsia="zh-CN"/>
        </w:rPr>
        <w:drawing>
          <wp:anchor distT="0" distB="0" distL="114300" distR="114300" simplePos="0" relativeHeight="30" behindDoc="0" locked="0" layoutInCell="1" hidden="0" allowOverlap="1">
            <wp:simplePos x="0" y="0"/>
            <wp:positionH relativeFrom="column">
              <wp:posOffset>488950</wp:posOffset>
            </wp:positionH>
            <wp:positionV relativeFrom="paragraph">
              <wp:posOffset>-8822690</wp:posOffset>
            </wp:positionV>
            <wp:extent cx="4309109" cy="22231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r>
        <w:rPr>
          <w:rFonts w:ascii="仿宋" w:eastAsia="仿宋" w:hint="eastAsia"/>
          <w:color w:val="000000"/>
          <w:sz w:val="32"/>
          <w:szCs w:val="32"/>
          <w:lang w:val="en-US" w:eastAsia="zh-CN"/>
        </w:rPr>
        <w:t xml:space="preserve">  </w:t>
      </w:r>
      <w:r>
        <w:rPr>
          <w:rFonts w:ascii="Times New Roman" w:eastAsia="仿宋" w:cs="Times New Roman" w:hAnsi="Times New Roman"/>
          <w:color w:val="auto"/>
          <w:sz w:val="32"/>
          <w:szCs w:val="32"/>
        </w:rPr>
        <w:t>（图7：“三公”经费财政拨款支出结构）（饼状图）</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b/>
          <w:sz w:val="32"/>
          <w:szCs w:val="32"/>
        </w:rPr>
      </w:pPr>
      <w:r>
        <w:rPr>
          <w:rFonts w:ascii="Times New Roman" w:eastAsia="仿宋_GB2312" w:cs="Times New Roman" w:hAnsi="Times New Roman"/>
          <w:b/>
          <w:sz w:val="32"/>
          <w:szCs w:val="32"/>
        </w:rPr>
        <w:t>1.</w:t>
      </w:r>
      <w:r>
        <w:rPr>
          <w:rFonts w:ascii="Times New Roman" w:eastAsia="仿宋_GB2312" w:cs="Times New Roman" w:hAnsi="Times New Roman"/>
          <w:b/>
          <w:bCs/>
          <w:sz w:val="32"/>
          <w:szCs w:val="32"/>
        </w:rPr>
        <w:t>因公出国（境）经费支出</w:t>
      </w:r>
      <w:r>
        <w:rPr>
          <w:rFonts w:ascii="Times New Roman" w:eastAsia="仿宋_GB2312" w:cs="Times New Roman" w:hAnsi="Times New Roman"/>
          <w:sz w:val="32"/>
          <w:szCs w:val="32"/>
        </w:rPr>
        <w:t>0万元，</w:t>
      </w:r>
      <w:r>
        <w:rPr>
          <w:rFonts w:ascii="Times New Roman" w:eastAsia="仿宋_GB2312" w:cs="Times New Roman" w:hAnsi="Times New Roman"/>
          <w:bCs/>
          <w:sz w:val="32"/>
          <w:szCs w:val="32"/>
        </w:rPr>
        <w:t>完成预算100%。</w:t>
      </w:r>
      <w:r>
        <w:rPr>
          <w:rFonts w:ascii="Times New Roman" w:eastAsia="仿宋_GB2312" w:cs="Times New Roman" w:hAnsi="Times New Roman"/>
          <w:sz w:val="32"/>
          <w:szCs w:val="32"/>
        </w:rPr>
        <w:t>全年安排因公出国（境）团组0次，出国（境）0人。因公出国（境）支出决算比202</w:t>
      </w:r>
      <w:r>
        <w:rPr>
          <w:rFonts w:eastAsia="仿宋_GB2312" w:cs="Times New Roman" w:hint="eastAsia"/>
          <w:sz w:val="32"/>
          <w:szCs w:val="32"/>
          <w:lang w:val="en-US" w:eastAsia="zh-CN"/>
        </w:rPr>
        <w:t>1</w:t>
      </w:r>
      <w:r>
        <w:rPr>
          <w:rFonts w:ascii="Times New Roman" w:eastAsia="仿宋_GB2312" w:cs="Times New Roman" w:hAnsi="Times New Roman"/>
          <w:sz w:val="32"/>
          <w:szCs w:val="32"/>
        </w:rPr>
        <w:t>年持平。</w:t>
      </w:r>
    </w:p>
    <w:p>
      <w:pPr>
        <w:pageBreakBefore w:val="0"/>
        <w:widowControl w:val="0"/>
        <w:kinsoku/>
        <w:wordWrap/>
        <w:overflowPunct/>
        <w:topLinePunct w:val="0"/>
        <w:bidi w:val="0"/>
        <w:spacing w:line="576" w:lineRule="exact"/>
        <w:ind w:firstLine="640"/>
        <w:rPr>
          <w:rFonts w:ascii="Times New Roman" w:eastAsia="仿宋_GB2312" w:cs="Times New Roman" w:hAnsi="Times New Roman"/>
          <w:b/>
          <w:sz w:val="32"/>
          <w:szCs w:val="32"/>
        </w:rPr>
      </w:pPr>
      <w:r>
        <w:rPr>
          <w:rFonts w:ascii="Times New Roman" w:eastAsia="仿宋_GB2312" w:cs="Times New Roman" w:hAnsi="Times New Roman"/>
          <w:b/>
          <w:sz w:val="32"/>
          <w:szCs w:val="32"/>
        </w:rPr>
        <w:t>2.公务用车购置及运行维护费支出</w:t>
      </w:r>
      <w:r>
        <w:rPr>
          <w:rFonts w:eastAsia="仿宋_GB2312" w:cs="Times New Roman" w:hint="eastAsia"/>
          <w:sz w:val="32"/>
          <w:szCs w:val="32"/>
          <w:lang w:val="en-US" w:eastAsia="zh-CN"/>
        </w:rPr>
        <w:t>5.8</w:t>
      </w:r>
      <w:r>
        <w:rPr>
          <w:rFonts w:ascii="Times New Roman" w:eastAsia="仿宋_GB2312" w:cs="Times New Roman" w:hAnsi="Times New Roman"/>
          <w:sz w:val="32"/>
          <w:szCs w:val="32"/>
        </w:rPr>
        <w:t>万元,</w:t>
      </w:r>
      <w:r>
        <w:rPr>
          <w:rStyle w:val="23"/>
          <w:rFonts w:ascii="Times New Roman" w:eastAsia="仿宋" w:cs="Times New Roman" w:hAnsi="Times New Roman"/>
          <w:b w:val="0"/>
          <w:bCs/>
          <w:sz w:val="32"/>
          <w:szCs w:val="32"/>
        </w:rPr>
        <w:t>完成预算</w:t>
      </w:r>
      <w:r>
        <w:rPr>
          <w:rStyle w:val="23"/>
          <w:rFonts w:eastAsia="仿宋" w:cs="Times New Roman" w:hint="eastAsia"/>
          <w:b w:val="0"/>
          <w:bCs/>
          <w:sz w:val="32"/>
          <w:szCs w:val="32"/>
          <w:lang w:val="en-US" w:eastAsia="zh-CN"/>
        </w:rPr>
        <w:t>100</w:t>
      </w:r>
      <w:r>
        <w:rPr>
          <w:rStyle w:val="23"/>
          <w:rFonts w:ascii="Times New Roman" w:eastAsia="仿宋" w:cs="Times New Roman" w:hAnsi="Times New Roman"/>
          <w:b w:val="0"/>
          <w:bCs/>
          <w:sz w:val="32"/>
          <w:szCs w:val="32"/>
        </w:rPr>
        <w:t>%。</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lang w:eastAsia="zh-CN"/>
        </w:rPr>
        <w:t>与</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cs="仿宋" w:hint="eastAsia"/>
          <w:color w:val="000000"/>
          <w:sz w:val="32"/>
          <w:szCs w:val="32"/>
          <w:lang w:val="en-US" w:eastAsia="zh-CN"/>
        </w:rPr>
        <w:t>持平。</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b/>
          <w:sz w:val="32"/>
          <w:szCs w:val="32"/>
        </w:rPr>
      </w:pPr>
      <w:r>
        <w:rPr>
          <w:rFonts w:ascii="Times New Roman" w:eastAsia="仿宋_GB2312" w:cs="Times New Roman" w:hAnsi="Times New Roman"/>
          <w:sz w:val="32"/>
          <w:szCs w:val="32"/>
        </w:rPr>
        <w:t>其中：</w:t>
      </w:r>
      <w:r>
        <w:rPr>
          <w:rFonts w:ascii="Times New Roman" w:eastAsia="仿宋_GB2312" w:cs="Times New Roman" w:hAnsi="Times New Roman"/>
          <w:b/>
          <w:sz w:val="32"/>
          <w:szCs w:val="32"/>
        </w:rPr>
        <w:t>公务用车购置支出</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万元。全年按规定更新购置公务用车</w:t>
      </w:r>
      <w:r>
        <w:rPr>
          <w:rFonts w:eastAsia="仿宋_GB2312" w:cs="Times New Roman" w:hint="eastAsia"/>
          <w:sz w:val="32"/>
          <w:szCs w:val="32"/>
          <w:lang w:val="en-US" w:eastAsia="zh-CN"/>
        </w:rPr>
        <w:t>0</w:t>
      </w:r>
      <w:r>
        <w:rPr>
          <w:rFonts w:ascii="Times New Roman" w:eastAsia="仿宋_GB2312" w:cs="Times New Roman" w:hAnsi="Times New Roman"/>
          <w:sz w:val="32"/>
          <w:szCs w:val="32"/>
        </w:rPr>
        <w:t>辆，</w:t>
      </w:r>
      <w:r>
        <w:rPr>
          <w:rFonts w:ascii="仿宋_GB2312" w:eastAsia="仿宋_GB2312" w:hint="eastAsia"/>
          <w:color w:val="000000"/>
          <w:sz w:val="32"/>
          <w:szCs w:val="32"/>
        </w:rPr>
        <w:t>截至</w:t>
      </w: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r>
        <w:rPr>
          <w:rFonts w:ascii="Times New Roman" w:eastAsia="仿宋_GB2312" w:cs="Times New Roman" w:hAnsi="Times New Roman"/>
          <w:sz w:val="32"/>
          <w:szCs w:val="32"/>
        </w:rPr>
        <w:t>其中：越野车</w:t>
      </w:r>
      <w:r>
        <w:rPr>
          <w:rFonts w:eastAsia="仿宋_GB2312" w:cs="Times New Roman" w:hint="eastAsia"/>
          <w:sz w:val="32"/>
          <w:szCs w:val="32"/>
          <w:lang w:val="en-US" w:eastAsia="zh-CN"/>
        </w:rPr>
        <w:t>1</w:t>
      </w:r>
      <w:r>
        <w:rPr>
          <w:rFonts w:ascii="Times New Roman" w:eastAsia="仿宋_GB2312" w:cs="Times New Roman" w:hAnsi="Times New Roman"/>
          <w:sz w:val="32"/>
          <w:szCs w:val="32"/>
        </w:rPr>
        <w:t>辆。</w:t>
      </w:r>
    </w:p>
    <w:p>
      <w:pPr>
        <w:pageBreakBefore w:val="0"/>
        <w:widowControl w:val="0"/>
        <w:kinsoku/>
        <w:wordWrap/>
        <w:overflowPunct/>
        <w:topLinePunct w:val="0"/>
        <w:bidi w:val="0"/>
        <w:spacing w:line="576" w:lineRule="exact"/>
        <w:ind w:firstLine="640"/>
        <w:rPr>
          <w:rFonts w:ascii="仿宋_GB2312" w:eastAsia="仿宋_GB2312" w:hint="eastAsia"/>
          <w:color w:val="000000"/>
          <w:sz w:val="32"/>
          <w:szCs w:val="32"/>
        </w:rPr>
      </w:pPr>
      <w:r>
        <w:rPr>
          <w:rFonts w:ascii="Times New Roman" w:eastAsia="仿宋_GB2312" w:cs="Times New Roman" w:hAnsi="Times New Roman"/>
          <w:b/>
          <w:bCs/>
          <w:sz w:val="32"/>
          <w:szCs w:val="32"/>
        </w:rPr>
        <w:t>公务用车运行维护费支出</w:t>
      </w:r>
      <w:r>
        <w:rPr>
          <w:rFonts w:eastAsia="仿宋_GB2312" w:cs="Times New Roman" w:hint="eastAsia"/>
          <w:sz w:val="32"/>
          <w:szCs w:val="32"/>
          <w:lang w:val="en-US" w:eastAsia="zh-CN"/>
        </w:rPr>
        <w:t>5.8</w:t>
      </w:r>
      <w:r>
        <w:rPr>
          <w:rFonts w:ascii="Times New Roman" w:eastAsia="仿宋_GB2312" w:cs="Times New Roman" w:hAnsi="Times New Roman"/>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val="en-US" w:eastAsia="zh-CN"/>
        </w:rPr>
        <w:t>我乡</w:t>
      </w:r>
      <w:r>
        <w:rPr>
          <w:rFonts w:ascii="仿宋_GB2312" w:eastAsia="仿宋_GB2312" w:hint="eastAsia"/>
          <w:color w:val="000000"/>
          <w:sz w:val="32"/>
          <w:szCs w:val="32"/>
        </w:rPr>
        <w:t>所需的公务用车燃料费、维修费、过路过桥费、保险费等支出。</w:t>
      </w:r>
    </w:p>
    <w:p>
      <w:pPr>
        <w:spacing w:line="600" w:lineRule="exact"/>
        <w:ind w:left="640"/>
        <w:rPr>
          <w:rFonts w:ascii="仿宋_GB2312" w:eastAsia="仿宋_GB2312" w:cs="仿宋" w:hint="eastAsia"/>
          <w:color w:val="000000"/>
          <w:sz w:val="32"/>
          <w:szCs w:val="32"/>
          <w:lang w:val="en-US" w:eastAsia="zh-CN"/>
        </w:rPr>
      </w:pPr>
      <w:r>
        <w:rPr>
          <w:rFonts w:ascii="Times New Roman" w:eastAsia="仿宋_GB2312" w:cs="Times New Roman" w:hAnsi="Times New Roman"/>
          <w:b/>
          <w:sz w:val="32"/>
          <w:szCs w:val="32"/>
        </w:rPr>
        <w:t>3.公务接待费支出</w:t>
      </w:r>
      <w:r>
        <w:rPr>
          <w:rFonts w:eastAsia="仿宋_GB2312" w:cs="Times New Roman" w:hint="eastAsia"/>
          <w:sz w:val="32"/>
          <w:szCs w:val="32"/>
          <w:lang w:val="en-US" w:eastAsia="zh-CN"/>
        </w:rPr>
        <w:t>0</w:t>
      </w:r>
      <w:r>
        <w:rPr>
          <w:rFonts w:ascii="Times New Roman" w:eastAsia="仿宋_GB2312" w:cs="Times New Roman" w:hAnsi="Times New Roman"/>
          <w:sz w:val="32"/>
          <w:szCs w:val="32"/>
        </w:rPr>
        <w:t>万元，</w:t>
      </w:r>
      <w:r>
        <w:rPr>
          <w:rStyle w:val="23"/>
          <w:rFonts w:ascii="仿宋" w:eastAsia="仿宋" w:hint="eastAsia"/>
          <w:b w:val="0"/>
          <w:bCs/>
          <w:color w:val="000000"/>
          <w:sz w:val="32"/>
          <w:szCs w:val="32"/>
        </w:rPr>
        <w:t>完成预算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cs="仿宋" w:hint="eastAsia"/>
          <w:color w:val="000000"/>
          <w:sz w:val="32"/>
          <w:szCs w:val="32"/>
          <w:lang w:val="en-US" w:eastAsia="zh-CN"/>
        </w:rPr>
        <w:t>公务接待费0万元，与上年持平。</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 w:cs="Times New Roman" w:hAnsi="Times New Roman"/>
          <w:b/>
          <w:sz w:val="32"/>
          <w:szCs w:val="32"/>
        </w:rPr>
        <w:t>外事接待支出</w:t>
      </w:r>
      <w:r>
        <w:rPr>
          <w:rFonts w:ascii="Times New Roman" w:eastAsia="仿宋" w:cs="Times New Roman" w:hAnsi="Times New Roman"/>
          <w:sz w:val="32"/>
          <w:szCs w:val="32"/>
        </w:rPr>
        <w:t>0</w:t>
      </w:r>
      <w:r>
        <w:rPr>
          <w:rFonts w:ascii="Times New Roman" w:eastAsia="仿宋_GB2312" w:cs="Times New Roman" w:hAnsi="Times New Roman"/>
          <w:sz w:val="32"/>
          <w:szCs w:val="32"/>
        </w:rPr>
        <w:t>万元，外事接待0批次，0人，共计支出0万元</w:t>
      </w:r>
    </w:p>
    <w:p>
      <w:pPr>
        <w:pageBreakBefore w:val="0"/>
        <w:widowControl w:val="0"/>
        <w:kinsoku/>
        <w:wordWrap/>
        <w:overflowPunct/>
        <w:topLinePunct w:val="0"/>
        <w:bidi w:val="0"/>
        <w:spacing w:line="576" w:lineRule="exact"/>
        <w:ind w:firstLine="640"/>
        <w:outlineLvl w:val="1"/>
        <w:rPr>
          <w:rFonts w:ascii="Times New Roman" w:eastAsia="黑体" w:cs="Times New Roman" w:hAnsi="Times New Roman"/>
          <w:sz w:val="32"/>
          <w:szCs w:val="32"/>
        </w:rPr>
      </w:pPr>
      <w:bookmarkStart w:id="64" w:name="_Toc15396610"/>
      <w:bookmarkStart w:id="65" w:name="_Toc15377218"/>
    </w:p>
    <w:p>
      <w:pPr>
        <w:pageBreakBefore w:val="0"/>
        <w:widowControl w:val="0"/>
        <w:kinsoku/>
        <w:wordWrap/>
        <w:overflowPunct/>
        <w:topLinePunct w:val="0"/>
        <w:bidi w:val="0"/>
        <w:spacing w:line="576" w:lineRule="exact"/>
        <w:ind w:firstLine="640"/>
        <w:outlineLvl w:val="1"/>
        <w:rPr>
          <w:rStyle w:val="2Char"/>
          <w:rFonts w:ascii="Times New Roman" w:eastAsia="黑体" w:cs="Times New Roman" w:hAnsi="Times New Roman"/>
        </w:rPr>
      </w:pPr>
      <w:bookmarkStart w:id="66" w:name="_Toc26843619"/>
      <w:r>
        <w:rPr>
          <w:rFonts w:ascii="Times New Roman" w:eastAsia="黑体" w:cs="Times New Roman" w:hAnsi="Times New Roman"/>
          <w:sz w:val="32"/>
          <w:szCs w:val="32"/>
        </w:rPr>
        <w:t>八、</w:t>
      </w:r>
      <w:r>
        <w:rPr>
          <w:rStyle w:val="2Char"/>
          <w:rFonts w:ascii="Times New Roman" w:eastAsia="黑体" w:cs="Times New Roman" w:hAnsi="Times New Roman"/>
          <w:b w:val="0"/>
        </w:rPr>
        <w:t>政府性基金预算支出决算情况说明</w:t>
      </w:r>
      <w:bookmarkEnd w:id="64"/>
      <w:bookmarkEnd w:id="65"/>
      <w:bookmarkEnd w:id="66"/>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年政府性基金预算财政拨款支出0万元。</w:t>
      </w:r>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67" w:name="_Toc26843620"/>
      <w:bookmarkStart w:id="68" w:name="_Toc15396611"/>
      <w:bookmarkStart w:id="69" w:name="_Toc15377219"/>
      <w:r>
        <w:rPr>
          <w:rStyle w:val="2Char"/>
          <w:rFonts w:ascii="Times New Roman" w:eastAsia="黑体" w:cs="Times New Roman" w:hAnsi="Times New Roman"/>
          <w:b w:val="0"/>
        </w:rPr>
        <w:t>国有资本经营预算支出决算情况说明</w:t>
      </w:r>
      <w:bookmarkEnd w:id="67"/>
      <w:bookmarkEnd w:id="68"/>
      <w:bookmarkEnd w:id="69"/>
    </w:p>
    <w:p>
      <w:pPr>
        <w:pageBreakBefore w:val="0"/>
        <w:widowControl w:val="0"/>
        <w:kinsoku/>
        <w:wordWrap/>
        <w:overflowPunct/>
        <w:topLinePunct w:val="0"/>
        <w:bidi w:val="0"/>
        <w:spacing w:line="576" w:lineRule="exact"/>
        <w:ind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年国有资本经营预算财政拨款支出0万元。</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sz w:val="44"/>
          <w:szCs w:val="44"/>
        </w:rPr>
      </w:pPr>
    </w:p>
    <w:p>
      <w:pPr>
        <w:pageBreakBefore w:val="0"/>
        <w:widowControl w:val="0"/>
        <w:numPr>
          <w:ilvl w:val="0"/>
          <w:numId w:val="2"/>
        </w:numPr>
        <w:kinsoku/>
        <w:wordWrap/>
        <w:overflowPunct/>
        <w:topLinePunct w:val="0"/>
        <w:bidi w:val="0"/>
        <w:spacing w:line="576" w:lineRule="exact"/>
        <w:ind w:left="0" w:firstLine="640"/>
        <w:outlineLvl w:val="1"/>
        <w:rPr>
          <w:rStyle w:val="2Char"/>
          <w:rFonts w:ascii="Times New Roman" w:eastAsia="黑体" w:cs="Times New Roman" w:hAnsi="Times New Roman"/>
          <w:b w:val="0"/>
        </w:rPr>
      </w:pPr>
      <w:bookmarkStart w:id="70" w:name="_Toc15396612"/>
      <w:bookmarkStart w:id="71" w:name="_Toc26843621"/>
      <w:bookmarkStart w:id="72" w:name="_Toc15377221"/>
      <w:r>
        <w:rPr>
          <w:rStyle w:val="2Char"/>
          <w:rFonts w:ascii="Times New Roman" w:eastAsia="黑体" w:cs="Times New Roman" w:hAnsi="Times New Roman"/>
          <w:b w:val="0"/>
        </w:rPr>
        <w:t>其他重要事项的情况说明</w:t>
      </w:r>
      <w:bookmarkEnd w:id="70"/>
      <w:bookmarkEnd w:id="71"/>
      <w:bookmarkEnd w:id="72"/>
    </w:p>
    <w:p>
      <w:pPr>
        <w:pageBreakBefore w:val="0"/>
        <w:widowControl w:val="0"/>
        <w:kinsoku/>
        <w:wordWrap/>
        <w:overflowPunct/>
        <w:topLinePunct w:val="0"/>
        <w:bidi w:val="0"/>
        <w:spacing w:line="576" w:lineRule="exact"/>
        <w:ind w:firstLineChars="200" w:firstLine="640"/>
        <w:outlineLvl w:val="2"/>
        <w:rPr>
          <w:rFonts w:ascii="Times New Roman" w:eastAsia="仿宋" w:cs="Times New Roman" w:hAnsi="Times New Roman"/>
          <w:sz w:val="32"/>
          <w:szCs w:val="32"/>
        </w:rPr>
      </w:pPr>
      <w:bookmarkStart w:id="73" w:name="_Toc15377222"/>
      <w:r>
        <w:rPr>
          <w:rFonts w:ascii="Times New Roman" w:eastAsia="仿宋" w:cs="Times New Roman" w:hAnsi="Times New Roman"/>
          <w:b/>
          <w:sz w:val="32"/>
          <w:szCs w:val="32"/>
        </w:rPr>
        <w:t>（一）机关运行经费支出情况</w:t>
      </w:r>
      <w:bookmarkEnd w:id="73"/>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ascii="仿宋_GB2312" w:eastAsia="仿宋_GB2312" w:hint="eastAsia"/>
          <w:color w:val="000000"/>
          <w:sz w:val="32"/>
          <w:szCs w:val="32"/>
          <w:lang w:val="en-US" w:eastAsia="zh-CN"/>
          <w:highlight w:val="auto"/>
        </w:rPr>
        <w:t>我乡</w:t>
      </w:r>
      <w:r>
        <w:rPr>
          <w:rFonts w:ascii="仿宋_GB2312" w:eastAsia="仿宋_GB2312" w:hint="eastAsia"/>
          <w:color w:val="000000"/>
          <w:sz w:val="32"/>
          <w:szCs w:val="32"/>
          <w:highlight w:val="auto"/>
        </w:rPr>
        <w:t>运行经费支出</w:t>
      </w:r>
      <w:r>
        <w:rPr>
          <w:rFonts w:ascii="仿宋_GB2312" w:eastAsia="仿宋_GB2312" w:hint="eastAsia"/>
          <w:color w:val="000000"/>
          <w:sz w:val="32"/>
          <w:szCs w:val="32"/>
          <w:lang w:val="en-US" w:eastAsia="zh-CN"/>
          <w:highlight w:val="auto"/>
        </w:rPr>
        <w:t>0</w:t>
      </w:r>
      <w:r>
        <w:rPr>
          <w:rFonts w:ascii="仿宋_GB2312" w:eastAsia="仿宋_GB2312" w:hint="eastAsia"/>
          <w:color w:val="000000"/>
          <w:sz w:val="32"/>
          <w:szCs w:val="32"/>
          <w:highlight w:val="auto"/>
        </w:rPr>
        <w:t>万元</w:t>
      </w:r>
      <w:r>
        <w:rPr>
          <w:rFonts w:ascii="仿宋_GB2312" w:eastAsia="仿宋_GB2312" w:hint="eastAsia"/>
          <w:color w:val="000000"/>
          <w:sz w:val="32"/>
          <w:szCs w:val="32"/>
          <w:lang w:eastAsia="zh-CN"/>
          <w:highlight w:val="auto"/>
        </w:rPr>
        <w:t>与</w:t>
      </w:r>
      <w:r>
        <w:rPr>
          <w:rFonts w:ascii="仿宋_GB2312" w:eastAsia="仿宋_GB2312"/>
          <w:color w:val="000000"/>
          <w:sz w:val="32"/>
          <w:szCs w:val="32"/>
          <w:highlight w:val="auto"/>
        </w:rPr>
        <w:t>20</w:t>
      </w:r>
      <w:r>
        <w:rPr>
          <w:rFonts w:ascii="仿宋_GB2312" w:eastAsia="仿宋_GB2312" w:hint="eastAsia"/>
          <w:color w:val="000000"/>
          <w:sz w:val="32"/>
          <w:szCs w:val="32"/>
          <w:lang w:val="en-US" w:eastAsia="zh-CN"/>
          <w:highlight w:val="auto"/>
        </w:rPr>
        <w:t>21</w:t>
      </w:r>
      <w:r>
        <w:rPr>
          <w:rFonts w:ascii="仿宋_GB2312" w:eastAsia="仿宋_GB2312" w:hint="eastAsia"/>
          <w:color w:val="000000"/>
          <w:sz w:val="32"/>
          <w:szCs w:val="32"/>
          <w:highlight w:val="auto"/>
        </w:rPr>
        <w:t>年</w:t>
      </w:r>
      <w:r>
        <w:rPr>
          <w:rFonts w:ascii="仿宋_GB2312" w:eastAsia="仿宋_GB2312" w:hint="eastAsia"/>
          <w:color w:val="000000"/>
          <w:sz w:val="32"/>
          <w:szCs w:val="32"/>
          <w:lang w:eastAsia="zh-CN"/>
          <w:highlight w:val="auto"/>
        </w:rPr>
        <w:t>持平。</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bookmarkStart w:id="74" w:name="_Toc15377223"/>
      <w:r>
        <w:rPr>
          <w:rFonts w:ascii="Times New Roman" w:eastAsia="仿宋" w:cs="Times New Roman" w:hAnsi="Times New Roman"/>
          <w:b/>
          <w:sz w:val="32"/>
          <w:szCs w:val="32"/>
        </w:rPr>
        <w:t>（二）政府采购支出情况</w:t>
      </w:r>
      <w:bookmarkEnd w:id="74"/>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仿宋_GB2312" w:eastAsia="仿宋_GB2312" w:hint="eastAsia"/>
          <w:color w:val="auto"/>
          <w:sz w:val="32"/>
          <w:szCs w:val="32"/>
          <w:lang w:val="en-US" w:eastAsia="zh-CN"/>
        </w:rPr>
      </w:pPr>
      <w:bookmarkStart w:id="75" w:name="_Toc15377224"/>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auto"/>
          <w:sz w:val="32"/>
          <w:szCs w:val="32"/>
        </w:rPr>
        <w:t>主要用于</w:t>
      </w:r>
      <w:r>
        <w:rPr>
          <w:rFonts w:ascii="仿宋_GB2312" w:eastAsia="仿宋_GB2312" w:hint="eastAsia"/>
          <w:color w:val="auto"/>
          <w:sz w:val="32"/>
          <w:szCs w:val="32"/>
          <w:lang w:val="en-US" w:eastAsia="zh-CN"/>
        </w:rPr>
        <w:t>办公设备购置、口岸物流办可研报告编制服务费。</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（三）国有资产占有使用情况</w:t>
      </w:r>
      <w:bookmarkEnd w:id="75"/>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仿宋_GB2312" w:eastAsia="仿宋_GB2312" w:hint="eastAsia"/>
          <w:color w:val="000000"/>
          <w:sz w:val="32"/>
          <w:szCs w:val="32"/>
          <w:lang w:eastAsia="zh-CN"/>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为日常工作及</w:t>
      </w:r>
      <w:r>
        <w:rPr>
          <w:rFonts w:ascii="仿宋_GB2312" w:eastAsia="仿宋_GB2312" w:hint="eastAsia"/>
          <w:color w:val="000000"/>
          <w:sz w:val="32"/>
          <w:szCs w:val="32"/>
        </w:rPr>
        <w:t>应急保障用车</w:t>
      </w:r>
      <w:r>
        <w:rPr>
          <w:rFonts w:ascii="仿宋_GB2312" w:eastAsia="仿宋_GB2312" w:hint="eastAsia"/>
          <w:color w:val="000000"/>
          <w:sz w:val="32"/>
          <w:szCs w:val="32"/>
          <w:lang w:eastAsia="zh-CN"/>
        </w:rPr>
        <w:t>。</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根据预算绩效管理要求，本部门在202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年度预算编制阶段，组织对项目开展了预算事前绩效评估，编制了绩效目标，开展绩效监控，年终执行完毕后，对项目开展了绩效自评。同时，本部门对202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年部门整体开展绩效自评，《202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年州委办部门整体绩效评价报告》见附件（第四部分）。</w:t>
      </w: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pageBreakBefore w:val="0"/>
        <w:widowControl w:val="0"/>
        <w:numPr>
          <w:ilvl w:val="0"/>
          <w:numId w:val="3"/>
        </w:numPr>
        <w:kinsoku/>
        <w:wordWrap/>
        <w:overflowPunct/>
        <w:topLinePunct w:val="0"/>
        <w:bidi w:val="0"/>
        <w:spacing w:line="576" w:lineRule="exact"/>
        <w:ind w:left="0" w:firstLineChars="150" w:firstLine="660"/>
        <w:jc w:val="center"/>
        <w:outlineLvl w:val="0"/>
        <w:rPr>
          <w:rStyle w:val="1Char"/>
          <w:rFonts w:ascii="Times New Roman" w:eastAsia="黑体" w:cs="Times New Roman" w:hAnsi="Times New Roman"/>
          <w:b w:val="0"/>
        </w:rPr>
      </w:pPr>
      <w:bookmarkStart w:id="76" w:name="_Toc26843622"/>
      <w:bookmarkStart w:id="77" w:name="_Toc15396613"/>
      <w:bookmarkStart w:id="78" w:name="_Toc15377225"/>
      <w:r>
        <w:rPr>
          <w:rFonts w:ascii="Times New Roman" w:eastAsia="黑体" w:cs="Times New Roman" w:hAnsi="Times New Roman"/>
          <w:sz w:val="44"/>
          <w:szCs w:val="44"/>
        </w:rPr>
        <w:t>名</w:t>
      </w:r>
      <w:r>
        <w:rPr>
          <w:rStyle w:val="1Char"/>
          <w:rFonts w:ascii="Times New Roman" w:eastAsia="黑体" w:cs="Times New Roman" w:hAnsi="Times New Roman"/>
          <w:b w:val="0"/>
        </w:rPr>
        <w:t>词解释</w:t>
      </w:r>
      <w:bookmarkEnd w:id="76"/>
      <w:bookmarkEnd w:id="77"/>
      <w:bookmarkEnd w:id="78"/>
    </w:p>
    <w:p>
      <w:pPr>
        <w:pageBreakBefore w:val="0"/>
        <w:widowControl w:val="0"/>
        <w:kinsoku/>
        <w:wordWrap/>
        <w:overflowPunct/>
        <w:topLinePunct w:val="0"/>
        <w:bidi w:val="0"/>
        <w:spacing w:line="576" w:lineRule="exact"/>
        <w:jc w:val="left"/>
        <w:rPr>
          <w:rFonts w:ascii="Times New Roman" w:cs="Times New Roman" w:hAnsi="Times New Roman"/>
          <w:b/>
          <w:sz w:val="44"/>
          <w:szCs w:val="44"/>
        </w:rPr>
      </w:pP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9.</w:t>
      </w:r>
      <w:r>
        <w:rPr>
          <w:rFonts w:ascii="Times New Roman" w:eastAsia="仿宋_GB2312" w:cs="Times New Roman" w:hAnsi="Times New Roman"/>
          <w:bCs/>
          <w:kern w:val="0"/>
          <w:sz w:val="32"/>
          <w:szCs w:val="32"/>
        </w:rPr>
        <w:t>一般公共服务：行政运行</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反映党委办公厅（室）及相关机构的支出；一般行政管理事务</w:t>
      </w:r>
      <w:r>
        <w:rPr>
          <w:rFonts w:ascii="Times New Roman" w:eastAsia="仿宋_GB2312" w:cs="Times New Roman" w:hAnsi="Times New Roman"/>
          <w:bCs/>
          <w:kern w:val="0"/>
          <w:sz w:val="32"/>
          <w:szCs w:val="32"/>
          <w:lang w:eastAsia="zh-CN"/>
        </w:rPr>
        <w:t>，</w:t>
      </w:r>
      <w:r>
        <w:rPr>
          <w:rFonts w:ascii="Times New Roman" w:eastAsia="仿宋_GB2312" w:cs="Times New Roman" w:hAnsi="Times New Roman"/>
          <w:bCs/>
          <w:kern w:val="0"/>
          <w:sz w:val="32"/>
          <w:szCs w:val="32"/>
        </w:rPr>
        <w:t>反映行政单位（包括实行公务员管理的事业单位）未单独设置项级科目的其他项目支出。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10.</w:t>
      </w:r>
      <w:r>
        <w:rPr>
          <w:rFonts w:ascii="Times New Roman" w:eastAsia="仿宋_GB2312" w:cs="Times New Roman" w:hAnsi="Times New Roman"/>
          <w:bCs/>
          <w:kern w:val="0"/>
          <w:sz w:val="32"/>
          <w:szCs w:val="32"/>
        </w:rPr>
        <w:t>社会保障和就业：反映政府在社会保障与就业方面的支出</w:t>
      </w:r>
      <w:r>
        <w:rPr>
          <w:rFonts w:ascii="Times New Roman" w:eastAsia="仿宋_GB2312" w:cs="Times New Roman" w:hAnsi="Times New Roman"/>
          <w:bCs/>
          <w:kern w:val="0"/>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11.</w:t>
      </w:r>
      <w:r>
        <w:rPr>
          <w:rFonts w:ascii="Times New Roman" w:eastAsia="仿宋_GB2312" w:cs="Times New Roman" w:hAnsi="Times New Roman"/>
          <w:bCs/>
          <w:sz w:val="32"/>
          <w:szCs w:val="32"/>
        </w:rPr>
        <w:t>医疗卫生与计划生育：反映政府医疗卫生计划生育管理方面的支出</w:t>
      </w:r>
      <w:r>
        <w:rPr>
          <w:rFonts w:ascii="Times New Roman" w:eastAsia="仿宋_GB2312" w:cs="Times New Roman" w:hAnsi="Times New Roman"/>
          <w:bCs/>
          <w:sz w:val="32"/>
          <w:szCs w:val="32"/>
          <w:lang w:eastAsia="zh-CN"/>
        </w:rPr>
        <w:t>。</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12.住房保障支出：集中反映政府用于住房方面的支出。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13.基本支出：指为保障机构正常运转、完成日常工作任务而发生的人员支出和公用支出。</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14.项目支出：指在基本支出之外为完成特定行政任务和事业发展目标所发生的支出。 </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15.经营支出：指事业单位在专业业务活动及其辅助活动之外开展非独立核算经营活动发生的支出。</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pageBreakBefore w:val="0"/>
        <w:widowControl w:val="0"/>
        <w:kinsoku/>
        <w:wordWrap/>
        <w:overflowPunct/>
        <w:topLinePunct w:val="0"/>
        <w:autoSpaceDE w:val="0"/>
        <w:autoSpaceDN w:val="0"/>
        <w:bidi w:val="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79" w:name="_Toc15377226"/>
      <w:r>
        <w:rPr>
          <w:rFonts w:ascii="Times New Roman" w:cs="Times New Roman" w:hAnsi="Times New Roman"/>
          <w:b/>
          <w:sz w:val="44"/>
          <w:szCs w:val="44"/>
        </w:rPr>
        <w:br w:type="page"/>
      </w:r>
      <w:bookmarkStart w:id="80" w:name="_Toc26843623"/>
      <w:bookmarkStart w:id="81" w:name="_Toc15396614"/>
      <w:r>
        <w:rPr>
          <w:rFonts w:ascii="Times New Roman" w:eastAsia="黑体" w:cs="Times New Roman" w:hAnsi="Times New Roman"/>
          <w:sz w:val="44"/>
          <w:szCs w:val="44"/>
        </w:rPr>
        <w:t>第</w:t>
      </w:r>
      <w:r>
        <w:rPr>
          <w:rStyle w:val="1Char"/>
          <w:rFonts w:ascii="Times New Roman" w:eastAsia="黑体" w:cs="Times New Roman" w:hAnsi="Times New Roman"/>
          <w:b w:val="0"/>
        </w:rPr>
        <w:t>四部分 附件</w:t>
      </w:r>
      <w:bookmarkEnd w:id="80"/>
      <w:bookmarkEnd w:id="81"/>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82" w:name="_Toc26843624"/>
      <w:r>
        <w:rPr>
          <w:rFonts w:ascii="Times New Roman" w:eastAsia="黑体" w:cs="Times New Roman" w:hAnsi="Times New Roman"/>
          <w:sz w:val="32"/>
          <w:szCs w:val="32"/>
        </w:rPr>
        <w:t>附件</w:t>
      </w:r>
      <w:bookmarkEnd w:id="82"/>
    </w:p>
    <w:p>
      <w:pPr>
        <w:pageBreakBefore w:val="0"/>
        <w:widowControl w:val="0"/>
        <w:kinsoku/>
        <w:wordWrap/>
        <w:overflowPunct/>
        <w:topLinePunct w:val="0"/>
        <w:bidi w:val="0"/>
        <w:spacing w:line="576" w:lineRule="exact"/>
        <w:jc w:val="center"/>
        <w:rPr>
          <w:rFonts w:eastAsia="方正小标宋简体" w:cs="Times New Roman" w:hint="eastAsia"/>
          <w:kern w:val="0"/>
          <w:sz w:val="40"/>
          <w:szCs w:val="44"/>
          <w:lang w:val="en-US" w:eastAsia="zh-CN"/>
        </w:rPr>
      </w:pPr>
      <w:r>
        <w:rPr>
          <w:rFonts w:eastAsia="方正小标宋简体" w:cs="Times New Roman" w:hint="eastAsia"/>
          <w:kern w:val="0"/>
          <w:sz w:val="40"/>
          <w:szCs w:val="44"/>
          <w:lang w:val="en-US" w:eastAsia="zh-CN"/>
        </w:rPr>
        <w:t>金川县阿科里乡人民政府</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kern w:val="0"/>
          <w:sz w:val="40"/>
          <w:szCs w:val="44"/>
          <w:lang w:val="zh-CN"/>
        </w:rPr>
      </w:pPr>
      <w:r>
        <w:rPr>
          <w:rFonts w:ascii="Times New Roman" w:eastAsia="方正小标宋简体" w:cs="Times New Roman" w:hAnsi="Times New Roman"/>
          <w:kern w:val="0"/>
          <w:sz w:val="40"/>
          <w:szCs w:val="44"/>
        </w:rPr>
        <w:t>202</w:t>
      </w:r>
      <w:r>
        <w:rPr>
          <w:rFonts w:eastAsia="方正小标宋简体" w:cs="Times New Roman" w:hint="eastAsia"/>
          <w:kern w:val="0"/>
          <w:sz w:val="40"/>
          <w:szCs w:val="44"/>
          <w:lang w:val="en-US" w:eastAsia="zh-CN"/>
        </w:rPr>
        <w:t>2</w:t>
      </w:r>
      <w:r>
        <w:rPr>
          <w:rFonts w:ascii="Times New Roman" w:eastAsia="方正小标宋简体" w:cs="Times New Roman" w:hAnsi="Times New Roman"/>
          <w:kern w:val="0"/>
          <w:sz w:val="40"/>
          <w:szCs w:val="44"/>
        </w:rPr>
        <w:t>年部门整体绩效评价报告</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Chars="200" w:firstLine="640"/>
        <w:jc w:val="both"/>
        <w:textAlignment w:val="auto"/>
        <w:outlineLvl w:val="0"/>
        <w:rPr>
          <w:rFonts w:ascii="Mongolian Baiti" w:eastAsia="黑体" w:cs="Mongolian Baiti" w:hAnsi="Mongolian Baiti"/>
          <w:b/>
          <w:bCs/>
          <w:snapToGrid/>
          <w:color w:val="000000"/>
          <w:spacing w:val="34"/>
          <w:w w:val="100"/>
          <w:kern w:val="2"/>
          <w:szCs w:val="32"/>
          <w:lang w:val="zh-CN"/>
        </w:rPr>
      </w:pPr>
      <w:bookmarkStart w:id="83" w:name="_Toc12355"/>
      <w:r>
        <w:rPr>
          <w:rFonts w:ascii="Mongolian Baiti" w:eastAsia="黑体" w:cs="Mongolian Baiti" w:hAnsi="Mongolian Baiti"/>
          <w:color w:val="auto"/>
          <w:kern w:val="2"/>
          <w:sz w:val="32"/>
          <w:szCs w:val="32"/>
          <w:u w:val="none"/>
          <w:vertAlign w:val="baseline"/>
          <w:lang w:val="en-US" w:eastAsia="zh-CN" w:bidi="ar-SA"/>
        </w:rPr>
        <w:t>一、部门整体概况</w:t>
      </w:r>
      <w:bookmarkEnd w:id="83"/>
    </w:p>
    <w:p>
      <w:pPr>
        <w:keepNext w:val="0"/>
        <w:keepLines w:val="0"/>
        <w:pageBreakBefore w:val="0"/>
        <w:widowControl/>
        <w:kinsoku/>
        <w:wordWrap w:val="0"/>
        <w:overflowPunct/>
        <w:topLinePunct/>
        <w:autoSpaceDE/>
        <w:autoSpaceDN/>
        <w:bidi w:val="0"/>
        <w:adjustRightInd w:val="0"/>
        <w:snapToGrid w:val="0"/>
        <w:spacing w:line="560" w:lineRule="exact"/>
        <w:ind w:firstLineChars="200" w:firstLine="776"/>
        <w:jc w:val="left"/>
        <w:textAlignment w:val="auto"/>
        <w:rPr>
          <w:rFonts w:ascii="仿宋_GB2312" w:eastAsia="仿宋_GB2312" w:cs="仿宋_GB2312" w:hint="eastAsia"/>
          <w:b/>
          <w:bCs/>
          <w:snapToGrid/>
          <w:color w:val="000000"/>
          <w:spacing w:val="34"/>
          <w:w w:val="100"/>
          <w:kern w:val="2"/>
          <w:sz w:val="32"/>
          <w:szCs w:val="32"/>
          <w:lang w:val="zh-CN"/>
        </w:rPr>
      </w:pPr>
      <w:bookmarkStart w:id="84" w:name="_Toc13050"/>
      <w:r>
        <w:rPr>
          <w:rFonts w:ascii="仿宋_GB2312" w:eastAsia="仿宋_GB2312" w:cs="仿宋_GB2312" w:hint="eastAsia"/>
          <w:b/>
          <w:bCs/>
          <w:snapToGrid/>
          <w:color w:val="000000"/>
          <w:spacing w:val="34"/>
          <w:w w:val="100"/>
          <w:kern w:val="2"/>
          <w:sz w:val="32"/>
          <w:szCs w:val="32"/>
          <w:lang w:val="zh-CN"/>
        </w:rPr>
        <w:t>（一）机构组成</w:t>
      </w:r>
      <w:bookmarkEnd w:id="84"/>
    </w:p>
    <w:p>
      <w:pPr>
        <w:keepNext w:val="0"/>
        <w:keepLines w:val="0"/>
        <w:pageBreakBefore w:val="0"/>
        <w:widowControl w:val="0"/>
        <w:kinsoku/>
        <w:wordWrap w:val="0"/>
        <w:overflowPunct/>
        <w:autoSpaceDE/>
        <w:autoSpaceDN/>
        <w:bidi w:val="0"/>
        <w:spacing w:line="560" w:lineRule="exact"/>
        <w:ind w:firstLineChars="200" w:firstLine="776"/>
        <w:jc w:val="left"/>
        <w:textAlignment w:val="auto"/>
        <w:rPr>
          <w:rFonts w:ascii="仿宋_GB2312" w:eastAsia="仿宋_GB2312" w:cs="仿宋_GB2312" w:hint="eastAsia"/>
          <w:spacing w:val="34"/>
          <w:sz w:val="32"/>
          <w:szCs w:val="32"/>
          <w:lang w:val="zh-CN"/>
        </w:rPr>
      </w:pPr>
      <w:r>
        <w:rPr>
          <w:rFonts w:ascii="仿宋_GB2312" w:eastAsia="仿宋_GB2312" w:cs="仿宋_GB2312" w:hint="eastAsia"/>
          <w:spacing w:val="34"/>
          <w:sz w:val="32"/>
          <w:szCs w:val="32"/>
          <w:lang w:val="zh-CN"/>
        </w:rPr>
        <w:t>本部门预算单位</w:t>
      </w:r>
      <w:r>
        <w:rPr>
          <w:rFonts w:ascii="仿宋_GB2312" w:eastAsia="仿宋_GB2312" w:cs="仿宋_GB2312" w:hint="eastAsia"/>
          <w:spacing w:val="34"/>
          <w:sz w:val="32"/>
          <w:szCs w:val="32"/>
          <w:lang w:val="en-US" w:eastAsia="zh-CN"/>
        </w:rPr>
        <w:t>1</w:t>
      </w:r>
      <w:r>
        <w:rPr>
          <w:rFonts w:ascii="仿宋_GB2312" w:eastAsia="仿宋_GB2312" w:cs="仿宋_GB2312" w:hint="eastAsia"/>
          <w:spacing w:val="34"/>
          <w:sz w:val="32"/>
          <w:szCs w:val="32"/>
          <w:lang w:val="zh-CN"/>
        </w:rPr>
        <w:t>个，其中内设机构</w:t>
      </w:r>
      <w:r>
        <w:rPr>
          <w:rFonts w:ascii="仿宋_GB2312" w:eastAsia="仿宋_GB2312" w:cs="仿宋_GB2312" w:hint="eastAsia"/>
          <w:spacing w:val="34"/>
          <w:sz w:val="32"/>
          <w:szCs w:val="32"/>
          <w:lang w:val="en-US" w:eastAsia="zh-CN"/>
        </w:rPr>
        <w:t>4</w:t>
      </w:r>
      <w:r>
        <w:rPr>
          <w:rFonts w:ascii="仿宋_GB2312" w:eastAsia="仿宋_GB2312" w:cs="仿宋_GB2312" w:hint="eastAsia"/>
          <w:spacing w:val="34"/>
          <w:sz w:val="32"/>
          <w:szCs w:val="32"/>
          <w:lang w:val="zh-CN"/>
        </w:rPr>
        <w:t>个，分别是阿科里乡人民政府办公室、阿科里乡人大办公室、阿科里乡党委办公室、阿科里乡综合服务中心。</w:t>
      </w:r>
    </w:p>
    <w:p>
      <w:pPr>
        <w:keepNext w:val="0"/>
        <w:keepLines w:val="0"/>
        <w:pageBreakBefore w:val="0"/>
        <w:widowControl/>
        <w:kinsoku/>
        <w:wordWrap w:val="0"/>
        <w:overflowPunct/>
        <w:topLinePunct/>
        <w:autoSpaceDE/>
        <w:autoSpaceDN/>
        <w:bidi w:val="0"/>
        <w:adjustRightInd w:val="0"/>
        <w:snapToGrid w:val="0"/>
        <w:spacing w:line="560" w:lineRule="exact"/>
        <w:ind w:firstLineChars="200" w:firstLine="776"/>
        <w:jc w:val="left"/>
        <w:textAlignment w:val="auto"/>
        <w:rPr>
          <w:rFonts w:ascii="仿宋_GB2312" w:eastAsia="仿宋_GB2312" w:cs="仿宋_GB2312" w:hint="eastAsia"/>
          <w:b/>
          <w:bCs/>
          <w:snapToGrid/>
          <w:color w:val="000000"/>
          <w:spacing w:val="34"/>
          <w:w w:val="100"/>
          <w:kern w:val="2"/>
          <w:sz w:val="32"/>
          <w:szCs w:val="32"/>
          <w:lang w:val="zh-CN"/>
        </w:rPr>
      </w:pPr>
      <w:r>
        <w:rPr>
          <w:rFonts w:ascii="仿宋_GB2312" w:eastAsia="仿宋_GB2312" w:cs="仿宋_GB2312" w:hint="eastAsia"/>
          <w:b/>
          <w:bCs/>
          <w:snapToGrid/>
          <w:color w:val="000000"/>
          <w:spacing w:val="34"/>
          <w:w w:val="100"/>
          <w:kern w:val="2"/>
          <w:sz w:val="32"/>
          <w:szCs w:val="32"/>
          <w:lang w:val="zh-CN"/>
        </w:rPr>
        <w:t>（二）机构职能</w:t>
      </w:r>
    </w:p>
    <w:p>
      <w:pPr>
        <w:keepNext w:val="0"/>
        <w:keepLines w:val="0"/>
        <w:pageBreakBefore w:val="0"/>
        <w:widowControl/>
        <w:kinsoku/>
        <w:overflowPunct/>
        <w:autoSpaceDE/>
        <w:autoSpaceDN/>
        <w:bidi w:val="0"/>
        <w:spacing w:line="560" w:lineRule="exact"/>
        <w:ind w:firstLineChars="200" w:firstLine="776"/>
        <w:jc w:val="left"/>
        <w:textAlignment w:val="auto"/>
        <w:rPr>
          <w:rFonts w:ascii="仿宋_GB2312" w:eastAsia="仿宋_GB2312" w:cs="仿宋_GB2312" w:hint="eastAsia"/>
          <w:sz w:val="32"/>
          <w:szCs w:val="32"/>
        </w:rPr>
      </w:pPr>
      <w:r>
        <w:rPr>
          <w:rFonts w:ascii="仿宋_GB2312" w:eastAsia="仿宋_GB2312" w:cs="仿宋_GB2312" w:hint="eastAsia"/>
          <w:spacing w:val="34"/>
          <w:sz w:val="32"/>
          <w:szCs w:val="32"/>
          <w:lang w:val="zh-CN"/>
        </w:rPr>
        <w:t>主要职能职责：</w:t>
      </w:r>
      <w:r>
        <w:rPr>
          <w:rFonts w:ascii="仿宋_GB2312" w:eastAsia="仿宋_GB2312" w:cs="仿宋_GB2312" w:hint="eastAsia"/>
          <w:sz w:val="32"/>
          <w:szCs w:val="32"/>
        </w:rPr>
        <w:t>根据党章和《地方组织法》的规定，乡党委、政府承担辖区内促进经济发展、提供公共服务、加强社会管理、维护社会稳定，推动物质文明、政治文明、精神文明及和谐社会建设等任务。其主要职能是：</w:t>
      </w:r>
    </w:p>
    <w:p>
      <w:pPr>
        <w:keepNext w:val="0"/>
        <w:keepLines w:val="0"/>
        <w:pageBreakBefore w:val="0"/>
        <w:widowControl w:val="0"/>
        <w:kinsoku/>
        <w:overflowPunct/>
        <w:autoSpaceDE/>
        <w:autoSpaceDN/>
        <w:bidi w:val="0"/>
        <w:snapToGrid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（1）贯彻落实党和政府各项路线方针政策。深入贯彻党的十</w:t>
      </w:r>
      <w:r>
        <w:rPr>
          <w:rFonts w:ascii="仿宋_GB2312" w:eastAsia="仿宋_GB2312" w:cs="仿宋_GB2312" w:hint="eastAsia"/>
          <w:sz w:val="32"/>
          <w:szCs w:val="32"/>
          <w:lang w:eastAsia="zh-CN"/>
        </w:rPr>
        <w:t>九</w:t>
      </w:r>
      <w:r>
        <w:rPr>
          <w:rFonts w:ascii="仿宋_GB2312" w:eastAsia="仿宋_GB2312" w:cs="仿宋_GB2312" w:hint="eastAsia"/>
          <w:sz w:val="32"/>
          <w:szCs w:val="32"/>
        </w:rPr>
        <w:t>大、十八届四中、五中全会精神，宣传和贯彻执行党的路线、方针、政策和国家的</w:t>
      </w:r>
    </w:p>
    <w:p>
      <w:pPr>
        <w:keepNext w:val="0"/>
        <w:keepLines w:val="0"/>
        <w:pageBreakBefore w:val="0"/>
        <w:widowControl w:val="0"/>
        <w:kinsoku/>
        <w:overflowPunct/>
        <w:autoSpaceDE/>
        <w:autoSpaceDN/>
        <w:bidi w:val="0"/>
        <w:snapToGrid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法律、法令；宣传和贯彻上级机关的政策、法规、规章、决定等；执行本级党代会和人代会的决定、决议；研究决定辖区内政治、经济、文化等重大问题。</w:t>
      </w:r>
    </w:p>
    <w:p>
      <w:pPr>
        <w:keepNext w:val="0"/>
        <w:keepLines w:val="0"/>
        <w:pageBreakBefore w:val="0"/>
        <w:widowControl w:val="0"/>
        <w:kinsoku/>
        <w:overflowPunct/>
        <w:autoSpaceDE/>
        <w:autoSpaceDN/>
        <w:bidi w:val="0"/>
        <w:snapToGrid w:val="0"/>
        <w:spacing w:line="560" w:lineRule="exact"/>
        <w:ind w:firstLineChars="150" w:firstLine="480"/>
        <w:textAlignment w:val="auto"/>
        <w:rPr>
          <w:rFonts w:ascii="仿宋_GB2312" w:eastAsia="仿宋_GB2312" w:cs="仿宋_GB2312" w:hint="eastAsia"/>
          <w:sz w:val="32"/>
          <w:szCs w:val="32"/>
        </w:rPr>
      </w:pPr>
      <w:r>
        <w:rPr>
          <w:rFonts w:ascii="仿宋_GB2312" w:eastAsia="仿宋_GB2312" w:cs="仿宋_GB2312" w:hint="eastAsia"/>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keepNext w:val="0"/>
        <w:keepLines w:val="0"/>
        <w:pageBreakBefore w:val="0"/>
        <w:widowControl w:val="0"/>
        <w:kinsoku/>
        <w:overflowPunct/>
        <w:autoSpaceDE/>
        <w:autoSpaceDN/>
        <w:bidi w:val="0"/>
        <w:snapToGrid w:val="0"/>
        <w:spacing w:line="560" w:lineRule="exact"/>
        <w:ind w:firstLineChars="150" w:firstLine="480"/>
        <w:textAlignment w:val="auto"/>
        <w:rPr>
          <w:rFonts w:ascii="仿宋_GB2312" w:eastAsia="仿宋_GB2312" w:cs="仿宋_GB2312" w:hint="eastAsia"/>
          <w:sz w:val="32"/>
          <w:szCs w:val="32"/>
        </w:rPr>
      </w:pPr>
      <w:r>
        <w:rPr>
          <w:rFonts w:ascii="仿宋_GB2312" w:eastAsia="仿宋_GB2312" w:cs="仿宋_GB2312" w:hint="eastAsia"/>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keepNext w:val="0"/>
        <w:keepLines w:val="0"/>
        <w:pageBreakBefore w:val="0"/>
        <w:widowControl w:val="0"/>
        <w:kinsoku/>
        <w:overflowPunct/>
        <w:autoSpaceDE/>
        <w:autoSpaceDN/>
        <w:bidi w:val="0"/>
        <w:snapToGrid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keepNext w:val="0"/>
        <w:keepLines w:val="0"/>
        <w:pageBreakBefore w:val="0"/>
        <w:widowControl/>
        <w:kinsoku/>
        <w:overflowPunct/>
        <w:autoSpaceDE/>
        <w:autoSpaceDN/>
        <w:bidi w:val="0"/>
        <w:adjustRightInd w:val="0"/>
        <w:snapToGrid w:val="0"/>
        <w:spacing w:line="560" w:lineRule="exact"/>
        <w:ind w:firstLine="720"/>
        <w:jc w:val="left"/>
        <w:textAlignment w:val="auto"/>
        <w:rPr>
          <w:rFonts w:ascii="仿宋_GB2312" w:eastAsia="仿宋_GB2312" w:cs="仿宋_GB2312" w:hint="eastAsia"/>
          <w:spacing w:val="34"/>
          <w:sz w:val="32"/>
          <w:szCs w:val="32"/>
          <w:lang w:val="zh-CN"/>
        </w:rPr>
      </w:pPr>
      <w:r>
        <w:rPr>
          <w:rFonts w:ascii="仿宋_GB2312" w:eastAsia="仿宋_GB2312" w:cs="仿宋_GB2312" w:hint="eastAsia"/>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keepNext w:val="0"/>
        <w:keepLines w:val="0"/>
        <w:pageBreakBefore w:val="0"/>
        <w:widowControl/>
        <w:kinsoku/>
        <w:wordWrap w:val="0"/>
        <w:overflowPunct/>
        <w:topLinePunct/>
        <w:autoSpaceDE/>
        <w:autoSpaceDN/>
        <w:bidi w:val="0"/>
        <w:adjustRightInd w:val="0"/>
        <w:snapToGrid w:val="0"/>
        <w:spacing w:line="560" w:lineRule="exact"/>
        <w:ind w:firstLineChars="200" w:firstLine="776"/>
        <w:jc w:val="left"/>
        <w:textAlignment w:val="auto"/>
        <w:rPr>
          <w:rFonts w:ascii="仿宋_GB2312" w:eastAsia="仿宋_GB2312" w:cs="仿宋_GB2312" w:hint="eastAsia"/>
          <w:b/>
          <w:bCs/>
          <w:snapToGrid/>
          <w:color w:val="000000"/>
          <w:spacing w:val="34"/>
          <w:w w:val="100"/>
          <w:kern w:val="2"/>
          <w:sz w:val="32"/>
          <w:szCs w:val="32"/>
          <w:lang w:val="zh-CN"/>
        </w:rPr>
      </w:pPr>
      <w:bookmarkStart w:id="85" w:name="_Toc28385"/>
      <w:r>
        <w:rPr>
          <w:rFonts w:ascii="仿宋_GB2312" w:eastAsia="仿宋_GB2312" w:cs="仿宋_GB2312" w:hint="eastAsia"/>
          <w:b/>
          <w:bCs/>
          <w:snapToGrid/>
          <w:color w:val="000000"/>
          <w:spacing w:val="34"/>
          <w:w w:val="100"/>
          <w:kern w:val="2"/>
          <w:sz w:val="32"/>
          <w:szCs w:val="32"/>
          <w:lang w:val="zh-CN"/>
        </w:rPr>
        <w:t>（三）人员概况</w:t>
      </w:r>
      <w:bookmarkEnd w:id="85"/>
    </w:p>
    <w:p>
      <w:pPr>
        <w:keepNext w:val="0"/>
        <w:keepLines w:val="0"/>
        <w:pageBreakBefore w:val="0"/>
        <w:widowControl w:val="0"/>
        <w:kinsoku/>
        <w:wordWrap w:val="0"/>
        <w:overflowPunct/>
        <w:autoSpaceDE/>
        <w:autoSpaceDN/>
        <w:bidi w:val="0"/>
        <w:spacing w:line="560" w:lineRule="exact"/>
        <w:ind w:firstLineChars="200" w:firstLine="640"/>
        <w:jc w:val="left"/>
        <w:textAlignment w:val="auto"/>
        <w:rPr>
          <w:rFonts w:ascii="仿宋_GB2312" w:eastAsia="仿宋_GB2312" w:cs="仿宋_GB2312" w:hint="eastAsia"/>
          <w:color w:val="auto"/>
          <w:spacing w:val="34"/>
          <w:sz w:val="32"/>
          <w:szCs w:val="32"/>
          <w:lang w:val="zh-CN" w:eastAsia="zh-CN"/>
        </w:rPr>
      </w:pPr>
      <w:r>
        <w:rPr>
          <w:rFonts w:ascii="仿宋_GB2312" w:eastAsia="仿宋_GB2312" w:cs="仿宋_GB2312" w:hint="eastAsia"/>
          <w:sz w:val="32"/>
          <w:szCs w:val="32"/>
        </w:rPr>
        <w:t>机构情况：我</w:t>
      </w:r>
      <w:r>
        <w:rPr>
          <w:rFonts w:ascii="仿宋_GB2312" w:eastAsia="仿宋_GB2312" w:cs="仿宋_GB2312" w:hint="eastAsia"/>
          <w:sz w:val="32"/>
          <w:szCs w:val="32"/>
          <w:lang w:eastAsia="zh-CN"/>
        </w:rPr>
        <w:t>乡</w:t>
      </w:r>
      <w:r>
        <w:rPr>
          <w:rFonts w:ascii="仿宋_GB2312" w:eastAsia="仿宋_GB2312" w:cs="仿宋_GB2312" w:hint="eastAsia"/>
          <w:sz w:val="32"/>
          <w:szCs w:val="32"/>
        </w:rPr>
        <w:t>只有一个行政核算机构。</w:t>
      </w:r>
      <w:r>
        <w:rPr>
          <w:rFonts w:ascii="仿宋_GB2312" w:eastAsia="仿宋_GB2312" w:cs="仿宋_GB2312" w:hint="eastAsia"/>
          <w:color w:val="auto"/>
          <w:spacing w:val="34"/>
          <w:sz w:val="32"/>
          <w:szCs w:val="32"/>
          <w:lang w:val="zh-CN" w:eastAsia="zh-CN"/>
        </w:rPr>
        <w:t>单位编制数</w:t>
      </w:r>
      <w:r>
        <w:rPr>
          <w:rFonts w:ascii="仿宋_GB2312" w:eastAsia="仿宋_GB2312" w:cs="仿宋_GB2312" w:hint="eastAsia"/>
          <w:color w:val="auto"/>
          <w:spacing w:val="34"/>
          <w:sz w:val="32"/>
          <w:szCs w:val="32"/>
          <w:lang w:val="en-US" w:eastAsia="zh-CN"/>
        </w:rPr>
        <w:t>26</w:t>
      </w:r>
      <w:r>
        <w:rPr>
          <w:rFonts w:ascii="仿宋_GB2312" w:eastAsia="仿宋_GB2312" w:cs="仿宋_GB2312" w:hint="eastAsia"/>
          <w:color w:val="auto"/>
          <w:spacing w:val="34"/>
          <w:sz w:val="32"/>
          <w:szCs w:val="32"/>
          <w:lang w:val="zh-CN" w:eastAsia="zh-CN"/>
        </w:rPr>
        <w:t>个，其中：公务员编制</w:t>
      </w:r>
      <w:r>
        <w:rPr>
          <w:rFonts w:ascii="仿宋_GB2312" w:eastAsia="仿宋_GB2312" w:cs="仿宋_GB2312" w:hint="eastAsia"/>
          <w:color w:val="auto"/>
          <w:spacing w:val="34"/>
          <w:sz w:val="32"/>
          <w:szCs w:val="32"/>
          <w:lang w:val="en-US" w:eastAsia="zh-CN"/>
        </w:rPr>
        <w:t>14个</w:t>
      </w:r>
      <w:r>
        <w:rPr>
          <w:rFonts w:ascii="仿宋_GB2312" w:eastAsia="仿宋_GB2312" w:cs="仿宋_GB2312" w:hint="eastAsia"/>
          <w:color w:val="auto"/>
          <w:spacing w:val="34"/>
          <w:sz w:val="32"/>
          <w:szCs w:val="32"/>
          <w:lang w:val="zh-CN" w:eastAsia="zh-CN"/>
        </w:rPr>
        <w:t>、行政工勤编制</w:t>
      </w:r>
      <w:r>
        <w:rPr>
          <w:rFonts w:ascii="仿宋_GB2312" w:eastAsia="仿宋_GB2312" w:cs="仿宋_GB2312" w:hint="eastAsia"/>
          <w:color w:val="auto"/>
          <w:spacing w:val="34"/>
          <w:sz w:val="32"/>
          <w:szCs w:val="32"/>
          <w:lang w:val="en-US" w:eastAsia="zh-CN"/>
        </w:rPr>
        <w:t>2</w:t>
      </w:r>
      <w:r>
        <w:rPr>
          <w:rFonts w:ascii="仿宋_GB2312" w:eastAsia="仿宋_GB2312" w:cs="仿宋_GB2312" w:hint="eastAsia"/>
          <w:color w:val="auto"/>
          <w:spacing w:val="34"/>
          <w:sz w:val="32"/>
          <w:szCs w:val="32"/>
          <w:lang w:val="zh-CN" w:eastAsia="zh-CN"/>
        </w:rPr>
        <w:t>个，</w:t>
      </w:r>
      <w:r>
        <w:rPr>
          <w:rFonts w:ascii="仿宋_GB2312" w:eastAsia="仿宋_GB2312" w:cs="仿宋_GB2312" w:hint="eastAsia"/>
          <w:sz w:val="32"/>
          <w:szCs w:val="32"/>
        </w:rPr>
        <w:t>财政补助事业编制</w:t>
      </w:r>
      <w:r>
        <w:rPr>
          <w:rFonts w:ascii="仿宋_GB2312" w:eastAsia="仿宋_GB2312" w:cs="仿宋_GB2312" w:hint="eastAsia"/>
          <w:sz w:val="32"/>
          <w:szCs w:val="32"/>
          <w:lang w:val="en-US" w:eastAsia="zh-CN"/>
        </w:rPr>
        <w:t>10</w:t>
      </w:r>
      <w:r>
        <w:rPr>
          <w:rFonts w:ascii="仿宋_GB2312" w:eastAsia="仿宋_GB2312" w:cs="仿宋_GB2312" w:hint="eastAsia"/>
          <w:sz w:val="32"/>
          <w:szCs w:val="32"/>
        </w:rPr>
        <w:t>名</w:t>
      </w:r>
      <w:r>
        <w:rPr>
          <w:rFonts w:ascii="仿宋_GB2312" w:eastAsia="仿宋_GB2312" w:cs="仿宋_GB2312" w:hint="eastAsia"/>
          <w:color w:val="auto"/>
          <w:spacing w:val="34"/>
          <w:sz w:val="32"/>
          <w:szCs w:val="32"/>
          <w:lang w:val="zh-CN" w:eastAsia="zh-CN"/>
        </w:rPr>
        <w:t>。截止20</w:t>
      </w:r>
      <w:r>
        <w:rPr>
          <w:rFonts w:ascii="仿宋_GB2312" w:eastAsia="仿宋_GB2312" w:cs="仿宋_GB2312" w:hint="eastAsia"/>
          <w:color w:val="auto"/>
          <w:spacing w:val="34"/>
          <w:sz w:val="32"/>
          <w:szCs w:val="32"/>
          <w:lang w:val="en-US" w:eastAsia="zh-CN"/>
        </w:rPr>
        <w:t>22</w:t>
      </w:r>
      <w:r>
        <w:rPr>
          <w:rFonts w:ascii="仿宋_GB2312" w:eastAsia="仿宋_GB2312" w:cs="仿宋_GB2312" w:hint="eastAsia"/>
          <w:color w:val="auto"/>
          <w:spacing w:val="34"/>
          <w:sz w:val="32"/>
          <w:szCs w:val="32"/>
          <w:lang w:val="zh-CN" w:eastAsia="zh-CN"/>
        </w:rPr>
        <w:t>年</w:t>
      </w:r>
      <w:r>
        <w:rPr>
          <w:rFonts w:ascii="仿宋_GB2312" w:eastAsia="仿宋_GB2312" w:cs="仿宋_GB2312" w:hint="eastAsia"/>
          <w:color w:val="auto"/>
          <w:spacing w:val="34"/>
          <w:sz w:val="32"/>
          <w:szCs w:val="32"/>
          <w:lang w:val="en-US" w:eastAsia="zh-CN"/>
        </w:rPr>
        <w:t>12月</w:t>
      </w:r>
      <w:r>
        <w:rPr>
          <w:rFonts w:ascii="仿宋_GB2312" w:eastAsia="仿宋_GB2312" w:cs="仿宋_GB2312" w:hint="eastAsia"/>
          <w:color w:val="auto"/>
          <w:spacing w:val="34"/>
          <w:sz w:val="32"/>
          <w:szCs w:val="32"/>
          <w:lang w:val="zh-CN" w:eastAsia="zh-CN"/>
        </w:rPr>
        <w:t>，单位实有人数</w:t>
      </w:r>
      <w:r>
        <w:rPr>
          <w:rFonts w:ascii="仿宋_GB2312" w:eastAsia="仿宋_GB2312" w:cs="仿宋_GB2312" w:hint="eastAsia"/>
          <w:color w:val="auto"/>
          <w:spacing w:val="34"/>
          <w:sz w:val="32"/>
          <w:szCs w:val="32"/>
          <w:lang w:val="en-US" w:eastAsia="zh-CN"/>
        </w:rPr>
        <w:t>23</w:t>
      </w:r>
      <w:r>
        <w:rPr>
          <w:rFonts w:ascii="仿宋_GB2312" w:eastAsia="仿宋_GB2312" w:cs="仿宋_GB2312" w:hint="eastAsia"/>
          <w:color w:val="auto"/>
          <w:spacing w:val="34"/>
          <w:sz w:val="32"/>
          <w:szCs w:val="32"/>
          <w:lang w:val="zh-CN" w:eastAsia="zh-CN"/>
        </w:rPr>
        <w:t>人，其中：在职</w:t>
      </w:r>
      <w:r>
        <w:rPr>
          <w:rFonts w:ascii="仿宋_GB2312" w:eastAsia="仿宋_GB2312" w:cs="仿宋_GB2312" w:hint="eastAsia"/>
          <w:color w:val="auto"/>
          <w:spacing w:val="34"/>
          <w:sz w:val="32"/>
          <w:szCs w:val="32"/>
          <w:lang w:val="en-US" w:eastAsia="zh-CN"/>
        </w:rPr>
        <w:t>23</w:t>
      </w:r>
      <w:r>
        <w:rPr>
          <w:rFonts w:ascii="仿宋_GB2312" w:eastAsia="仿宋_GB2312" w:cs="仿宋_GB2312" w:hint="eastAsia"/>
          <w:color w:val="auto"/>
          <w:spacing w:val="34"/>
          <w:sz w:val="32"/>
          <w:szCs w:val="32"/>
          <w:lang w:val="zh-CN" w:eastAsia="zh-CN"/>
        </w:rPr>
        <w:t>人（公务员</w:t>
      </w:r>
      <w:r>
        <w:rPr>
          <w:rFonts w:ascii="仿宋_GB2312" w:eastAsia="仿宋_GB2312" w:cs="仿宋_GB2312" w:hint="eastAsia"/>
          <w:color w:val="auto"/>
          <w:spacing w:val="34"/>
          <w:sz w:val="32"/>
          <w:szCs w:val="32"/>
          <w:lang w:val="en-US" w:eastAsia="zh-CN"/>
        </w:rPr>
        <w:t>13个</w:t>
      </w:r>
      <w:r>
        <w:rPr>
          <w:rFonts w:ascii="仿宋_GB2312" w:eastAsia="仿宋_GB2312" w:cs="仿宋_GB2312" w:hint="eastAsia"/>
          <w:color w:val="auto"/>
          <w:spacing w:val="34"/>
          <w:sz w:val="32"/>
          <w:szCs w:val="32"/>
          <w:lang w:val="zh-CN" w:eastAsia="zh-CN"/>
        </w:rPr>
        <w:t>、行政工勤</w:t>
      </w:r>
      <w:r>
        <w:rPr>
          <w:rFonts w:ascii="仿宋_GB2312" w:eastAsia="仿宋_GB2312" w:cs="仿宋_GB2312" w:hint="eastAsia"/>
          <w:color w:val="auto"/>
          <w:spacing w:val="34"/>
          <w:sz w:val="32"/>
          <w:szCs w:val="32"/>
          <w:lang w:val="en-US" w:eastAsia="zh-CN"/>
        </w:rPr>
        <w:t>2</w:t>
      </w:r>
      <w:r>
        <w:rPr>
          <w:rFonts w:ascii="仿宋_GB2312" w:eastAsia="仿宋_GB2312" w:cs="仿宋_GB2312" w:hint="eastAsia"/>
          <w:color w:val="auto"/>
          <w:spacing w:val="34"/>
          <w:sz w:val="32"/>
          <w:szCs w:val="32"/>
          <w:lang w:val="zh-CN" w:eastAsia="zh-CN"/>
        </w:rPr>
        <w:t>个，</w:t>
      </w:r>
      <w:r>
        <w:rPr>
          <w:rFonts w:ascii="仿宋_GB2312" w:eastAsia="仿宋_GB2312" w:cs="仿宋_GB2312" w:hint="eastAsia"/>
          <w:sz w:val="32"/>
          <w:szCs w:val="32"/>
        </w:rPr>
        <w:t>事业</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名</w:t>
      </w:r>
      <w:r>
        <w:rPr>
          <w:rFonts w:ascii="仿宋_GB2312" w:eastAsia="仿宋_GB2312" w:cs="仿宋_GB2312" w:hint="eastAsia"/>
          <w:color w:val="auto"/>
          <w:spacing w:val="34"/>
          <w:sz w:val="32"/>
          <w:szCs w:val="32"/>
          <w:lang w:val="zh-CN" w:eastAsia="zh-CN"/>
        </w:rPr>
        <w:t>），退休</w:t>
      </w:r>
      <w:r>
        <w:rPr>
          <w:rFonts w:ascii="仿宋_GB2312" w:eastAsia="仿宋_GB2312" w:cs="仿宋_GB2312" w:hint="eastAsia"/>
          <w:color w:val="auto"/>
          <w:spacing w:val="34"/>
          <w:sz w:val="32"/>
          <w:szCs w:val="32"/>
          <w:lang w:val="en-US" w:eastAsia="zh-CN"/>
        </w:rPr>
        <w:t>0</w:t>
      </w:r>
      <w:r>
        <w:rPr>
          <w:rFonts w:ascii="仿宋_GB2312" w:eastAsia="仿宋_GB2312" w:cs="仿宋_GB2312" w:hint="eastAsia"/>
          <w:color w:val="auto"/>
          <w:spacing w:val="34"/>
          <w:sz w:val="32"/>
          <w:szCs w:val="32"/>
          <w:lang w:val="zh-CN" w:eastAsia="zh-CN"/>
        </w:rPr>
        <w:t>人，（退休人员工资转由社保部门发放）。</w:t>
      </w:r>
    </w:p>
    <w:p>
      <w:pPr>
        <w:keepNext w:val="0"/>
        <w:keepLines w:val="0"/>
        <w:pageBreakBefore w:val="0"/>
        <w:widowControl w:val="0"/>
        <w:numPr>
          <w:ilvl w:val="0"/>
          <w:numId w:val="4"/>
        </w:numPr>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Chars="200" w:firstLine="640"/>
        <w:jc w:val="both"/>
        <w:textAlignment w:val="auto"/>
        <w:outlineLvl w:val="0"/>
        <w:rPr>
          <w:rFonts w:ascii="Mongolian Baiti" w:eastAsia="黑体" w:cs="Mongolian Baiti" w:hAnsi="Mongolian Baiti" w:hint="eastAsia"/>
          <w:color w:val="auto"/>
          <w:kern w:val="2"/>
          <w:sz w:val="32"/>
          <w:szCs w:val="32"/>
          <w:u w:val="none"/>
          <w:vertAlign w:val="baseline"/>
          <w:lang w:val="en-US" w:eastAsia="zh-CN" w:bidi="ar-SA"/>
        </w:rPr>
      </w:pPr>
      <w:r>
        <w:rPr>
          <w:rFonts w:ascii="Mongolian Baiti" w:eastAsia="黑体" w:cs="Mongolian Baiti" w:hAnsi="Mongolian Baiti" w:hint="eastAsia"/>
          <w:color w:val="auto"/>
          <w:kern w:val="2"/>
          <w:sz w:val="32"/>
          <w:szCs w:val="32"/>
          <w:u w:val="none"/>
          <w:vertAlign w:val="baseline"/>
          <w:lang w:val="en-US" w:eastAsia="zh-CN" w:bidi="ar-SA"/>
        </w:rPr>
        <w:t>部门财政资金收支情况</w:t>
      </w:r>
    </w:p>
    <w:p>
      <w:pPr>
        <w:keepNext w:val="0"/>
        <w:keepLines w:val="0"/>
        <w:pageBreakBefore w:val="0"/>
        <w:widowControl/>
        <w:numPr>
          <w:ilvl w:val="0"/>
          <w:numId w:val="5"/>
        </w:numPr>
        <w:kinsoku/>
        <w:wordWrap w:val="0"/>
        <w:overflowPunct/>
        <w:topLinePunct/>
        <w:autoSpaceDE/>
        <w:autoSpaceDN/>
        <w:bidi w:val="0"/>
        <w:adjustRightInd w:val="0"/>
        <w:snapToGrid w:val="0"/>
        <w:spacing w:line="560" w:lineRule="exact"/>
        <w:ind w:left="0" w:firstLineChars="200" w:firstLine="776"/>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部分财政资金收入情况</w:t>
      </w:r>
    </w:p>
    <w:p>
      <w:pPr>
        <w:spacing w:line="600" w:lineRule="exact"/>
        <w:ind w:firstLineChars="200" w:firstLine="632"/>
        <w:outlineLvl w:val="1"/>
        <w:rPr>
          <w:rFonts w:hint="eastAsia"/>
          <w:lang w:val="en-US" w:eastAsia="zh-CN"/>
        </w:rPr>
      </w:pPr>
      <w:r>
        <w:rPr>
          <w:rFonts w:ascii="仿宋_GB2312" w:eastAsia="仿宋_GB2312" w:hint="eastAsia"/>
          <w:color w:val="000000"/>
          <w:spacing w:val="-2"/>
          <w:sz w:val="32"/>
          <w:szCs w:val="32"/>
          <w:lang w:eastAsia="zh-CN"/>
        </w:rPr>
        <w:t>2022年</w:t>
      </w:r>
      <w:r>
        <w:rPr>
          <w:rFonts w:ascii="仿宋_GB2312" w:eastAsia="仿宋_GB2312" w:hint="eastAsia"/>
          <w:color w:val="000000"/>
          <w:spacing w:val="-2"/>
          <w:sz w:val="32"/>
          <w:szCs w:val="32"/>
        </w:rPr>
        <w:t>度总收入</w:t>
      </w:r>
      <w:r>
        <w:rPr>
          <w:rFonts w:ascii="仿宋_GB2312" w:eastAsia="仿宋_GB2312" w:hint="eastAsia"/>
          <w:color w:val="000000"/>
          <w:spacing w:val="-2"/>
          <w:kern w:val="2"/>
          <w:sz w:val="32"/>
          <w:szCs w:val="32"/>
          <w:lang w:val="en-US" w:eastAsia="zh-CN" w:bidi="ar-SA"/>
        </w:rPr>
        <w:t>704.16</w:t>
      </w:r>
      <w:r>
        <w:rPr>
          <w:rFonts w:ascii="仿宋_GB2312" w:eastAsia="仿宋_GB2312" w:hint="eastAsia"/>
          <w:color w:val="000000"/>
          <w:spacing w:val="-2"/>
          <w:sz w:val="32"/>
          <w:szCs w:val="32"/>
        </w:rPr>
        <w:t>万元，较上年收入增加</w:t>
      </w:r>
      <w:r>
        <w:rPr>
          <w:rFonts w:ascii="仿宋_GB2312" w:eastAsia="仿宋_GB2312" w:hint="eastAsia"/>
          <w:color w:val="000000"/>
          <w:spacing w:val="-2"/>
          <w:kern w:val="2"/>
          <w:sz w:val="32"/>
          <w:szCs w:val="32"/>
          <w:lang w:val="en-US" w:eastAsia="zh-CN" w:bidi="ar-SA"/>
        </w:rPr>
        <w:t>44.82</w:t>
      </w:r>
      <w:r>
        <w:rPr>
          <w:rFonts w:ascii="仿宋_GB2312" w:eastAsia="仿宋_GB2312" w:hint="eastAsia"/>
          <w:color w:val="000000"/>
          <w:spacing w:val="-2"/>
          <w:sz w:val="32"/>
          <w:szCs w:val="32"/>
        </w:rPr>
        <w:t>万元，增加</w:t>
      </w:r>
      <w:r>
        <w:rPr>
          <w:rFonts w:ascii="仿宋_GB2312" w:eastAsia="仿宋_GB2312" w:hint="eastAsia"/>
          <w:color w:val="000000"/>
          <w:spacing w:val="-2"/>
          <w:kern w:val="2"/>
          <w:sz w:val="32"/>
          <w:szCs w:val="32"/>
          <w:lang w:val="en-US" w:eastAsia="zh-CN" w:bidi="ar-SA"/>
        </w:rPr>
        <w:t>6.80</w:t>
      </w:r>
      <w:r>
        <w:rPr>
          <w:rFonts w:ascii="仿宋_GB2312" w:eastAsia="仿宋_GB2312" w:hint="eastAsia"/>
          <w:color w:val="000000"/>
          <w:spacing w:val="-2"/>
          <w:sz w:val="32"/>
          <w:szCs w:val="32"/>
        </w:rPr>
        <w:t>%。增加的主要原因是</w:t>
      </w:r>
      <w:r>
        <w:rPr>
          <w:rFonts w:ascii="仿宋_GB2312" w:eastAsia="仿宋_GB2312" w:hint="eastAsia"/>
          <w:sz w:val="32"/>
          <w:szCs w:val="32"/>
          <w:lang w:val="en-US" w:eastAsia="zh-CN"/>
        </w:rPr>
        <w:t>2022年人员经费增加</w:t>
      </w:r>
      <w:r>
        <w:rPr>
          <w:rFonts w:ascii="仿宋_GB2312" w:eastAsia="仿宋_GB2312" w:hint="eastAsia"/>
          <w:color w:val="000000"/>
          <w:spacing w:val="-2"/>
          <w:sz w:val="32"/>
          <w:szCs w:val="32"/>
        </w:rPr>
        <w:t>。</w:t>
      </w:r>
      <w:r>
        <w:rPr>
          <w:rFonts w:ascii="仿宋" w:eastAsia="仿宋" w:hint="eastAsia"/>
          <w:color w:val="000000"/>
          <w:sz w:val="32"/>
          <w:szCs w:val="32"/>
        </w:rPr>
        <w:t>其中：一般公共预算财政拨款收入</w:t>
      </w:r>
      <w:r>
        <w:rPr>
          <w:rFonts w:ascii="仿宋_GB2312" w:eastAsia="仿宋_GB2312" w:hint="eastAsia"/>
          <w:color w:val="000000"/>
          <w:spacing w:val="-2"/>
          <w:kern w:val="2"/>
          <w:sz w:val="32"/>
          <w:szCs w:val="32"/>
          <w:lang w:val="en-US" w:eastAsia="zh-CN" w:bidi="ar-SA"/>
        </w:rPr>
        <w:t>704.16</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p>
    <w:p>
      <w:pPr>
        <w:keepNext w:val="0"/>
        <w:keepLines w:val="0"/>
        <w:pageBreakBefore w:val="0"/>
        <w:widowControl/>
        <w:numPr>
          <w:ilvl w:val="0"/>
          <w:numId w:val="5"/>
        </w:numPr>
        <w:kinsoku/>
        <w:wordWrap w:val="0"/>
        <w:overflowPunct/>
        <w:topLinePunct/>
        <w:autoSpaceDE/>
        <w:autoSpaceDN/>
        <w:bidi w:val="0"/>
        <w:adjustRightInd w:val="0"/>
        <w:snapToGrid w:val="0"/>
        <w:spacing w:line="560" w:lineRule="exact"/>
        <w:ind w:left="0" w:firstLineChars="200" w:firstLine="776"/>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部门财政资金支出情况</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eastAsia="zh-CN"/>
        </w:rPr>
        <w:t>2022年</w:t>
      </w:r>
      <w:r>
        <w:rPr>
          <w:rFonts w:ascii="仿宋" w:eastAsia="仿宋" w:hint="eastAsia"/>
          <w:color w:val="000000"/>
          <w:sz w:val="32"/>
          <w:szCs w:val="32"/>
        </w:rPr>
        <w:t>一般公共预算财政拨款支出</w:t>
      </w:r>
      <w:r>
        <w:rPr>
          <w:rFonts w:ascii="仿宋_GB2312" w:eastAsia="仿宋_GB2312" w:hint="eastAsia"/>
          <w:color w:val="000000"/>
          <w:spacing w:val="-2"/>
          <w:kern w:val="2"/>
          <w:sz w:val="32"/>
          <w:szCs w:val="32"/>
          <w:lang w:val="en-US" w:eastAsia="zh-CN" w:bidi="ar-SA"/>
        </w:rPr>
        <w:t>704.16</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支出较上年支出</w:t>
      </w:r>
      <w:r>
        <w:rPr>
          <w:rFonts w:ascii="仿宋_GB2312" w:eastAsia="仿宋_GB2312" w:hint="eastAsia"/>
          <w:spacing w:val="-2"/>
          <w:sz w:val="32"/>
          <w:szCs w:val="32"/>
          <w:lang w:val="en-US" w:eastAsia="zh-CN"/>
        </w:rPr>
        <w:t>增加</w:t>
      </w:r>
      <w:r>
        <w:rPr>
          <w:rFonts w:ascii="仿宋_GB2312" w:eastAsia="仿宋_GB2312" w:hint="eastAsia"/>
          <w:color w:val="000000"/>
          <w:spacing w:val="-2"/>
          <w:kern w:val="2"/>
          <w:sz w:val="32"/>
          <w:szCs w:val="32"/>
          <w:lang w:val="en-US" w:eastAsia="zh-CN" w:bidi="ar-SA"/>
        </w:rPr>
        <w:t>44.82</w:t>
      </w:r>
      <w:r>
        <w:rPr>
          <w:rFonts w:ascii="仿宋_GB2312" w:eastAsia="仿宋_GB2312" w:hint="eastAsia"/>
          <w:color w:val="000000"/>
          <w:spacing w:val="-2"/>
          <w:sz w:val="32"/>
          <w:szCs w:val="32"/>
        </w:rPr>
        <w:t>万元，增加</w:t>
      </w:r>
      <w:r>
        <w:rPr>
          <w:rFonts w:ascii="仿宋_GB2312" w:eastAsia="仿宋_GB2312" w:hint="eastAsia"/>
          <w:color w:val="000000"/>
          <w:spacing w:val="-2"/>
          <w:kern w:val="2"/>
          <w:sz w:val="32"/>
          <w:szCs w:val="32"/>
          <w:lang w:val="en-US" w:eastAsia="zh-CN" w:bidi="ar-SA"/>
        </w:rPr>
        <w:t>6.80</w:t>
      </w:r>
      <w:r>
        <w:rPr>
          <w:rFonts w:ascii="仿宋_GB2312" w:eastAsia="仿宋_GB2312" w:hint="eastAsia"/>
          <w:color w:val="000000"/>
          <w:spacing w:val="-2"/>
          <w:sz w:val="32"/>
          <w:szCs w:val="32"/>
        </w:rPr>
        <w:t>%</w:t>
      </w:r>
      <w:r>
        <w:rPr>
          <w:rFonts w:ascii="仿宋_GB2312" w:eastAsia="仿宋_GB2312" w:hint="eastAsia"/>
          <w:spacing w:val="-2"/>
          <w:sz w:val="32"/>
          <w:szCs w:val="32"/>
        </w:rPr>
        <w:t>。主要原因</w:t>
      </w:r>
      <w:r>
        <w:rPr>
          <w:rFonts w:ascii="仿宋_GB2312" w:eastAsia="仿宋_GB2312" w:hint="eastAsia"/>
          <w:spacing w:val="-2"/>
          <w:sz w:val="32"/>
          <w:szCs w:val="32"/>
          <w:lang w:eastAsia="zh-CN"/>
        </w:rPr>
        <w:t>是</w:t>
      </w:r>
      <w:r>
        <w:rPr>
          <w:rFonts w:ascii="仿宋_GB2312" w:eastAsia="仿宋_GB2312" w:hint="eastAsia"/>
          <w:sz w:val="32"/>
          <w:szCs w:val="32"/>
          <w:lang w:val="en-US" w:eastAsia="zh-CN"/>
        </w:rPr>
        <w:t>2022年人员经费增加。</w:t>
      </w:r>
    </w:p>
    <w:p>
      <w:pPr>
        <w:snapToGrid w:val="0"/>
        <w:spacing w:line="520" w:lineRule="exact"/>
        <w:ind w:firstLineChars="200" w:firstLine="640"/>
        <w:rPr>
          <w:rFonts w:ascii="仿宋" w:eastAsia="仿宋" w:hint="eastAsia"/>
          <w:color w:val="000000"/>
          <w:sz w:val="32"/>
          <w:szCs w:val="32"/>
        </w:rPr>
      </w:pPr>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sz w:val="32"/>
          <w:szCs w:val="32"/>
          <w:lang w:val="en-US" w:eastAsia="zh-CN"/>
        </w:rPr>
        <w:t>561.81</w:t>
      </w:r>
      <w:r>
        <w:rPr>
          <w:rFonts w:ascii="仿宋_GB2312" w:eastAsia="仿宋_GB2312" w:hint="eastAsia"/>
          <w:color w:val="000000"/>
          <w:sz w:val="32"/>
          <w:szCs w:val="32"/>
        </w:rPr>
        <w:t>万元，基本支出中人员经费支出为</w:t>
      </w:r>
      <w:r>
        <w:rPr>
          <w:rFonts w:ascii="仿宋" w:eastAsia="仿宋" w:hint="eastAsia"/>
          <w:color w:val="000000"/>
          <w:sz w:val="32"/>
          <w:szCs w:val="32"/>
          <w:lang w:val="en-US" w:eastAsia="zh-CN"/>
        </w:rPr>
        <w:t>537.22</w:t>
      </w:r>
      <w:r>
        <w:rPr>
          <w:rFonts w:ascii="仿宋_GB2312" w:eastAsia="仿宋_GB2312" w:hint="eastAsia"/>
          <w:color w:val="000000"/>
          <w:sz w:val="32"/>
          <w:szCs w:val="32"/>
        </w:rPr>
        <w:t>万元，</w:t>
      </w:r>
      <w:r>
        <w:rPr>
          <w:rFonts w:ascii="仿宋" w:eastAsia="仿宋" w:hint="eastAsia"/>
          <w:color w:val="000000"/>
          <w:sz w:val="32"/>
          <w:szCs w:val="32"/>
        </w:rPr>
        <w:t>主要包括：基本工资</w:t>
      </w:r>
      <w:r>
        <w:rPr>
          <w:rFonts w:ascii="仿宋" w:eastAsia="仿宋" w:hint="eastAsia"/>
          <w:color w:val="000000"/>
          <w:sz w:val="32"/>
          <w:szCs w:val="32"/>
          <w:lang w:val="en-US" w:eastAsia="zh-CN"/>
        </w:rPr>
        <w:t>94.73万元</w:t>
      </w:r>
      <w:r>
        <w:rPr>
          <w:rFonts w:ascii="仿宋" w:eastAsia="仿宋" w:hint="eastAsia"/>
          <w:color w:val="000000"/>
          <w:sz w:val="32"/>
          <w:szCs w:val="32"/>
        </w:rPr>
        <w:t>、津贴补贴</w:t>
      </w:r>
      <w:r>
        <w:rPr>
          <w:rFonts w:ascii="仿宋" w:eastAsia="仿宋" w:hint="eastAsia"/>
          <w:color w:val="000000"/>
          <w:sz w:val="32"/>
          <w:szCs w:val="32"/>
          <w:lang w:val="en-US" w:eastAsia="zh-CN"/>
        </w:rPr>
        <w:t>147.7万元</w:t>
      </w:r>
      <w:r>
        <w:rPr>
          <w:rFonts w:ascii="仿宋" w:eastAsia="仿宋" w:hint="eastAsia"/>
          <w:color w:val="000000"/>
          <w:sz w:val="32"/>
          <w:szCs w:val="32"/>
        </w:rPr>
        <w:t>、奖金</w:t>
      </w:r>
      <w:r>
        <w:rPr>
          <w:rFonts w:ascii="仿宋" w:eastAsia="仿宋" w:hint="eastAsia"/>
          <w:color w:val="000000"/>
          <w:sz w:val="32"/>
          <w:szCs w:val="32"/>
          <w:lang w:val="en-US" w:eastAsia="zh-CN"/>
        </w:rPr>
        <w:t>91.95万元，绩效20.71万元，其他社会保险缴费7.06万元，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39.74万元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19.87万元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职工基本医疗保险缴费20.77万元、公务员医疗补助缴费2.85万元、</w:t>
      </w:r>
      <w:r>
        <w:rPr>
          <w:rFonts w:ascii="仿宋" w:eastAsia="仿宋" w:hint="eastAsia"/>
          <w:color w:val="000000"/>
          <w:sz w:val="32"/>
          <w:szCs w:val="32"/>
        </w:rPr>
        <w:t>住房公积金</w:t>
      </w:r>
      <w:r>
        <w:rPr>
          <w:rFonts w:ascii="仿宋" w:eastAsia="仿宋" w:hint="eastAsia"/>
          <w:color w:val="000000"/>
          <w:sz w:val="32"/>
          <w:szCs w:val="32"/>
          <w:lang w:val="en-US" w:eastAsia="zh-CN"/>
        </w:rPr>
        <w:t>38.78万元</w:t>
      </w:r>
      <w:r>
        <w:rPr>
          <w:rFonts w:ascii="仿宋" w:eastAsia="仿宋" w:hint="eastAsia"/>
          <w:color w:val="000000"/>
          <w:sz w:val="32"/>
          <w:szCs w:val="32"/>
        </w:rPr>
        <w:t>、</w:t>
      </w:r>
      <w:r>
        <w:rPr>
          <w:rFonts w:ascii="仿宋" w:eastAsia="仿宋" w:hint="eastAsia"/>
          <w:color w:val="000000"/>
          <w:sz w:val="32"/>
          <w:szCs w:val="32"/>
          <w:lang w:val="en-US" w:eastAsia="zh-CN"/>
        </w:rPr>
        <w:t>奖励金53.08万元</w:t>
      </w:r>
      <w:r>
        <w:rPr>
          <w:rFonts w:ascii="仿宋" w:eastAsia="仿宋" w:hint="eastAsia"/>
          <w:color w:val="000000"/>
          <w:sz w:val="32"/>
          <w:szCs w:val="32"/>
        </w:rPr>
        <w:t>等。</w:t>
      </w:r>
    </w:p>
    <w:p>
      <w:pPr>
        <w:snapToGrid w:val="0"/>
        <w:spacing w:line="52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rPr>
        <w:t>公用经费</w:t>
      </w:r>
      <w:r>
        <w:rPr>
          <w:rFonts w:ascii="仿宋" w:eastAsia="仿宋" w:hint="eastAsia"/>
          <w:color w:val="000000"/>
          <w:sz w:val="32"/>
          <w:szCs w:val="32"/>
          <w:lang w:val="en-US" w:eastAsia="zh-CN"/>
        </w:rPr>
        <w:t>24.59</w:t>
      </w:r>
      <w:r>
        <w:rPr>
          <w:rFonts w:ascii="仿宋" w:eastAsia="仿宋" w:hint="eastAsia"/>
          <w:color w:val="000000"/>
          <w:sz w:val="32"/>
          <w:szCs w:val="32"/>
        </w:rPr>
        <w:t>万元，主要包括：</w:t>
      </w:r>
      <w:r>
        <w:rPr>
          <w:rFonts w:ascii="仿宋" w:eastAsia="仿宋" w:hint="eastAsia"/>
          <w:color w:val="000000"/>
          <w:sz w:val="32"/>
          <w:szCs w:val="32"/>
          <w:lang w:eastAsia="zh-CN"/>
        </w:rPr>
        <w:t>办公费</w:t>
      </w:r>
      <w:r>
        <w:rPr>
          <w:rFonts w:ascii="仿宋" w:eastAsia="仿宋" w:hint="eastAsia"/>
          <w:color w:val="000000"/>
          <w:sz w:val="32"/>
          <w:szCs w:val="32"/>
          <w:lang w:val="en-US" w:eastAsia="zh-CN"/>
        </w:rPr>
        <w:t>1.41万元，印刷费2.17万元，手续费0.02万元，电费3.9万元，邮电费2.2万元，差旅费3.49万元，维修维护费2万元，劳务费3.6万元，公务用车运行维护费5.8万元。</w:t>
      </w:r>
    </w:p>
    <w:p>
      <w:pPr>
        <w:spacing w:line="600" w:lineRule="exact"/>
        <w:ind w:firstLine="645"/>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 xml:space="preserve"> </w:t>
      </w: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w:t>
      </w:r>
      <w:r>
        <w:rPr>
          <w:rFonts w:ascii="仿宋" w:eastAsia="仿宋" w:hint="eastAsia"/>
          <w:color w:val="000000"/>
          <w:sz w:val="32"/>
          <w:szCs w:val="32"/>
          <w:lang w:eastAsia="zh-CN"/>
        </w:rPr>
        <w:t>项目</w:t>
      </w:r>
      <w:r>
        <w:rPr>
          <w:rFonts w:ascii="仿宋" w:eastAsia="仿宋" w:hint="eastAsia"/>
          <w:color w:val="000000"/>
          <w:sz w:val="32"/>
          <w:szCs w:val="32"/>
        </w:rPr>
        <w:t>支出</w:t>
      </w:r>
      <w:r>
        <w:rPr>
          <w:rFonts w:ascii="仿宋_GB2312" w:eastAsia="仿宋_GB2312" w:hint="eastAsia"/>
          <w:sz w:val="32"/>
          <w:szCs w:val="32"/>
          <w:lang w:val="en-US" w:eastAsia="zh-CN"/>
        </w:rPr>
        <w:t>142.35</w:t>
      </w:r>
      <w:r>
        <w:rPr>
          <w:rFonts w:ascii="仿宋" w:eastAsia="仿宋" w:hint="eastAsia"/>
          <w:color w:val="000000"/>
          <w:sz w:val="32"/>
          <w:szCs w:val="32"/>
        </w:rPr>
        <w:t>万元</w:t>
      </w:r>
      <w:r>
        <w:rPr>
          <w:rFonts w:ascii="仿宋" w:eastAsia="仿宋" w:hint="eastAsia"/>
          <w:color w:val="000000"/>
          <w:sz w:val="32"/>
          <w:szCs w:val="32"/>
          <w:lang w:eastAsia="zh-CN"/>
        </w:rPr>
        <w:t>。</w:t>
      </w:r>
    </w:p>
    <w:p>
      <w:pPr>
        <w:keepNext w:val="0"/>
        <w:keepLines w:val="0"/>
        <w:pageBreakBefore w:val="0"/>
        <w:widowControl w:val="0"/>
        <w:numPr>
          <w:ilvl w:val="0"/>
          <w:numId w:val="4"/>
        </w:numPr>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Chars="200" w:firstLine="640"/>
        <w:jc w:val="both"/>
        <w:textAlignment w:val="auto"/>
        <w:outlineLvl w:val="0"/>
        <w:rPr>
          <w:rFonts w:ascii="Mongolian Baiti" w:eastAsia="黑体" w:cs="Mongolian Baiti" w:hAnsi="Mongolian Baiti"/>
          <w:color w:val="auto"/>
          <w:kern w:val="2"/>
          <w:sz w:val="32"/>
          <w:szCs w:val="32"/>
          <w:u w:val="none"/>
          <w:vertAlign w:val="baseline"/>
          <w:lang w:val="en-US" w:eastAsia="zh-CN" w:bidi="ar-SA"/>
        </w:rPr>
      </w:pPr>
      <w:r>
        <w:rPr>
          <w:rFonts w:ascii="Mongolian Baiti" w:eastAsia="黑体" w:cs="Mongolian Baiti" w:hAnsi="Mongolian Baiti" w:hint="eastAsia"/>
          <w:color w:val="auto"/>
          <w:kern w:val="2"/>
          <w:sz w:val="32"/>
          <w:szCs w:val="32"/>
          <w:u w:val="none"/>
          <w:vertAlign w:val="baseline"/>
          <w:lang w:val="en-US" w:eastAsia="zh-CN" w:bidi="ar-SA"/>
        </w:rPr>
        <w:t>部门整体预算绩效管理情况</w:t>
      </w:r>
    </w:p>
    <w:p>
      <w:pPr>
        <w:keepNext w:val="0"/>
        <w:keepLines w:val="0"/>
        <w:pageBreakBefore w:val="0"/>
        <w:widowControl/>
        <w:numPr>
          <w:ilvl w:val="0"/>
          <w:numId w:val="6"/>
        </w:numPr>
        <w:kinsoku/>
        <w:wordWrap w:val="0"/>
        <w:overflowPunct/>
        <w:topLinePunct/>
        <w:autoSpaceDE/>
        <w:autoSpaceDN/>
        <w:bidi w:val="0"/>
        <w:adjustRightInd w:val="0"/>
        <w:snapToGrid w:val="0"/>
        <w:spacing w:line="560" w:lineRule="exact"/>
        <w:ind w:leftChars="200" w:left="420"/>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部门预算管理</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hint="eastAsia"/>
          <w:lang w:val="en-US" w:eastAsia="zh-CN"/>
        </w:rPr>
      </w:pPr>
      <w:r>
        <w:rPr>
          <w:rFonts w:ascii="仿宋" w:eastAsia="仿宋" w:hint="eastAsia"/>
          <w:color w:val="000000"/>
          <w:sz w:val="32"/>
          <w:szCs w:val="32"/>
        </w:rPr>
        <w:t>严格按照县级部门预算编制通知和有关要求，按时完成基础库、项目库报送工作，按时完成202</w:t>
      </w:r>
      <w:r>
        <w:rPr>
          <w:rFonts w:ascii="仿宋" w:eastAsia="仿宋" w:hint="eastAsia"/>
          <w:color w:val="000000"/>
          <w:sz w:val="32"/>
          <w:szCs w:val="32"/>
          <w:lang w:val="en-US" w:eastAsia="zh-CN"/>
        </w:rPr>
        <w:t>2</w:t>
      </w:r>
      <w:r>
        <w:rPr>
          <w:rFonts w:ascii="仿宋" w:eastAsia="仿宋" w:hint="eastAsia"/>
          <w:color w:val="000000"/>
          <w:sz w:val="32"/>
          <w:szCs w:val="32"/>
        </w:rPr>
        <w:t>年预算编制工作，并按时提交部门预算草案。预算编制全面、科学。202</w:t>
      </w:r>
      <w:r>
        <w:rPr>
          <w:rFonts w:ascii="仿宋" w:eastAsia="仿宋" w:hint="eastAsia"/>
          <w:color w:val="000000"/>
          <w:sz w:val="32"/>
          <w:szCs w:val="32"/>
          <w:lang w:val="en-US" w:eastAsia="zh-CN"/>
        </w:rPr>
        <w:t>2</w:t>
      </w:r>
      <w:r>
        <w:rPr>
          <w:rFonts w:ascii="仿宋" w:eastAsia="仿宋" w:hint="eastAsia"/>
          <w:color w:val="000000"/>
          <w:sz w:val="32"/>
          <w:szCs w:val="32"/>
        </w:rPr>
        <w:t>年实际支出和部门决算一致，绩效目标填报及年末结余结转都是严格按照县财政局的要求认真完成，不存在违规违纪使用资金的情况并按时完成202</w:t>
      </w:r>
      <w:r>
        <w:rPr>
          <w:rFonts w:ascii="仿宋" w:eastAsia="仿宋" w:hint="eastAsia"/>
          <w:color w:val="000000"/>
          <w:sz w:val="32"/>
          <w:szCs w:val="32"/>
          <w:lang w:val="en-US" w:eastAsia="zh-CN"/>
        </w:rPr>
        <w:t>3</w:t>
      </w:r>
      <w:r>
        <w:rPr>
          <w:rFonts w:ascii="仿宋" w:eastAsia="仿宋" w:hint="eastAsia"/>
          <w:color w:val="000000"/>
          <w:sz w:val="32"/>
          <w:szCs w:val="32"/>
        </w:rPr>
        <w:t>年预算编制工作，及时提交了部门预算草案。</w:t>
      </w:r>
    </w:p>
    <w:p>
      <w:pPr>
        <w:keepNext w:val="0"/>
        <w:keepLines w:val="0"/>
        <w:pageBreakBefore w:val="0"/>
        <w:widowControl/>
        <w:numPr>
          <w:ilvl w:val="0"/>
          <w:numId w:val="6"/>
        </w:numPr>
        <w:kinsoku/>
        <w:wordWrap w:val="0"/>
        <w:overflowPunct/>
        <w:topLinePunct/>
        <w:autoSpaceDE/>
        <w:autoSpaceDN/>
        <w:bidi w:val="0"/>
        <w:adjustRightInd w:val="0"/>
        <w:snapToGrid w:val="0"/>
        <w:spacing w:line="560" w:lineRule="exact"/>
        <w:ind w:leftChars="200" w:left="420" w:firstLine="0"/>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结果应用情况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三公经费：</w:t>
      </w: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5.8</w:t>
      </w:r>
      <w:r>
        <w:rPr>
          <w:rFonts w:ascii="仿宋" w:eastAsia="仿宋" w:hint="eastAsia"/>
          <w:color w:val="000000"/>
          <w:sz w:val="32"/>
          <w:szCs w:val="32"/>
        </w:rPr>
        <w:t>万元（公务用车运行维护费），完成预算100</w:t>
      </w:r>
      <w:r>
        <w:rPr>
          <w:rFonts w:ascii="仿宋" w:eastAsia="仿宋"/>
          <w:color w:val="000000"/>
          <w:sz w:val="32"/>
          <w:szCs w:val="32"/>
        </w:rPr>
        <w:t>%</w:t>
      </w:r>
      <w:r>
        <w:rPr>
          <w:rFonts w:ascii="仿宋" w:eastAsia="仿宋" w:hint="eastAsia"/>
          <w:color w:val="000000"/>
          <w:sz w:val="32"/>
          <w:szCs w:val="32"/>
        </w:rPr>
        <w:t>.</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年“三公”经费预算</w:t>
      </w:r>
      <w:r>
        <w:rPr>
          <w:rFonts w:ascii="仿宋" w:eastAsia="仿宋" w:hint="eastAsia"/>
          <w:color w:val="000000"/>
          <w:sz w:val="32"/>
          <w:szCs w:val="32"/>
          <w:lang w:val="en-US" w:eastAsia="zh-CN"/>
        </w:rPr>
        <w:t>5.8</w:t>
      </w:r>
      <w:r>
        <w:rPr>
          <w:rFonts w:ascii="仿宋" w:eastAsia="仿宋" w:hint="eastAsia"/>
          <w:color w:val="000000"/>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widowControl w:val="0"/>
        <w:tabs>
          <w:tab w:val="left" w:pos="0"/>
        </w:tabs>
        <w:bidi w:val="0"/>
        <w:spacing w:line="600" w:lineRule="exact"/>
        <w:ind w:left="630"/>
        <w:textAlignment w:val="auto"/>
        <w:outlineLvl w:val="2"/>
        <w:rPr>
          <w:rFonts w:ascii="楷体_GB2312" w:eastAsia="楷体_GB2312" w:cs="楷体_GB2312" w:hint="eastAsia"/>
          <w:b/>
          <w:bCs/>
          <w:color w:val="000000"/>
          <w:spacing w:val="34"/>
          <w:sz w:val="32"/>
          <w:szCs w:val="48"/>
          <w:lang w:val="zh-CN"/>
        </w:rPr>
      </w:pPr>
      <w:bookmarkStart w:id="86" w:name="_Toc30116"/>
      <w:r>
        <w:rPr>
          <w:rFonts w:ascii="楷体_GB2312" w:eastAsia="楷体_GB2312" w:cs="楷体_GB2312" w:hint="eastAsia"/>
          <w:b/>
          <w:bCs/>
          <w:color w:val="000000"/>
          <w:spacing w:val="34"/>
          <w:sz w:val="32"/>
          <w:szCs w:val="48"/>
          <w:lang w:val="en-US" w:eastAsia="zh-CN"/>
        </w:rPr>
        <w:t>1、</w:t>
      </w:r>
      <w:r>
        <w:rPr>
          <w:rFonts w:ascii="楷体_GB2312" w:eastAsia="楷体_GB2312" w:cs="楷体_GB2312" w:hint="eastAsia"/>
          <w:b/>
          <w:bCs/>
          <w:color w:val="000000"/>
          <w:spacing w:val="34"/>
          <w:sz w:val="32"/>
          <w:szCs w:val="48"/>
          <w:lang w:val="zh-CN"/>
        </w:rPr>
        <w:t>整体绩效 </w:t>
      </w:r>
      <w:bookmarkEnd w:id="86"/>
    </w:p>
    <w:p>
      <w:pPr>
        <w:keepNext w:val="0"/>
        <w:keepLines w:val="0"/>
        <w:pageBreakBefore w:val="0"/>
        <w:widowControl w:val="0"/>
        <w:tabs>
          <w:tab w:val="left" w:pos="0"/>
        </w:tabs>
        <w:bidi w:val="0"/>
        <w:spacing w:line="600" w:lineRule="exact"/>
        <w:ind w:firstLineChars="200" w:firstLine="640"/>
        <w:textAlignment w:val="auto"/>
        <w:rPr>
          <w:rFonts w:ascii="仿宋" w:eastAsia="仿宋" w:hint="eastAsia"/>
          <w:color w:val="000000"/>
          <w:sz w:val="32"/>
          <w:szCs w:val="32"/>
        </w:rPr>
      </w:pPr>
      <w:r>
        <w:rPr>
          <w:rFonts w:ascii="仿宋" w:eastAsia="仿宋" w:hint="eastAsia"/>
          <w:color w:val="000000"/>
          <w:sz w:val="32"/>
          <w:szCs w:val="32"/>
        </w:rPr>
        <w:t>我乡对本部门实施了整体支出绩效评价 ，按照要求向金川县财政局按时报送自评报告，财政资金支出主要用于保障本部门机构正常运转、更好完成各项日常工作，社会群众对我乡的工作总体较满意。</w:t>
      </w:r>
    </w:p>
    <w:p>
      <w:pPr>
        <w:keepNext w:val="0"/>
        <w:keepLines w:val="0"/>
        <w:pageBreakBefore w:val="0"/>
        <w:widowControl/>
        <w:wordWrap w:val="0"/>
        <w:topLinePunct/>
        <w:bidi w:val="0"/>
        <w:adjustRightInd w:val="0"/>
        <w:snapToGrid w:val="0"/>
        <w:spacing w:line="600" w:lineRule="exact"/>
        <w:ind w:firstLineChars="200" w:firstLine="776"/>
        <w:jc w:val="left"/>
        <w:textAlignment w:val="auto"/>
        <w:rPr>
          <w:rFonts w:ascii="楷体" w:eastAsia="楷体" w:cs="楷体" w:hint="eastAsia"/>
          <w:b/>
          <w:bCs/>
          <w:color w:val="000000"/>
          <w:spacing w:val="34"/>
          <w:sz w:val="32"/>
          <w:szCs w:val="48"/>
          <w:lang w:val="zh-CN"/>
        </w:rPr>
      </w:pPr>
      <w:r>
        <w:rPr>
          <w:rFonts w:ascii="楷体" w:eastAsia="楷体" w:cs="楷体" w:hint="eastAsia"/>
          <w:b/>
          <w:bCs/>
          <w:color w:val="000000"/>
          <w:spacing w:val="34"/>
          <w:sz w:val="32"/>
          <w:szCs w:val="48"/>
          <w:lang w:val="en-US" w:eastAsia="zh-CN"/>
        </w:rPr>
        <w:t>2.</w:t>
      </w:r>
      <w:r>
        <w:rPr>
          <w:rFonts w:ascii="楷体" w:eastAsia="楷体" w:cs="楷体" w:hint="eastAsia"/>
          <w:b/>
          <w:bCs/>
          <w:color w:val="000000"/>
          <w:spacing w:val="34"/>
          <w:sz w:val="32"/>
          <w:szCs w:val="48"/>
          <w:lang w:val="zh-CN"/>
        </w:rPr>
        <w:t>绩效管理工作开展情况 </w:t>
      </w:r>
    </w:p>
    <w:p>
      <w:pPr>
        <w:keepNext w:val="0"/>
        <w:keepLines w:val="0"/>
        <w:pageBreakBefore w:val="0"/>
        <w:widowControl/>
        <w:wordWrap w:val="0"/>
        <w:topLinePunct/>
        <w:bidi w:val="0"/>
        <w:adjustRightInd w:val="0"/>
        <w:snapToGrid w:val="0"/>
        <w:spacing w:line="600" w:lineRule="exact"/>
        <w:ind w:firstLineChars="200" w:firstLine="556"/>
        <w:jc w:val="left"/>
        <w:textAlignment w:val="auto"/>
        <w:rPr>
          <w:rFonts w:ascii="仿宋_GB2312" w:eastAsia="仿宋_GB2312" w:cs="仿宋_GB2312" w:hint="eastAsia"/>
          <w:spacing w:val="34"/>
          <w:sz w:val="32"/>
          <w:szCs w:val="32"/>
          <w:lang w:val="zh-CN"/>
        </w:rPr>
      </w:pPr>
      <w:r>
        <w:rPr>
          <w:rFonts w:ascii="仿宋_GB2312" w:cs="宋体" w:hAnsi="仿宋_GB2312" w:hint="eastAsia"/>
          <w:color w:val="000000"/>
          <w:spacing w:val="34"/>
          <w:szCs w:val="32"/>
          <w:lang w:val="zh-CN"/>
        </w:rPr>
        <w:t xml:space="preserve">  </w:t>
      </w:r>
      <w:r>
        <w:rPr>
          <w:rFonts w:ascii="仿宋" w:eastAsia="仿宋" w:hint="eastAsia"/>
          <w:color w:val="000000"/>
          <w:sz w:val="32"/>
          <w:szCs w:val="32"/>
        </w:rPr>
        <w:t xml:space="preserve"> 根据金财监绩〔202</w:t>
      </w:r>
      <w:r>
        <w:rPr>
          <w:rFonts w:ascii="仿宋" w:eastAsia="仿宋" w:hint="eastAsia"/>
          <w:color w:val="000000"/>
          <w:sz w:val="32"/>
          <w:szCs w:val="32"/>
          <w:lang w:val="en-US" w:eastAsia="zh-CN"/>
        </w:rPr>
        <w:t>3</w:t>
      </w:r>
      <w:r>
        <w:rPr>
          <w:rFonts w:ascii="仿宋" w:eastAsia="仿宋" w:hint="eastAsia"/>
          <w:color w:val="000000"/>
          <w:sz w:val="32"/>
          <w:szCs w:val="32"/>
        </w:rPr>
        <w:t>〕</w:t>
      </w:r>
      <w:r>
        <w:rPr>
          <w:rFonts w:ascii="仿宋" w:eastAsia="仿宋" w:hint="eastAsia"/>
          <w:color w:val="000000"/>
          <w:sz w:val="32"/>
          <w:szCs w:val="32"/>
          <w:lang w:val="en-US" w:eastAsia="zh-CN"/>
        </w:rPr>
        <w:t>3</w:t>
      </w:r>
      <w:r>
        <w:rPr>
          <w:rFonts w:ascii="仿宋" w:eastAsia="仿宋" w:hint="eastAsia"/>
          <w:color w:val="000000"/>
          <w:sz w:val="32"/>
          <w:szCs w:val="32"/>
        </w:rPr>
        <w:t>2号文件要求，我乡对财政资金使用管理情况，按照《关于开展2022年部门整体和项目支出绩效评价工作的通知》认真开展自评工作，撰写部门自评报告。</w:t>
      </w:r>
      <w:r>
        <w:rPr>
          <w:rFonts w:ascii="仿宋_GB2312" w:eastAsia="仿宋_GB2312" w:cs="仿宋_GB2312" w:hint="eastAsia"/>
          <w:spacing w:val="34"/>
          <w:sz w:val="32"/>
          <w:szCs w:val="32"/>
          <w:lang w:val="zh-CN"/>
        </w:rPr>
        <w:t> </w:t>
      </w:r>
    </w:p>
    <w:p>
      <w:pPr>
        <w:keepNext w:val="0"/>
        <w:keepLines w:val="0"/>
        <w:pageBreakBefore w:val="0"/>
        <w:widowControl/>
        <w:wordWrap w:val="0"/>
        <w:topLinePunct/>
        <w:bidi w:val="0"/>
        <w:adjustRightInd w:val="0"/>
        <w:snapToGrid w:val="0"/>
        <w:spacing w:line="600" w:lineRule="exact"/>
        <w:ind w:firstLineChars="200" w:firstLine="776"/>
        <w:jc w:val="left"/>
        <w:textAlignment w:val="auto"/>
        <w:rPr>
          <w:rFonts w:ascii="楷体" w:eastAsia="楷体" w:cs="楷体" w:hint="eastAsia"/>
          <w:b/>
          <w:bCs/>
          <w:color w:val="000000"/>
          <w:spacing w:val="34"/>
          <w:sz w:val="32"/>
          <w:szCs w:val="48"/>
          <w:lang w:val="zh-CN" w:eastAsia="zh-CN"/>
        </w:rPr>
      </w:pPr>
      <w:r>
        <w:rPr>
          <w:rFonts w:ascii="楷体" w:eastAsia="楷体" w:cs="楷体" w:hint="eastAsia"/>
          <w:b/>
          <w:bCs/>
          <w:color w:val="000000"/>
          <w:spacing w:val="34"/>
          <w:sz w:val="32"/>
          <w:szCs w:val="48"/>
          <w:lang w:val="en-US" w:eastAsia="zh-CN"/>
        </w:rPr>
        <w:t>3.</w:t>
      </w:r>
      <w:r>
        <w:rPr>
          <w:rFonts w:ascii="楷体" w:eastAsia="楷体" w:cs="楷体" w:hint="eastAsia"/>
          <w:b/>
          <w:bCs/>
          <w:color w:val="000000"/>
          <w:spacing w:val="34"/>
          <w:sz w:val="32"/>
          <w:szCs w:val="48"/>
          <w:lang w:val="zh-CN" w:eastAsia="zh-CN"/>
        </w:rPr>
        <w:t>信息公开情况</w:t>
      </w:r>
    </w:p>
    <w:p>
      <w:pPr>
        <w:keepNext w:val="0"/>
        <w:keepLines w:val="0"/>
        <w:pageBreakBefore w:val="0"/>
        <w:widowControl/>
        <w:wordWrap w:val="0"/>
        <w:topLinePunct/>
        <w:bidi w:val="0"/>
        <w:adjustRightInd w:val="0"/>
        <w:snapToGrid w:val="0"/>
        <w:spacing w:line="600" w:lineRule="exact"/>
        <w:ind w:firstLineChars="200" w:firstLine="640"/>
        <w:jc w:val="left"/>
        <w:textAlignment w:val="auto"/>
        <w:rPr>
          <w:lang w:val="en-US" w:eastAsia="zh-CN"/>
        </w:rPr>
      </w:pPr>
      <w:r>
        <w:rPr>
          <w:rFonts w:ascii="仿宋" w:eastAsia="仿宋" w:hint="eastAsia"/>
          <w:color w:val="000000"/>
          <w:sz w:val="32"/>
          <w:szCs w:val="32"/>
        </w:rPr>
        <w:t>我乡202</w:t>
      </w:r>
      <w:r>
        <w:rPr>
          <w:rFonts w:ascii="仿宋" w:eastAsia="仿宋" w:hint="eastAsia"/>
          <w:color w:val="000000"/>
          <w:sz w:val="32"/>
          <w:szCs w:val="32"/>
          <w:lang w:val="en-US" w:eastAsia="zh-CN"/>
        </w:rPr>
        <w:t>2</w:t>
      </w:r>
      <w:r>
        <w:rPr>
          <w:rFonts w:ascii="仿宋" w:eastAsia="仿宋" w:hint="eastAsia"/>
          <w:color w:val="000000"/>
          <w:sz w:val="32"/>
          <w:szCs w:val="32"/>
        </w:rPr>
        <w:t>年的预、决算编制说明、“三公”经费预、决算情况；按县财政要求由县财政统一公开，202</w:t>
      </w:r>
      <w:r>
        <w:rPr>
          <w:rFonts w:ascii="仿宋" w:eastAsia="仿宋" w:hint="eastAsia"/>
          <w:color w:val="000000"/>
          <w:sz w:val="32"/>
          <w:szCs w:val="32"/>
          <w:lang w:val="en-US" w:eastAsia="zh-CN"/>
        </w:rPr>
        <w:t>3</w:t>
      </w:r>
      <w:r>
        <w:rPr>
          <w:rFonts w:ascii="仿宋" w:eastAsia="仿宋" w:hint="eastAsia"/>
          <w:color w:val="000000"/>
          <w:sz w:val="32"/>
          <w:szCs w:val="32"/>
        </w:rPr>
        <w:t>年的预算编制说明、“三公”经费预算情况在政府网站上已公开。</w:t>
      </w:r>
    </w:p>
    <w:p>
      <w:pPr>
        <w:keepNext w:val="0"/>
        <w:keepLines w:val="0"/>
        <w:pageBreakBefore w:val="0"/>
        <w:widowControl w:val="0"/>
        <w:numPr>
          <w:ilvl w:val="0"/>
          <w:numId w:val="4"/>
        </w:numPr>
        <w:suppressLineNumbers w:val="0"/>
        <w:suppressAutoHyphens w:val="0"/>
        <w:kinsoku/>
        <w:wordWrap/>
        <w:overflowPunct/>
        <w:topLinePunct w:val="0"/>
        <w:autoSpaceDE/>
        <w:autoSpaceDN w:val="0"/>
        <w:bidi w:val="0"/>
        <w:adjustRightInd/>
        <w:snapToGrid/>
        <w:spacing w:before="0" w:beforeAutospacing="0" w:after="0" w:afterAutospacing="0" w:line="576" w:lineRule="exact"/>
        <w:ind w:left="0" w:right="0" w:firstLineChars="200" w:firstLine="640"/>
        <w:jc w:val="both"/>
        <w:textAlignment w:val="auto"/>
        <w:outlineLvl w:val="0"/>
        <w:rPr>
          <w:rFonts w:ascii="Mongolian Baiti" w:eastAsia="黑体" w:cs="Mongolian Baiti" w:hAnsi="Mongolian Baiti" w:hint="eastAsia"/>
          <w:color w:val="auto"/>
          <w:kern w:val="2"/>
          <w:sz w:val="32"/>
          <w:szCs w:val="32"/>
          <w:u w:val="none"/>
          <w:vertAlign w:val="baseline"/>
          <w:lang w:val="en-US" w:eastAsia="zh-CN" w:bidi="ar-SA"/>
        </w:rPr>
      </w:pPr>
      <w:r>
        <w:rPr>
          <w:rFonts w:ascii="Mongolian Baiti" w:eastAsia="黑体" w:cs="Mongolian Baiti" w:hAnsi="Mongolian Baiti" w:hint="eastAsia"/>
          <w:color w:val="auto"/>
          <w:kern w:val="2"/>
          <w:sz w:val="32"/>
          <w:szCs w:val="32"/>
          <w:u w:val="none"/>
          <w:vertAlign w:val="baseline"/>
          <w:lang w:val="en-US" w:eastAsia="zh-CN" w:bidi="ar-SA"/>
        </w:rPr>
        <w:t>评价结论及建议</w:t>
      </w:r>
    </w:p>
    <w:p>
      <w:pPr>
        <w:keepNext w:val="0"/>
        <w:keepLines w:val="0"/>
        <w:pageBreakBefore w:val="0"/>
        <w:widowControl/>
        <w:numPr>
          <w:ilvl w:val="0"/>
          <w:numId w:val="7"/>
        </w:numPr>
        <w:kinsoku/>
        <w:wordWrap w:val="0"/>
        <w:overflowPunct/>
        <w:topLinePunct/>
        <w:autoSpaceDE/>
        <w:autoSpaceDN/>
        <w:bidi w:val="0"/>
        <w:adjustRightInd w:val="0"/>
        <w:snapToGrid w:val="0"/>
        <w:spacing w:line="560" w:lineRule="exact"/>
        <w:ind w:leftChars="200" w:left="420"/>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评价结论</w:t>
      </w:r>
    </w:p>
    <w:p>
      <w:pPr>
        <w:keepNext w:val="0"/>
        <w:keepLines w:val="0"/>
        <w:pageBreakBefore w:val="0"/>
        <w:widowControl w:val="0"/>
        <w:bidi w:val="0"/>
        <w:snapToGrid w:val="0"/>
        <w:spacing w:line="600"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根据部门支出绩效评价指标体系进行单位自评，圆满完成绩效自评工作，圆满完成中央、省、州委和县的重要工作、目标任务。</w:t>
      </w:r>
    </w:p>
    <w:p>
      <w:pPr>
        <w:keepNext w:val="0"/>
        <w:keepLines w:val="0"/>
        <w:pageBreakBefore w:val="0"/>
        <w:widowControl w:val="0"/>
        <w:bidi w:val="0"/>
        <w:spacing w:line="600" w:lineRule="exact"/>
        <w:ind w:firstLineChars="200" w:firstLine="640"/>
        <w:textAlignment w:val="auto"/>
        <w:rPr>
          <w:rFonts w:hint="eastAsia"/>
          <w:lang w:val="en-US" w:eastAsia="zh-CN"/>
        </w:rPr>
      </w:pPr>
      <w:r>
        <w:rPr>
          <w:rFonts w:ascii="仿宋" w:eastAsia="仿宋" w:hint="eastAsia"/>
          <w:color w:val="000000"/>
          <w:sz w:val="32"/>
          <w:szCs w:val="32"/>
        </w:rPr>
        <w:t>我乡本次自评总分8</w:t>
      </w:r>
      <w:r>
        <w:rPr>
          <w:rFonts w:ascii="仿宋" w:eastAsia="仿宋" w:hint="eastAsia"/>
          <w:color w:val="000000"/>
          <w:sz w:val="32"/>
          <w:szCs w:val="32"/>
          <w:lang w:val="en-US" w:eastAsia="zh-CN"/>
        </w:rPr>
        <w:t>6</w:t>
      </w:r>
      <w:r>
        <w:rPr>
          <w:rFonts w:ascii="仿宋" w:eastAsia="仿宋" w:hint="eastAsia"/>
          <w:color w:val="000000"/>
          <w:sz w:val="32"/>
          <w:szCs w:val="32"/>
        </w:rPr>
        <w:t>。</w:t>
      </w:r>
    </w:p>
    <w:p>
      <w:pPr>
        <w:keepNext w:val="0"/>
        <w:keepLines w:val="0"/>
        <w:pageBreakBefore w:val="0"/>
        <w:widowControl/>
        <w:numPr>
          <w:ilvl w:val="0"/>
          <w:numId w:val="7"/>
        </w:numPr>
        <w:kinsoku/>
        <w:wordWrap w:val="0"/>
        <w:overflowPunct/>
        <w:topLinePunct/>
        <w:autoSpaceDE/>
        <w:autoSpaceDN/>
        <w:bidi w:val="0"/>
        <w:adjustRightInd w:val="0"/>
        <w:snapToGrid w:val="0"/>
        <w:spacing w:line="560" w:lineRule="exact"/>
        <w:ind w:leftChars="200" w:left="420" w:firstLine="0"/>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存在问题</w:t>
      </w:r>
    </w:p>
    <w:p>
      <w:pPr>
        <w:keepNext w:val="0"/>
        <w:keepLines w:val="0"/>
        <w:pageBreakBefore w:val="0"/>
        <w:widowControl w:val="0"/>
        <w:bidi w:val="0"/>
        <w:snapToGrid w:val="0"/>
        <w:spacing w:line="600" w:lineRule="exact"/>
        <w:ind w:firstLineChars="200" w:firstLine="640"/>
        <w:textAlignment w:val="auto"/>
        <w:rPr>
          <w:rFonts w:hint="eastAsia"/>
          <w:lang w:val="en-US" w:eastAsia="zh-CN"/>
        </w:rPr>
      </w:pPr>
      <w:r>
        <w:rPr>
          <w:rFonts w:ascii="仿宋" w:eastAsia="仿宋"/>
          <w:color w:val="000000"/>
          <w:sz w:val="32"/>
          <w:szCs w:val="32"/>
          <w:lang w:val="en-US" w:eastAsia="zh-CN"/>
        </w:rPr>
        <w:t>资金支付“无纸化”后虽加快了预算执行，但是部分操作流程繁琐，系统不稳定，致使工作效率变低。</w:t>
      </w:r>
      <w:r>
        <w:rPr>
          <w:rFonts w:ascii="仿宋" w:eastAsia="仿宋" w:hint="eastAsia"/>
          <w:color w:val="000000"/>
          <w:sz w:val="32"/>
          <w:szCs w:val="32"/>
          <w:lang w:val="en-US" w:eastAsia="zh-CN"/>
        </w:rPr>
        <w:t>预算执行稍有滞后，主要原因是我乡大部分资金为村级运维费及村干部生活补助该资金大多为年底支付。</w:t>
      </w:r>
    </w:p>
    <w:p>
      <w:pPr>
        <w:keepNext w:val="0"/>
        <w:keepLines w:val="0"/>
        <w:pageBreakBefore w:val="0"/>
        <w:widowControl/>
        <w:kinsoku/>
        <w:wordWrap w:val="0"/>
        <w:overflowPunct/>
        <w:topLinePunct/>
        <w:autoSpaceDE/>
        <w:autoSpaceDN/>
        <w:bidi w:val="0"/>
        <w:adjustRightInd w:val="0"/>
        <w:snapToGrid w:val="0"/>
        <w:spacing w:line="560" w:lineRule="exact"/>
        <w:ind w:leftChars="200" w:left="420"/>
        <w:jc w:val="left"/>
        <w:textAlignment w:val="auto"/>
        <w:rPr>
          <w:rFonts w:ascii="仿宋_GB2312" w:eastAsia="仿宋_GB2312" w:cs="仿宋_GB2312" w:hint="eastAsia"/>
          <w:b/>
          <w:bCs/>
          <w:snapToGrid/>
          <w:color w:val="000000"/>
          <w:spacing w:val="34"/>
          <w:w w:val="100"/>
          <w:kern w:val="2"/>
          <w:sz w:val="32"/>
          <w:szCs w:val="32"/>
          <w:lang w:val="en-US" w:eastAsia="zh-CN"/>
        </w:rPr>
      </w:pPr>
      <w:r>
        <w:rPr>
          <w:rFonts w:ascii="仿宋_GB2312" w:eastAsia="仿宋_GB2312" w:cs="仿宋_GB2312" w:hint="eastAsia"/>
          <w:b/>
          <w:bCs/>
          <w:snapToGrid/>
          <w:color w:val="000000"/>
          <w:spacing w:val="34"/>
          <w:w w:val="100"/>
          <w:kern w:val="2"/>
          <w:sz w:val="32"/>
          <w:szCs w:val="32"/>
          <w:lang w:val="en-US" w:eastAsia="zh-CN"/>
        </w:rPr>
        <w:t>（三）改进建议</w:t>
      </w:r>
    </w:p>
    <w:p>
      <w:pPr>
        <w:keepNext w:val="0"/>
        <w:keepLines w:val="0"/>
        <w:pageBreakBefore w:val="0"/>
        <w:widowControl w:val="0"/>
        <w:wordWrap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我乡202</w:t>
      </w:r>
      <w:r>
        <w:rPr>
          <w:rFonts w:ascii="仿宋" w:eastAsia="仿宋" w:hint="eastAsia"/>
          <w:color w:val="000000"/>
          <w:sz w:val="32"/>
          <w:szCs w:val="32"/>
          <w:lang w:val="en-US" w:eastAsia="zh-CN"/>
        </w:rPr>
        <w:t>2</w:t>
      </w:r>
      <w:r>
        <w:rPr>
          <w:rFonts w:ascii="仿宋" w:eastAsia="仿宋" w:hint="eastAsia"/>
          <w:color w:val="000000"/>
          <w:sz w:val="32"/>
          <w:szCs w:val="32"/>
        </w:rPr>
        <w:t>年部门支出与年初预算基本一致，达到预期绩效目标。但预算编制还需进一步细化，针对我</w:t>
      </w:r>
      <w:r>
        <w:rPr>
          <w:rFonts w:ascii="仿宋" w:eastAsia="仿宋" w:hint="eastAsia"/>
          <w:color w:val="000000"/>
          <w:sz w:val="32"/>
          <w:szCs w:val="32"/>
          <w:lang w:eastAsia="zh-CN"/>
        </w:rPr>
        <w:t>乡</w:t>
      </w:r>
      <w:r>
        <w:rPr>
          <w:rFonts w:ascii="仿宋" w:eastAsia="仿宋" w:hint="eastAsia"/>
          <w:color w:val="000000"/>
          <w:sz w:val="32"/>
          <w:szCs w:val="32"/>
        </w:rPr>
        <w:t>预算存在的问题，提出以下建议：</w:t>
      </w:r>
    </w:p>
    <w:p>
      <w:pPr>
        <w:keepNext w:val="0"/>
        <w:keepLines w:val="0"/>
        <w:pageBreakBefore w:val="0"/>
        <w:widowControl w:val="0"/>
        <w:wordWrap w:val="0"/>
        <w:bidi w:val="0"/>
        <w:spacing w:line="600" w:lineRule="exact"/>
        <w:ind w:firstLineChars="200" w:firstLine="640"/>
        <w:jc w:val="left"/>
        <w:textAlignment w:val="auto"/>
        <w:rPr>
          <w:rFonts w:ascii="仿宋" w:eastAsia="仿宋" w:hint="eastAsia"/>
          <w:color w:val="000000"/>
          <w:sz w:val="32"/>
          <w:szCs w:val="32"/>
        </w:rPr>
      </w:pPr>
      <w:r>
        <w:rPr>
          <w:rFonts w:ascii="仿宋" w:eastAsia="仿宋" w:hint="eastAsia"/>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keepNext w:val="0"/>
        <w:keepLines w:val="0"/>
        <w:pageBreakBefore w:val="0"/>
        <w:widowControl/>
        <w:wordWrap w:val="0"/>
        <w:bidi w:val="0"/>
        <w:snapToGrid w:val="0"/>
        <w:spacing w:line="600" w:lineRule="exact"/>
        <w:ind w:firstLineChars="100" w:firstLine="320"/>
        <w:jc w:val="left"/>
        <w:textAlignment w:val="auto"/>
        <w:rPr>
          <w:rFonts w:ascii="仿宋" w:eastAsia="仿宋" w:hint="eastAsia"/>
          <w:color w:val="000000"/>
          <w:sz w:val="32"/>
          <w:szCs w:val="32"/>
        </w:rPr>
      </w:pPr>
      <w:r>
        <w:rPr>
          <w:rFonts w:ascii="仿宋" w:eastAsia="仿宋" w:hint="eastAsia"/>
          <w:color w:val="000000"/>
          <w:sz w:val="32"/>
          <w:szCs w:val="32"/>
        </w:rPr>
        <w:t xml:space="preserve"> 2、严格控制“三公”经费。认真贯彻落实中央、省委省政府和县委县政府相关规定，严格“三公”经费支出的审核和审批，合理压缩“三公”经费支出。   </w:t>
      </w: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ageBreakBefore w:val="0"/>
        <w:widowControl w:val="0"/>
        <w:kinsoku/>
        <w:wordWrap/>
        <w:overflowPunct/>
        <w:topLinePunct w:val="0"/>
        <w:bidi w:val="0"/>
        <w:spacing w:line="576" w:lineRule="exact"/>
        <w:ind w:firstLineChars="600" w:firstLine="2640"/>
        <w:jc w:val="both"/>
        <w:outlineLvl w:val="0"/>
        <w:rPr>
          <w:rFonts w:ascii="Times New Roman" w:eastAsia="仿宋" w:cs="Times New Roman" w:hAnsi="Times New Roman"/>
        </w:rPr>
      </w:pPr>
      <w:bookmarkStart w:id="87" w:name="_Toc26843625"/>
      <w:bookmarkStart w:id="88" w:name="_Toc15396618"/>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89" w:name="_Toc15396619"/>
      <w:bookmarkEnd w:id="79"/>
      <w:bookmarkEnd w:id="87"/>
      <w:bookmarkEnd w:id="8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0"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89"/>
      <w:bookmarkEnd w:id="9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1" w:name="_Toc26843627"/>
      <w:bookmarkStart w:id="92"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91"/>
      <w:bookmarkEnd w:id="9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93" w:name="_Toc26843628"/>
      <w:bookmarkStart w:id="94" w:name="_Toc15396621"/>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93"/>
      <w:bookmarkEnd w:id="9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95" w:name="_Toc26843629"/>
      <w:bookmarkStart w:id="96" w:name="_Toc15396622"/>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95"/>
      <w:bookmarkEnd w:id="96"/>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97" w:name="_Toc15396623"/>
      <w:bookmarkStart w:id="98" w:name="_Toc26843630"/>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99" w:name="_Toc15396624"/>
      <w:bookmarkEnd w:id="97"/>
      <w:bookmarkEnd w:id="98"/>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0"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99"/>
      <w:bookmarkEnd w:id="10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1" w:name="_Toc15396625"/>
      <w:bookmarkStart w:id="102"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101"/>
      <w:bookmarkEnd w:id="10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3" w:name="_Toc26843633"/>
      <w:bookmarkStart w:id="104"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103"/>
      <w:bookmarkEnd w:id="10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05" w:name="_Toc15396627"/>
      <w:bookmarkStart w:id="106" w:name="_Toc2684363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105"/>
      <w:bookmarkEnd w:id="106"/>
    </w:p>
    <w:p>
      <w:pPr>
        <w:pStyle w:val="2"/>
        <w:keepNext/>
        <w:keepLines/>
        <w:pageBreakBefore w:val="0"/>
        <w:widowControl w:val="0"/>
        <w:kinsoku/>
        <w:wordWrap/>
        <w:overflowPunct/>
        <w:topLinePunct w:val="0"/>
        <w:bidi w:val="0"/>
        <w:spacing w:line="576" w:lineRule="exact"/>
        <w:rPr>
          <w:rFonts w:ascii="Times New Roman" w:eastAsia="仿宋" w:hAnsi="Times New Roman"/>
        </w:rPr>
      </w:pPr>
      <w:bookmarkStart w:id="107" w:name="_Toc15396628"/>
      <w:bookmarkStart w:id="108" w:name="_Toc26843635"/>
      <w:r>
        <w:rPr>
          <w:rStyle w:val="2Char"/>
          <w:rFonts w:ascii="Times New Roman" w:eastAsia="仿宋" w:cs="Times New Roman" w:hAnsi="Times New Roman"/>
          <w:b w:val="0"/>
          <w:bCs w:val="0"/>
        </w:rPr>
        <w:t>十、</w:t>
      </w:r>
      <w:bookmarkStart w:id="109" w:name="_Toc26843636"/>
      <w:bookmarkStart w:id="110" w:name="_Toc15396629"/>
      <w:bookmarkEnd w:id="107"/>
      <w:bookmarkEnd w:id="108"/>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r>
        <w:rPr>
          <w:rStyle w:val="2Char"/>
          <w:rFonts w:ascii="Times New Roman" w:eastAsia="仿宋" w:cs="Times New Roman" w:hAnsi="Times New Roman"/>
          <w:b w:val="0"/>
          <w:bCs w:val="0"/>
        </w:rPr>
        <w:t>十一、</w:t>
      </w:r>
      <w:bookmarkStart w:id="111" w:name="_Toc26843637"/>
      <w:bookmarkStart w:id="112" w:name="_Toc15396630"/>
      <w:bookmarkEnd w:id="109"/>
      <w:bookmarkEnd w:id="110"/>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r>
        <w:rPr>
          <w:rStyle w:val="2Char"/>
          <w:rFonts w:ascii="Times New Roman" w:eastAsia="仿宋" w:cs="Times New Roman" w:hAnsi="Times New Roman"/>
          <w:b w:val="0"/>
          <w:bCs w:val="0"/>
        </w:rPr>
        <w:t>十二、</w:t>
      </w:r>
      <w:bookmarkStart w:id="113" w:name="_Toc15396631"/>
      <w:bookmarkStart w:id="114" w:name="_Toc26843638"/>
      <w:bookmarkEnd w:id="111"/>
      <w:bookmarkEnd w:id="112"/>
      <w:r>
        <w:rPr>
          <w:rStyle w:val="2Char"/>
          <w:rFonts w:ascii="Times New Roman" w:eastAsia="仿宋" w:cs="Times New Roman" w:hAnsi="Times New Roman"/>
          <w:b w:val="0"/>
          <w:bCs w:val="0"/>
        </w:rPr>
        <w:t>国有资本经营预算财政拨款支出决算</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r>
        <w:rPr>
          <w:rStyle w:val="2Char"/>
          <w:rFonts w:ascii="Times New Roman" w:eastAsia="仿宋" w:cs="Times New Roman" w:hAnsi="Times New Roman"/>
          <w:b w:val="0"/>
          <w:bCs w:val="0"/>
        </w:rPr>
        <w:t>十三、</w:t>
      </w:r>
      <w:bookmarkStart w:id="115" w:name="_Toc26843639"/>
      <w:bookmarkEnd w:id="113"/>
      <w:bookmarkEnd w:id="114"/>
      <w:bookmarkEnd w:id="115"/>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p>
    <w:p>
      <w:pPr>
        <w:pageBreakBefore w:val="0"/>
        <w:widowControl w:val="0"/>
        <w:kinsoku/>
        <w:wordWrap/>
        <w:overflowPunct/>
        <w:topLinePunct w:val="0"/>
        <w:bidi w:val="0"/>
        <w:spacing w:line="576" w:lineRule="exact"/>
        <w:rPr>
          <w:rFonts w:ascii="Times New Roman" w:eastAsia="仿宋" w:cs="Times New Roman" w:hAnsi="Times New Roma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AR PL UKai CN"/>
    <w:panose1 w:val="02020603050405020304"/>
    <w:charset w:val="86"/>
    <w:family w:val="auto"/>
    <w:pitch w:val="variable"/>
    <w:sig w:usb0="E0002AFF" w:usb1="C0007841" w:usb2="00000009" w:usb3="00000000" w:csb0="400001FF" w:csb1="FFFF0000"/>
  </w:font>
  <w:font w:name="方正小标宋简体">
    <w:altName w:val="方正黑体_GBK"/>
    <w:panose1 w:val="02010601030101010101"/>
    <w:charset w:val="86"/>
    <w:family w:val="script"/>
    <w:pitch w:val="variable"/>
    <w:sig w:usb0="00000000" w:usb1="00000000" w:usb2="00000000" w:usb3="00000000" w:csb0="00040000" w:csb1="00000000"/>
  </w:font>
  <w:font w:name="仿宋_GB2312">
    <w:altName w:val="仿宋"/>
    <w:panose1 w:val="02010609030101010101"/>
    <w:charset w:val="86"/>
    <w:family w:val="modern"/>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方正楷体_GBK">
    <w:altName w:val="微软雅黑"/>
    <w:panose1 w:val="03000509000000000000"/>
    <w:charset w:val="86"/>
    <w:family w:val="auto"/>
    <w:pitch w:val="variable"/>
    <w:sig w:usb0="00000000" w:usb1="00000000" w:usb2="00000000" w:usb3="00000000" w:csb0="00040000" w:csb1="00000000"/>
  </w:font>
  <w:font w:name="方正黑体_GBK">
    <w:altName w:val="微软雅黑"/>
    <w:panose1 w:val="03000509000000000000"/>
    <w:charset w:val="86"/>
    <w:family w:val="auto"/>
    <w:pitch w:val="variable"/>
    <w:sig w:usb0="00000000" w:usb1="00000000" w:usb2="00000000" w:usb3="00000000" w:csb0="00040000" w:csb1="00000000"/>
  </w:font>
  <w:font w:name="Mongolian Baiti">
    <w:altName w:val="DejaVu Sans"/>
    <w:panose1 w:val="03000500000000000000"/>
    <w:charset w:val="00"/>
    <w:family w:val="auto"/>
    <w:pitch w:val="variable"/>
    <w:sig w:usb0="80000023" w:usb1="00000000" w:usb2="00020000" w:usb3="00000000" w:csb0="00000001" w:csb1="00000000"/>
  </w:font>
  <w:font w:name="楷体_GB2312">
    <w:altName w:val="楷体"/>
    <w:panose1 w:val="02010609030101010101"/>
    <w:charset w:val="86"/>
    <w:family w:val="modern"/>
    <w:pitch w:val="variable"/>
    <w:sig w:usb0="00000000" w:usb1="00000000" w:usb2="00000000" w:usb3="00000000" w:csb0="00040000" w:csb1="00000000"/>
  </w:font>
  <w:font w:name="宋体">
    <w:altName w:val="方正书宋_GBK"/>
    <w:panose1 w:val="02010600030101010101"/>
    <w:charset w:val="50"/>
    <w:family w:val="auto"/>
    <w:pitch w:val="variable"/>
    <w:sig w:usb0="00000003" w:usb1="288F0000" w:usb2="00000006" w:usb3="00000000" w:csb0="00040001"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DejaVu Sans"/>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18301258"/>
    </w:sdtPr>
    <w:sdtContent>
      <w:p>
        <w:pPr>
          <w:pStyle w:val="19"/>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3">
    <w:nsid w:val="02CAF503"/>
    <w:multiLevelType w:val="singleLevel"/>
    <w:tmpl w:val="02CAF503"/>
    <w:lvl w:ilvl="0">
      <w:start w:val="2"/>
      <w:numFmt w:val="chineseCounting"/>
      <w:lvlRestart w:val="0"/>
      <w:suff w:val="nothing"/>
      <w:lvlText w:val="%1、"/>
      <w:lvlJc w:val="left"/>
      <w:pPr>
        <w:tabs>
          <w:tab w:val="num" w:pos="0"/>
        </w:tabs>
        <w:ind w:left="0" w:hanging="0"/>
      </w:pPr>
      <w:rPr>
        <w:rFonts w:hint="eastAsia"/>
      </w:rPr>
    </w:lvl>
  </w:abstractNum>
  <w:abstractNum w:abstractNumId="4">
    <w:nsid w:val="8BD8C466"/>
    <w:multiLevelType w:val="singleLevel"/>
    <w:tmpl w:val="8BD8C466"/>
    <w:lvl w:ilvl="0">
      <w:start w:val="1"/>
      <w:numFmt w:val="chineseCounting"/>
      <w:lvlRestart w:val="0"/>
      <w:suff w:val="nothing"/>
      <w:lvlText w:val="（%1）"/>
      <w:lvlJc w:val="left"/>
      <w:pPr>
        <w:tabs>
          <w:tab w:val="num" w:pos="0"/>
        </w:tabs>
        <w:ind w:left="0" w:hanging="0"/>
      </w:pPr>
      <w:rPr>
        <w:rFonts w:hint="eastAsia"/>
      </w:rPr>
    </w:lvl>
  </w:abstractNum>
  <w:abstractNum w:abstractNumId="5">
    <w:nsid w:val="0EE52E05"/>
    <w:multiLevelType w:val="singleLevel"/>
    <w:tmpl w:val="0EE52E05"/>
    <w:lvl w:ilvl="0">
      <w:start w:val="1"/>
      <w:numFmt w:val="chineseCounting"/>
      <w:lvlRestart w:val="0"/>
      <w:suff w:val="nothing"/>
      <w:lvlText w:val="（%1）"/>
      <w:lvlJc w:val="left"/>
      <w:pPr>
        <w:tabs>
          <w:tab w:val="num" w:pos="0"/>
        </w:tabs>
        <w:ind w:left="0" w:hanging="0"/>
      </w:pPr>
      <w:rPr>
        <w:rFonts w:hint="eastAsia"/>
      </w:rPr>
    </w:lvl>
  </w:abstractNum>
  <w:abstractNum w:abstractNumId="6">
    <w:nsid w:val="70E74D74"/>
    <w:multiLevelType w:val="singleLevel"/>
    <w:tmpl w:val="70E74D74"/>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YWE0NWEyNGZkZWYwMTRkZDgzNTYzM2U0MDI4NDQyMj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1"/>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character" w:styleId="23">
    <w:name w:val="Strong"/>
    <w:basedOn w:val="10"/>
    <w:rPr>
      <w:b/>
    </w:rPr>
  </w:style>
  <w:style w:type="character" w:styleId="24">
    <w:name w:val="Hyperlink"/>
    <w:basedOn w:val="10"/>
    <w:rPr>
      <w:color w:val="0000FF"/>
      <w:u w:val="single"/>
    </w:rPr>
  </w:style>
  <w:style w:type="character" w:customStyle="1" w:styleId="25">
    <w:name w:val="Header Char"/>
    <w:basedOn w:val="10"/>
    <w:rPr>
      <w:rFonts w:ascii="Times New Roman" w:hAnsi="Times New Roman"/>
      <w:sz w:val="18"/>
      <w:szCs w:val="18"/>
    </w:rPr>
  </w:style>
  <w:style w:type="character" w:customStyle="1" w:styleId="26">
    <w:name w:val="Footer Char"/>
    <w:basedOn w:val="10"/>
    <w:rPr>
      <w:rFonts w:ascii="Times New Roman" w:hAnsi="Times New Roman"/>
      <w:sz w:val="18"/>
      <w:szCs w:val="18"/>
    </w:rPr>
  </w:style>
  <w:style w:type="character" w:customStyle="1" w:styleId="27">
    <w:name w:val="Body Text Char"/>
    <w:basedOn w:val="10"/>
    <w:rPr>
      <w:rFonts w:ascii="Times New Roman" w:hAnsi="Times New Roman"/>
      <w:szCs w:val="24"/>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9">
    <w:name w:val="List Paragraph"/>
    <w:basedOn w:val="0"/>
    <w:pPr>
      <w:ind w:firstLineChars="200" w:firstLine="200"/>
    </w:pPr>
  </w:style>
  <w:style w:type="paragraph" w:customStyle="1" w:styleId="30">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1">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2">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宋体"/>
                <a:ea typeface="宋体"/>
                <a:cs typeface="Lucida Sans"/>
              </a:defRPr>
            </a:pPr>
            <a:r>
              <a:rPr lang="zh-CN"/>
              <a:t>收入支出对比表</a:t>
            </a:r>
          </a:p>
        </c:rich>
      </c:tx>
      <c:layout/>
      <c:overlay val="0"/>
      <c:spPr>
        <a:ln>
          <a:noFill/>
        </a:ln>
      </c:spPr>
    </c:title>
    <c:autoTitleDeleted val="1"/>
    <c:plotArea>
      <c:layout>
        <c:manualLayout>
          <c:layoutTarget val="inner"/>
          <c:xMode val="edge"/>
          <c:yMode val="edge"/>
          <c:x val="0.10551619"/>
          <c:y val="0.16899315"/>
          <c:w val="0.749888"/>
          <c:h val="0.6789392"/>
        </c:manualLayout>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671.87</c:v>
                </c:pt>
                <c:pt idx="1">
                  <c:v>704.16</c:v>
                </c:pt>
              </c:numCache>
            </c:numRef>
          </c:val>
        </c:ser>
        <c:ser>
          <c:idx val="1"/>
          <c:order val="1"/>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659.34</c:v>
                </c:pt>
                <c:pt idx="1">
                  <c:v>704.16</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At val="1.0"/>
        <c:crossBetween val="between"/>
        <c:crossAx val="0"/>
      </c:valAx>
      <c:spPr>
        <a:noFill/>
        <a:ln>
          <a:noFill/>
        </a:ln>
      </c:spPr>
    </c:plotArea>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explosion val="0"/>
            <c:spPr>
              <a:solidFill>
                <a:srgbClr val="4F81BD"/>
              </a:solidFill>
              <a:ln>
                <a:noFill/>
              </a:ln>
            </c:spPr>
          </c:dPt>
          <c:dPt>
            <c:idx val="1"/>
            <c:bubble3D val="0"/>
            <c:spPr>
              <a:solidFill>
                <a:srgbClr val="C0504D"/>
              </a:solidFill>
              <a:ln>
                <a:noFill/>
              </a:ln>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704.16</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Lucida Sans"/>
              </a:defRPr>
            </a:pPr>
            <a:r>
              <a:rPr lang="zh-CN" sz="1400" b="0" i="0" u="none" strike="noStrike" baseline="0">
                <a:solidFill>
                  <a:srgbClr val="595959"/>
                </a:solidFill>
                <a:latin typeface="Times New Roman"/>
                <a:ea typeface="宋体"/>
                <a:cs typeface="Lucida Sans"/>
              </a:rPr>
              <a:t>202</a:t>
            </a:r>
            <a:r>
              <a:rPr lang="zh-CN" sz="1400" b="0" i="0" u="none" strike="noStrike" baseline="0">
                <a:solidFill>
                  <a:srgbClr val="595959"/>
                </a:solidFill>
                <a:latin typeface="Times New Roman"/>
                <a:ea typeface="宋体"/>
                <a:cs typeface="Lucida Sans"/>
              </a:rPr>
              <a:t>2</a:t>
            </a:r>
            <a:r>
              <a:rPr lang="zh-CN" sz="1400" b="0" i="0" u="none" strike="noStrike" baseline="0">
                <a:solidFill>
                  <a:srgbClr val="595959"/>
                </a:solidFill>
                <a:latin typeface="Times New Roman"/>
                <a:ea typeface="宋体"/>
                <a:cs typeface="Lucida Sans"/>
              </a:rPr>
              <a:t>年支出</a:t>
            </a:r>
          </a:p>
        </c:rich>
      </c:tx>
      <c:layout/>
      <c:overlay val="0"/>
      <c:spPr>
        <a:noFill/>
        <a:ln>
          <a:noFill/>
        </a:ln>
      </c:spPr>
    </c:title>
    <c:autoTitleDeleted val="1"/>
    <c:plotArea>
      <c:layout/>
      <c:pieChart>
        <c:varyColors val="1"/>
        <c:ser>
          <c:idx val="0"/>
          <c:order val="0"/>
          <c:tx>
            <c:strRef>
              <c:f>'Sheet1 (3)'!$B$1</c:f>
              <c:strCache>
                <c:ptCount val="1"/>
                <c:pt idx="0">
                  <c:v>2022年支出</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 (3)'!$A$2:$A$3</c:f>
              <c:strCache>
                <c:ptCount val="2"/>
                <c:pt idx="0">
                  <c:v>基本支出</c:v>
                </c:pt>
                <c:pt idx="1">
                  <c:v>项目支出</c:v>
                </c:pt>
              </c:strCache>
            </c:strRef>
          </c:cat>
          <c:val>
            <c:numRef>
              <c:f>'Sheet1 (3)'!$B$2:$B$3</c:f>
              <c:numCache>
                <c:formatCode>General</c:formatCode>
                <c:ptCount val="2"/>
                <c:pt idx="0">
                  <c:v>561.81</c:v>
                </c:pt>
                <c:pt idx="1">
                  <c:v>142.35</c:v>
                </c:pt>
              </c:numCache>
            </c:numRef>
          </c:val>
        </c:ser>
        <c:firstSliceAng val="0"/>
      </c:pieChart>
      <c:spPr>
        <a:noFill/>
        <a:ln>
          <a:noFill/>
        </a:ln>
      </c:spPr>
    </c:plotArea>
    <c:legend>
      <c:legendPos val="b"/>
      <c:layout>
        <c:manualLayout>
          <c:xMode val="edge"/>
          <c:yMode val="edge"/>
          <c:x val="0.1159768"/>
          <c:y val="0.87356013"/>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manualLayout>
          <c:layoutTarget val="inner"/>
          <c:xMode val="edge"/>
          <c:yMode val="edge"/>
          <c:x val="0.12553091"/>
          <c:y val="0.048777137"/>
          <c:w val="0.86427146"/>
          <c:h val="0.6187702"/>
        </c:manualLayout>
      </c:layout>
      <c:barChart>
        <c:barDir val="col"/>
        <c:grouping val="clustered"/>
        <c:varyColors val="0"/>
        <c:ser>
          <c:idx val="0"/>
          <c:order val="0"/>
          <c:spPr>
            <a:solidFill>
              <a:srgbClr val="4F81BD"/>
            </a:solidFill>
          </c:spPr>
          <c:invertIfNegative val="0"/>
          <c:dLbls>
            <c:showLegendKey val="0"/>
            <c:showVal val="0"/>
            <c:showCatName val="0"/>
            <c:showSerName val="0"/>
            <c:showPercent val="0"/>
            <c:showBubbleSize val="0"/>
            <c:showLeaderLines val="0"/>
          </c:dLbls>
          <c:val>
            <c:numRef>
              <c:f/>
            </c:numRef>
          </c:val>
        </c:ser>
        <c:ser>
          <c:idx val="1"/>
          <c:order val="1"/>
          <c:spPr>
            <a:solidFill>
              <a:srgbClr val="C0504D"/>
            </a:solidFill>
          </c:spPr>
          <c:invertIfNegative val="0"/>
          <c:dLbls>
            <c:showLegendKey val="0"/>
            <c:showVal val="0"/>
            <c:showCatName val="0"/>
            <c:showSerName val="0"/>
            <c:showPercent val="0"/>
            <c:showBubbleSize val="0"/>
            <c:showLeaderLines val="0"/>
          </c:dLbls>
          <c:val>
            <c:numRef>
              <c:f/>
            </c:numRef>
          </c:val>
        </c:ser>
        <c:overlap val="-27"/>
        <c:gapWidth val="219"/>
        <c:axId val="0"/>
        <c:axId val="1"/>
      </c:barChart>
      <c:dateAx>
        <c:axId val="0"/>
        <c:scaling>
          <c:orientation val="minMax"/>
        </c:scaling>
        <c:delete val="0"/>
        <c:axPos val="b"/>
        <c:numFmt formatCode="General" sourceLinked="0"/>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0"/>
        <c:lblOffset val="100"/>
        <c:baseTimeUnit val="days"/>
        <c:crossAx val="1"/>
      </c:dateAx>
      <c:valAx>
        <c:axId val="1"/>
        <c:scaling>
          <c:orientation val="minMax"/>
          <c:min val="0.0"/>
          <c:max val="1400.0"/>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宋体"/>
                <a:ea typeface="宋体"/>
                <a:cs typeface="Lucida Sans"/>
              </a:defRPr>
            </a:pPr>
            <a:r>
              <a:rPr lang="zh-CN"/>
              <a:t>收入支出对比表</a:t>
            </a:r>
          </a:p>
        </c:rich>
      </c:tx>
      <c:layout/>
      <c:overlay val="0"/>
      <c:spPr>
        <a:ln>
          <a:noFill/>
        </a:ln>
      </c:spPr>
    </c:title>
    <c:autoTitleDeleted val="1"/>
    <c:plotArea>
      <c:layout>
        <c:manualLayout>
          <c:layoutTarget val="inner"/>
          <c:xMode val="edge"/>
          <c:yMode val="edge"/>
          <c:x val="0.10551619"/>
          <c:y val="0.16899315"/>
          <c:w val="0.749888"/>
          <c:h val="0.6789392"/>
        </c:manualLayout>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671.87</c:v>
                </c:pt>
                <c:pt idx="1">
                  <c:v>704.16</c:v>
                </c:pt>
              </c:numCache>
            </c:numRef>
          </c:val>
        </c:ser>
        <c:ser>
          <c:idx val="1"/>
          <c:order val="1"/>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659.34</c:v>
                </c:pt>
                <c:pt idx="1">
                  <c:v>704.16</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At val="1.0"/>
        <c:crossBetween val="between"/>
        <c:crossAx val="0"/>
      </c:valAx>
      <c:spPr>
        <a:noFill/>
        <a:ln>
          <a:noFill/>
        </a:ln>
      </c:spPr>
    </c:plotArea>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20973645"/>
                  <c:y val="0.04419082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03778876"/>
                  <c:y val="0.00496570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3"/>
              <c:layout>
                <c:manualLayout>
                  <c:x val="0.027582776"/>
                  <c:y val="-0.04169033"/>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(6)'!$A$2:$A$6</c:f>
              <c:strCache>
                <c:ptCount val="5"/>
                <c:pt idx="0">
                  <c:v>一般公共服务</c:v>
                </c:pt>
                <c:pt idx="1">
                  <c:v>社会保障和就业</c:v>
                </c:pt>
                <c:pt idx="2">
                  <c:v>卫生健康支出</c:v>
                </c:pt>
                <c:pt idx="3">
                  <c:v>农林水支出</c:v>
                </c:pt>
                <c:pt idx="4">
                  <c:v>住房保障支出</c:v>
                </c:pt>
              </c:strCache>
            </c:strRef>
          </c:cat>
          <c:val>
            <c:numRef>
              <c:f>'Sheet1 (6)'!$B$2:$B$6</c:f>
              <c:numCache>
                <c:formatCode>General</c:formatCode>
                <c:ptCount val="5"/>
                <c:pt idx="0">
                  <c:v>273.49</c:v>
                </c:pt>
                <c:pt idx="1">
                  <c:v>59.6</c:v>
                </c:pt>
                <c:pt idx="2">
                  <c:v>30.45</c:v>
                </c:pt>
                <c:pt idx="3">
                  <c:v>301.84</c:v>
                </c:pt>
                <c:pt idx="4">
                  <c:v>38.78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2"/>
              <c:layout>
                <c:manualLayout>
                  <c:x val="-0.07035216"/>
                  <c:y val="0.005202266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5.8</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37</TotalTime>
  <Application>Yozo_Office27021597764231179</Application>
  <Pages>23</Pages>
  <Words>8379</Words>
  <Characters>9083</Characters>
  <Lines>484</Lines>
  <Paragraphs>193</Paragraphs>
  <CharactersWithSpaces>9170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33</cp:revision>
  <cp:lastPrinted>2022-08-08T09:11:00Z</cp:lastPrinted>
  <dcterms:created xsi:type="dcterms:W3CDTF">2020-08-05T01:49:00Z</dcterms:created>
  <dcterms:modified xsi:type="dcterms:W3CDTF">2023-08-29T03:48:20Z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2052-11.1.0.14036</vt:lpwstr>
  </property>
  <property fmtid="{D5CDD505-2E9C-101B-9397-08002B2CF9AE}" pid="3" name="ICV">
    <vt:lpwstr>1B21EA6BBD104982BB3C3EAB67550ACD_13</vt:lpwstr>
  </property>
</Properties>
</file>