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2023年，我单位部门预算59.37万元 ，均严格按绩效管理要求实现项目绩效目标管理，其中重点项目预算1个，现将情况说明如下：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完成了2023年本级部门预算整体绩效目标申报和1个重点项目预算绩效目标申报，并编报1个重点项目预算事前绩效评估报告。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贯彻执行党和国家及省、市、县关于扶贫开发工作方针、政策和法律、法规，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 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重点项目1：村干部生活补助1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切实保障基层组织正常开展活动、农村公共服务运行维护和村级办公运转等服务群众的必要支出。规范基层活动和运行经费管理，有利于进一步强化基层组织政治功能和服务功能，有利于夯实党在基层执政的组织基础和群众基础，有利于提高基层组织引领发展、服务群众的能力和水平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绩效指标设置情况：细化指标18个，包括产出指标、成本指标、效益指标和满意度指标。</w:t>
      </w:r>
    </w:p>
    <w:tbl>
      <w:tblPr>
        <w:tblStyle w:val="4"/>
        <w:tblW w:w="62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804"/>
        <w:gridCol w:w="945"/>
        <w:gridCol w:w="804"/>
        <w:gridCol w:w="666"/>
        <w:gridCol w:w="794"/>
        <w:gridCol w:w="452"/>
        <w:gridCol w:w="9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纪检委员人数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社长人数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补助村妇女主任月补助标准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村副主任人数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补助村副书记月补助标准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村会计人数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质量指标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补助发放准确率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村副书记人数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村支部书记人数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村妇女主任人数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效益指标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经济效益指标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有效减轻村干部家庭经济负担，年均增加收入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补助村会计月补助标准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效益指标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社会效益指标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保障村干部报酬，提高村干部为民服务的积极性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定性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好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村支部书记月补助标准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元/人*月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满意度指标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服务对象满意度指标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村干部满意度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补助村副主任月补助标准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时效指标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12月底前全部兑现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补助纪检委员月补助标准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2ZmM0NDRjMDYwZGU0YjJjOGNkM2FmYTk4MjU0NTgifQ=="/>
  </w:docVars>
  <w:rsids>
    <w:rsidRoot w:val="36F0070A"/>
    <w:rsid w:val="11232FC8"/>
    <w:rsid w:val="25694783"/>
    <w:rsid w:val="27D56A31"/>
    <w:rsid w:val="36F0070A"/>
    <w:rsid w:val="43A93139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3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1200</Words>
  <Characters>1261</Characters>
  <Lines>0</Lines>
  <Paragraphs>0</Paragraphs>
  <TotalTime>22</TotalTime>
  <ScaleCrop>false</ScaleCrop>
  <LinksUpToDate>false</LinksUpToDate>
  <CharactersWithSpaces>1264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沈哥</cp:lastModifiedBy>
  <dcterms:modified xsi:type="dcterms:W3CDTF">2023-02-10T06:52:24Z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55A4E0A2F3D14A6CAF67643449674CE0</vt:lpwstr>
  </property>
</Properties>
</file>