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2796"/>
      <w:bookmarkStart w:id="2" w:name="_Toc15377425"/>
      <w:bookmarkStart w:id="3" w:name="_Toc15396597"/>
      <w:bookmarkStart w:id="4" w:name="_Toc15378441"/>
      <w:bookmarkStart w:id="5" w:name="_Toc15377193"/>
      <w:bookmarkStart w:id="6" w:name="_Toc15396475"/>
      <w:r>
        <w:rPr>
          <w:rFonts w:ascii="黑体" w:eastAsia="黑体"/>
          <w:color w:val="000000"/>
          <w:sz w:val="72"/>
          <w:szCs w:val="72"/>
        </w:rPr>
        <w:t>202</w:t>
      </w:r>
      <w:r>
        <w:rPr>
          <w:rFonts w:hint="eastAsia" w:ascii="黑体" w:eastAsia="黑体"/>
          <w:color w:val="000000"/>
          <w:sz w:val="72"/>
          <w:szCs w:val="72"/>
        </w:rPr>
        <w:t>1</w:t>
      </w:r>
      <w:r>
        <w:rPr>
          <w:rFonts w:hint="eastAsia" w:ascii="方正小标宋简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6811"/>
      <w:bookmarkStart w:id="8" w:name="_Toc15377194"/>
      <w:bookmarkStart w:id="9" w:name="_Toc15378442"/>
      <w:bookmarkStart w:id="10" w:name="_Toc15396476"/>
      <w:bookmarkStart w:id="11" w:name="_Toc15377426"/>
      <w:bookmarkStart w:id="12" w:name="_Toc15396598"/>
      <w:r>
        <w:rPr>
          <w:rFonts w:hint="eastAsia" w:ascii="方正小标宋简体" w:eastAsia="方正小标宋简体"/>
          <w:color w:val="000000"/>
          <w:sz w:val="72"/>
          <w:szCs w:val="72"/>
        </w:rPr>
        <w:t>四川省</w:t>
      </w:r>
      <w:bookmarkEnd w:id="0"/>
      <w:bookmarkStart w:id="13" w:name="_Toc15306268"/>
      <w:r>
        <w:rPr>
          <w:rFonts w:hint="eastAsia" w:ascii="方正小标宋简体" w:eastAsia="方正小标宋简体"/>
          <w:color w:val="000000"/>
          <w:sz w:val="72"/>
          <w:szCs w:val="72"/>
        </w:rPr>
        <w:t>金川县阿科里乡人民政府部门决算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bookmarkStart w:id="14" w:name="_Toc15377196"/>
      <w:r>
        <w:rPr>
          <w:rFonts w:hint="eastAsia" w:ascii="黑体" w:eastAsia="黑体"/>
          <w:color w:val="000000"/>
          <w:sz w:val="48"/>
          <w:szCs w:val="48"/>
        </w:rPr>
        <w:t>目录</w:t>
      </w:r>
    </w:p>
    <w:p>
      <w:pPr>
        <w:widowControl/>
        <w:jc w:val="cente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3"/>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3"/>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3"/>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3"/>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3"/>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3"/>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3"/>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3"/>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3"/>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3"/>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3"/>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3"/>
        <w:rPr>
          <w:rFonts w:ascii="仿宋" w:eastAsia="仿宋"/>
          <w:sz w:val="28"/>
          <w:szCs w:val="28"/>
        </w:rPr>
      </w:pPr>
      <w:r>
        <w:rPr>
          <w:rStyle w:val="18"/>
          <w:rFonts w:hint="eastAsia" w:ascii="仿宋" w:eastAsia="仿宋"/>
          <w:bCs/>
          <w:sz w:val="28"/>
          <w:szCs w:val="28"/>
        </w:rPr>
        <w:t xml:space="preserve"> 十、预算绩效情况说明..................................15</w:t>
      </w:r>
    </w:p>
    <w:p/>
    <w:p>
      <w:pPr>
        <w:pStyle w:val="13"/>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rPr>
          <w:color w:val="000000"/>
          <w:sz w:val="24"/>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r>
        <w:rPr>
          <w:color w:val="000000"/>
          <w:sz w:val="24"/>
        </w:rPr>
        <w:fldChar w:fldCharType="end"/>
      </w:r>
    </w:p>
    <w:p>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cs="Arial"/>
          <w:b/>
          <w:bCs/>
          <w:shd w:val="clear" w:color="FFFFFF" w:fill="D9D9D9"/>
        </w:rPr>
      </w:pPr>
      <w:r>
        <w:rPr>
          <w:b/>
          <w:bCs/>
          <w:shd w:val="clear" w:color="FFFFFF" w:fill="D9D9D9"/>
        </w:rPr>
        <w:fldChar w:fldCharType="begin"/>
      </w:r>
      <w:r>
        <w:rPr>
          <w:b/>
          <w:bCs/>
          <w:shd w:val="clear" w:color="FFFFFF" w:fill="D9D9D9"/>
        </w:rPr>
        <w:instrText xml:space="preserve"> HYPERLINK \l "_Toc15396614" </w:instrText>
      </w:r>
      <w:r>
        <w:rPr>
          <w:b/>
          <w:bCs/>
          <w:shd w:val="clear" w:color="FFFFFF" w:fill="D9D9D9"/>
        </w:rPr>
        <w:fldChar w:fldCharType="separate"/>
      </w:r>
      <w:r>
        <w:rPr>
          <w:rFonts w:hint="eastAsia"/>
          <w:b/>
          <w:bCs/>
          <w:shd w:val="clear" w:color="FFFFFF" w:fill="D9D9D9"/>
        </w:rPr>
        <w:t>第</w:t>
      </w:r>
      <w:r>
        <w:rPr>
          <w:rFonts w:hint="eastAsia"/>
          <w:b/>
          <w:bCs/>
          <w:kern w:val="44"/>
          <w:shd w:val="clear" w:color="FFFFFF" w:fill="D9D9D9"/>
        </w:rPr>
        <w:t>四部分</w:t>
      </w:r>
      <w:r>
        <w:rPr>
          <w:b/>
          <w:bCs/>
          <w:kern w:val="44"/>
          <w:shd w:val="clear" w:color="FFFFFF" w:fill="D9D9D9"/>
        </w:rPr>
        <w:t xml:space="preserve"> </w:t>
      </w:r>
      <w:r>
        <w:rPr>
          <w:rFonts w:hint="eastAsia"/>
          <w:b/>
          <w:bCs/>
          <w:kern w:val="44"/>
          <w:shd w:val="clear" w:color="FFFFFF" w:fill="D9D9D9"/>
        </w:rPr>
        <w:t>附件</w:t>
      </w:r>
      <w:r>
        <w:rPr>
          <w:b/>
          <w:bCs/>
          <w:shd w:val="clear" w:color="FFFFFF" w:fill="D9D9D9"/>
        </w:rPr>
        <w:tab/>
      </w:r>
      <w:r>
        <w:rPr>
          <w:rFonts w:hint="eastAsia"/>
          <w:b/>
          <w:bCs/>
          <w:shd w:val="clear" w:color="FFFFFF" w:fill="D9D9D9"/>
        </w:rPr>
        <w:t>1</w:t>
      </w:r>
      <w:r>
        <w:rPr>
          <w:rFonts w:hint="eastAsia"/>
          <w:b/>
          <w:bCs/>
          <w:shd w:val="clear" w:color="FFFFFF" w:fill="D9D9D9"/>
        </w:rPr>
        <w:fldChar w:fldCharType="end"/>
      </w:r>
      <w:r>
        <w:rPr>
          <w:rFonts w:hint="eastAsia"/>
          <w:b/>
          <w:bCs/>
          <w:shd w:val="clear" w:color="FFFFFF" w:fill="D9D9D9"/>
        </w:rPr>
        <w:t>6</w:t>
      </w:r>
    </w:p>
    <w:p>
      <w:pPr>
        <w:pStyle w:val="13"/>
        <w:keepNext w:val="0"/>
        <w:keepLines w:val="0"/>
        <w:pageBreakBefore w:val="0"/>
        <w:widowControl w:val="0"/>
        <w:kinsoku/>
        <w:wordWrap/>
        <w:overflowPunct/>
        <w:topLinePunct w:val="0"/>
        <w:autoSpaceDE/>
        <w:autoSpaceDN/>
        <w:bidi w:val="0"/>
        <w:adjustRightInd/>
        <w:snapToGrid/>
        <w:spacing w:line="360" w:lineRule="auto"/>
        <w:ind w:left="420" w:firstLine="210" w:firstLineChars="100"/>
        <w:textAlignment w:val="auto"/>
        <w:rPr>
          <w:rFonts w:ascii="仿宋" w:eastAsia="仿宋" w:cs="Arial"/>
          <w:sz w:val="28"/>
          <w:szCs w:val="28"/>
          <w:shd w:val="clear" w:color="FFFFFF" w:fill="D9D9D9"/>
        </w:rPr>
      </w:pPr>
      <w:r>
        <w:rPr>
          <w:shd w:val="clear" w:color="FFFFFF" w:fill="D9D9D9"/>
        </w:rPr>
        <w:fldChar w:fldCharType="begin"/>
      </w:r>
      <w:r>
        <w:rPr>
          <w:shd w:val="clear" w:color="FFFFFF" w:fill="D9D9D9"/>
        </w:rPr>
        <w:instrText xml:space="preserve"> HYPERLINK \l "_Toc15396615" </w:instrText>
      </w:r>
      <w:r>
        <w:rPr>
          <w:shd w:val="clear" w:color="FFFFFF" w:fill="D9D9D9"/>
        </w:rPr>
        <w:fldChar w:fldCharType="separate"/>
      </w:r>
      <w:r>
        <w:rPr>
          <w:rFonts w:hint="eastAsia" w:ascii="仿宋_GB2312" w:eastAsia="仿宋_GB2312" w:cs="仿宋_GB2312"/>
          <w:b w:val="0"/>
          <w:bCs w:val="0"/>
          <w:color w:val="auto"/>
          <w:lang w:val="en-US" w:eastAsia="zh-CN" w:bidi="ar-SA"/>
        </w:rPr>
        <w:t>阿坝州金川县</w:t>
      </w:r>
      <w:r>
        <w:rPr>
          <w:rFonts w:hint="default" w:ascii="仿宋_GB2312" w:eastAsia="仿宋_GB2312" w:cs="仿宋_GB2312"/>
          <w:b w:val="0"/>
          <w:bCs w:val="0"/>
          <w:color w:val="auto"/>
          <w:lang w:eastAsia="zh-CN" w:bidi="ar-SA"/>
        </w:rPr>
        <w:t>阿科里乡人民政府</w:t>
      </w:r>
      <w:r>
        <w:rPr>
          <w:rFonts w:hint="eastAsia" w:ascii="仿宋_GB2312" w:eastAsia="仿宋_GB2312" w:cs="仿宋_GB2312"/>
          <w:b w:val="0"/>
          <w:bCs w:val="0"/>
          <w:color w:val="auto"/>
          <w:lang w:bidi="ar-SA"/>
        </w:rPr>
        <w:t>202</w:t>
      </w:r>
      <w:r>
        <w:rPr>
          <w:rFonts w:hint="eastAsia" w:ascii="仿宋_GB2312" w:eastAsia="仿宋_GB2312" w:cs="仿宋_GB2312"/>
          <w:b w:val="0"/>
          <w:bCs w:val="0"/>
          <w:color w:val="auto"/>
          <w:lang w:val="en-US" w:eastAsia="zh-CN" w:bidi="ar-SA"/>
        </w:rPr>
        <w:t>1</w:t>
      </w:r>
      <w:r>
        <w:rPr>
          <w:rFonts w:hint="eastAsia" w:ascii="仿宋_GB2312" w:eastAsia="仿宋_GB2312" w:cs="仿宋_GB2312"/>
          <w:b w:val="0"/>
          <w:bCs w:val="0"/>
          <w:color w:val="auto"/>
          <w:lang w:bidi="ar-SA"/>
        </w:rPr>
        <w:t>年部门整体支出绩效评价报告</w:t>
      </w:r>
      <w:r>
        <w:rPr>
          <w:rFonts w:ascii="仿宋" w:eastAsia="仿宋"/>
          <w:sz w:val="28"/>
          <w:szCs w:val="28"/>
          <w:shd w:val="clear" w:color="FFFFFF" w:fill="D9D9D9"/>
        </w:rPr>
        <w:tab/>
      </w:r>
      <w:r>
        <w:rPr>
          <w:rFonts w:hint="eastAsia" w:ascii="仿宋" w:eastAsia="仿宋"/>
          <w:sz w:val="28"/>
          <w:szCs w:val="28"/>
          <w:shd w:val="clear" w:color="FFFFFF" w:fill="D9D9D9"/>
        </w:rPr>
        <w:t>1</w:t>
      </w:r>
      <w:r>
        <w:rPr>
          <w:rFonts w:hint="eastAsia" w:ascii="仿宋" w:eastAsia="仿宋"/>
          <w:sz w:val="28"/>
          <w:szCs w:val="28"/>
          <w:shd w:val="clear" w:color="FFFFFF" w:fill="D9D9D9"/>
        </w:rPr>
        <w:fldChar w:fldCharType="end"/>
      </w:r>
      <w:r>
        <w:rPr>
          <w:rFonts w:hint="eastAsia" w:ascii="仿宋" w:eastAsia="仿宋"/>
          <w:sz w:val="28"/>
          <w:szCs w:val="28"/>
          <w:shd w:val="clear" w:color="FFFFFF" w:fill="D9D9D9"/>
        </w:rPr>
        <w:t>6</w:t>
      </w:r>
    </w:p>
    <w:p>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cs="Arial"/>
          <w:b/>
          <w:bCs/>
          <w:shd w:val="clear" w:color="FFFFFF" w:fill="D9D9D9"/>
        </w:rPr>
      </w:pPr>
      <w:r>
        <w:rPr>
          <w:b/>
          <w:bCs/>
          <w:shd w:val="clear" w:color="FFFFFF" w:fill="D9D9D9"/>
        </w:rPr>
        <w:fldChar w:fldCharType="begin"/>
      </w:r>
      <w:r>
        <w:rPr>
          <w:b/>
          <w:bCs/>
          <w:shd w:val="clear" w:color="FFFFFF" w:fill="D9D9D9"/>
        </w:rPr>
        <w:instrText xml:space="preserve"> HYPERLINK \l "_Toc15396618" </w:instrText>
      </w:r>
      <w:r>
        <w:rPr>
          <w:b/>
          <w:bCs/>
          <w:shd w:val="clear" w:color="FFFFFF" w:fill="D9D9D9"/>
        </w:rPr>
        <w:fldChar w:fldCharType="separate"/>
      </w:r>
      <w:r>
        <w:rPr>
          <w:rFonts w:hint="eastAsia"/>
          <w:b/>
          <w:bCs/>
          <w:shd w:val="clear" w:color="FFFFFF" w:fill="D9D9D9"/>
        </w:rPr>
        <w:t>第</w:t>
      </w:r>
      <w:r>
        <w:rPr>
          <w:rFonts w:hint="eastAsia"/>
          <w:b/>
          <w:bCs/>
          <w:kern w:val="44"/>
          <w:shd w:val="clear" w:color="FFFFFF" w:fill="D9D9D9"/>
        </w:rPr>
        <w:t>五部分</w:t>
      </w:r>
      <w:r>
        <w:rPr>
          <w:b/>
          <w:bCs/>
          <w:kern w:val="44"/>
          <w:shd w:val="clear" w:color="FFFFFF" w:fill="D9D9D9"/>
        </w:rPr>
        <w:t xml:space="preserve"> </w:t>
      </w:r>
      <w:r>
        <w:rPr>
          <w:rFonts w:hint="eastAsia"/>
          <w:b/>
          <w:bCs/>
          <w:kern w:val="44"/>
          <w:shd w:val="clear" w:color="FFFFFF" w:fill="D9D9D9"/>
        </w:rPr>
        <w:t>附表</w:t>
      </w:r>
      <w:r>
        <w:rPr>
          <w:rFonts w:hint="eastAsia"/>
          <w:b/>
          <w:bCs/>
          <w:shd w:val="clear" w:color="FFFFFF" w:fill="D9D9D9"/>
        </w:rPr>
        <w:fldChar w:fldCharType="end"/>
      </w:r>
      <w:r>
        <w:rPr>
          <w:b/>
          <w:bCs/>
          <w:shd w:val="clear" w:color="FFFFFF" w:fill="D9D9D9"/>
        </w:rPr>
        <w:fldChar w:fldCharType="begin"/>
      </w:r>
      <w:r>
        <w:rPr>
          <w:b/>
          <w:bCs/>
          <w:shd w:val="clear" w:color="FFFFFF" w:fill="D9D9D9"/>
        </w:rPr>
        <w:instrText xml:space="preserve"> HYPERLINK \l "_Toc15396614" </w:instrText>
      </w:r>
      <w:r>
        <w:rPr>
          <w:b/>
          <w:bCs/>
          <w:shd w:val="clear" w:color="FFFFFF" w:fill="D9D9D9"/>
        </w:rPr>
        <w:fldChar w:fldCharType="separate"/>
      </w:r>
      <w:r>
        <w:rPr>
          <w:b/>
          <w:bCs/>
          <w:shd w:val="clear" w:color="FFFFFF" w:fill="D9D9D9"/>
        </w:rPr>
        <w:tab/>
      </w:r>
      <w:r>
        <w:rPr>
          <w:rFonts w:hint="eastAsia"/>
          <w:b/>
          <w:bCs/>
          <w:shd w:val="clear" w:color="FFFFFF" w:fill="D9D9D9"/>
        </w:rPr>
        <w:t>1</w:t>
      </w:r>
      <w:r>
        <w:rPr>
          <w:rFonts w:hint="eastAsia"/>
          <w:b/>
          <w:bCs/>
          <w:shd w:val="clear" w:color="FFFFFF" w:fill="D9D9D9"/>
        </w:rPr>
        <w:fldChar w:fldCharType="end"/>
      </w:r>
      <w:r>
        <w:rPr>
          <w:rFonts w:hint="eastAsia"/>
          <w:b/>
          <w:bCs/>
          <w:shd w:val="clear" w:color="FFFFFF" w:fill="D9D9D9"/>
          <w:lang w:val="en-US" w:eastAsia="zh-CN"/>
        </w:rPr>
        <w:t>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cs="Arial"/>
          <w:sz w:val="28"/>
          <w:szCs w:val="28"/>
          <w:shd w:val="clear" w:color="FFFFFF" w:fill="D9D9D9"/>
          <w:lang w:val="en-US" w:eastAsia="zh-CN"/>
        </w:rPr>
      </w:pPr>
      <w:r>
        <w:rPr>
          <w:rFonts w:hint="eastAsia" w:ascii="仿宋" w:eastAsia="仿宋"/>
          <w:sz w:val="28"/>
          <w:szCs w:val="28"/>
          <w:shd w:val="clear" w:color="FFFFFF" w:fill="D9D9D9"/>
        </w:rPr>
        <w:t>一、</w:t>
      </w:r>
      <w:r>
        <w:rPr>
          <w:shd w:val="clear" w:color="FFFFFF" w:fill="D9D9D9"/>
        </w:rPr>
        <w:fldChar w:fldCharType="begin"/>
      </w:r>
      <w:r>
        <w:rPr>
          <w:shd w:val="clear" w:color="FFFFFF" w:fill="D9D9D9"/>
        </w:rPr>
        <w:instrText xml:space="preserve"> HYPERLINK \l "_Toc15396619" </w:instrText>
      </w:r>
      <w:r>
        <w:rPr>
          <w:shd w:val="clear" w:color="FFFFFF" w:fill="D9D9D9"/>
        </w:rPr>
        <w:fldChar w:fldCharType="separate"/>
      </w:r>
      <w:r>
        <w:rPr>
          <w:rFonts w:hint="eastAsia" w:ascii="仿宋" w:eastAsia="仿宋"/>
          <w:sz w:val="28"/>
          <w:szCs w:val="28"/>
          <w:shd w:val="clear" w:color="FFFFFF" w:fill="D9D9D9"/>
        </w:rPr>
        <w:t>收入支出决算总表</w:t>
      </w:r>
      <w:r>
        <w:rPr>
          <w:rFonts w:ascii="仿宋" w:eastAsia="仿宋"/>
          <w:sz w:val="28"/>
          <w:szCs w:val="28"/>
          <w:shd w:val="clear" w:color="FFFFFF" w:fill="D9D9D9"/>
        </w:rPr>
        <w:tab/>
      </w:r>
      <w:r>
        <w:rPr>
          <w:rFonts w:hint="eastAsia" w:ascii="仿宋" w:eastAsia="仿宋"/>
          <w:sz w:val="28"/>
          <w:szCs w:val="28"/>
          <w:shd w:val="clear" w:color="FFFFFF" w:fill="D9D9D9"/>
          <w:lang w:val="en-US" w:eastAsia="zh-CN"/>
        </w:rPr>
        <w:t>1</w:t>
      </w:r>
      <w:r>
        <w:rPr>
          <w:rFonts w:hint="eastAsia" w:ascii="仿宋" w:eastAsia="仿宋"/>
          <w:sz w:val="28"/>
          <w:szCs w:val="28"/>
          <w:shd w:val="clear" w:color="FFFFFF" w:fill="D9D9D9"/>
        </w:rPr>
        <w:fldChar w:fldCharType="end"/>
      </w:r>
      <w:r>
        <w:rPr>
          <w:rFonts w:hint="eastAsia" w:ascii="仿宋" w:eastAsia="仿宋"/>
          <w:sz w:val="28"/>
          <w:szCs w:val="28"/>
          <w:shd w:val="clear" w:color="FFFFFF" w:fill="D9D9D9"/>
          <w:lang w:val="en-US" w:eastAsia="zh-CN"/>
        </w:rPr>
        <w:t>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cs="Arial"/>
          <w:sz w:val="28"/>
          <w:szCs w:val="28"/>
          <w:shd w:val="clear" w:color="FFFFFF" w:fill="D9D9D9"/>
          <w:lang w:val="en-US" w:eastAsia="zh-CN"/>
        </w:rPr>
      </w:pPr>
      <w:r>
        <w:rPr>
          <w:rFonts w:hint="eastAsia" w:ascii="仿宋" w:eastAsia="仿宋"/>
          <w:sz w:val="28"/>
          <w:szCs w:val="28"/>
          <w:shd w:val="clear" w:color="FFFFFF" w:fill="D9D9D9"/>
        </w:rPr>
        <w:t>二、</w:t>
      </w:r>
      <w:r>
        <w:rPr>
          <w:shd w:val="clear" w:color="FFFFFF" w:fill="D9D9D9"/>
        </w:rPr>
        <w:fldChar w:fldCharType="begin"/>
      </w:r>
      <w:r>
        <w:rPr>
          <w:shd w:val="clear" w:color="FFFFFF" w:fill="D9D9D9"/>
        </w:rPr>
        <w:instrText xml:space="preserve"> HYPERLINK \l "_Toc15396620" </w:instrText>
      </w:r>
      <w:r>
        <w:rPr>
          <w:shd w:val="clear" w:color="FFFFFF" w:fill="D9D9D9"/>
        </w:rPr>
        <w:fldChar w:fldCharType="separate"/>
      </w:r>
      <w:r>
        <w:rPr>
          <w:rFonts w:hint="eastAsia" w:ascii="仿宋" w:eastAsia="仿宋"/>
          <w:sz w:val="28"/>
          <w:szCs w:val="28"/>
          <w:shd w:val="clear" w:color="FFFFFF" w:fill="D9D9D9"/>
        </w:rPr>
        <w:t>收入总表</w:t>
      </w:r>
      <w:r>
        <w:rPr>
          <w:rFonts w:ascii="仿宋" w:eastAsia="仿宋"/>
          <w:sz w:val="28"/>
          <w:szCs w:val="28"/>
          <w:shd w:val="clear" w:color="FFFFFF" w:fill="D9D9D9"/>
        </w:rPr>
        <w:tab/>
      </w:r>
      <w:r>
        <w:rPr>
          <w:rFonts w:hint="eastAsia" w:ascii="仿宋" w:eastAsia="仿宋"/>
          <w:sz w:val="28"/>
          <w:szCs w:val="28"/>
          <w:shd w:val="clear" w:color="FFFFFF" w:fill="D9D9D9"/>
          <w:lang w:val="en-US" w:eastAsia="zh-CN"/>
        </w:rPr>
        <w:t>1</w:t>
      </w:r>
      <w:r>
        <w:rPr>
          <w:rFonts w:hint="eastAsia" w:ascii="仿宋" w:eastAsia="仿宋"/>
          <w:sz w:val="28"/>
          <w:szCs w:val="28"/>
          <w:shd w:val="clear" w:color="FFFFFF" w:fill="D9D9D9"/>
        </w:rPr>
        <w:fldChar w:fldCharType="end"/>
      </w:r>
      <w:r>
        <w:rPr>
          <w:rFonts w:hint="eastAsia" w:ascii="仿宋" w:eastAsia="仿宋"/>
          <w:sz w:val="28"/>
          <w:szCs w:val="28"/>
          <w:shd w:val="clear" w:color="FFFFFF" w:fill="D9D9D9"/>
          <w:lang w:val="en-US" w:eastAsia="zh-CN"/>
        </w:rPr>
        <w:t>7</w:t>
      </w:r>
    </w:p>
    <w:p>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cs="Arial"/>
          <w:b/>
          <w:bCs/>
          <w:shd w:val="clear" w:color="FFFFFF" w:fill="D9D9D9"/>
        </w:rPr>
      </w:pPr>
      <w:r>
        <w:rPr>
          <w:rFonts w:hint="eastAsia"/>
          <w:sz w:val="28"/>
          <w:szCs w:val="28"/>
          <w:shd w:val="clear" w:color="FFFFFF" w:fill="D9D9D9"/>
          <w:lang w:val="en-US" w:eastAsia="zh-CN"/>
        </w:rPr>
        <w:t xml:space="preserve">   </w:t>
      </w:r>
      <w:r>
        <w:rPr>
          <w:rFonts w:hint="eastAsia" w:ascii="仿宋" w:eastAsia="仿宋"/>
          <w:sz w:val="28"/>
          <w:szCs w:val="28"/>
          <w:shd w:val="clear" w:color="FFFFFF" w:fill="D9D9D9"/>
        </w:rPr>
        <w:t>三、</w:t>
      </w:r>
      <w:r>
        <w:rPr>
          <w:shd w:val="clear" w:color="FFFFFF" w:fill="D9D9D9"/>
        </w:rPr>
        <w:fldChar w:fldCharType="begin"/>
      </w:r>
      <w:r>
        <w:rPr>
          <w:shd w:val="clear" w:color="FFFFFF" w:fill="D9D9D9"/>
        </w:rPr>
        <w:instrText xml:space="preserve"> HYPERLINK \l "_Toc15396621" </w:instrText>
      </w:r>
      <w:r>
        <w:rPr>
          <w:shd w:val="clear" w:color="FFFFFF" w:fill="D9D9D9"/>
        </w:rPr>
        <w:fldChar w:fldCharType="separate"/>
      </w:r>
      <w:r>
        <w:rPr>
          <w:rFonts w:hint="eastAsia" w:ascii="仿宋" w:eastAsia="仿宋"/>
          <w:sz w:val="28"/>
          <w:szCs w:val="28"/>
          <w:shd w:val="clear" w:color="FFFFFF" w:fill="D9D9D9"/>
        </w:rPr>
        <w:t>支出总表</w:t>
      </w:r>
      <w:r>
        <w:rPr>
          <w:b/>
          <w:bCs/>
          <w:shd w:val="clear" w:color="FFFFFF" w:fill="D9D9D9"/>
        </w:rPr>
        <w:fldChar w:fldCharType="begin"/>
      </w:r>
      <w:r>
        <w:rPr>
          <w:b/>
          <w:bCs/>
          <w:shd w:val="clear" w:color="FFFFFF" w:fill="D9D9D9"/>
        </w:rPr>
        <w:instrText xml:space="preserve"> HYPERLINK \l "_Toc15396614" </w:instrText>
      </w:r>
      <w:r>
        <w:rPr>
          <w:b/>
          <w:bCs/>
          <w:shd w:val="clear" w:color="FFFFFF" w:fill="D9D9D9"/>
        </w:rPr>
        <w:fldChar w:fldCharType="separate"/>
      </w:r>
      <w:r>
        <w:rPr>
          <w:b/>
          <w:bCs/>
          <w:shd w:val="clear" w:color="FFFFFF" w:fill="D9D9D9"/>
        </w:rPr>
        <w:tab/>
      </w:r>
      <w:r>
        <w:rPr>
          <w:rFonts w:hint="eastAsia"/>
          <w:b/>
          <w:bCs/>
          <w:shd w:val="clear" w:color="FFFFFF" w:fill="D9D9D9"/>
        </w:rPr>
        <w:t>1</w:t>
      </w:r>
      <w:r>
        <w:rPr>
          <w:rFonts w:hint="eastAsia"/>
          <w:b/>
          <w:bCs/>
          <w:shd w:val="clear" w:color="FFFFFF" w:fill="D9D9D9"/>
        </w:rPr>
        <w:fldChar w:fldCharType="end"/>
      </w:r>
      <w:r>
        <w:rPr>
          <w:rFonts w:hint="eastAsia"/>
          <w:b/>
          <w:bCs/>
          <w:shd w:val="clear" w:color="FFFFFF" w:fill="D9D9D9"/>
          <w:lang w:val="en-US" w:eastAsia="zh-CN"/>
        </w:rPr>
        <w:t>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sz w:val="28"/>
          <w:szCs w:val="28"/>
          <w:shd w:val="clear" w:color="FFFFFF" w:fill="D9D9D9"/>
          <w:lang w:val="en-US" w:eastAsia="zh-CN"/>
        </w:rPr>
      </w:pPr>
      <w:r>
        <w:rPr>
          <w:rFonts w:hint="eastAsia" w:ascii="仿宋" w:eastAsia="仿宋"/>
          <w:sz w:val="28"/>
          <w:szCs w:val="28"/>
          <w:shd w:val="clear" w:color="FFFFFF" w:fill="D9D9D9"/>
        </w:rPr>
        <w:fldChar w:fldCharType="end"/>
      </w:r>
      <w:r>
        <w:rPr>
          <w:rFonts w:hint="eastAsia" w:ascii="仿宋" w:eastAsia="仿宋"/>
          <w:sz w:val="28"/>
          <w:szCs w:val="28"/>
          <w:shd w:val="clear" w:color="FFFFFF" w:fill="D9D9D9"/>
          <w:lang w:val="en-US" w:eastAsia="zh-CN"/>
        </w:rPr>
        <w:t xml:space="preserve"> </w:t>
      </w:r>
      <w:r>
        <w:rPr>
          <w:rFonts w:hint="eastAsia" w:ascii="仿宋" w:eastAsia="仿宋"/>
          <w:sz w:val="28"/>
          <w:szCs w:val="28"/>
          <w:shd w:val="clear" w:color="FFFFFF" w:fill="D9D9D9"/>
        </w:rPr>
        <w:t>四、财政拨款收入支出决算总表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五、财政拨款支出决算明细表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六、一般公共预算财政拨款支出决算表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七、一般公共预算财政拨款支出决算明细表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sz w:val="28"/>
          <w:szCs w:val="28"/>
          <w:shd w:val="clear" w:color="FFFFFF" w:fill="D9D9D9"/>
        </w:rPr>
      </w:pPr>
      <w:r>
        <w:rPr>
          <w:rFonts w:hint="eastAsia" w:ascii="仿宋" w:eastAsia="仿宋"/>
          <w:sz w:val="28"/>
          <w:szCs w:val="28"/>
          <w:shd w:val="clear" w:color="FFFFFF" w:fill="D9D9D9"/>
        </w:rPr>
        <w:t>八、一般公共预算财政拨款基本支出决算表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sz w:val="28"/>
          <w:szCs w:val="28"/>
          <w:shd w:val="clear" w:color="FFFFFF" w:fill="D9D9D9"/>
          <w:lang w:val="en-US" w:eastAsia="zh-CN"/>
        </w:rPr>
      </w:pPr>
      <w:r>
        <w:rPr>
          <w:rFonts w:hint="eastAsia" w:ascii="仿宋" w:eastAsia="仿宋"/>
          <w:sz w:val="28"/>
          <w:szCs w:val="28"/>
          <w:shd w:val="clear" w:color="FFFFFF" w:fill="D9D9D9"/>
        </w:rPr>
        <w:t>九、一般公共预算财政拨款项目支出决算表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十、一般公共预算财政拨款“三公”经费支出决算表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十一、政府性基金预算财政拨款收入支出决算表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sz w:val="28"/>
          <w:szCs w:val="28"/>
          <w:shd w:val="clear" w:color="FFFFFF" w:fill="D9D9D9"/>
          <w:lang w:val="en-US" w:eastAsia="zh-CN"/>
        </w:rPr>
      </w:pPr>
      <w:r>
        <w:rPr>
          <w:rFonts w:hint="eastAsia" w:ascii="仿宋" w:eastAsia="仿宋"/>
          <w:sz w:val="28"/>
          <w:szCs w:val="28"/>
          <w:shd w:val="clear" w:color="FFFFFF" w:fill="D9D9D9"/>
        </w:rPr>
        <w:t>十二、政府性基金预算财政拨款“三公”经费支出决算表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十三、国有资本经营预算财政拨款支出决算表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十四、国有资本经营预算财政拨款支出决算表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pPr>
        <w:rPr>
          <w:rFonts w:hint="eastAsia"/>
          <w:lang w:val="en-US" w:eastAsia="zh-CN"/>
        </w:rPr>
      </w:pPr>
      <w:bookmarkStart w:id="77" w:name="_GoBack"/>
      <w:bookmarkEnd w:id="77"/>
    </w:p>
    <w:p>
      <w:pPr>
        <w:rPr>
          <w:rFonts w:hint="default"/>
        </w:rPr>
      </w:pPr>
    </w:p>
    <w:p>
      <w:pPr>
        <w:pStyle w:val="3"/>
        <w:jc w:val="center"/>
        <w:rPr>
          <w:rFonts w:ascii="黑体" w:eastAsia="黑体"/>
          <w:color w:val="000000"/>
          <w:sz w:val="32"/>
          <w:szCs w:val="32"/>
        </w:rPr>
      </w:pPr>
      <w:bookmarkStart w:id="15" w:name="_Toc27352"/>
      <w:r>
        <w:rPr>
          <w:rFonts w:hint="eastAsia" w:ascii="黑体" w:eastAsia="黑体"/>
          <w:b w:val="0"/>
        </w:rPr>
        <w:t xml:space="preserve">第一部分 </w:t>
      </w:r>
      <w:r>
        <w:rPr>
          <w:rStyle w:val="19"/>
          <w:rFonts w:hint="eastAsia" w:ascii="黑体" w:eastAsia="黑体"/>
          <w:b w:val="0"/>
          <w:bCs w:val="0"/>
        </w:rPr>
        <w:t>部门概况</w:t>
      </w:r>
      <w:bookmarkEnd w:id="14"/>
      <w:bookmarkEnd w:id="15"/>
    </w:p>
    <w:p>
      <w:pPr>
        <w:pStyle w:val="4"/>
        <w:spacing w:before="0" w:after="0" w:line="240" w:lineRule="auto"/>
        <w:ind w:left="640" w:hanging="640" w:hangingChars="200"/>
        <w:rPr>
          <w:rStyle w:val="20"/>
          <w:rFonts w:ascii="黑体" w:eastAsia="黑体"/>
          <w:b w:val="0"/>
          <w:bCs w:val="0"/>
        </w:rPr>
      </w:pPr>
      <w:bookmarkStart w:id="16" w:name="_Toc15377197"/>
      <w:bookmarkStart w:id="17" w:name="_Toc20678"/>
      <w:r>
        <w:rPr>
          <w:rFonts w:hint="eastAsia" w:ascii="黑体" w:eastAsia="黑体"/>
          <w:b w:val="0"/>
          <w:color w:val="000000"/>
        </w:rPr>
        <w:t>一、基</w:t>
      </w:r>
      <w:r>
        <w:rPr>
          <w:rStyle w:val="20"/>
          <w:rFonts w:hint="eastAsia" w:ascii="黑体" w:eastAsia="黑体"/>
          <w:b w:val="0"/>
          <w:bCs w:val="0"/>
        </w:rPr>
        <w:t>本职能及主要工作</w:t>
      </w:r>
      <w:bookmarkEnd w:id="16"/>
      <w:bookmarkEnd w:id="17"/>
      <w:bookmarkStart w:id="18" w:name="_Toc15378445"/>
      <w:bookmarkStart w:id="19" w:name="_Toc15377198"/>
    </w:p>
    <w:p>
      <w:pPr>
        <w:pStyle w:val="4"/>
        <w:spacing w:before="0" w:after="0" w:line="240" w:lineRule="auto"/>
        <w:ind w:left="642" w:leftChars="153" w:hanging="321" w:hangingChars="100"/>
        <w:rPr>
          <w:rFonts w:ascii="楷体" w:eastAsia="楷体" w:cs="楷体"/>
          <w:color w:val="000000"/>
        </w:rPr>
      </w:pPr>
      <w:bookmarkStart w:id="20" w:name="_Toc31800"/>
      <w:r>
        <w:rPr>
          <w:rFonts w:hint="eastAsia" w:ascii="楷体" w:eastAsia="楷体" w:cs="楷体"/>
          <w:color w:val="000000"/>
        </w:rPr>
        <w:t>（一）主要职能</w:t>
      </w:r>
      <w:bookmarkEnd w:id="18"/>
      <w:bookmarkEnd w:id="19"/>
      <w:bookmarkEnd w:id="20"/>
      <w:bookmarkStart w:id="21" w:name="_Toc15378446"/>
      <w:bookmarkStart w:id="22" w:name="_Toc15377199"/>
    </w:p>
    <w:p>
      <w:pPr>
        <w:snapToGrid w:val="0"/>
        <w:spacing w:line="360" w:lineRule="auto"/>
        <w:ind w:firstLine="640" w:firstLineChars="200"/>
        <w:outlineLvl w:val="1"/>
        <w:rPr>
          <w:rFonts w:ascii="仿宋_GB2312" w:eastAsia="仿宋_GB2312" w:cs="仿宋_GB2312"/>
          <w:sz w:val="32"/>
          <w:szCs w:val="32"/>
        </w:rPr>
      </w:pPr>
      <w:bookmarkStart w:id="23" w:name="_Toc32413"/>
      <w:r>
        <w:rPr>
          <w:rFonts w:hint="eastAsia" w:ascii="仿宋_GB2312" w:eastAsia="仿宋_GB2312" w:cs="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阿科里发展的新局面。</w:t>
      </w:r>
      <w:bookmarkEnd w:id="23"/>
    </w:p>
    <w:p>
      <w:pPr>
        <w:pStyle w:val="4"/>
        <w:spacing w:before="0" w:after="0" w:line="240" w:lineRule="auto"/>
        <w:ind w:firstLine="321" w:firstLineChars="100"/>
        <w:rPr>
          <w:rFonts w:ascii="楷体" w:eastAsia="楷体" w:cs="楷体"/>
          <w:color w:val="000000"/>
        </w:rPr>
      </w:pPr>
      <w:bookmarkStart w:id="24" w:name="_Toc21487"/>
      <w:r>
        <w:rPr>
          <w:rFonts w:hint="eastAsia" w:ascii="楷体" w:eastAsia="楷体" w:cs="楷体"/>
          <w:color w:val="000000"/>
        </w:rPr>
        <w:t>（二）</w:t>
      </w:r>
      <w:r>
        <w:rPr>
          <w:rFonts w:ascii="楷体" w:eastAsia="楷体" w:cs="楷体"/>
          <w:color w:val="000000"/>
        </w:rPr>
        <w:t>202</w:t>
      </w:r>
      <w:r>
        <w:rPr>
          <w:rFonts w:hint="eastAsia" w:ascii="楷体" w:eastAsia="楷体" w:cs="楷体"/>
          <w:color w:val="000000"/>
        </w:rPr>
        <w:t>1年重点工作完成情况</w:t>
      </w:r>
      <w:bookmarkEnd w:id="21"/>
      <w:bookmarkEnd w:id="22"/>
      <w:bookmarkEnd w:id="24"/>
    </w:p>
    <w:p>
      <w:pPr>
        <w:pStyle w:val="14"/>
        <w:shd w:val="clear" w:color="auto" w:fill="FFFFFF"/>
        <w:spacing w:line="560" w:lineRule="exact"/>
        <w:ind w:firstLine="720"/>
        <w:rPr>
          <w:rFonts w:ascii="仿宋_GB2312" w:eastAsia="仿宋_GB2312" w:cs="仿宋_GB2312"/>
          <w:sz w:val="32"/>
          <w:szCs w:val="32"/>
          <w:shd w:val="clear" w:color="auto" w:fill="FFFFFF"/>
        </w:rPr>
      </w:pPr>
      <w:bookmarkStart w:id="25" w:name="_Toc15377200"/>
      <w:r>
        <w:rPr>
          <w:rFonts w:ascii="仿宋_GB2312" w:eastAsia="仿宋_GB2312" w:cs="仿宋_GB2312"/>
          <w:sz w:val="32"/>
          <w:szCs w:val="32"/>
          <w:shd w:val="clear" w:color="auto" w:fill="FFFFFF"/>
        </w:rPr>
        <w:t>2021年是全乡发展进程中极为困难、充满挑战的一年，也是奋发有为、满载收获的一年。一年来，全乡面临着疫情防控、护林防火、地灾防范等重重困难带来的挑战，始终坚持以习近平新时代中国特色社会主义思想为指引，坚持稳中求进工作总基调,以脱贫攻坚、环境整治、文明创建、党的建设、疫情防控、防汛救灾等重点任务为抓手,重精准、补短板，主动适应社会经济发展新常态,解决了一个又一个发展难题,圆满完成了各项年度目标任务，交出了一份上级认可、社会肯定、群众满意的答卷。</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一、在冲击和危机面前，我们逆势求变、稳中求进，保住了势头、促进了发展</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坚奋进之志、谋创业之策”面临具有极强扩散性的新冠肺炎疫情与多点频发的灾情，为确保全乡经济稳步推进，一年来，按照“目标不减、任务不减、严守实效关、把准质量关”的工作宗旨，不等不靠、主动出击，科学谋划发展大局，围绕经济建设、脱贫攻坚、项目投资、水电移民等重大工作因时因地开展复工复产。</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奏好“振兴曲”，农业发展纵深延续。自乡村振兴战略实施以来，全乡始终坚持党管农村工作、农业农村优先发展，坚持农民主体地位、因地制宜的工作原则，全力推进阿科里乡“面子”、“里子”工程的大提升。以产业振兴为支撑，壮大乡域经济。全面启动阶段性防疫工作，加强动物检疫，强化蹄疫、猪瘟、包虫病等疫病的接诊防治。自厕所改革启动实施以来，各村严格按照改厕标准进行实施。</w:t>
      </w:r>
    </w:p>
    <w:p>
      <w:pPr>
        <w:spacing w:line="578" w:lineRule="exact"/>
        <w:ind w:firstLine="640" w:firstLineChars="200"/>
        <w:rPr>
          <w:rStyle w:val="20"/>
          <w:b w:val="0"/>
          <w:bCs w:val="0"/>
        </w:rPr>
      </w:pPr>
      <w:bookmarkStart w:id="26" w:name="_Toc15978"/>
      <w:r>
        <w:rPr>
          <w:rStyle w:val="20"/>
          <w:rFonts w:hint="eastAsia" w:ascii="黑体" w:eastAsia="黑体"/>
          <w:b w:val="0"/>
          <w:bCs w:val="0"/>
        </w:rPr>
        <w:t>二、机构设置</w:t>
      </w:r>
      <w:bookmarkEnd w:id="25"/>
    </w:p>
    <w:bookmarkEnd w:id="26"/>
    <w:p>
      <w:pPr>
        <w:snapToGrid w:val="0"/>
        <w:spacing w:line="560" w:lineRule="exact"/>
        <w:ind w:firstLine="640" w:firstLineChars="200"/>
        <w:rPr>
          <w:rFonts w:ascii="仿宋_GB2312" w:eastAsia="仿宋_GB2312" w:cs="仿宋_GB2312"/>
          <w:bCs/>
          <w:sz w:val="32"/>
        </w:rPr>
      </w:pPr>
      <w:bookmarkStart w:id="27" w:name="_Toc15377204"/>
      <w:r>
        <w:rPr>
          <w:rFonts w:hint="eastAsia" w:ascii="仿宋_GB2312" w:eastAsia="仿宋_GB2312" w:cs="仿宋_GB2312"/>
          <w:bCs/>
          <w:sz w:val="32"/>
        </w:rPr>
        <w:t>我乡20</w:t>
      </w:r>
      <w:r>
        <w:rPr>
          <w:rFonts w:ascii="仿宋_GB2312" w:eastAsia="仿宋_GB2312" w:cs="仿宋_GB2312"/>
          <w:bCs/>
          <w:sz w:val="32"/>
        </w:rPr>
        <w:t>2</w:t>
      </w:r>
      <w:r>
        <w:rPr>
          <w:rFonts w:hint="eastAsia" w:ascii="仿宋_GB2312" w:eastAsia="仿宋_GB2312" w:cs="仿宋_GB2312"/>
          <w:bCs/>
          <w:sz w:val="32"/>
        </w:rPr>
        <w:t>1年有2个机构，较上年无变动。</w:t>
      </w:r>
      <w:r>
        <w:rPr>
          <w:rFonts w:hint="eastAsia" w:ascii="仿宋_GB2312" w:eastAsia="仿宋_GB2312" w:cs="仿宋_GB2312"/>
          <w:bCs/>
          <w:sz w:val="32"/>
          <w:lang w:val="en-US" w:eastAsia="zh-CN"/>
        </w:rPr>
        <w:t>单位编制数26人，其中：公务员编制14人、行政工勤编制2人、事业编制10人；</w:t>
      </w:r>
      <w:r>
        <w:rPr>
          <w:rFonts w:hint="eastAsia" w:ascii="仿宋_GB2312" w:eastAsia="仿宋_GB2312" w:cs="仿宋_GB2312"/>
          <w:bCs/>
          <w:sz w:val="32"/>
        </w:rPr>
        <w:t>我乡本年度年末实有人数为27人（行政人员15，机关工勤2人，事业人员10人）</w:t>
      </w:r>
      <w:r>
        <w:rPr>
          <w:rFonts w:hint="eastAsia" w:ascii="仿宋_GB2312" w:eastAsia="仿宋_GB2312" w:cs="仿宋_GB2312"/>
          <w:bCs/>
          <w:sz w:val="32"/>
          <w:lang w:eastAsia="zh-CN"/>
        </w:rPr>
        <w:t>，</w:t>
      </w:r>
      <w:r>
        <w:rPr>
          <w:rFonts w:hint="eastAsia" w:ascii="仿宋_GB2312" w:eastAsia="仿宋_GB2312" w:cs="仿宋_GB2312"/>
          <w:bCs/>
          <w:sz w:val="32"/>
        </w:rPr>
        <w:t>比上年行政人员增加1人，事业人员增加4人，由于编制空缺，有人员新进及调进。</w:t>
      </w:r>
    </w:p>
    <w:p>
      <w:pPr>
        <w:snapToGrid w:val="0"/>
        <w:spacing w:line="360" w:lineRule="auto"/>
        <w:ind w:firstLine="640" w:firstLineChars="200"/>
        <w:rPr>
          <w:rFonts w:ascii="仿宋_GB2312" w:eastAsia="仿宋_GB2312"/>
          <w:sz w:val="32"/>
          <w:szCs w:val="32"/>
        </w:rPr>
      </w:pPr>
    </w:p>
    <w:p>
      <w:pPr>
        <w:pStyle w:val="3"/>
        <w:ind w:right="440"/>
        <w:jc w:val="right"/>
      </w:pPr>
      <w:bookmarkStart w:id="28" w:name="_Toc32723"/>
      <w:r>
        <w:rPr>
          <w:rFonts w:hint="eastAsia" w:ascii="黑体" w:eastAsia="黑体"/>
          <w:b w:val="0"/>
          <w:color w:val="000000"/>
        </w:rPr>
        <w:t>第二部分</w:t>
      </w:r>
      <w:r>
        <w:rPr>
          <w:rFonts w:hint="eastAsia" w:ascii="黑体" w:eastAsia="黑体"/>
          <w:color w:val="000000"/>
        </w:rPr>
        <w:t xml:space="preserve"> </w:t>
      </w:r>
      <w:r>
        <w:rPr>
          <w:rStyle w:val="19"/>
          <w:rFonts w:ascii="黑体" w:eastAsia="黑体"/>
          <w:b w:val="0"/>
          <w:bCs w:val="0"/>
        </w:rPr>
        <w:t>202</w:t>
      </w:r>
      <w:r>
        <w:rPr>
          <w:rStyle w:val="19"/>
          <w:rFonts w:hint="eastAsia" w:ascii="黑体" w:eastAsia="黑体"/>
          <w:b w:val="0"/>
          <w:bCs w:val="0"/>
        </w:rPr>
        <w:t>1年度部门决算情况说明</w:t>
      </w:r>
      <w:bookmarkEnd w:id="27"/>
      <w:bookmarkEnd w:id="28"/>
    </w:p>
    <w:p>
      <w:pPr>
        <w:pStyle w:val="26"/>
        <w:numPr>
          <w:ilvl w:val="0"/>
          <w:numId w:val="1"/>
        </w:numPr>
        <w:ind w:left="0" w:firstLine="0" w:firstLineChars="0"/>
        <w:outlineLvl w:val="1"/>
        <w:rPr>
          <w:rStyle w:val="20"/>
          <w:rFonts w:ascii="黑体" w:eastAsia="黑体"/>
          <w:b w:val="0"/>
        </w:rPr>
      </w:pPr>
      <w:bookmarkStart w:id="29" w:name="_Toc14461"/>
      <w:bookmarkStart w:id="30" w:name="_Toc15377205"/>
      <w:r>
        <w:rPr>
          <w:rFonts w:hint="eastAsia" w:ascii="黑体" w:eastAsia="黑体"/>
          <w:color w:val="000000"/>
          <w:sz w:val="32"/>
          <w:szCs w:val="32"/>
        </w:rPr>
        <w:t>收</w:t>
      </w:r>
      <w:r>
        <w:rPr>
          <w:rStyle w:val="20"/>
          <w:rFonts w:hint="eastAsia" w:ascii="黑体" w:eastAsia="黑体"/>
          <w:b w:val="0"/>
        </w:rPr>
        <w:t>入支出决算总体情况说明</w:t>
      </w:r>
      <w:bookmarkEnd w:id="29"/>
      <w:bookmarkEnd w:id="30"/>
    </w:p>
    <w:p>
      <w:pPr>
        <w:snapToGrid w:val="0"/>
        <w:spacing w:line="520" w:lineRule="exact"/>
        <w:ind w:firstLine="632" w:firstLineChars="200"/>
        <w:rPr>
          <w:rFonts w:ascii="仿宋_GB2312" w:eastAsia="仿宋_GB2312"/>
          <w:color w:val="000000"/>
          <w:spacing w:val="-2"/>
          <w:sz w:val="32"/>
          <w:szCs w:val="32"/>
        </w:rPr>
      </w:pPr>
      <w:r>
        <w:rPr>
          <w:rFonts w:ascii="仿宋_GB2312" w:eastAsia="仿宋_GB2312"/>
          <w:color w:val="000000"/>
          <w:spacing w:val="-2"/>
          <w:sz w:val="32"/>
          <w:szCs w:val="32"/>
        </w:rPr>
        <w:t>202</w:t>
      </w:r>
      <w:r>
        <w:rPr>
          <w:rFonts w:hint="eastAsia" w:ascii="仿宋_GB2312" w:eastAsia="仿宋_GB2312"/>
          <w:color w:val="000000"/>
          <w:spacing w:val="-2"/>
          <w:sz w:val="32"/>
          <w:szCs w:val="32"/>
        </w:rPr>
        <w:t>1年度总收入</w:t>
      </w:r>
      <w:r>
        <w:rPr>
          <w:rFonts w:hint="eastAsia" w:ascii="仿宋_GB2312" w:eastAsia="仿宋_GB2312"/>
          <w:color w:val="000000"/>
          <w:sz w:val="32"/>
          <w:szCs w:val="32"/>
          <w:shd w:val="clear" w:color="auto" w:fill="FFFFFF"/>
        </w:rPr>
        <w:t>659.34</w:t>
      </w:r>
      <w:r>
        <w:rPr>
          <w:rFonts w:hint="eastAsia" w:ascii="仿宋_GB2312" w:eastAsia="仿宋_GB2312"/>
          <w:color w:val="000000"/>
          <w:spacing w:val="-2"/>
          <w:sz w:val="32"/>
          <w:szCs w:val="32"/>
        </w:rPr>
        <w:t>万元，较上年收入增加</w:t>
      </w:r>
      <w:r>
        <w:rPr>
          <w:rFonts w:hint="eastAsia" w:ascii="仿宋_GB2312" w:eastAsia="仿宋_GB2312"/>
          <w:color w:val="0000FF"/>
          <w:spacing w:val="-2"/>
          <w:sz w:val="32"/>
          <w:szCs w:val="32"/>
        </w:rPr>
        <w:t>101.57</w:t>
      </w:r>
      <w:r>
        <w:rPr>
          <w:rFonts w:hint="eastAsia" w:ascii="仿宋_GB2312" w:eastAsia="仿宋_GB2312"/>
          <w:color w:val="000000"/>
          <w:spacing w:val="-2"/>
          <w:sz w:val="32"/>
          <w:szCs w:val="32"/>
        </w:rPr>
        <w:t>万元，增加18.21%。增加的主要原因是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rPr>
        <w:t>1年人员增加，工资变动。</w:t>
      </w:r>
    </w:p>
    <w:p>
      <w:pPr>
        <w:snapToGrid w:val="0"/>
        <w:spacing w:line="520" w:lineRule="exact"/>
        <w:ind w:firstLine="632" w:firstLineChars="200"/>
        <w:rPr>
          <w:rFonts w:ascii="仿宋" w:eastAsia="仿宋"/>
          <w:sz w:val="32"/>
          <w:szCs w:val="32"/>
        </w:rPr>
      </w:pPr>
      <w:r>
        <w:rPr>
          <w:rFonts w:ascii="仿宋_GB2312" w:eastAsia="仿宋_GB2312"/>
          <w:spacing w:val="-2"/>
          <w:sz w:val="32"/>
          <w:szCs w:val="32"/>
        </w:rPr>
        <w:t>202</w:t>
      </w:r>
      <w:r>
        <w:rPr>
          <w:rFonts w:hint="eastAsia" w:ascii="仿宋_GB2312" w:eastAsia="仿宋_GB2312"/>
          <w:spacing w:val="-2"/>
          <w:sz w:val="32"/>
          <w:szCs w:val="32"/>
        </w:rPr>
        <w:t>1年总支出671.87万元，较上年支出增加</w:t>
      </w:r>
      <w:r>
        <w:rPr>
          <w:rFonts w:hint="eastAsia" w:ascii="仿宋_GB2312" w:eastAsia="仿宋_GB2312"/>
          <w:color w:val="0000FF"/>
          <w:spacing w:val="-2"/>
          <w:sz w:val="32"/>
          <w:szCs w:val="32"/>
        </w:rPr>
        <w:t>225.95</w:t>
      </w:r>
      <w:r>
        <w:rPr>
          <w:rFonts w:hint="eastAsia" w:ascii="仿宋_GB2312" w:eastAsia="仿宋_GB2312"/>
          <w:spacing w:val="-2"/>
          <w:sz w:val="32"/>
          <w:szCs w:val="32"/>
        </w:rPr>
        <w:t>万元，增加50.67%。主要原因一是当年部门预算安排项目经费较上年有所增加；二是</w:t>
      </w:r>
      <w:r>
        <w:rPr>
          <w:rFonts w:ascii="仿宋_GB2312" w:eastAsia="仿宋_GB2312"/>
          <w:spacing w:val="-2"/>
          <w:sz w:val="32"/>
          <w:szCs w:val="32"/>
        </w:rPr>
        <w:t>202</w:t>
      </w:r>
      <w:r>
        <w:rPr>
          <w:rFonts w:hint="eastAsia" w:ascii="仿宋_GB2312" w:eastAsia="仿宋_GB2312"/>
          <w:spacing w:val="-2"/>
          <w:sz w:val="32"/>
          <w:szCs w:val="32"/>
        </w:rPr>
        <w:t>1年人员增加经费支出增加。</w:t>
      </w:r>
    </w:p>
    <w:p>
      <w:pPr>
        <w:spacing w:line="600" w:lineRule="exact"/>
        <w:ind w:firstLine="640" w:firstLineChars="200"/>
        <w:rPr>
          <w:rStyle w:val="20"/>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308610</wp:posOffset>
            </wp:positionH>
            <wp:positionV relativeFrom="paragraph">
              <wp:posOffset>45720</wp:posOffset>
            </wp:positionV>
            <wp:extent cx="5080000" cy="2582545"/>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31" w:name="_Toc15377206"/>
      <w:r>
        <w:rPr>
          <w:rFonts w:hint="eastAsia" w:ascii="黑体" w:eastAsia="黑体"/>
          <w:color w:val="000000"/>
          <w:sz w:val="32"/>
          <w:szCs w:val="32"/>
        </w:rPr>
        <w:t>二、收入决</w:t>
      </w:r>
      <w:r>
        <w:rPr>
          <w:rStyle w:val="20"/>
          <w:rFonts w:hint="eastAsia" w:ascii="黑体" w:eastAsia="黑体"/>
          <w:b w:val="0"/>
        </w:rPr>
        <w:t>算情况说明</w:t>
      </w:r>
      <w:bookmarkEnd w:id="31"/>
    </w:p>
    <w:p>
      <w:pPr>
        <w:spacing w:line="600" w:lineRule="exact"/>
        <w:ind w:firstLine="640" w:firstLineChars="200"/>
        <w:outlineLvl w:val="1"/>
        <w:rPr>
          <w:rFonts w:ascii="仿宋" w:eastAsia="仿宋"/>
          <w:color w:val="000000"/>
          <w:sz w:val="32"/>
          <w:szCs w:val="32"/>
        </w:rPr>
      </w:pPr>
      <w:bookmarkStart w:id="32" w:name="_Toc22912"/>
      <w:r>
        <w:rPr>
          <w:rFonts w:ascii="仿宋" w:eastAsia="仿宋"/>
          <w:color w:val="000000"/>
          <w:sz w:val="32"/>
          <w:szCs w:val="32"/>
        </w:rPr>
        <w:t>202</w:t>
      </w:r>
      <w:r>
        <w:rPr>
          <w:rFonts w:hint="eastAsia" w:ascii="仿宋" w:eastAsia="仿宋"/>
          <w:color w:val="000000"/>
          <w:sz w:val="32"/>
          <w:szCs w:val="32"/>
        </w:rPr>
        <w:t>1年总收入</w:t>
      </w:r>
      <w:r>
        <w:rPr>
          <w:rFonts w:hint="eastAsia" w:ascii="仿宋_GB2312" w:eastAsia="仿宋_GB2312"/>
          <w:color w:val="000000"/>
          <w:sz w:val="32"/>
          <w:szCs w:val="32"/>
          <w:shd w:val="clear" w:color="auto" w:fill="FFFFFF"/>
        </w:rPr>
        <w:t>659.34</w:t>
      </w:r>
      <w:r>
        <w:rPr>
          <w:rFonts w:hint="eastAsia" w:ascii="仿宋" w:eastAsia="仿宋"/>
          <w:color w:val="000000"/>
          <w:sz w:val="32"/>
          <w:szCs w:val="32"/>
        </w:rPr>
        <w:t>万元，其中：一般公共预算财政拨款收入</w:t>
      </w:r>
      <w:r>
        <w:rPr>
          <w:rFonts w:hint="eastAsia" w:ascii="仿宋_GB2312" w:eastAsia="仿宋_GB2312"/>
          <w:color w:val="000000"/>
          <w:sz w:val="32"/>
          <w:szCs w:val="32"/>
          <w:shd w:val="clear" w:color="auto" w:fill="FFFFFF"/>
        </w:rPr>
        <w:t>582.70</w:t>
      </w:r>
      <w:r>
        <w:rPr>
          <w:rFonts w:hint="eastAsia" w:ascii="仿宋" w:eastAsia="仿宋"/>
          <w:color w:val="000000"/>
          <w:sz w:val="32"/>
          <w:szCs w:val="32"/>
        </w:rPr>
        <w:t>万元，占88.38</w:t>
      </w:r>
      <w:r>
        <w:rPr>
          <w:rFonts w:ascii="仿宋" w:eastAsia="仿宋"/>
          <w:color w:val="000000"/>
          <w:sz w:val="32"/>
          <w:szCs w:val="32"/>
        </w:rPr>
        <w:t>%</w:t>
      </w:r>
      <w:r>
        <w:rPr>
          <w:rFonts w:hint="eastAsia" w:ascii="仿宋" w:eastAsia="仿宋"/>
          <w:color w:val="000000"/>
          <w:sz w:val="32"/>
          <w:szCs w:val="32"/>
        </w:rPr>
        <w:t>；政府性基金预算财政拨款收入76.64万元，占11.62</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End w:id="32"/>
    </w:p>
    <w:p>
      <w:pPr>
        <w:spacing w:line="600" w:lineRule="exact"/>
        <w:ind w:firstLine="640" w:firstLineChars="200"/>
        <w:outlineLvl w:val="1"/>
        <w:rPr>
          <w:rStyle w:val="20"/>
          <w:rFonts w:ascii="黑体" w:eastAsia="黑体"/>
          <w:b w:val="0"/>
        </w:rPr>
      </w:pPr>
      <w:bookmarkStart w:id="33" w:name="_Toc4194"/>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168910</wp:posOffset>
            </wp:positionH>
            <wp:positionV relativeFrom="paragraph">
              <wp:posOffset>-9290685</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34" w:name="_Toc15377207"/>
      <w:r>
        <w:rPr>
          <w:rFonts w:hint="eastAsia" w:ascii="黑体" w:eastAsia="黑体"/>
          <w:color w:val="000000"/>
          <w:sz w:val="32"/>
          <w:szCs w:val="32"/>
        </w:rPr>
        <w:t>三、支出决</w:t>
      </w:r>
      <w:r>
        <w:rPr>
          <w:rStyle w:val="20"/>
          <w:rFonts w:hint="eastAsia" w:ascii="黑体" w:eastAsia="黑体"/>
          <w:b w:val="0"/>
        </w:rPr>
        <w:t>算情况说明</w:t>
      </w:r>
      <w:bookmarkEnd w:id="33"/>
      <w:bookmarkEnd w:id="34"/>
    </w:p>
    <w:p>
      <w:pPr>
        <w:spacing w:line="600" w:lineRule="exact"/>
        <w:ind w:firstLine="640"/>
        <w:rPr>
          <w:rFonts w:ascii="仿宋" w:eastAsia="仿宋"/>
          <w:color w:val="000000"/>
          <w:sz w:val="32"/>
          <w:szCs w:val="32"/>
        </w:rPr>
      </w:pPr>
      <w:r>
        <w:rPr>
          <w:rFonts w:hint="eastAsia" w:ascii="仿宋" w:eastAsia="仿宋"/>
          <w:color w:val="000000"/>
          <w:sz w:val="32"/>
          <w:szCs w:val="32"/>
        </w:rPr>
        <w:t>2021年本年总支出</w:t>
      </w:r>
      <w:r>
        <w:rPr>
          <w:rFonts w:hint="eastAsia" w:ascii="仿宋_GB2312" w:eastAsia="仿宋_GB2312"/>
          <w:spacing w:val="-2"/>
          <w:sz w:val="32"/>
          <w:szCs w:val="32"/>
        </w:rPr>
        <w:t>671.87</w:t>
      </w:r>
      <w:r>
        <w:rPr>
          <w:rFonts w:hint="eastAsia" w:ascii="仿宋" w:eastAsia="仿宋"/>
          <w:color w:val="000000"/>
          <w:sz w:val="32"/>
          <w:szCs w:val="32"/>
        </w:rPr>
        <w:t>万元，其中：基本支出466.97万元，占69.50%；项目支出204.90万元，占30.50%。</w:t>
      </w:r>
    </w:p>
    <w:p>
      <w:pPr>
        <w:pStyle w:val="2"/>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-167005</wp:posOffset>
            </wp:positionH>
            <wp:positionV relativeFrom="paragraph">
              <wp:posOffset>493395</wp:posOffset>
            </wp:positionV>
            <wp:extent cx="5373370" cy="2648585"/>
            <wp:effectExtent l="0" t="0" r="0" b="0"/>
            <wp:wrapTopAndBottom/>
            <wp:docPr id="3"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20"/>
          <w:rFonts w:ascii="黑体" w:eastAsia="黑体"/>
          <w:b w:val="0"/>
        </w:rPr>
      </w:pPr>
      <w:bookmarkStart w:id="35" w:name="_Toc15377208"/>
      <w:bookmarkStart w:id="36" w:name="_Toc27948"/>
      <w:r>
        <w:rPr>
          <w:rFonts w:hint="eastAsia" w:ascii="黑体" w:eastAsia="黑体"/>
          <w:color w:val="000000"/>
          <w:sz w:val="32"/>
          <w:szCs w:val="32"/>
        </w:rPr>
        <w:t>四、财</w:t>
      </w:r>
      <w:r>
        <w:rPr>
          <w:rStyle w:val="20"/>
          <w:rFonts w:hint="eastAsia" w:ascii="黑体" w:eastAsia="黑体"/>
          <w:b w:val="0"/>
        </w:rPr>
        <w:t>政拨款收入支出决算总体情况说明</w:t>
      </w:r>
      <w:bookmarkEnd w:id="35"/>
      <w:bookmarkEnd w:id="36"/>
    </w:p>
    <w:p>
      <w:pPr>
        <w:snapToGrid w:val="0"/>
        <w:spacing w:line="520" w:lineRule="exact"/>
        <w:ind w:firstLine="640" w:firstLineChars="200"/>
        <w:rPr>
          <w:rFonts w:ascii="仿宋_GB2312" w:eastAsia="仿宋_GB2312"/>
          <w:color w:val="000000"/>
          <w:spacing w:val="-2"/>
          <w:sz w:val="32"/>
          <w:szCs w:val="32"/>
        </w:rPr>
      </w:pPr>
      <w:r>
        <w:rPr>
          <w:rFonts w:ascii="仿宋" w:eastAsia="仿宋"/>
          <w:color w:val="000000"/>
          <w:sz w:val="32"/>
          <w:szCs w:val="32"/>
        </w:rPr>
        <w:t>202</w:t>
      </w:r>
      <w:r>
        <w:rPr>
          <w:rFonts w:hint="eastAsia" w:ascii="仿宋" w:eastAsia="仿宋"/>
          <w:color w:val="000000"/>
          <w:sz w:val="32"/>
          <w:szCs w:val="32"/>
        </w:rPr>
        <w:t>1年财政拨款收入</w:t>
      </w:r>
      <w:r>
        <w:rPr>
          <w:rFonts w:hint="eastAsia" w:ascii="仿宋_GB2312" w:eastAsia="仿宋_GB2312"/>
          <w:color w:val="000000"/>
          <w:sz w:val="32"/>
          <w:szCs w:val="32"/>
          <w:shd w:val="clear" w:color="auto" w:fill="FFFFFF"/>
        </w:rPr>
        <w:t>659.34</w:t>
      </w:r>
      <w:r>
        <w:rPr>
          <w:rFonts w:hint="eastAsia" w:ascii="仿宋" w:eastAsia="仿宋"/>
          <w:color w:val="000000"/>
          <w:sz w:val="32"/>
          <w:szCs w:val="32"/>
        </w:rPr>
        <w:t>万元。与2020年相比，一般公共预算财政拨款收入</w:t>
      </w:r>
      <w:r>
        <w:rPr>
          <w:rFonts w:hint="eastAsia" w:ascii="仿宋_GB2312" w:eastAsia="仿宋_GB2312"/>
          <w:color w:val="000000"/>
          <w:spacing w:val="-2"/>
          <w:sz w:val="32"/>
          <w:szCs w:val="32"/>
        </w:rPr>
        <w:t>较上年收入增加</w:t>
      </w:r>
      <w:r>
        <w:rPr>
          <w:rFonts w:hint="eastAsia" w:ascii="仿宋_GB2312" w:eastAsia="仿宋_GB2312"/>
          <w:color w:val="0000FF"/>
          <w:spacing w:val="-2"/>
          <w:sz w:val="32"/>
          <w:szCs w:val="32"/>
        </w:rPr>
        <w:t>101.57</w:t>
      </w:r>
      <w:r>
        <w:rPr>
          <w:rFonts w:hint="eastAsia" w:ascii="仿宋_GB2312" w:eastAsia="仿宋_GB2312"/>
          <w:color w:val="000000"/>
          <w:spacing w:val="-2"/>
          <w:sz w:val="32"/>
          <w:szCs w:val="32"/>
        </w:rPr>
        <w:t>万元</w:t>
      </w:r>
      <w:r>
        <w:rPr>
          <w:rFonts w:hint="eastAsia" w:ascii="仿宋" w:eastAsia="仿宋"/>
          <w:color w:val="000000"/>
          <w:sz w:val="32"/>
          <w:szCs w:val="32"/>
        </w:rPr>
        <w:t>，</w:t>
      </w:r>
      <w:r>
        <w:rPr>
          <w:rFonts w:hint="eastAsia" w:ascii="仿宋_GB2312" w:eastAsia="仿宋_GB2312"/>
          <w:color w:val="000000"/>
          <w:spacing w:val="-2"/>
          <w:sz w:val="32"/>
          <w:szCs w:val="32"/>
        </w:rPr>
        <w:t>增加18.21%。增加的主要原因是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rPr>
        <w:t>1年人员增加，工资变动。</w:t>
      </w:r>
    </w:p>
    <w:p>
      <w:pPr>
        <w:spacing w:line="600" w:lineRule="exact"/>
        <w:ind w:firstLine="632" w:firstLineChars="200"/>
        <w:rPr>
          <w:rFonts w:ascii="仿宋_GB2312" w:eastAsia="仿宋_GB2312"/>
          <w:spacing w:val="-2"/>
          <w:sz w:val="32"/>
          <w:szCs w:val="32"/>
        </w:rPr>
      </w:pPr>
      <w:r>
        <w:rPr>
          <w:rFonts w:hint="eastAsia" w:ascii="仿宋_GB2312" w:eastAsia="仿宋_GB2312"/>
          <w:spacing w:val="-2"/>
          <w:sz w:val="32"/>
          <w:szCs w:val="32"/>
        </w:rPr>
        <w:t>2021年支出671.87万元，较上年支出增加</w:t>
      </w:r>
      <w:r>
        <w:rPr>
          <w:rFonts w:hint="eastAsia" w:ascii="仿宋_GB2312" w:eastAsia="仿宋_GB2312"/>
          <w:color w:val="0000FF"/>
          <w:spacing w:val="-2"/>
          <w:sz w:val="32"/>
          <w:szCs w:val="32"/>
        </w:rPr>
        <w:t>225.95</w:t>
      </w:r>
      <w:r>
        <w:rPr>
          <w:rFonts w:hint="eastAsia" w:ascii="仿宋_GB2312" w:eastAsia="仿宋_GB2312"/>
          <w:spacing w:val="-2"/>
          <w:sz w:val="32"/>
          <w:szCs w:val="32"/>
        </w:rPr>
        <w:t>万元，增加50.67%。主要原因一是当年部门预算安排项目经费较上年有所增加；二是</w:t>
      </w:r>
      <w:r>
        <w:rPr>
          <w:rFonts w:ascii="仿宋_GB2312" w:eastAsia="仿宋_GB2312"/>
          <w:spacing w:val="-2"/>
          <w:sz w:val="32"/>
          <w:szCs w:val="32"/>
        </w:rPr>
        <w:t>202</w:t>
      </w:r>
      <w:r>
        <w:rPr>
          <w:rFonts w:hint="eastAsia" w:ascii="仿宋_GB2312" w:eastAsia="仿宋_GB2312"/>
          <w:spacing w:val="-2"/>
          <w:sz w:val="32"/>
          <w:szCs w:val="32"/>
        </w:rPr>
        <w:t>1年人员增加经费支出增加。</w:t>
      </w:r>
    </w:p>
    <w:p>
      <w:pPr>
        <w:spacing w:line="600" w:lineRule="exact"/>
        <w:ind w:firstLine="640" w:firstLineChars="200"/>
        <w:rPr>
          <w:rStyle w:val="20"/>
          <w:rFonts w:ascii="黑体" w:eastAsia="黑体"/>
          <w:b w:val="0"/>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7" w:name="_Toc15377209"/>
      <w:r>
        <w:rPr>
          <w:rFonts w:hint="eastAsia" w:ascii="黑体" w:eastAsia="黑体"/>
          <w:color w:val="000000"/>
          <w:sz w:val="32"/>
          <w:szCs w:val="32"/>
        </w:rPr>
        <w:t>五、</w:t>
      </w:r>
      <w:r>
        <w:rPr>
          <w:rFonts w:hint="eastAsia" w:ascii="黑体" w:eastAsia="黑体"/>
          <w:b/>
          <w:color w:val="000000"/>
          <w:sz w:val="32"/>
          <w:szCs w:val="32"/>
        </w:rPr>
        <w:t>一</w:t>
      </w:r>
      <w:r>
        <w:rPr>
          <w:rStyle w:val="20"/>
          <w:rFonts w:hint="eastAsia" w:ascii="黑体" w:eastAsia="黑体"/>
          <w:b w:val="0"/>
        </w:rPr>
        <w:t>般公共预算财政拨款支出决算情况说明</w:t>
      </w:r>
      <w:bookmarkEnd w:id="37"/>
    </w:p>
    <w:p>
      <w:pPr>
        <w:spacing w:line="600" w:lineRule="exact"/>
        <w:ind w:firstLine="642" w:firstLineChars="200"/>
        <w:outlineLvl w:val="2"/>
        <w:rPr>
          <w:rFonts w:ascii="仿宋" w:eastAsia="仿宋"/>
          <w:b/>
          <w:color w:val="000000"/>
          <w:sz w:val="32"/>
          <w:szCs w:val="32"/>
        </w:rPr>
      </w:pPr>
      <w:bookmarkStart w:id="38" w:name="_Toc15377210"/>
      <w:r>
        <w:rPr>
          <w:rFonts w:hint="eastAsia" w:ascii="仿宋" w:eastAsia="仿宋"/>
          <w:b/>
          <w:color w:val="000000"/>
          <w:sz w:val="32"/>
          <w:szCs w:val="32"/>
        </w:rPr>
        <w:t>（一）一般公共预算财政拨款支出决算总体情况</w:t>
      </w:r>
      <w:bookmarkEnd w:id="38"/>
    </w:p>
    <w:p>
      <w:pPr>
        <w:spacing w:line="600" w:lineRule="exact"/>
        <w:ind w:firstLine="640" w:firstLineChars="200"/>
        <w:rPr>
          <w:rFonts w:ascii="仿宋_GB2312" w:eastAsia="仿宋_GB2312"/>
          <w:spacing w:val="-2"/>
          <w:sz w:val="32"/>
          <w:szCs w:val="32"/>
        </w:rPr>
      </w:pPr>
      <w:r>
        <w:rPr>
          <w:rFonts w:ascii="仿宋" w:eastAsia="仿宋"/>
          <w:color w:val="000000"/>
          <w:sz w:val="32"/>
          <w:szCs w:val="32"/>
        </w:rPr>
        <w:t>202</w:t>
      </w:r>
      <w:r>
        <w:rPr>
          <w:rFonts w:hint="eastAsia" w:ascii="仿宋" w:eastAsia="仿宋"/>
          <w:color w:val="000000"/>
          <w:sz w:val="32"/>
          <w:szCs w:val="32"/>
        </w:rPr>
        <w:t>1年</w:t>
      </w:r>
      <w:r>
        <w:rPr>
          <w:rFonts w:hint="eastAsia" w:ascii="仿宋_GB2312" w:eastAsia="仿宋_GB2312"/>
          <w:spacing w:val="-2"/>
          <w:sz w:val="32"/>
          <w:szCs w:val="32"/>
        </w:rPr>
        <w:t>一般公共预算财政拨款支出671.87万元，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。与2020年相比，一般公共预算财政拨款</w:t>
      </w:r>
      <w:r>
        <w:rPr>
          <w:rFonts w:hint="eastAsia" w:ascii="仿宋_GB2312" w:eastAsia="仿宋_GB2312"/>
          <w:spacing w:val="-2"/>
          <w:sz w:val="32"/>
          <w:szCs w:val="32"/>
        </w:rPr>
        <w:t>支出较上年支出增加</w:t>
      </w:r>
      <w:r>
        <w:rPr>
          <w:rFonts w:hint="eastAsia" w:ascii="仿宋_GB2312" w:eastAsia="仿宋_GB2312"/>
          <w:color w:val="0000FF"/>
          <w:spacing w:val="-2"/>
          <w:sz w:val="32"/>
          <w:szCs w:val="32"/>
        </w:rPr>
        <w:t>225.95</w:t>
      </w:r>
      <w:r>
        <w:rPr>
          <w:rFonts w:hint="eastAsia" w:ascii="仿宋_GB2312" w:eastAsia="仿宋_GB2312"/>
          <w:spacing w:val="-2"/>
          <w:sz w:val="32"/>
          <w:szCs w:val="32"/>
        </w:rPr>
        <w:t>万元，增加50.67%。主要原因一是当年部门预算安排项目经费较上年有所增加；二是</w:t>
      </w:r>
      <w:r>
        <w:rPr>
          <w:rFonts w:ascii="仿宋_GB2312" w:eastAsia="仿宋_GB2312"/>
          <w:spacing w:val="-2"/>
          <w:sz w:val="32"/>
          <w:szCs w:val="32"/>
        </w:rPr>
        <w:t>202</w:t>
      </w:r>
      <w:r>
        <w:rPr>
          <w:rFonts w:hint="eastAsia" w:ascii="仿宋_GB2312" w:eastAsia="仿宋_GB2312"/>
          <w:spacing w:val="-2"/>
          <w:sz w:val="32"/>
          <w:szCs w:val="32"/>
        </w:rPr>
        <w:t>1年人员增加经费支出增加。</w:t>
      </w:r>
    </w:p>
    <w:p>
      <w:pPr>
        <w:numPr>
          <w:ilvl w:val="0"/>
          <w:numId w:val="2"/>
        </w:numPr>
        <w:spacing w:line="600" w:lineRule="exact"/>
        <w:ind w:left="0" w:firstLine="642" w:firstLineChars="200"/>
        <w:outlineLvl w:val="2"/>
        <w:rPr>
          <w:rFonts w:ascii="仿宋" w:eastAsia="仿宋"/>
          <w:b/>
          <w:color w:val="000000"/>
          <w:sz w:val="32"/>
          <w:szCs w:val="32"/>
        </w:rPr>
      </w:pPr>
      <w:bookmarkStart w:id="39" w:name="_Toc15377211"/>
      <w:r>
        <w:rPr>
          <w:rFonts w:hint="eastAsia" w:ascii="仿宋" w:eastAsia="仿宋"/>
          <w:b/>
          <w:color w:val="000000"/>
          <w:sz w:val="32"/>
          <w:szCs w:val="32"/>
        </w:rPr>
        <w:t>一般公共预算财政拨款支出决算结构情况</w:t>
      </w:r>
      <w:bookmarkEnd w:id="39"/>
    </w:p>
    <w:p>
      <w:pPr>
        <w:spacing w:line="600" w:lineRule="exact"/>
        <w:ind w:firstLine="640" w:firstLineChars="200"/>
        <w:outlineLvl w:val="2"/>
        <w:rPr>
          <w:rFonts w:ascii="仿宋" w:eastAsia="仿宋"/>
          <w:bCs/>
          <w:color w:val="000000"/>
          <w:sz w:val="32"/>
          <w:szCs w:val="32"/>
        </w:rPr>
      </w:pPr>
      <w:r>
        <w:rPr>
          <w:rFonts w:ascii="仿宋" w:eastAsia="仿宋"/>
          <w:bCs/>
          <w:color w:val="000000"/>
          <w:sz w:val="32"/>
          <w:szCs w:val="32"/>
        </w:rPr>
        <w:t>202</w:t>
      </w:r>
      <w:r>
        <w:rPr>
          <w:rFonts w:hint="eastAsia" w:ascii="仿宋" w:eastAsia="仿宋"/>
          <w:bCs/>
          <w:color w:val="000000"/>
          <w:sz w:val="32"/>
          <w:szCs w:val="32"/>
        </w:rPr>
        <w:t>1年</w:t>
      </w:r>
      <w:r>
        <w:rPr>
          <w:rFonts w:hint="eastAsia" w:ascii="仿宋" w:eastAsia="仿宋"/>
          <w:color w:val="000000"/>
          <w:sz w:val="32"/>
          <w:szCs w:val="32"/>
        </w:rPr>
        <w:t>一般公共预算财政拨款收入</w:t>
      </w:r>
      <w:r>
        <w:rPr>
          <w:rFonts w:hint="eastAsia" w:ascii="仿宋_GB2312" w:eastAsia="仿宋_GB2312"/>
          <w:color w:val="000000"/>
          <w:sz w:val="32"/>
          <w:szCs w:val="32"/>
          <w:shd w:val="clear" w:color="auto" w:fill="FFFFFF"/>
        </w:rPr>
        <w:t>582.70</w:t>
      </w:r>
      <w:r>
        <w:rPr>
          <w:rFonts w:hint="eastAsia" w:ascii="仿宋" w:eastAsia="仿宋"/>
          <w:color w:val="000000"/>
          <w:sz w:val="32"/>
          <w:szCs w:val="32"/>
        </w:rPr>
        <w:t>万元；政府性基金预算财政拨款收入76.64万元</w:t>
      </w:r>
      <w:r>
        <w:rPr>
          <w:rFonts w:hint="eastAsia" w:ascii="仿宋" w:eastAsia="仿宋"/>
          <w:bCs/>
          <w:color w:val="000000"/>
          <w:sz w:val="32"/>
          <w:szCs w:val="32"/>
        </w:rPr>
        <w:t>。其中：一般公共服务支出为279.64万元，占比41.62%；社会保障和就业支出为76.95万元，占比11.45%；卫生健康支出为21.54万元，占比3.21%；城乡社区支出76.64万元，占比11.41%；农林水支出为161.77万元，占比24.08%；灾害防治及应急管理支出7万元，占比1.04%；住房保障支出为35.69万元，占比5.31%；其他支出为12.63万元，占比1.88%。</w:t>
      </w:r>
    </w:p>
    <w:p>
      <w:pPr>
        <w:pStyle w:val="2"/>
        <w:rPr>
          <w:rFonts w:ascii="仿宋" w:eastAsia="仿宋"/>
          <w:bCs/>
          <w:color w:val="000000"/>
          <w:sz w:val="32"/>
          <w:szCs w:val="32"/>
        </w:rPr>
      </w:pPr>
      <w:r>
        <w:rPr>
          <w:rFonts w:hint="eastAsia" w:ascii="仿宋" w:eastAsia="仿宋"/>
          <w:bCs/>
          <w:color w:val="000000"/>
          <w:sz w:val="32"/>
          <w:szCs w:val="32"/>
        </w:rPr>
        <w:drawing>
          <wp:inline distT="0" distB="0" distL="114300" distR="114300">
            <wp:extent cx="5079365" cy="3810000"/>
            <wp:effectExtent l="0" t="0" r="0" b="0"/>
            <wp:docPr id="5"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outlineLvl w:val="2"/>
        <w:rPr>
          <w:rFonts w:ascii="仿宋" w:eastAsia="仿宋"/>
          <w:b/>
          <w:color w:val="000000"/>
          <w:sz w:val="32"/>
          <w:szCs w:val="32"/>
        </w:rPr>
      </w:pPr>
      <w:bookmarkStart w:id="40" w:name="_Toc15377213"/>
      <w:bookmarkStart w:id="41" w:name="_Toc15378460"/>
      <w:bookmarkStart w:id="42" w:name="_Toc15377444"/>
    </w:p>
    <w:p>
      <w:pPr>
        <w:spacing w:line="600" w:lineRule="exact"/>
        <w:ind w:firstLine="642" w:firstLineChars="200"/>
        <w:outlineLvl w:val="2"/>
        <w:rPr>
          <w:rFonts w:ascii="仿宋" w:eastAsia="仿宋"/>
          <w:b/>
          <w:color w:val="000000"/>
          <w:sz w:val="32"/>
          <w:szCs w:val="32"/>
        </w:rPr>
      </w:pPr>
      <w:bookmarkStart w:id="43" w:name="_Toc15377212"/>
      <w:r>
        <w:rPr>
          <w:rFonts w:hint="eastAsia" w:ascii="仿宋" w:eastAsia="仿宋"/>
          <w:b/>
          <w:color w:val="000000"/>
          <w:sz w:val="32"/>
          <w:szCs w:val="32"/>
        </w:rPr>
        <w:t>（三）一般公共预算财政拨款支出决算具体情况</w:t>
      </w:r>
      <w:bookmarkEnd w:id="43"/>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w:t>
      </w:r>
      <w:r>
        <w:rPr>
          <w:rFonts w:ascii="仿宋" w:eastAsia="仿宋"/>
          <w:bCs/>
          <w:color w:val="000000"/>
          <w:sz w:val="32"/>
          <w:szCs w:val="32"/>
        </w:rPr>
        <w:t>202</w:t>
      </w:r>
      <w:r>
        <w:rPr>
          <w:rFonts w:hint="eastAsia" w:ascii="仿宋" w:eastAsia="仿宋"/>
          <w:bCs/>
          <w:color w:val="000000"/>
          <w:sz w:val="32"/>
          <w:szCs w:val="32"/>
        </w:rPr>
        <w:t>1年一般公共预算数为396.37万元，支出决算数为</w:t>
      </w:r>
      <w:r>
        <w:rPr>
          <w:rFonts w:hint="eastAsia" w:ascii="仿宋_GB2312" w:eastAsia="仿宋_GB2312"/>
          <w:spacing w:val="-2"/>
          <w:sz w:val="32"/>
          <w:szCs w:val="32"/>
        </w:rPr>
        <w:t>671.87</w:t>
      </w:r>
      <w:r>
        <w:rPr>
          <w:rFonts w:hint="eastAsia" w:ascii="仿宋" w:eastAsia="仿宋"/>
          <w:bCs/>
          <w:color w:val="000000"/>
          <w:sz w:val="32"/>
          <w:szCs w:val="32"/>
        </w:rPr>
        <w:t>万元，完</w:t>
      </w:r>
      <w:r>
        <w:rPr>
          <w:rStyle w:val="17"/>
          <w:rFonts w:hint="eastAsia" w:ascii="仿宋" w:eastAsia="仿宋"/>
          <w:b w:val="0"/>
          <w:bCs/>
          <w:color w:val="000000"/>
          <w:sz w:val="32"/>
          <w:szCs w:val="32"/>
        </w:rPr>
        <w:t>成预算169.51</w:t>
      </w:r>
      <w:r>
        <w:rPr>
          <w:rStyle w:val="17"/>
          <w:rFonts w:ascii="仿宋" w:eastAsia="仿宋"/>
          <w:b w:val="0"/>
          <w:bCs/>
          <w:color w:val="000000"/>
          <w:sz w:val="32"/>
          <w:szCs w:val="32"/>
        </w:rPr>
        <w:t>%</w:t>
      </w:r>
      <w:r>
        <w:rPr>
          <w:rStyle w:val="17"/>
          <w:rFonts w:hint="eastAsia" w:ascii="仿宋" w:eastAsia="仿宋"/>
          <w:b w:val="0"/>
          <w:bCs/>
          <w:color w:val="000000"/>
          <w:sz w:val="32"/>
          <w:szCs w:val="32"/>
        </w:rPr>
        <w:t>，其中：</w:t>
      </w:r>
      <w:bookmarkEnd w:id="40"/>
      <w:bookmarkEnd w:id="41"/>
      <w:bookmarkEnd w:id="42"/>
    </w:p>
    <w:p>
      <w:pPr>
        <w:spacing w:line="600" w:lineRule="exact"/>
        <w:ind w:firstLine="642" w:firstLineChars="200"/>
        <w:rPr>
          <w:rStyle w:val="17"/>
          <w:rFonts w:ascii="仿宋" w:eastAsia="仿宋"/>
          <w:b w:val="0"/>
          <w:bCs/>
          <w:color w:val="000000"/>
          <w:sz w:val="32"/>
          <w:szCs w:val="32"/>
        </w:rPr>
      </w:pPr>
      <w:bookmarkStart w:id="44" w:name="_Toc15377214"/>
      <w:r>
        <w:rPr>
          <w:rStyle w:val="17"/>
          <w:rFonts w:hint="eastAsia" w:ascii="仿宋" w:eastAsia="仿宋"/>
          <w:bCs/>
          <w:color w:val="000000"/>
          <w:sz w:val="32"/>
          <w:szCs w:val="32"/>
        </w:rPr>
        <w:t>1.一般公共服务（类）政府办公厅（室）及相关机构事务（款）行政运行（项）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支出决算为228.90万元，完成预算100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2" w:firstLineChars="200"/>
        <w:rPr>
          <w:rStyle w:val="17"/>
          <w:rFonts w:ascii="仿宋" w:eastAsia="仿宋"/>
          <w:b w:val="0"/>
          <w:bCs/>
          <w:color w:val="000000"/>
          <w:sz w:val="32"/>
          <w:szCs w:val="32"/>
        </w:rPr>
      </w:pPr>
      <w:r>
        <w:rPr>
          <w:rStyle w:val="17"/>
          <w:rFonts w:ascii="仿宋" w:eastAsia="仿宋"/>
          <w:bCs/>
          <w:color w:val="000000"/>
          <w:sz w:val="32"/>
          <w:szCs w:val="32"/>
        </w:rPr>
        <w:t>2.</w:t>
      </w:r>
      <w:r>
        <w:rPr>
          <w:rStyle w:val="17"/>
          <w:rFonts w:hint="eastAsia" w:ascii="仿宋" w:eastAsia="仿宋"/>
          <w:bCs/>
          <w:color w:val="000000"/>
          <w:sz w:val="32"/>
          <w:szCs w:val="32"/>
        </w:rPr>
        <w:t>一般公共服务（类）党委办公室（室）及相关机构事务（款）一般行政管理事务（项）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支出决算为38.62万元，完成预算100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pPr>
        <w:spacing w:line="600" w:lineRule="exact"/>
        <w:ind w:firstLine="642" w:firstLineChars="200"/>
        <w:rPr>
          <w:rStyle w:val="17"/>
          <w:rFonts w:ascii="仿宋" w:eastAsia="仿宋"/>
          <w:b w:val="0"/>
          <w:bCs/>
          <w:color w:val="000000"/>
          <w:sz w:val="32"/>
          <w:szCs w:val="32"/>
        </w:rPr>
      </w:pPr>
      <w:r>
        <w:rPr>
          <w:rStyle w:val="17"/>
          <w:rFonts w:hint="eastAsia" w:ascii="仿宋" w:eastAsia="仿宋"/>
          <w:bCs/>
          <w:color w:val="000000"/>
          <w:sz w:val="32"/>
          <w:szCs w:val="32"/>
        </w:rPr>
        <w:t>3.一般公共服务（类）人大事务（款）一般行政管理事务（项）:</w:t>
      </w:r>
      <w:r>
        <w:rPr>
          <w:rStyle w:val="17"/>
          <w:rFonts w:hint="eastAsia" w:ascii="仿宋" w:eastAsia="仿宋"/>
          <w:b w:val="0"/>
          <w:bCs/>
          <w:color w:val="000000"/>
          <w:sz w:val="32"/>
          <w:szCs w:val="32"/>
        </w:rPr>
        <w:t>支出决算为12.03万元，完成预算100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pPr>
        <w:spacing w:line="600" w:lineRule="exact"/>
        <w:ind w:firstLine="642" w:firstLineChars="200"/>
        <w:rPr>
          <w:rStyle w:val="17"/>
          <w:rFonts w:ascii="仿宋" w:eastAsia="仿宋"/>
          <w:b w:val="0"/>
          <w:bCs/>
          <w:color w:val="000000"/>
          <w:sz w:val="32"/>
          <w:szCs w:val="32"/>
        </w:rPr>
      </w:pPr>
      <w:r>
        <w:rPr>
          <w:rStyle w:val="17"/>
          <w:rFonts w:hint="eastAsia" w:ascii="仿宋" w:eastAsia="仿宋"/>
          <w:bCs/>
          <w:color w:val="000000"/>
          <w:sz w:val="32"/>
          <w:szCs w:val="32"/>
        </w:rPr>
        <w:t>4.一般公共服务（类）人大事务（款）人大会议（项）:</w:t>
      </w:r>
      <w:r>
        <w:rPr>
          <w:rStyle w:val="17"/>
          <w:rFonts w:hint="eastAsia" w:ascii="仿宋" w:eastAsia="仿宋"/>
          <w:b w:val="0"/>
          <w:bCs/>
          <w:color w:val="000000"/>
          <w:sz w:val="32"/>
          <w:szCs w:val="32"/>
        </w:rPr>
        <w:t>支出决算为0.1万元，完成预算100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pPr>
        <w:pStyle w:val="2"/>
        <w:ind w:left="0" w:leftChars="0" w:firstLine="642" w:firstLineChars="200"/>
      </w:pPr>
      <w:r>
        <w:rPr>
          <w:rStyle w:val="17"/>
          <w:rFonts w:hint="eastAsia" w:ascii="仿宋" w:eastAsia="仿宋"/>
          <w:bCs/>
          <w:color w:val="000000"/>
          <w:sz w:val="32"/>
          <w:szCs w:val="32"/>
        </w:rPr>
        <w:t>5.社会保障和就业支出（类）民政管理事务（款）基层政权建设和治理（项）：</w:t>
      </w:r>
      <w:r>
        <w:rPr>
          <w:rStyle w:val="17"/>
          <w:rFonts w:hint="eastAsia" w:ascii="仿宋" w:eastAsia="仿宋"/>
          <w:b w:val="0"/>
          <w:bCs/>
          <w:color w:val="000000"/>
          <w:sz w:val="32"/>
          <w:szCs w:val="32"/>
        </w:rPr>
        <w:t>支出决算为30万元，完成预算100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pPr>
        <w:spacing w:line="600" w:lineRule="exact"/>
        <w:ind w:firstLine="642" w:firstLineChars="200"/>
        <w:rPr>
          <w:rFonts w:ascii="仿宋" w:eastAsia="仿宋"/>
          <w:b/>
          <w:color w:val="000000"/>
          <w:sz w:val="32"/>
          <w:szCs w:val="32"/>
        </w:rPr>
      </w:pPr>
      <w:r>
        <w:rPr>
          <w:rStyle w:val="17"/>
          <w:rFonts w:hint="eastAsia" w:ascii="仿宋" w:eastAsia="仿宋"/>
          <w:bCs/>
          <w:color w:val="000000"/>
          <w:sz w:val="32"/>
          <w:szCs w:val="32"/>
        </w:rPr>
        <w:t>6</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Cs/>
          <w:color w:val="000000"/>
          <w:sz w:val="32"/>
          <w:szCs w:val="32"/>
        </w:rPr>
        <w:t>社会保障和就业（类）行政事业单位离退休（款）机关事业单位基本养老保险缴费支出（项）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支出决算为31.30万元，完成预算100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2" w:firstLineChars="200"/>
        <w:rPr>
          <w:rFonts w:ascii="仿宋" w:eastAsia="仿宋"/>
          <w:b/>
          <w:color w:val="000000"/>
          <w:sz w:val="32"/>
          <w:szCs w:val="32"/>
        </w:rPr>
      </w:pPr>
      <w:r>
        <w:rPr>
          <w:rStyle w:val="17"/>
          <w:rFonts w:hint="eastAsia" w:ascii="仿宋" w:eastAsia="仿宋"/>
          <w:bCs/>
          <w:color w:val="000000"/>
          <w:sz w:val="32"/>
          <w:szCs w:val="32"/>
        </w:rPr>
        <w:t>7</w:t>
      </w:r>
      <w:r>
        <w:rPr>
          <w:rStyle w:val="17"/>
          <w:rFonts w:ascii="仿宋" w:eastAsia="仿宋"/>
          <w:bCs/>
          <w:color w:val="000000"/>
          <w:sz w:val="32"/>
          <w:szCs w:val="32"/>
        </w:rPr>
        <w:t>.</w:t>
      </w:r>
      <w:r>
        <w:rPr>
          <w:rStyle w:val="17"/>
          <w:rFonts w:hint="eastAsia" w:ascii="仿宋" w:eastAsia="仿宋"/>
          <w:bCs/>
          <w:color w:val="000000"/>
          <w:sz w:val="32"/>
          <w:szCs w:val="32"/>
        </w:rPr>
        <w:t>社会保障和就业（类）行政事业单位离退休（款）机关事业单位基本职业年金缴费支出（项）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支出决算为15.65万元，完成预算100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2" w:firstLineChars="200"/>
        <w:rPr>
          <w:rFonts w:ascii="仿宋" w:eastAsia="仿宋"/>
          <w:color w:val="000000"/>
          <w:sz w:val="32"/>
          <w:szCs w:val="32"/>
        </w:rPr>
      </w:pPr>
      <w:r>
        <w:rPr>
          <w:rStyle w:val="17"/>
          <w:rFonts w:hint="eastAsia" w:ascii="仿宋" w:eastAsia="仿宋"/>
          <w:bCs/>
          <w:color w:val="000000"/>
          <w:sz w:val="32"/>
          <w:szCs w:val="32"/>
        </w:rPr>
        <w:t>8.卫生健康支出（类）行政事业单位医疗（款）行政单位医疗（项）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支出决算为17.02万元，完成预算100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2" w:firstLineChars="200"/>
        <w:rPr>
          <w:rFonts w:ascii="仿宋" w:eastAsia="仿宋"/>
          <w:color w:val="000000"/>
          <w:sz w:val="32"/>
          <w:szCs w:val="32"/>
        </w:rPr>
      </w:pPr>
      <w:r>
        <w:rPr>
          <w:rStyle w:val="17"/>
          <w:rFonts w:hint="eastAsia" w:ascii="仿宋" w:eastAsia="仿宋"/>
          <w:bCs/>
          <w:color w:val="000000"/>
          <w:sz w:val="32"/>
          <w:szCs w:val="32"/>
        </w:rPr>
        <w:t>9.卫生健康支出（类）行政事业单位医疗（款）公务员医疗补助（项）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支出决算为4.52万元，完成预算100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2" w:firstLineChars="200"/>
        <w:rPr>
          <w:rStyle w:val="17"/>
          <w:rFonts w:ascii="仿宋" w:eastAsia="仿宋"/>
          <w:b w:val="0"/>
          <w:bCs/>
          <w:color w:val="000000"/>
          <w:sz w:val="32"/>
          <w:szCs w:val="32"/>
        </w:rPr>
      </w:pPr>
      <w:r>
        <w:rPr>
          <w:rStyle w:val="17"/>
          <w:rFonts w:hint="eastAsia" w:ascii="仿宋" w:eastAsia="仿宋"/>
          <w:bCs/>
          <w:color w:val="000000"/>
          <w:sz w:val="32"/>
          <w:szCs w:val="32"/>
        </w:rPr>
        <w:t>10.住房保障（类）住房改革支出（款）住房公积金（项）：</w:t>
      </w:r>
      <w:r>
        <w:rPr>
          <w:rStyle w:val="17"/>
          <w:rFonts w:hint="eastAsia" w:ascii="仿宋" w:eastAsia="仿宋"/>
          <w:b w:val="0"/>
          <w:bCs/>
          <w:color w:val="000000"/>
          <w:sz w:val="32"/>
          <w:szCs w:val="32"/>
        </w:rPr>
        <w:t>支出决算为35.69万元，完成预算100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2" w:firstLineChars="200"/>
        <w:rPr>
          <w:rStyle w:val="17"/>
          <w:rFonts w:ascii="仿宋" w:eastAsia="仿宋"/>
          <w:b w:val="0"/>
          <w:bCs/>
          <w:color w:val="000000"/>
          <w:sz w:val="32"/>
          <w:szCs w:val="32"/>
        </w:rPr>
      </w:pPr>
      <w:r>
        <w:rPr>
          <w:rStyle w:val="17"/>
          <w:rFonts w:hint="eastAsia" w:ascii="仿宋" w:eastAsia="仿宋"/>
          <w:bCs/>
          <w:color w:val="000000"/>
          <w:sz w:val="32"/>
          <w:szCs w:val="32"/>
        </w:rPr>
        <w:t>11.城乡社区支出（类） 农村基础设施建设支出 农业土地开发资金安排的支出（款）项）：</w:t>
      </w:r>
      <w:r>
        <w:rPr>
          <w:rStyle w:val="17"/>
          <w:rFonts w:hint="eastAsia" w:ascii="仿宋" w:eastAsia="仿宋"/>
          <w:b w:val="0"/>
          <w:bCs/>
          <w:color w:val="000000"/>
          <w:sz w:val="32"/>
          <w:szCs w:val="32"/>
        </w:rPr>
        <w:t>支出决算为76.64万元，完成预算100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2" w:firstLineChars="200"/>
        <w:rPr>
          <w:rStyle w:val="17"/>
          <w:rFonts w:ascii="仿宋" w:eastAsia="仿宋"/>
          <w:b w:val="0"/>
          <w:bCs/>
          <w:color w:val="000000"/>
          <w:sz w:val="32"/>
          <w:szCs w:val="32"/>
        </w:rPr>
      </w:pPr>
      <w:r>
        <w:rPr>
          <w:rStyle w:val="17"/>
          <w:rFonts w:hint="eastAsia" w:ascii="仿宋" w:eastAsia="仿宋"/>
          <w:bCs/>
          <w:color w:val="000000"/>
          <w:sz w:val="32"/>
          <w:szCs w:val="32"/>
        </w:rPr>
        <w:t>12.农林水支出（类）农业农村（款）事业运行（项）：</w:t>
      </w:r>
      <w:r>
        <w:rPr>
          <w:rStyle w:val="17"/>
          <w:rFonts w:hint="eastAsia" w:ascii="仿宋" w:eastAsia="仿宋"/>
          <w:b w:val="0"/>
          <w:bCs/>
          <w:color w:val="000000"/>
          <w:sz w:val="32"/>
          <w:szCs w:val="32"/>
        </w:rPr>
        <w:t>支出决算为85.25万元，完成预算100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r>
        <w:rPr>
          <w:rStyle w:val="17"/>
          <w:rFonts w:hint="eastAsia" w:ascii="仿宋" w:eastAsia="仿宋"/>
          <w:color w:val="000000"/>
          <w:sz w:val="32"/>
          <w:szCs w:val="32"/>
        </w:rPr>
        <w:t>农林水支出（类）农业农村（款）农村道路建设（项）</w:t>
      </w:r>
      <w:r>
        <w:rPr>
          <w:rStyle w:val="17"/>
          <w:rFonts w:hint="eastAsia" w:ascii="仿宋" w:eastAsia="仿宋"/>
          <w:b w:val="0"/>
          <w:bCs/>
          <w:color w:val="000000"/>
          <w:sz w:val="32"/>
          <w:szCs w:val="32"/>
        </w:rPr>
        <w:t>：支出决算为0.98万元，完成预算100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2" w:firstLineChars="200"/>
        <w:rPr>
          <w:rStyle w:val="17"/>
          <w:rFonts w:ascii="仿宋" w:eastAsia="仿宋"/>
          <w:b w:val="0"/>
          <w:bCs/>
          <w:color w:val="000000"/>
          <w:sz w:val="32"/>
          <w:szCs w:val="32"/>
        </w:rPr>
      </w:pPr>
      <w:r>
        <w:rPr>
          <w:rStyle w:val="17"/>
          <w:rFonts w:hint="eastAsia" w:ascii="仿宋" w:eastAsia="仿宋"/>
          <w:bCs/>
          <w:color w:val="000000"/>
          <w:sz w:val="32"/>
          <w:szCs w:val="32"/>
        </w:rPr>
        <w:t>13.农林水支出（类）农村综合改革（款）对村民委员会和党支部的补助（项）：</w:t>
      </w:r>
      <w:r>
        <w:rPr>
          <w:rStyle w:val="17"/>
          <w:rFonts w:hint="eastAsia" w:ascii="仿宋" w:eastAsia="仿宋"/>
          <w:b w:val="0"/>
          <w:bCs/>
          <w:color w:val="000000"/>
          <w:sz w:val="32"/>
          <w:szCs w:val="32"/>
        </w:rPr>
        <w:t>支出决算为75.55万元，完成预算100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 xml:space="preserve">，决算数等于预算数。       </w:t>
      </w:r>
    </w:p>
    <w:p>
      <w:pPr>
        <w:spacing w:line="600" w:lineRule="exact"/>
        <w:ind w:firstLine="642" w:firstLineChars="200"/>
        <w:rPr>
          <w:rStyle w:val="17"/>
          <w:rFonts w:ascii="仿宋" w:eastAsia="仿宋"/>
          <w:b w:val="0"/>
          <w:bCs/>
          <w:color w:val="000000"/>
          <w:sz w:val="32"/>
          <w:szCs w:val="32"/>
        </w:rPr>
      </w:pPr>
      <w:r>
        <w:rPr>
          <w:rStyle w:val="17"/>
          <w:rFonts w:hint="eastAsia" w:ascii="仿宋" w:eastAsia="仿宋"/>
          <w:bCs/>
          <w:color w:val="000000"/>
          <w:sz w:val="32"/>
          <w:szCs w:val="32"/>
        </w:rPr>
        <w:t>14.农林水支出（类）其他农林水支出（款）其他农林水支出（项）：</w:t>
      </w:r>
      <w:r>
        <w:rPr>
          <w:rStyle w:val="17"/>
          <w:rFonts w:hint="eastAsia" w:ascii="仿宋" w:eastAsia="仿宋"/>
          <w:b w:val="0"/>
          <w:bCs/>
          <w:color w:val="000000"/>
          <w:sz w:val="32"/>
          <w:szCs w:val="32"/>
        </w:rPr>
        <w:t>支出决算为33.05万元，完成预算100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2" w:firstLineChars="200"/>
        <w:rPr>
          <w:rStyle w:val="17"/>
          <w:rFonts w:ascii="仿宋" w:eastAsia="仿宋"/>
          <w:b w:val="0"/>
          <w:bCs/>
          <w:color w:val="000000"/>
          <w:sz w:val="32"/>
          <w:szCs w:val="32"/>
        </w:rPr>
      </w:pPr>
      <w:r>
        <w:rPr>
          <w:rStyle w:val="17"/>
          <w:rFonts w:hint="eastAsia" w:ascii="仿宋" w:eastAsia="仿宋"/>
          <w:bCs/>
          <w:color w:val="000000"/>
          <w:sz w:val="32"/>
          <w:szCs w:val="32"/>
        </w:rPr>
        <w:t>15.灾害防治和应急管理支出（类）自然灾害防治（款）地质灾害防治（项）：</w:t>
      </w:r>
      <w:r>
        <w:rPr>
          <w:rStyle w:val="17"/>
          <w:rFonts w:hint="eastAsia" w:ascii="仿宋" w:eastAsia="仿宋"/>
          <w:b w:val="0"/>
          <w:bCs/>
          <w:color w:val="000000"/>
          <w:sz w:val="32"/>
          <w:szCs w:val="32"/>
        </w:rPr>
        <w:t>支出决算为7万元，完成预算100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2" w:firstLineChars="200"/>
        <w:rPr>
          <w:rStyle w:val="17"/>
          <w:rFonts w:ascii="仿宋" w:eastAsia="仿宋"/>
          <w:b w:val="0"/>
          <w:bCs/>
          <w:color w:val="000000"/>
          <w:sz w:val="32"/>
          <w:szCs w:val="32"/>
        </w:rPr>
      </w:pPr>
      <w:r>
        <w:rPr>
          <w:rStyle w:val="17"/>
          <w:rFonts w:hint="eastAsia" w:ascii="仿宋" w:eastAsia="仿宋"/>
          <w:bCs/>
          <w:color w:val="000000"/>
          <w:sz w:val="32"/>
          <w:szCs w:val="32"/>
        </w:rPr>
        <w:t>16.其他支出（类）其他支出（款）其他支出（项）：</w:t>
      </w:r>
      <w:r>
        <w:rPr>
          <w:rStyle w:val="17"/>
          <w:rFonts w:hint="eastAsia" w:ascii="仿宋" w:eastAsia="仿宋"/>
          <w:b w:val="0"/>
          <w:bCs/>
          <w:color w:val="000000"/>
          <w:sz w:val="32"/>
          <w:szCs w:val="32"/>
        </w:rPr>
        <w:t>支出决算为12.63万元，完成预算100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tabs>
          <w:tab w:val="right" w:pos="7663"/>
        </w:tabs>
        <w:spacing w:line="600" w:lineRule="exact"/>
        <w:rPr>
          <w:rStyle w:val="17"/>
          <w:rFonts w:ascii="仿宋" w:eastAsia="仿宋"/>
          <w:b w:val="0"/>
          <w:bCs/>
          <w:color w:val="000000"/>
          <w:sz w:val="32"/>
          <w:szCs w:val="32"/>
        </w:rPr>
      </w:pPr>
    </w:p>
    <w:p>
      <w:pPr>
        <w:spacing w:line="600" w:lineRule="exact"/>
        <w:ind w:firstLine="640"/>
        <w:rPr>
          <w:rStyle w:val="20"/>
        </w:rPr>
      </w:pPr>
      <w:r>
        <w:rPr>
          <w:rFonts w:hint="eastAsia" w:ascii="黑体" w:eastAsia="黑体"/>
          <w:color w:val="000000"/>
          <w:sz w:val="32"/>
          <w:szCs w:val="32"/>
        </w:rPr>
        <w:t>六</w:t>
      </w:r>
      <w:r>
        <w:rPr>
          <w:rFonts w:hint="eastAsia" w:ascii="黑体" w:eastAsia="黑体"/>
          <w:b/>
          <w:color w:val="000000"/>
          <w:sz w:val="32"/>
          <w:szCs w:val="32"/>
        </w:rPr>
        <w:t>、一</w:t>
      </w:r>
      <w:r>
        <w:rPr>
          <w:rStyle w:val="20"/>
          <w:rFonts w:hint="eastAsia" w:ascii="黑体" w:eastAsia="黑体"/>
          <w:b w:val="0"/>
        </w:rPr>
        <w:t>般公共预算财政拨款基本支出决算情况说明</w:t>
      </w:r>
      <w:bookmarkEnd w:id="44"/>
      <w:r>
        <w:rPr>
          <w:rStyle w:val="20"/>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1年一般公共预算财政拨款支出</w:t>
      </w:r>
      <w:r>
        <w:rPr>
          <w:rFonts w:hint="eastAsia" w:ascii="仿宋" w:eastAsia="仿宋"/>
          <w:bCs/>
          <w:color w:val="000000"/>
          <w:sz w:val="32"/>
          <w:szCs w:val="32"/>
        </w:rPr>
        <w:t>671.87</w:t>
      </w:r>
      <w:r>
        <w:rPr>
          <w:rFonts w:hint="eastAsia" w:ascii="仿宋" w:eastAsia="仿宋"/>
          <w:color w:val="000000"/>
          <w:sz w:val="32"/>
          <w:szCs w:val="32"/>
        </w:rPr>
        <w:t>万元</w:t>
      </w:r>
    </w:p>
    <w:p>
      <w:pPr>
        <w:snapToGrid w:val="0"/>
        <w:spacing w:line="520" w:lineRule="exact"/>
        <w:ind w:firstLine="640" w:firstLineChars="200"/>
        <w:rPr>
          <w:rFonts w:ascii="仿宋_GB2312" w:eastAsia="仿宋_GB2312"/>
          <w:color w:val="000000"/>
          <w:sz w:val="32"/>
          <w:szCs w:val="32"/>
        </w:rPr>
      </w:pPr>
      <w:bookmarkStart w:id="45" w:name="_Toc15377215"/>
      <w:r>
        <w:rPr>
          <w:rFonts w:hint="eastAsia" w:ascii="仿宋_GB2312" w:eastAsia="仿宋_GB2312" w:cs="仿宋_GB2312"/>
          <w:color w:val="000000"/>
          <w:sz w:val="32"/>
          <w:szCs w:val="32"/>
        </w:rPr>
        <w:t>其中：</w:t>
      </w:r>
      <w:r>
        <w:rPr>
          <w:rFonts w:hint="eastAsia" w:ascii="仿宋_GB2312" w:eastAsia="仿宋_GB2312"/>
          <w:color w:val="000000"/>
          <w:sz w:val="32"/>
          <w:szCs w:val="32"/>
        </w:rPr>
        <w:t>基本支出466.97万元，基本支出中人员经费支出为437.83万元，主要包括：基本工资79.73万元、津贴补贴136.61万元、奖金7.54万元、绩效工资26.32万元、机关事业单位基本养老保险缴费31.30万元、职业年金缴费17.02万元、其他社会保障缴费2.81万元、住房公积金35.69万元、职工基本医疗保险缴费17.02万元、公务员医疗补助4.52万元、奖励金81.13万元。</w:t>
      </w:r>
    </w:p>
    <w:p>
      <w:pPr>
        <w:snapToGrid w:val="0"/>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公用经费支出为29.14万元，主要包括：办公费4.78万元、印刷费3万元、手续费0.07万元、电费2.5万元、邮电费2万元、取暖费1.7万元、差旅费4.5万元、劳务费2.79万元、委托业务费1万元，其他交通费1万元，公务用车运行维护费5.8万元。</w:t>
      </w:r>
    </w:p>
    <w:p>
      <w:pPr>
        <w:snapToGrid w:val="0"/>
        <w:spacing w:line="520" w:lineRule="exact"/>
        <w:ind w:firstLine="640" w:firstLineChars="200"/>
        <w:rPr>
          <w:rFonts w:eastAsia="仿宋_GB2312"/>
        </w:rPr>
      </w:pPr>
      <w:r>
        <w:rPr>
          <w:rFonts w:hint="eastAsia" w:ascii="仿宋_GB2312" w:eastAsia="仿宋_GB2312"/>
          <w:color w:val="000000"/>
          <w:sz w:val="32"/>
          <w:szCs w:val="32"/>
        </w:rPr>
        <w:t>项目支出204.90万元，主要包括：人大会议费0.1万元，对村干部生活补助支出53.55万元，村级维护费办公费22万元</w:t>
      </w:r>
      <w:r>
        <w:rPr>
          <w:rFonts w:hint="eastAsia" w:ascii="仿宋_GB2312" w:eastAsia="仿宋_GB2312" w:cs="仿宋_GB2312"/>
          <w:color w:val="000000"/>
          <w:sz w:val="32"/>
          <w:szCs w:val="32"/>
        </w:rPr>
        <w:t>（其中公共运行维护费14万元、基层党组织活动经费4万元、办公费4万元）</w:t>
      </w:r>
      <w:r>
        <w:rPr>
          <w:rFonts w:hint="eastAsia" w:ascii="仿宋_GB2312" w:eastAsia="仿宋_GB2312"/>
          <w:color w:val="000000"/>
          <w:sz w:val="32"/>
          <w:szCs w:val="32"/>
        </w:rPr>
        <w:t>，基层政权和社区治理的办公费15万元、劳务费15万元，地质灾害防治租赁费5万元、劳务费2万元，其他政府办公厅（室）及相关机构事务办公费2万元，</w:t>
      </w:r>
      <w:r>
        <w:rPr>
          <w:rFonts w:hint="eastAsia" w:ascii="仿宋_GB2312" w:eastAsia="仿宋_GB2312" w:cs="仿宋_GB2312"/>
          <w:bCs/>
          <w:sz w:val="32"/>
          <w:szCs w:val="32"/>
        </w:rPr>
        <w:t>阿科里乡铁基村定居点道路硬化建设项目0.98万元，2020年第一批革命老区转移支付资金12.63万元，阿科里村至莫斯卡钢架桥建设项目76.64万元。</w:t>
      </w:r>
    </w:p>
    <w:p>
      <w:pPr>
        <w:spacing w:line="600" w:lineRule="exact"/>
        <w:ind w:firstLine="640" w:firstLineChars="200"/>
        <w:outlineLvl w:val="1"/>
        <w:rPr>
          <w:rStyle w:val="20"/>
          <w:rFonts w:ascii="黑体" w:eastAsia="黑体"/>
          <w:b w:val="0"/>
        </w:rPr>
      </w:pPr>
      <w:bookmarkStart w:id="46" w:name="_Toc9449"/>
      <w:r>
        <w:rPr>
          <w:rFonts w:hint="eastAsia" w:ascii="黑体" w:eastAsia="黑体"/>
          <w:color w:val="000000"/>
          <w:sz w:val="32"/>
          <w:szCs w:val="32"/>
        </w:rPr>
        <w:t>七、</w:t>
      </w:r>
      <w:r>
        <w:rPr>
          <w:rStyle w:val="20"/>
          <w:rFonts w:hint="eastAsia" w:ascii="黑体" w:eastAsia="黑体"/>
        </w:rPr>
        <w:t>“</w:t>
      </w:r>
      <w:r>
        <w:rPr>
          <w:rStyle w:val="20"/>
          <w:rFonts w:hint="eastAsia" w:ascii="黑体" w:eastAsia="黑体"/>
          <w:b w:val="0"/>
        </w:rPr>
        <w:t>三公”经费财政拨款支出决算情况说明</w:t>
      </w:r>
      <w:bookmarkEnd w:id="45"/>
      <w:bookmarkEnd w:id="46"/>
    </w:p>
    <w:p>
      <w:pPr>
        <w:spacing w:line="600" w:lineRule="exact"/>
        <w:ind w:firstLine="640"/>
        <w:outlineLvl w:val="2"/>
        <w:rPr>
          <w:rFonts w:ascii="仿宋" w:eastAsia="仿宋"/>
          <w:b/>
          <w:color w:val="000000"/>
          <w:sz w:val="32"/>
          <w:szCs w:val="32"/>
        </w:rPr>
      </w:pPr>
      <w:bookmarkStart w:id="47" w:name="_Toc15377216"/>
      <w:r>
        <w:rPr>
          <w:rFonts w:hint="eastAsia" w:ascii="仿宋" w:eastAsia="仿宋"/>
          <w:b/>
          <w:color w:val="000000"/>
          <w:sz w:val="32"/>
          <w:szCs w:val="32"/>
        </w:rPr>
        <w:t>（一）“三公”经费财政拨款支出决算总体情况说明</w:t>
      </w:r>
      <w:bookmarkEnd w:id="47"/>
    </w:p>
    <w:p>
      <w:pPr>
        <w:spacing w:line="600" w:lineRule="exact"/>
        <w:ind w:firstLine="64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1年“三公”经费财政拨款支出决算为5.8万元，预算数</w:t>
      </w:r>
      <w:r>
        <w:rPr>
          <w:rFonts w:hint="eastAsia" w:ascii="仿宋" w:eastAsia="仿宋"/>
          <w:color w:val="000000"/>
          <w:sz w:val="32"/>
          <w:szCs w:val="32"/>
          <w:lang w:val="en-US" w:eastAsia="zh-CN"/>
        </w:rPr>
        <w:t>为5.8万元，</w:t>
      </w:r>
      <w:r>
        <w:rPr>
          <w:rFonts w:hint="eastAsia" w:ascii="仿宋" w:eastAsia="仿宋"/>
          <w:color w:val="000000"/>
          <w:sz w:val="32"/>
          <w:szCs w:val="32"/>
        </w:rPr>
        <w:t>完成预算100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color w:val="000000"/>
          <w:sz w:val="32"/>
          <w:szCs w:val="32"/>
          <w:lang w:val="en-US" w:eastAsia="zh-CN"/>
        </w:rPr>
        <w:t>决算数与预算数持平</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48" w:name="_Toc15377217"/>
      <w:r>
        <w:rPr>
          <w:rFonts w:hint="eastAsia" w:ascii="仿宋" w:eastAsia="仿宋"/>
          <w:b/>
          <w:color w:val="000000"/>
          <w:sz w:val="32"/>
          <w:szCs w:val="32"/>
        </w:rPr>
        <w:t>（二）“三公”经费财政拨款支出决算具体情况说明</w:t>
      </w:r>
      <w:bookmarkEnd w:id="48"/>
    </w:p>
    <w:p>
      <w:pPr>
        <w:spacing w:line="600" w:lineRule="exact"/>
        <w:ind w:firstLine="640"/>
        <w:rPr>
          <w:rFonts w:hint="eastAsia"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1年“三公”经费财政拨款支出</w:t>
      </w:r>
      <w:r>
        <w:rPr>
          <w:rFonts w:hint="eastAsia" w:ascii="仿宋" w:eastAsia="仿宋"/>
          <w:sz w:val="32"/>
          <w:szCs w:val="32"/>
        </w:rPr>
        <w:t>决算5.8万元</w:t>
      </w:r>
      <w:r>
        <w:rPr>
          <w:rFonts w:hint="eastAsia" w:ascii="仿宋" w:eastAsia="仿宋"/>
          <w:color w:val="000000"/>
          <w:sz w:val="32"/>
          <w:szCs w:val="32"/>
        </w:rPr>
        <w:t>，其中：公务用车购置及运行维护费支出决算5.8万元，占100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hint="eastAsia" w:ascii="仿宋_GB2312" w:eastAsia="仿宋_GB2312"/>
          <w:color w:val="000000"/>
          <w:sz w:val="30"/>
          <w:szCs w:val="30"/>
        </w:rPr>
      </w:pPr>
      <w:r>
        <w:rPr>
          <w:rFonts w:hint="default" w:ascii="仿宋" w:eastAsia="仿宋"/>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0"/>
          <w:szCs w:val="30"/>
        </w:rPr>
        <w:t>20</w:t>
      </w:r>
      <w:r>
        <w:rPr>
          <w:rFonts w:hint="eastAsia" w:ascii="仿宋_GB2312" w:eastAsia="仿宋_GB2312"/>
          <w:color w:val="000000"/>
          <w:sz w:val="30"/>
          <w:szCs w:val="30"/>
        </w:rPr>
        <w:t>21年因公出国（境）费0万元。</w:t>
      </w:r>
    </w:p>
    <w:p>
      <w:pPr>
        <w:numPr>
          <w:numId w:val="0"/>
        </w:numPr>
        <w:spacing w:line="600" w:lineRule="exact"/>
        <w:ind w:firstLine="642" w:firstLineChars="200"/>
        <w:rPr>
          <w:rFonts w:ascii="仿宋_GB2312" w:eastAsia="仿宋_GB2312"/>
          <w:b/>
          <w:sz w:val="32"/>
          <w:szCs w:val="32"/>
        </w:rPr>
      </w:pPr>
      <w:r>
        <w:rPr>
          <w:rFonts w:hint="default"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运行维护费支出5.8</w:t>
      </w:r>
      <w:r>
        <w:rPr>
          <w:rFonts w:hint="eastAsia" w:ascii="仿宋_GB2312" w:eastAsia="仿宋_GB2312"/>
          <w:color w:val="000000"/>
          <w:sz w:val="32"/>
          <w:szCs w:val="32"/>
        </w:rPr>
        <w:t>万元,</w:t>
      </w:r>
      <w:r>
        <w:rPr>
          <w:rStyle w:val="17"/>
          <w:rFonts w:hint="eastAsia" w:ascii="仿宋" w:eastAsia="仿宋"/>
          <w:b w:val="0"/>
          <w:bCs/>
          <w:color w:val="000000"/>
          <w:sz w:val="32"/>
          <w:szCs w:val="32"/>
        </w:rPr>
        <w:t>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20年减少0.57万元，</w:t>
      </w:r>
      <w:r>
        <w:rPr>
          <w:rFonts w:hint="eastAsia" w:ascii="仿宋_GB2312" w:eastAsia="仿宋_GB2312"/>
          <w:sz w:val="32"/>
          <w:szCs w:val="32"/>
        </w:rPr>
        <w:t>减少8.95</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我单位本年度厉行节约减少了三公经费的开支。</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日，共有车辆1辆，其中：部级领导干部用车0辆、主要领导干部用车0辆、机要通信用车0辆、应急保障用车1辆、执法执勤用车0辆、特种专业技术用车0辆、离退休干部用车0辆、其他用车0辆；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公务用车运行维护费支出5.8</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pPr>
        <w:spacing w:line="600" w:lineRule="atLeast"/>
        <w:ind w:firstLine="642" w:firstLineChars="200"/>
        <w:outlineLvl w:val="2"/>
        <w:rPr>
          <w:rFonts w:ascii="仿宋_GB2312" w:eastAsia="仿宋_GB2312" w:cs="仿宋"/>
          <w:color w:val="000000"/>
          <w:kern w:val="0"/>
          <w:sz w:val="30"/>
          <w:szCs w:val="30"/>
        </w:rPr>
      </w:pPr>
      <w:r>
        <w:rPr>
          <w:rFonts w:hint="eastAsia" w:ascii="仿宋_GB2312" w:eastAsia="仿宋_GB2312"/>
          <w:b/>
          <w:color w:val="000000"/>
          <w:sz w:val="32"/>
          <w:szCs w:val="32"/>
        </w:rPr>
        <w:t>3.公务接待费支出：</w:t>
      </w:r>
      <w:r>
        <w:rPr>
          <w:rFonts w:hint="eastAsia" w:ascii="仿宋_GB2312" w:eastAsia="仿宋_GB2312" w:cs="仿宋"/>
          <w:color w:val="000000"/>
          <w:kern w:val="0"/>
          <w:sz w:val="30"/>
          <w:szCs w:val="30"/>
        </w:rPr>
        <w:t>2021年公务接待费0万元。</w:t>
      </w:r>
    </w:p>
    <w:p>
      <w:pPr>
        <w:spacing w:line="600" w:lineRule="exact"/>
        <w:ind w:firstLine="320" w:firstLineChars="100"/>
        <w:outlineLvl w:val="1"/>
        <w:rPr>
          <w:rStyle w:val="20"/>
          <w:rFonts w:ascii="黑体" w:eastAsia="黑体"/>
        </w:rPr>
      </w:pPr>
      <w:bookmarkStart w:id="49" w:name="_Toc15377218"/>
      <w:bookmarkStart w:id="50" w:name="_Toc23573"/>
      <w:r>
        <w:rPr>
          <w:rFonts w:hint="eastAsia" w:ascii="黑体" w:eastAsia="黑体"/>
          <w:color w:val="000000"/>
          <w:sz w:val="32"/>
          <w:szCs w:val="32"/>
        </w:rPr>
        <w:t>八、</w:t>
      </w:r>
      <w:r>
        <w:rPr>
          <w:rStyle w:val="20"/>
          <w:rFonts w:hint="eastAsia" w:ascii="黑体" w:eastAsia="黑体"/>
          <w:b w:val="0"/>
        </w:rPr>
        <w:t>政府性基金预算支出决算情况说明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1年政府性基金预算拨款支出76.64万元。</w:t>
      </w:r>
    </w:p>
    <w:p>
      <w:pPr>
        <w:numPr>
          <w:ilvl w:val="0"/>
          <w:numId w:val="3"/>
        </w:numPr>
        <w:spacing w:line="600" w:lineRule="exact"/>
        <w:ind w:left="0" w:firstLine="640"/>
        <w:outlineLvl w:val="1"/>
        <w:rPr>
          <w:rStyle w:val="20"/>
          <w:rFonts w:ascii="黑体" w:eastAsia="黑体"/>
          <w:b w:val="0"/>
        </w:rPr>
      </w:pPr>
      <w:bookmarkStart w:id="51" w:name="_Toc15377219"/>
      <w:bookmarkStart w:id="52" w:name="_Toc351"/>
      <w:r>
        <w:rPr>
          <w:rStyle w:val="20"/>
          <w:rFonts w:hint="eastAsia" w:ascii="黑体" w:eastAsia="黑体"/>
          <w:b w:val="0"/>
        </w:rPr>
        <w:t>国有资本经营预算支出决算情况说明</w:t>
      </w:r>
      <w:bookmarkEnd w:id="51"/>
      <w:bookmarkEnd w:id="5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1年国有资本经营预算拨款支出0万元。</w:t>
      </w:r>
    </w:p>
    <w:p>
      <w:pPr>
        <w:pStyle w:val="26"/>
        <w:numPr>
          <w:ilvl w:val="0"/>
          <w:numId w:val="4"/>
        </w:numPr>
        <w:spacing w:line="580" w:lineRule="exact"/>
        <w:ind w:firstLineChars="0"/>
        <w:rPr>
          <w:rStyle w:val="20"/>
          <w:rFonts w:ascii="黑体" w:eastAsia="黑体"/>
          <w:b w:val="0"/>
        </w:rPr>
      </w:pPr>
      <w:bookmarkStart w:id="53" w:name="_Toc16199"/>
      <w:r>
        <w:rPr>
          <w:rStyle w:val="20"/>
          <w:rFonts w:hint="eastAsia" w:ascii="黑体" w:eastAsia="黑体"/>
          <w:b w:val="0"/>
        </w:rPr>
        <w:t>预算绩效情况说明</w:t>
      </w:r>
    </w:p>
    <w:bookmarkEnd w:id="53"/>
    <w:p>
      <w:pPr>
        <w:numPr>
          <w:ilvl w:val="0"/>
          <w:numId w:val="5"/>
        </w:numPr>
        <w:spacing w:line="580" w:lineRule="exact"/>
        <w:ind w:left="0" w:firstLine="640" w:firstLineChars="200"/>
        <w:rPr>
          <w:rStyle w:val="20"/>
          <w:rFonts w:ascii="黑体" w:eastAsia="黑体"/>
          <w:b w:val="0"/>
        </w:rPr>
      </w:pPr>
      <w:bookmarkStart w:id="54" w:name="_Toc4523"/>
      <w:r>
        <w:rPr>
          <w:rStyle w:val="20"/>
          <w:rFonts w:hint="eastAsia" w:ascii="黑体" w:eastAsia="黑体"/>
          <w:b w:val="0"/>
        </w:rPr>
        <w:t>预算绩效管理工作开展情况。</w:t>
      </w:r>
    </w:p>
    <w:bookmarkEnd w:id="54"/>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4个项目编制了绩效目标，预算执行过程中，选取4个项目开展绩效监控，年终执行完毕后，对4个项目开展了绩效目标完成情况梳理填报。</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w:t>
      </w:r>
      <w:r>
        <w:rPr>
          <w:rFonts w:hint="eastAsia" w:ascii="仿宋_GB2312" w:eastAsia="仿宋_GB2312" w:cs="仿宋_GB2312"/>
          <w:sz w:val="32"/>
          <w:szCs w:val="32"/>
        </w:rPr>
        <w:t>1年部门整体支出开展绩效自评，</w:t>
      </w:r>
      <w:r>
        <w:rPr>
          <w:rFonts w:hint="eastAsia" w:ascii="仿宋_GB2312" w:eastAsia="仿宋_GB2312"/>
          <w:sz w:val="32"/>
          <w:szCs w:val="32"/>
        </w:rPr>
        <w:t>经全面综合评价，我单位预算支出绩效自评得分94.7</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。本单位还自行组织了5个项目绩效评价，从评价情况来看我单位年初预算项目基本按照绩效目标完成支付，有部分项目结转质保金在下年质保期后进行支付。</w:t>
      </w:r>
    </w:p>
    <w:p>
      <w:pPr>
        <w:autoSpaceDE w:val="0"/>
        <w:autoSpaceDN w:val="0"/>
        <w:adjustRightInd w:val="0"/>
        <w:jc w:val="left"/>
        <w:rPr>
          <w:rFonts w:ascii="宋体" w:cs="宋体"/>
          <w:color w:val="000000"/>
          <w:sz w:val="24"/>
        </w:rPr>
      </w:pPr>
      <w:r>
        <w:rPr>
          <w:rFonts w:hint="eastAsia" w:ascii="仿宋" w:eastAsia="仿宋" w:cs="楷体_GB2312"/>
          <w:b/>
          <w:bCs/>
          <w:sz w:val="32"/>
          <w:szCs w:val="32"/>
        </w:rPr>
        <w:t>项目绩效目标完成情况。</w:t>
      </w:r>
      <w:r>
        <w:rPr>
          <w:rFonts w:hint="eastAsia" w:ascii="楷体_GB2312" w:eastAsia="楷体_GB2312" w:cs="楷体_GB2312"/>
          <w:b/>
          <w:bCs/>
          <w:sz w:val="32"/>
          <w:szCs w:val="32"/>
        </w:rPr>
        <w:br w:type="textWrapping"/>
      </w:r>
      <w:r>
        <w:rPr>
          <w:rFonts w:hint="eastAsia" w:ascii="仿宋_GB2312" w:eastAsia="仿宋_GB2312" w:cs="仿宋_GB2312"/>
          <w:sz w:val="32"/>
          <w:szCs w:val="32"/>
        </w:rPr>
        <w:t xml:space="preserve">    </w:t>
      </w:r>
      <w:r>
        <w:rPr>
          <w:rFonts w:hint="eastAsia" w:ascii="仿宋_GB2312" w:eastAsia="仿宋_GB2312" w:cs="仿宋_GB2312"/>
          <w:b/>
          <w:sz w:val="32"/>
          <w:szCs w:val="32"/>
        </w:rPr>
        <w:t>（二）、</w:t>
      </w:r>
      <w:r>
        <w:rPr>
          <w:rFonts w:hint="eastAsia" w:ascii="仿宋_GB2312" w:eastAsia="仿宋_GB2312" w:cs="仿宋_GB2312"/>
          <w:sz w:val="32"/>
          <w:szCs w:val="32"/>
        </w:rPr>
        <w:t>本部门在</w:t>
      </w:r>
      <w:r>
        <w:rPr>
          <w:rFonts w:ascii="仿宋_GB2312" w:eastAsia="仿宋_GB2312" w:cs="仿宋_GB2312"/>
          <w:sz w:val="32"/>
          <w:szCs w:val="32"/>
        </w:rPr>
        <w:t>202</w:t>
      </w:r>
      <w:r>
        <w:rPr>
          <w:rFonts w:hint="eastAsia" w:ascii="仿宋_GB2312" w:eastAsia="仿宋_GB2312" w:cs="仿宋_GB2312"/>
          <w:sz w:val="32"/>
          <w:szCs w:val="32"/>
        </w:rPr>
        <w:t>1年度部门决算中反映“春节慰问金</w:t>
      </w:r>
      <w:r>
        <w:rPr>
          <w:rFonts w:ascii="仿宋_GB2312" w:eastAsia="仿宋_GB2312" w:cs="仿宋_GB2312"/>
          <w:sz w:val="32"/>
          <w:szCs w:val="32"/>
        </w:rPr>
        <w:t>”</w:t>
      </w:r>
      <w:r>
        <w:rPr>
          <w:rFonts w:hint="eastAsia" w:ascii="仿宋_GB2312" w:eastAsia="仿宋_GB2312" w:cs="仿宋_GB2312"/>
          <w:sz w:val="32"/>
          <w:szCs w:val="32"/>
        </w:rPr>
        <w:t>“ 防汛抢险保畅经费租赁费”等5个项目绩效目标实际完成情况。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1.“春节慰问金”运转类项目绩效目标完成情况综述。项目全年预算数1万元，执行数为1万元，完成预算的100%。</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6"/>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rPr>
              <w:t>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春节慰问金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金川县阿科里乡人民政府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保证阿科里乡顺利完成春节慰问活动</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完全实现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拨付春节慰问金</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1万元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春节慰问中资金拨付到位及时</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春节慰问过程中所需资金占补助资金比例</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全乡职工满意度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ascii="仿宋_GB2312" w:eastAsia="仿宋_GB2312" w:cs="仿宋_GB2312"/>
          <w:sz w:val="32"/>
          <w:szCs w:val="32"/>
        </w:rPr>
      </w:pPr>
    </w:p>
    <w:p>
      <w:pPr>
        <w:numPr>
          <w:ilvl w:val="0"/>
          <w:numId w:val="6"/>
        </w:numPr>
        <w:spacing w:line="580" w:lineRule="exact"/>
        <w:ind w:left="0" w:firstLine="640" w:firstLineChars="200"/>
        <w:rPr>
          <w:rFonts w:ascii="仿宋_GB2312" w:eastAsia="仿宋_GB2312" w:cs="仿宋_GB2312"/>
          <w:sz w:val="32"/>
          <w:szCs w:val="32"/>
        </w:rPr>
      </w:pPr>
      <w:r>
        <w:rPr>
          <w:rFonts w:hint="eastAsia" w:ascii="仿宋_GB2312" w:eastAsia="仿宋_GB2312" w:cs="仿宋_GB2312"/>
          <w:sz w:val="32"/>
          <w:szCs w:val="32"/>
        </w:rPr>
        <w:t>“办公经费”项目绩效目标完成情况综述。项目全年预算数2万元，执行数为2万元，完成预算的100%。</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56"/>
        <w:gridCol w:w="2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26"/>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rPr>
              <w:t>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阿科里乡办公费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ind w:firstLine="1680" w:firstLineChars="700"/>
              <w:textAlignment w:val="center"/>
              <w:rPr>
                <w:rFonts w:ascii="宋体" w:cs="宋体"/>
                <w:color w:val="000000"/>
                <w:sz w:val="24"/>
              </w:rPr>
            </w:pPr>
            <w:r>
              <w:rPr>
                <w:rFonts w:hint="eastAsia" w:ascii="宋体" w:cs="宋体"/>
                <w:color w:val="000000"/>
                <w:sz w:val="24"/>
              </w:rPr>
              <w:t>金川县阿科里乡人民政府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2万元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执行数: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2万元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其中-财政拨款:</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utoSpaceDE w:val="0"/>
              <w:autoSpaceDN w:val="0"/>
              <w:adjustRightInd w:val="0"/>
              <w:jc w:val="left"/>
              <w:rPr>
                <w:rFonts w:ascii="Calibri" w:hAnsi="Calibri" w:eastAsia="Times New Roman"/>
                <w:kern w:val="0"/>
                <w:sz w:val="22"/>
                <w:szCs w:val="22"/>
              </w:rPr>
            </w:pPr>
            <w:r>
              <w:rPr>
                <w:rFonts w:hint="eastAsia" w:ascii="微软雅黑" w:eastAsia="微软雅黑" w:cs="微软雅黑"/>
                <w:kern w:val="0"/>
                <w:sz w:val="22"/>
                <w:szCs w:val="22"/>
              </w:rPr>
              <w:t>解决我乡办公经费</w:t>
            </w:r>
            <w:r>
              <w:rPr>
                <w:rFonts w:ascii="Calibri" w:hAnsi="Calibri" w:eastAsia="Times New Roman"/>
                <w:kern w:val="0"/>
                <w:sz w:val="22"/>
                <w:szCs w:val="22"/>
              </w:rPr>
              <w:t>2</w:t>
            </w:r>
            <w:r>
              <w:rPr>
                <w:rFonts w:hint="eastAsia" w:ascii="微软雅黑" w:eastAsia="微软雅黑" w:cs="微软雅黑"/>
                <w:kern w:val="0"/>
                <w:sz w:val="22"/>
                <w:szCs w:val="22"/>
              </w:rPr>
              <w:t>万元。</w:t>
            </w:r>
          </w:p>
          <w:p>
            <w:pPr>
              <w:widowControl/>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utoSpaceDE w:val="0"/>
              <w:autoSpaceDN w:val="0"/>
              <w:adjustRightInd w:val="0"/>
              <w:jc w:val="left"/>
              <w:rPr>
                <w:rFonts w:ascii="Calibri" w:hAnsi="Calibri" w:eastAsia="Times New Roman"/>
                <w:kern w:val="0"/>
                <w:sz w:val="22"/>
                <w:szCs w:val="22"/>
              </w:rPr>
            </w:pPr>
            <w:r>
              <w:rPr>
                <w:rFonts w:hint="eastAsia" w:ascii="微软雅黑" w:eastAsia="微软雅黑" w:cs="微软雅黑"/>
                <w:kern w:val="0"/>
                <w:sz w:val="22"/>
                <w:szCs w:val="22"/>
              </w:rPr>
              <w:t>解决我乡办公经费</w:t>
            </w:r>
            <w:r>
              <w:rPr>
                <w:rFonts w:ascii="Calibri" w:hAnsi="Calibri" w:eastAsia="Times New Roman"/>
                <w:kern w:val="0"/>
                <w:sz w:val="22"/>
                <w:szCs w:val="22"/>
              </w:rPr>
              <w:t>2</w:t>
            </w:r>
            <w:r>
              <w:rPr>
                <w:rFonts w:hint="eastAsia" w:ascii="微软雅黑" w:eastAsia="微软雅黑" w:cs="微软雅黑"/>
                <w:kern w:val="0"/>
                <w:sz w:val="22"/>
                <w:szCs w:val="22"/>
              </w:rPr>
              <w:t>万元。</w:t>
            </w:r>
          </w:p>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utoSpaceDE w:val="0"/>
              <w:autoSpaceDN w:val="0"/>
              <w:adjustRightInd w:val="0"/>
              <w:jc w:val="left"/>
              <w:rPr>
                <w:rFonts w:ascii="Calibri" w:hAnsi="Calibri" w:eastAsia="Times New Roman"/>
                <w:kern w:val="0"/>
                <w:sz w:val="22"/>
                <w:szCs w:val="22"/>
              </w:rPr>
            </w:pPr>
            <w:r>
              <w:rPr>
                <w:rFonts w:hint="eastAsia" w:ascii="微软雅黑" w:eastAsia="微软雅黑" w:cs="微软雅黑"/>
                <w:kern w:val="0"/>
                <w:sz w:val="22"/>
                <w:szCs w:val="22"/>
              </w:rPr>
              <w:t>解决我乡办公经费</w:t>
            </w:r>
            <w:r>
              <w:rPr>
                <w:rFonts w:ascii="Calibri" w:hAnsi="Calibri" w:eastAsia="Times New Roman"/>
                <w:kern w:val="0"/>
                <w:sz w:val="22"/>
                <w:szCs w:val="22"/>
              </w:rPr>
              <w:t>,</w:t>
            </w:r>
            <w:r>
              <w:rPr>
                <w:rFonts w:hint="eastAsia" w:ascii="微软雅黑" w:eastAsia="微软雅黑" w:cs="微软雅黑"/>
                <w:kern w:val="0"/>
                <w:sz w:val="22"/>
                <w:szCs w:val="22"/>
              </w:rPr>
              <w:t>使用完成率</w:t>
            </w:r>
            <w:r>
              <w:rPr>
                <w:rFonts w:ascii="Calibri" w:hAnsi="Calibri" w:eastAsia="Times New Roman"/>
                <w:kern w:val="0"/>
                <w:sz w:val="22"/>
                <w:szCs w:val="22"/>
              </w:rPr>
              <w:t>,</w:t>
            </w:r>
            <w:r>
              <w:rPr>
                <w:rFonts w:hint="eastAsia" w:ascii="微软雅黑" w:eastAsia="微软雅黑" w:cs="微软雅黑"/>
                <w:kern w:val="0"/>
                <w:sz w:val="22"/>
                <w:szCs w:val="22"/>
              </w:rPr>
              <w:t>用于打字复印等费用</w:t>
            </w:r>
          </w:p>
          <w:p>
            <w:pPr>
              <w:widowControl/>
              <w:jc w:val="center"/>
              <w:textAlignment w:val="center"/>
              <w:rPr>
                <w:rFonts w:ascii="宋体" w:cs="宋体"/>
                <w:color w:val="000000"/>
                <w:sz w:val="24"/>
              </w:rPr>
            </w:pP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微软雅黑" w:eastAsia="微软雅黑" w:cs="微软雅黑"/>
                <w:kern w:val="0"/>
                <w:sz w:val="22"/>
                <w:szCs w:val="22"/>
              </w:rPr>
              <w:t>办公经费打字复印费</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微软雅黑" w:eastAsia="微软雅黑" w:cs="微软雅黑"/>
                <w:kern w:val="0"/>
                <w:sz w:val="22"/>
                <w:szCs w:val="22"/>
              </w:rPr>
              <w:t>办公经费打字复印费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质量达标率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打字复印费</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2万元</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职工满意度</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t>≥</w:t>
            </w:r>
            <w:r>
              <w:rPr>
                <w:rFonts w:hint="eastAsia" w:ascii="宋体" w:cs="宋体"/>
                <w:color w:val="000000"/>
                <w:sz w:val="24"/>
              </w:rPr>
              <w:t>97%</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t>≥</w:t>
            </w:r>
            <w:r>
              <w:rPr>
                <w:rFonts w:hint="eastAsia" w:ascii="宋体" w:cs="宋体"/>
                <w:color w:val="000000"/>
                <w:sz w:val="24"/>
              </w:rPr>
              <w:t>97%</w:t>
            </w:r>
          </w:p>
        </w:tc>
      </w:tr>
    </w:tbl>
    <w:p>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w:t>
      </w:r>
    </w:p>
    <w:p>
      <w:pPr>
        <w:rPr>
          <w:rFonts w:ascii="Calibri" w:hAnsi="Calibri" w:eastAsia="Times New Roman"/>
          <w:kern w:val="0"/>
          <w:sz w:val="22"/>
          <w:szCs w:val="22"/>
        </w:rPr>
      </w:pPr>
      <w:r>
        <w:rPr>
          <w:rFonts w:hint="eastAsia" w:ascii="仿宋_GB2312" w:eastAsia="仿宋_GB2312" w:cs="仿宋_GB2312"/>
          <w:sz w:val="32"/>
          <w:szCs w:val="32"/>
        </w:rPr>
        <w:t>3.“防汛抢险保畅经费租赁费”项目绩效目标完成情况综述。项目全年预算数5万元，其中部门预算执行数为5万元，完成预算的100%。</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rPr>
              <w:t>1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utoSpaceDE w:val="0"/>
              <w:autoSpaceDN w:val="0"/>
              <w:adjustRightInd w:val="0"/>
              <w:jc w:val="left"/>
              <w:rPr>
                <w:rFonts w:ascii="宋体" w:cs="宋体"/>
                <w:color w:val="000000"/>
                <w:sz w:val="24"/>
              </w:rPr>
            </w:pPr>
            <w:r>
              <w:rPr>
                <w:rFonts w:hint="eastAsia" w:ascii="宋体" w:cs="宋体"/>
                <w:color w:val="000000"/>
                <w:sz w:val="24"/>
              </w:rPr>
              <w:t>防汛抢险保畅经费租赁费</w:t>
            </w:r>
          </w:p>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金川县阿科里乡人民政府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疏通河道</w:t>
            </w:r>
            <w:r>
              <w:rPr>
                <w:rFonts w:ascii="宋体" w:cs="宋体"/>
                <w:color w:val="000000"/>
                <w:sz w:val="24"/>
              </w:rPr>
              <w:t>,</w:t>
            </w:r>
            <w:r>
              <w:rPr>
                <w:rFonts w:hint="eastAsia" w:ascii="宋体" w:cs="宋体"/>
                <w:color w:val="000000"/>
                <w:sz w:val="24"/>
              </w:rPr>
              <w:t>疏通通乡、通村、通组道路</w:t>
            </w:r>
            <w:r>
              <w:rPr>
                <w:rFonts w:ascii="宋体" w:cs="宋体"/>
                <w:color w:val="000000"/>
                <w:sz w:val="24"/>
              </w:rPr>
              <w:t>,</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完成我乡疏通河道</w:t>
            </w:r>
            <w:r>
              <w:rPr>
                <w:rFonts w:ascii="宋体" w:cs="宋体"/>
                <w:color w:val="000000"/>
                <w:sz w:val="24"/>
              </w:rPr>
              <w:t>,</w:t>
            </w:r>
            <w:r>
              <w:rPr>
                <w:rFonts w:hint="eastAsia" w:ascii="宋体" w:cs="宋体"/>
                <w:color w:val="000000"/>
                <w:sz w:val="24"/>
              </w:rPr>
              <w:t>疏通通乡、通村、通组道路。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ind w:firstLine="480" w:firstLineChars="200"/>
              <w:jc w:val="center"/>
            </w:pPr>
            <w:r>
              <w:rPr>
                <w:rFonts w:hint="eastAsia" w:ascii="宋体" w:cs="宋体"/>
                <w:color w:val="000000"/>
                <w:sz w:val="24"/>
              </w:rPr>
              <w:t xml:space="preserve">              疏通河道</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2公里</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完成我乡疏通河道</w:t>
            </w:r>
            <w:r>
              <w:rPr>
                <w:rFonts w:ascii="宋体" w:cs="宋体"/>
                <w:color w:val="000000"/>
                <w:sz w:val="24"/>
              </w:rPr>
              <w:t>,</w:t>
            </w:r>
            <w:r>
              <w:rPr>
                <w:rFonts w:hint="eastAsia" w:ascii="宋体" w:cs="宋体"/>
                <w:color w:val="000000"/>
                <w:sz w:val="24"/>
              </w:rPr>
              <w:t>疏通通乡、通村、通组道路。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rPr>
                <w:rFonts w:ascii="宋体" w:cs="宋体"/>
                <w:color w:val="000000"/>
                <w:sz w:val="24"/>
              </w:rPr>
            </w:pPr>
            <w:r>
              <w:rPr>
                <w:rFonts w:hint="eastAsia"/>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ind w:firstLine="480" w:firstLineChars="200"/>
              <w:jc w:val="center"/>
              <w:rPr>
                <w:rFonts w:ascii="宋体" w:cs="宋体"/>
                <w:color w:val="000000"/>
                <w:sz w:val="24"/>
              </w:rPr>
            </w:pPr>
            <w:r>
              <w:rPr>
                <w:rFonts w:hint="eastAsia" w:ascii="宋体" w:cs="宋体"/>
                <w:color w:val="000000"/>
                <w:sz w:val="24"/>
              </w:rPr>
              <w:t xml:space="preserve">              疏通通乡、通村、通组道路。</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21公里</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完成我乡疏通河道</w:t>
            </w:r>
            <w:r>
              <w:rPr>
                <w:rFonts w:ascii="宋体" w:cs="宋体"/>
                <w:color w:val="000000"/>
                <w:sz w:val="24"/>
              </w:rPr>
              <w:t>,</w:t>
            </w:r>
            <w:r>
              <w:rPr>
                <w:rFonts w:hint="eastAsia" w:ascii="宋体" w:cs="宋体"/>
                <w:color w:val="000000"/>
                <w:sz w:val="24"/>
              </w:rPr>
              <w:t>疏通通乡、通村、通组道路。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utoSpaceDE w:val="0"/>
              <w:autoSpaceDN w:val="0"/>
              <w:adjustRightInd w:val="0"/>
              <w:jc w:val="left"/>
              <w:rPr>
                <w:rFonts w:ascii="宋体" w:cs="宋体"/>
                <w:color w:val="000000"/>
                <w:sz w:val="24"/>
              </w:rPr>
            </w:pPr>
            <w:r>
              <w:rPr>
                <w:rFonts w:hint="eastAsia" w:ascii="宋体" w:cs="宋体"/>
                <w:color w:val="000000"/>
                <w:sz w:val="24"/>
              </w:rPr>
              <w:t>防汛抢险保畅经费租赁费</w:t>
            </w:r>
          </w:p>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项目质量合格率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保质保量完工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
      <w:pPr>
        <w:rPr>
          <w:rFonts w:ascii="Calibri" w:hAnsi="Calibri" w:eastAsia="Times New Roman"/>
          <w:kern w:val="0"/>
          <w:sz w:val="22"/>
          <w:szCs w:val="22"/>
        </w:rPr>
      </w:pPr>
      <w:r>
        <w:rPr>
          <w:rFonts w:hint="eastAsia" w:ascii="仿宋_GB2312" w:eastAsia="仿宋_GB2312" w:cs="仿宋_GB2312"/>
          <w:sz w:val="32"/>
          <w:szCs w:val="32"/>
        </w:rPr>
        <w:t>4 .“阿科里乡治安及环境监控系统”绩效目标完成情况综述。项目全年预算数4.8万元，执行数为4.8万元，完成预算的100%。</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rPr>
              <w:t>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阿科里乡治安及环境监控系统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金川县阿科里乡人民政府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4.8</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4.8万元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4.8</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4.8</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utoSpaceDE w:val="0"/>
              <w:autoSpaceDN w:val="0"/>
              <w:adjustRightInd w:val="0"/>
              <w:jc w:val="left"/>
              <w:rPr>
                <w:rFonts w:ascii="Calibri" w:hAnsi="Calibri" w:eastAsia="Times New Roman"/>
                <w:kern w:val="0"/>
                <w:sz w:val="22"/>
                <w:szCs w:val="22"/>
              </w:rPr>
            </w:pPr>
            <w:r>
              <w:rPr>
                <w:rFonts w:hint="eastAsia" w:ascii="微软雅黑" w:eastAsia="微软雅黑" w:cs="微软雅黑"/>
                <w:kern w:val="0"/>
                <w:sz w:val="22"/>
                <w:szCs w:val="22"/>
              </w:rPr>
              <w:t>为进一步监督及打击恶意破幻环境卫生行为、巩固阿科里乡环境综合治理成果、建立长效环境监督机制。</w:t>
            </w:r>
          </w:p>
          <w:p>
            <w:pPr>
              <w:widowControl/>
              <w:jc w:val="left"/>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utoSpaceDE w:val="0"/>
              <w:autoSpaceDN w:val="0"/>
              <w:adjustRightInd w:val="0"/>
              <w:jc w:val="left"/>
              <w:rPr>
                <w:rFonts w:ascii="Calibri" w:hAnsi="Calibri" w:eastAsia="Times New Roman"/>
                <w:kern w:val="0"/>
                <w:sz w:val="22"/>
                <w:szCs w:val="22"/>
              </w:rPr>
            </w:pPr>
            <w:r>
              <w:rPr>
                <w:rFonts w:hint="eastAsia" w:ascii="微软雅黑" w:eastAsia="微软雅黑" w:cs="微软雅黑"/>
                <w:kern w:val="0"/>
                <w:sz w:val="22"/>
                <w:szCs w:val="22"/>
              </w:rPr>
              <w:t>三维万向节支架</w:t>
            </w:r>
            <w:r>
              <w:rPr>
                <w:rFonts w:ascii="Calibri" w:hAnsi="Calibri" w:eastAsia="Times New Roman"/>
                <w:kern w:val="0"/>
                <w:sz w:val="22"/>
                <w:szCs w:val="22"/>
              </w:rPr>
              <w:t>,</w:t>
            </w:r>
            <w:r>
              <w:rPr>
                <w:rFonts w:hint="eastAsia" w:ascii="微软雅黑" w:eastAsia="微软雅黑" w:cs="微软雅黑"/>
                <w:kern w:val="0"/>
                <w:sz w:val="22"/>
                <w:szCs w:val="22"/>
              </w:rPr>
              <w:t>横臂支架</w:t>
            </w:r>
            <w:r>
              <w:rPr>
                <w:rFonts w:ascii="Calibri" w:hAnsi="Calibri" w:eastAsia="Times New Roman"/>
                <w:kern w:val="0"/>
                <w:sz w:val="22"/>
                <w:szCs w:val="22"/>
              </w:rPr>
              <w:t>,</w:t>
            </w:r>
            <w:r>
              <w:rPr>
                <w:rFonts w:hint="eastAsia" w:ascii="微软雅黑" w:eastAsia="微软雅黑" w:cs="微软雅黑"/>
                <w:kern w:val="0"/>
                <w:sz w:val="22"/>
                <w:szCs w:val="22"/>
              </w:rPr>
              <w:t>超五类网线</w:t>
            </w:r>
            <w:r>
              <w:rPr>
                <w:rFonts w:ascii="Calibri" w:hAnsi="Calibri" w:eastAsia="Times New Roman"/>
                <w:kern w:val="0"/>
                <w:sz w:val="22"/>
                <w:szCs w:val="22"/>
              </w:rPr>
              <w:t>,D25</w:t>
            </w:r>
            <w:r>
              <w:rPr>
                <w:rFonts w:hint="eastAsia" w:ascii="微软雅黑" w:eastAsia="微软雅黑" w:cs="微软雅黑"/>
                <w:kern w:val="0"/>
                <w:sz w:val="22"/>
                <w:szCs w:val="22"/>
              </w:rPr>
              <w:t>管材</w:t>
            </w:r>
            <w:r>
              <w:rPr>
                <w:rFonts w:ascii="Calibri" w:hAnsi="Calibri" w:eastAsia="Times New Roman"/>
                <w:kern w:val="0"/>
                <w:sz w:val="22"/>
                <w:szCs w:val="22"/>
              </w:rPr>
              <w:t>,</w:t>
            </w:r>
            <w:r>
              <w:rPr>
                <w:rFonts w:hint="eastAsia" w:ascii="微软雅黑" w:eastAsia="微软雅黑" w:cs="微软雅黑"/>
                <w:kern w:val="0"/>
                <w:sz w:val="22"/>
                <w:szCs w:val="22"/>
              </w:rPr>
              <w:t>辅材</w:t>
            </w:r>
            <w:r>
              <w:rPr>
                <w:rFonts w:ascii="Calibri" w:hAnsi="Calibri" w:eastAsia="Times New Roman"/>
                <w:kern w:val="0"/>
                <w:sz w:val="22"/>
                <w:szCs w:val="22"/>
              </w:rPr>
              <w:t>,</w:t>
            </w:r>
            <w:r>
              <w:rPr>
                <w:rFonts w:hint="eastAsia" w:ascii="微软雅黑" w:eastAsia="微软雅黑" w:cs="微软雅黑"/>
                <w:kern w:val="0"/>
                <w:sz w:val="22"/>
                <w:szCs w:val="22"/>
              </w:rPr>
              <w:t>前端机箱</w:t>
            </w:r>
            <w:r>
              <w:rPr>
                <w:rFonts w:ascii="Calibri" w:hAnsi="Calibri" w:eastAsia="Times New Roman"/>
                <w:kern w:val="0"/>
                <w:sz w:val="22"/>
                <w:szCs w:val="22"/>
              </w:rPr>
              <w:t>,</w:t>
            </w:r>
            <w:r>
              <w:rPr>
                <w:rFonts w:hint="eastAsia" w:ascii="微软雅黑" w:eastAsia="微软雅黑" w:cs="微软雅黑"/>
                <w:kern w:val="0"/>
                <w:sz w:val="22"/>
                <w:szCs w:val="22"/>
              </w:rPr>
              <w:t>插线板</w:t>
            </w:r>
            <w:r>
              <w:rPr>
                <w:rFonts w:ascii="Calibri" w:hAnsi="Calibri" w:eastAsia="Times New Roman"/>
                <w:kern w:val="0"/>
                <w:sz w:val="22"/>
                <w:szCs w:val="22"/>
              </w:rPr>
              <w:t>,</w:t>
            </w:r>
            <w:r>
              <w:rPr>
                <w:rFonts w:hint="eastAsia" w:ascii="微软雅黑" w:eastAsia="微软雅黑" w:cs="微软雅黑"/>
                <w:kern w:val="0"/>
                <w:sz w:val="22"/>
                <w:szCs w:val="22"/>
              </w:rPr>
              <w:t>空开</w:t>
            </w:r>
            <w:r>
              <w:rPr>
                <w:rFonts w:ascii="Calibri" w:hAnsi="Calibri" w:eastAsia="Times New Roman"/>
                <w:kern w:val="0"/>
                <w:sz w:val="22"/>
                <w:szCs w:val="22"/>
              </w:rPr>
              <w:t>,</w:t>
            </w:r>
            <w:r>
              <w:rPr>
                <w:rFonts w:hint="eastAsia" w:ascii="微软雅黑" w:eastAsia="微软雅黑" w:cs="微软雅黑"/>
                <w:kern w:val="0"/>
                <w:sz w:val="22"/>
                <w:szCs w:val="22"/>
              </w:rPr>
              <w:t>摄像机电源线</w:t>
            </w:r>
            <w:r>
              <w:rPr>
                <w:rFonts w:ascii="Calibri" w:hAnsi="Calibri" w:eastAsia="Times New Roman"/>
                <w:kern w:val="0"/>
                <w:sz w:val="22"/>
                <w:szCs w:val="22"/>
              </w:rPr>
              <w:t>,</w:t>
            </w:r>
            <w:r>
              <w:rPr>
                <w:rFonts w:hint="eastAsia" w:ascii="微软雅黑" w:eastAsia="微软雅黑" w:cs="微软雅黑"/>
                <w:kern w:val="0"/>
                <w:sz w:val="22"/>
                <w:szCs w:val="22"/>
              </w:rPr>
              <w:t>摄像机电源</w:t>
            </w:r>
            <w:r>
              <w:rPr>
                <w:rFonts w:ascii="Calibri" w:hAnsi="Calibri" w:eastAsia="Times New Roman"/>
                <w:kern w:val="0"/>
                <w:sz w:val="22"/>
                <w:szCs w:val="22"/>
              </w:rPr>
              <w:t>,</w:t>
            </w:r>
            <w:r>
              <w:rPr>
                <w:rFonts w:hint="eastAsia" w:ascii="微软雅黑" w:eastAsia="微软雅黑" w:cs="微软雅黑"/>
                <w:kern w:val="0"/>
                <w:sz w:val="22"/>
                <w:szCs w:val="22"/>
              </w:rPr>
              <w:t>安装监控摄像头</w:t>
            </w:r>
            <w:r>
              <w:rPr>
                <w:rFonts w:ascii="Calibri" w:hAnsi="Calibri" w:eastAsia="Times New Roman"/>
                <w:kern w:val="0"/>
                <w:sz w:val="22"/>
                <w:szCs w:val="22"/>
              </w:rPr>
              <w:t>,</w:t>
            </w:r>
            <w:r>
              <w:rPr>
                <w:rFonts w:hint="eastAsia" w:ascii="微软雅黑" w:eastAsia="微软雅黑" w:cs="微软雅黑"/>
                <w:kern w:val="0"/>
                <w:sz w:val="22"/>
                <w:szCs w:val="22"/>
              </w:rPr>
              <w:t>二合一防雷器</w:t>
            </w:r>
          </w:p>
          <w:p>
            <w:pPr>
              <w:widowControl/>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监控摄像头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hint="eastAsia" w:ascii="宋体" w:cs="宋体"/>
                <w:color w:val="000000"/>
                <w:sz w:val="24"/>
              </w:rPr>
              <w:t>22台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sz w:val="24"/>
              </w:rPr>
            </w:pPr>
            <w:r>
              <w:rPr>
                <w:rFonts w:hint="eastAsia" w:ascii="宋体" w:cs="宋体"/>
                <w:color w:val="000000"/>
                <w:sz w:val="24"/>
              </w:rPr>
              <w:t>22台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rPr>
          <w:rFonts w:ascii="Calibri" w:hAnsi="Calibri"/>
        </w:rPr>
      </w:pPr>
    </w:p>
    <w:p>
      <w:pPr>
        <w:rPr>
          <w:rFonts w:ascii="仿宋_GB2312" w:eastAsia="仿宋_GB2312" w:cs="仿宋_GB2312"/>
          <w:sz w:val="32"/>
          <w:szCs w:val="32"/>
        </w:rPr>
      </w:pPr>
      <w:r>
        <w:rPr>
          <w:rFonts w:hint="eastAsia" w:ascii="仿宋_GB2312" w:eastAsia="仿宋_GB2312" w:cs="仿宋_GB2312"/>
          <w:sz w:val="32"/>
          <w:szCs w:val="32"/>
        </w:rPr>
        <w:t>5 .“基层治理工作经费”绩效目标完成情况综述。项目全年预算数30万元，执行数为30万元，完成预算的100%。</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rPr>
              <w:t>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基层治理工作经费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金川县阿科里乡人民政府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30</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30万元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30</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30</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utoSpaceDE w:val="0"/>
              <w:autoSpaceDN w:val="0"/>
              <w:adjustRightInd w:val="0"/>
              <w:jc w:val="left"/>
              <w:rPr>
                <w:rFonts w:ascii="微软雅黑" w:eastAsia="微软雅黑" w:cs="微软雅黑"/>
                <w:kern w:val="0"/>
                <w:sz w:val="22"/>
                <w:szCs w:val="22"/>
              </w:rPr>
            </w:pPr>
            <w:r>
              <w:rPr>
                <w:rFonts w:hint="eastAsia" w:ascii="微软雅黑" w:eastAsia="微软雅黑" w:cs="微软雅黑"/>
                <w:kern w:val="0"/>
                <w:sz w:val="22"/>
                <w:szCs w:val="22"/>
              </w:rPr>
              <w:t>阿科里乡基层治理工作经费：制作标识标牌、主席挂像，环境治理劳务费用等。</w:t>
            </w:r>
          </w:p>
          <w:p>
            <w:pPr>
              <w:widowControl/>
              <w:jc w:val="left"/>
              <w:textAlignment w:val="center"/>
              <w:rPr>
                <w:rFonts w:ascii="微软雅黑" w:eastAsia="微软雅黑" w:cs="微软雅黑"/>
                <w:kern w:val="0"/>
                <w:sz w:val="22"/>
                <w:szCs w:val="22"/>
              </w:rPr>
            </w:pP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微软雅黑" w:eastAsia="微软雅黑" w:cs="微软雅黑"/>
                <w:kern w:val="0"/>
                <w:sz w:val="22"/>
                <w:szCs w:val="22"/>
              </w:rPr>
            </w:pPr>
            <w:r>
              <w:rPr>
                <w:rFonts w:hint="eastAsia" w:ascii="微软雅黑" w:eastAsia="微软雅黑" w:cs="微软雅黑"/>
                <w:kern w:val="0"/>
                <w:sz w:val="22"/>
                <w:szCs w:val="22"/>
              </w:rPr>
              <w:t>完成阿科里乡基层治理工作经费：制作标识标牌、主席挂像，环境治理劳务费用等。</w:t>
            </w:r>
          </w:p>
          <w:p>
            <w:pPr>
              <w:widowControl/>
              <w:textAlignment w:val="center"/>
              <w:rPr>
                <w:rFonts w:ascii="微软雅黑" w:eastAsia="微软雅黑" w:cs="微软雅黑"/>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utoSpaceDE w:val="0"/>
              <w:autoSpaceDN w:val="0"/>
              <w:adjustRightInd w:val="0"/>
              <w:jc w:val="left"/>
              <w:rPr>
                <w:rFonts w:ascii="Calibri" w:hAnsi="Calibri" w:eastAsia="Times New Roman"/>
                <w:kern w:val="0"/>
                <w:sz w:val="22"/>
                <w:szCs w:val="22"/>
              </w:rPr>
            </w:pPr>
            <w:r>
              <w:rPr>
                <w:rFonts w:hint="eastAsia" w:ascii="微软雅黑" w:eastAsia="微软雅黑" w:cs="微软雅黑"/>
                <w:kern w:val="0"/>
                <w:sz w:val="22"/>
                <w:szCs w:val="22"/>
              </w:rPr>
              <w:t>制作标识标牌、主席挂像等资金投入</w:t>
            </w:r>
            <w:r>
              <w:rPr>
                <w:rFonts w:ascii="Calibri" w:hAnsi="Calibri" w:eastAsia="Times New Roman"/>
                <w:kern w:val="0"/>
                <w:sz w:val="22"/>
                <w:szCs w:val="22"/>
              </w:rPr>
              <w:t>,</w:t>
            </w:r>
            <w:r>
              <w:rPr>
                <w:rFonts w:hint="eastAsia" w:ascii="微软雅黑" w:eastAsia="微软雅黑" w:cs="微软雅黑"/>
                <w:kern w:val="0"/>
                <w:sz w:val="22"/>
                <w:szCs w:val="22"/>
              </w:rPr>
              <w:t>环境治理资金投入</w:t>
            </w:r>
          </w:p>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hint="eastAsia" w:ascii="宋体" w:cs="宋体"/>
                <w:color w:val="000000"/>
                <w:sz w:val="24"/>
              </w:rPr>
              <w:t>劳务费15万元，办公费15万元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sz w:val="24"/>
              </w:rPr>
            </w:pPr>
            <w:r>
              <w:rPr>
                <w:rFonts w:hint="eastAsia" w:ascii="宋体" w:cs="宋体"/>
                <w:color w:val="000000"/>
                <w:sz w:val="24"/>
              </w:rPr>
              <w:t>劳务费15万元，办公费15万元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600" w:lineRule="exact"/>
        <w:ind w:firstLine="640" w:firstLineChars="200"/>
        <w:outlineLvl w:val="1"/>
        <w:rPr>
          <w:rStyle w:val="20"/>
          <w:rFonts w:ascii="黑体" w:eastAsia="黑体"/>
        </w:rPr>
      </w:pPr>
      <w:bookmarkStart w:id="55" w:name="_Toc30171"/>
      <w:bookmarkStart w:id="56" w:name="_Toc15377221"/>
      <w:r>
        <w:rPr>
          <w:rFonts w:hint="eastAsia" w:ascii="黑体" w:eastAsia="黑体"/>
          <w:color w:val="000000"/>
          <w:sz w:val="32"/>
          <w:szCs w:val="32"/>
        </w:rPr>
        <w:t>十</w:t>
      </w:r>
      <w:r>
        <w:rPr>
          <w:rStyle w:val="20"/>
          <w:rFonts w:hint="eastAsia" w:ascii="黑体" w:eastAsia="黑体"/>
        </w:rPr>
        <w:t>一、</w:t>
      </w:r>
      <w:r>
        <w:rPr>
          <w:rStyle w:val="20"/>
          <w:rFonts w:hint="eastAsia" w:ascii="黑体" w:eastAsia="黑体"/>
          <w:b w:val="0"/>
        </w:rPr>
        <w:t>其他重要事项的情况说明</w:t>
      </w:r>
      <w:bookmarkEnd w:id="55"/>
      <w:bookmarkEnd w:id="56"/>
    </w:p>
    <w:p>
      <w:pPr>
        <w:spacing w:line="600" w:lineRule="exact"/>
        <w:ind w:firstLine="642" w:firstLineChars="200"/>
        <w:outlineLvl w:val="2"/>
        <w:rPr>
          <w:rFonts w:ascii="仿宋" w:eastAsia="仿宋"/>
          <w:color w:val="000000"/>
          <w:sz w:val="32"/>
          <w:szCs w:val="32"/>
        </w:rPr>
      </w:pPr>
      <w:bookmarkStart w:id="57" w:name="_Toc15377222"/>
      <w:r>
        <w:rPr>
          <w:rFonts w:hint="eastAsia" w:ascii="仿宋" w:eastAsia="仿宋"/>
          <w:b/>
          <w:color w:val="000000"/>
          <w:sz w:val="32"/>
          <w:szCs w:val="32"/>
        </w:rPr>
        <w:t>（一）机关运行经费支出情况</w:t>
      </w:r>
      <w:bookmarkEnd w:id="57"/>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202</w:t>
      </w:r>
      <w:r>
        <w:rPr>
          <w:rFonts w:hint="eastAsia" w:ascii="仿宋_GB2312" w:eastAsia="仿宋_GB2312"/>
          <w:color w:val="000000"/>
          <w:sz w:val="32"/>
          <w:szCs w:val="32"/>
        </w:rPr>
        <w:t>1年，阿科里乡人民政府运行经费支出0万元</w:t>
      </w:r>
      <w:r>
        <w:rPr>
          <w:rFonts w:hint="eastAsia" w:ascii="仿宋_GB2312" w:eastAsia="仿宋_GB2312"/>
          <w:sz w:val="32"/>
          <w:szCs w:val="32"/>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58" w:name="_Toc15377224"/>
      <w:r>
        <w:rPr>
          <w:rFonts w:hint="eastAsia" w:ascii="仿宋" w:eastAsia="仿宋"/>
          <w:b/>
          <w:color w:val="000000"/>
          <w:sz w:val="32"/>
          <w:szCs w:val="32"/>
        </w:rPr>
        <w:t>（二）国有资产占有使用情况</w:t>
      </w:r>
      <w:bookmarkEnd w:id="58"/>
    </w:p>
    <w:p>
      <w:pPr>
        <w:widowControl/>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日，共有车辆1辆，为日常工作及应急保障用车。</w:t>
      </w:r>
    </w:p>
    <w:p>
      <w:pPr>
        <w:widowControl/>
        <w:numPr>
          <w:ilvl w:val="0"/>
          <w:numId w:val="5"/>
        </w:numPr>
        <w:ind w:left="0" w:firstLine="642" w:firstLineChars="200"/>
        <w:jc w:val="left"/>
        <w:rPr>
          <w:rFonts w:ascii="仿宋_GB2312" w:eastAsia="仿宋_GB2312"/>
          <w:b/>
          <w:color w:val="000000"/>
          <w:sz w:val="32"/>
          <w:szCs w:val="32"/>
        </w:rPr>
      </w:pPr>
      <w:r>
        <w:rPr>
          <w:rFonts w:hint="eastAsia" w:ascii="仿宋_GB2312" w:eastAsia="仿宋_GB2312"/>
          <w:b/>
          <w:color w:val="000000"/>
          <w:sz w:val="32"/>
          <w:szCs w:val="32"/>
        </w:rPr>
        <w:t xml:space="preserve">政府采购支出情况   </w:t>
      </w:r>
    </w:p>
    <w:p>
      <w:pPr>
        <w:widowControl/>
        <w:tabs>
          <w:tab w:val="left" w:pos="0"/>
        </w:tabs>
        <w:ind w:left="420" w:leftChars="200" w:firstLine="320" w:firstLineChars="100"/>
        <w:jc w:val="left"/>
        <w:rPr>
          <w:rFonts w:ascii="仿宋_GB2312" w:eastAsia="仿宋_GB2312"/>
          <w:color w:val="000000"/>
          <w:sz w:val="32"/>
          <w:szCs w:val="32"/>
        </w:rPr>
      </w:pPr>
      <w:r>
        <w:rPr>
          <w:rFonts w:hint="eastAsia" w:ascii="仿宋_GB2312" w:eastAsia="仿宋_GB2312"/>
          <w:color w:val="000000"/>
          <w:sz w:val="32"/>
          <w:szCs w:val="32"/>
        </w:rPr>
        <w:t>无政府采购支出。</w:t>
      </w:r>
    </w:p>
    <w:p>
      <w:pPr>
        <w:widowControl/>
        <w:tabs>
          <w:tab w:val="left" w:pos="0"/>
        </w:tabs>
        <w:ind w:left="420" w:leftChars="200"/>
        <w:jc w:val="left"/>
        <w:rPr>
          <w:rFonts w:ascii="仿宋_GB2312" w:eastAsia="仿宋_GB2312"/>
          <w:b/>
          <w:color w:val="000000"/>
          <w:sz w:val="32"/>
          <w:szCs w:val="32"/>
        </w:rPr>
      </w:pPr>
      <w:r>
        <w:rPr>
          <w:rFonts w:hint="eastAsia" w:ascii="仿宋_GB2312" w:eastAsia="仿宋_GB2312"/>
          <w:b/>
          <w:color w:val="000000"/>
          <w:sz w:val="32"/>
          <w:szCs w:val="32"/>
        </w:rPr>
        <w:t xml:space="preserve">   </w:t>
      </w:r>
    </w:p>
    <w:p>
      <w:pPr>
        <w:numPr>
          <w:ilvl w:val="0"/>
          <w:numId w:val="7"/>
        </w:numPr>
        <w:spacing w:line="600" w:lineRule="exact"/>
        <w:ind w:left="0" w:firstLine="662" w:firstLineChars="150"/>
        <w:jc w:val="center"/>
        <w:outlineLvl w:val="0"/>
        <w:rPr>
          <w:rStyle w:val="19"/>
          <w:rFonts w:ascii="黑体" w:eastAsia="黑体"/>
          <w:b w:val="0"/>
        </w:rPr>
      </w:pPr>
      <w:bookmarkStart w:id="59" w:name="_Toc15377225"/>
      <w:bookmarkStart w:id="60" w:name="_Toc30760"/>
      <w:r>
        <w:rPr>
          <w:rFonts w:hint="eastAsia" w:ascii="黑体" w:eastAsia="黑体"/>
          <w:b/>
          <w:color w:val="000000"/>
          <w:sz w:val="44"/>
          <w:szCs w:val="44"/>
        </w:rPr>
        <w:t>名</w:t>
      </w:r>
      <w:r>
        <w:rPr>
          <w:rStyle w:val="19"/>
          <w:rFonts w:hint="eastAsia" w:ascii="黑体" w:eastAsia="黑体"/>
          <w:b w:val="0"/>
        </w:rPr>
        <w:t>词解释</w:t>
      </w:r>
      <w:bookmarkEnd w:id="59"/>
      <w:bookmarkEnd w:id="60"/>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4"/>
        <w:rPr>
          <w:rStyle w:val="19"/>
          <w:rFonts w:ascii="仿宋" w:eastAsia="仿宋"/>
          <w:b w:val="0"/>
          <w:bCs w:val="0"/>
          <w:sz w:val="32"/>
          <w:szCs w:val="32"/>
        </w:rPr>
      </w:pPr>
      <w:bookmarkStart w:id="61" w:name="_Toc15396614"/>
      <w:bookmarkStart w:id="62" w:name="_Toc15377226"/>
    </w:p>
    <w:p>
      <w:pPr>
        <w:pStyle w:val="4"/>
        <w:rPr>
          <w:rFonts w:ascii="仿宋" w:eastAsia="仿宋"/>
          <w:b w:val="0"/>
          <w:bCs w:val="0"/>
          <w:kern w:val="44"/>
        </w:rPr>
      </w:pPr>
      <w:r>
        <w:rPr>
          <w:rStyle w:val="19"/>
          <w:rFonts w:hint="eastAsia" w:ascii="仿宋" w:eastAsia="仿宋"/>
          <w:b w:val="0"/>
          <w:bCs w:val="0"/>
          <w:sz w:val="32"/>
          <w:szCs w:val="32"/>
        </w:rPr>
        <w:t>附件1</w:t>
      </w:r>
    </w:p>
    <w:p>
      <w:pPr>
        <w:numPr>
          <w:ilvl w:val="0"/>
          <w:numId w:val="7"/>
        </w:numPr>
        <w:spacing w:line="600" w:lineRule="exact"/>
        <w:ind w:left="0" w:firstLine="660" w:firstLineChars="150"/>
        <w:jc w:val="center"/>
        <w:outlineLvl w:val="0"/>
        <w:rPr>
          <w:rStyle w:val="19"/>
          <w:rFonts w:ascii="黑体" w:eastAsia="黑体"/>
          <w:b w:val="0"/>
        </w:rPr>
      </w:pPr>
      <w:r>
        <w:rPr>
          <w:rStyle w:val="19"/>
          <w:rFonts w:hint="eastAsia" w:ascii="黑体" w:eastAsia="黑体"/>
          <w:b w:val="0"/>
        </w:rPr>
        <w:t>附件</w:t>
      </w:r>
    </w:p>
    <w:p>
      <w:pPr>
        <w:widowControl/>
        <w:spacing w:line="560" w:lineRule="atLeast"/>
        <w:jc w:val="center"/>
        <w:rPr>
          <w:rFonts w:ascii="宋体" w:eastAsia="宋体" w:cs="宋体"/>
          <w:b/>
          <w:sz w:val="44"/>
          <w:szCs w:val="44"/>
          <w:lang w:val="en-US" w:eastAsia="zh-CN"/>
        </w:rPr>
      </w:pPr>
      <w:r>
        <w:rPr>
          <w:rFonts w:hint="eastAsia" w:ascii="宋体" w:cs="宋体"/>
          <w:b/>
          <w:sz w:val="44"/>
          <w:szCs w:val="44"/>
          <w:lang w:val="en-US" w:eastAsia="zh-CN"/>
        </w:rPr>
        <w:t>金川县阿科里乡人民政府</w:t>
      </w:r>
    </w:p>
    <w:p>
      <w:pPr>
        <w:widowControl/>
        <w:spacing w:line="560" w:lineRule="atLeast"/>
        <w:jc w:val="center"/>
        <w:rPr>
          <w:rFonts w:ascii="仿宋_GB2312" w:hAnsi="仿宋_GB2312"/>
          <w:color w:val="000000"/>
          <w:kern w:val="0"/>
          <w:shd w:val="clear" w:color="auto" w:fill="FFFFFF"/>
        </w:rPr>
      </w:pPr>
      <w:r>
        <w:rPr>
          <w:rFonts w:hint="eastAsia" w:ascii="宋体" w:cs="宋体"/>
          <w:b/>
          <w:sz w:val="44"/>
          <w:szCs w:val="44"/>
        </w:rPr>
        <w:t>2021年部门整体支出绩效评价报告</w:t>
      </w:r>
    </w:p>
    <w:p>
      <w:pPr>
        <w:widowControl/>
        <w:adjustRightInd w:val="0"/>
        <w:snapToGrid w:val="0"/>
        <w:spacing w:line="540" w:lineRule="exact"/>
        <w:ind w:firstLine="480" w:firstLineChars="150"/>
        <w:jc w:val="left"/>
        <w:rPr>
          <w:rFonts w:ascii="黑体" w:eastAsia="黑体" w:cs="宋体"/>
          <w:color w:val="000000"/>
          <w:kern w:val="0"/>
          <w:lang w:val="zh-CN"/>
        </w:rPr>
      </w:pPr>
      <w:r>
        <w:rPr>
          <w:rFonts w:hint="eastAsia" w:ascii="黑体" w:eastAsia="黑体" w:cs="宋体"/>
          <w:color w:val="000000"/>
          <w:kern w:val="0"/>
          <w:sz w:val="32"/>
        </w:rPr>
        <w:t>一、</w:t>
      </w:r>
      <w:r>
        <w:rPr>
          <w:rFonts w:hint="eastAsia" w:ascii="黑体" w:eastAsia="黑体" w:cs="宋体"/>
          <w:color w:val="000000"/>
          <w:kern w:val="0"/>
          <w:sz w:val="32"/>
          <w:lang w:val="zh-CN"/>
        </w:rPr>
        <w:t>部门（单位）概况</w:t>
      </w:r>
    </w:p>
    <w:p>
      <w:pPr>
        <w:ind w:firstLine="480" w:firstLineChars="150"/>
        <w:rPr>
          <w:rFonts w:ascii="仿宋" w:eastAsia="仿宋" w:cs="宋体"/>
          <w:color w:val="000000"/>
          <w:sz w:val="32"/>
          <w:szCs w:val="32"/>
        </w:rPr>
      </w:pPr>
      <w:r>
        <w:rPr>
          <w:rFonts w:hint="eastAsia" w:ascii="仿宋" w:eastAsia="仿宋" w:cs="宋体"/>
          <w:color w:val="000000"/>
          <w:sz w:val="32"/>
          <w:szCs w:val="32"/>
        </w:rPr>
        <w:t>1、主要职能</w:t>
      </w:r>
    </w:p>
    <w:p>
      <w:pPr>
        <w:snapToGrid w:val="0"/>
        <w:spacing w:line="360" w:lineRule="auto"/>
        <w:ind w:firstLine="640" w:firstLineChars="200"/>
        <w:outlineLvl w:val="1"/>
        <w:rPr>
          <w:rFonts w:ascii="仿宋_GB2312" w:eastAsia="仿宋_GB2312" w:cs="仿宋_GB2312"/>
          <w:sz w:val="32"/>
          <w:szCs w:val="32"/>
        </w:rPr>
      </w:pPr>
      <w:r>
        <w:rPr>
          <w:rFonts w:hint="eastAsia" w:ascii="仿宋_GB2312" w:eastAsia="仿宋_GB2312" w:cs="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阿科里发展的新局面。</w:t>
      </w:r>
    </w:p>
    <w:p>
      <w:pPr>
        <w:ind w:firstLine="480" w:firstLineChars="150"/>
        <w:rPr>
          <w:rFonts w:ascii="仿宋" w:eastAsia="仿宋" w:cs="宋体"/>
          <w:color w:val="000000"/>
          <w:sz w:val="32"/>
          <w:szCs w:val="32"/>
        </w:rPr>
      </w:pPr>
      <w:r>
        <w:rPr>
          <w:rFonts w:hint="eastAsia" w:ascii="仿宋" w:eastAsia="仿宋" w:cs="宋体"/>
          <w:color w:val="000000"/>
          <w:sz w:val="32"/>
          <w:szCs w:val="32"/>
        </w:rPr>
        <w:t>2.机构情况</w:t>
      </w:r>
    </w:p>
    <w:p>
      <w:pPr>
        <w:ind w:firstLine="480" w:firstLineChars="150"/>
        <w:rPr>
          <w:rFonts w:hint="eastAsia" w:ascii="仿宋_GB2312" w:eastAsia="仿宋_GB2312" w:cs="仿宋_GB2312"/>
          <w:bCs/>
          <w:sz w:val="32"/>
        </w:rPr>
      </w:pPr>
      <w:r>
        <w:rPr>
          <w:rFonts w:hint="eastAsia" w:ascii="仿宋" w:eastAsia="仿宋" w:cs="宋体"/>
          <w:color w:val="000000"/>
          <w:sz w:val="32"/>
          <w:szCs w:val="32"/>
        </w:rPr>
        <w:t xml:space="preserve"> </w:t>
      </w:r>
      <w:r>
        <w:rPr>
          <w:rFonts w:hint="eastAsia" w:ascii="仿宋_GB2312" w:eastAsia="仿宋_GB2312" w:cs="仿宋_GB2312"/>
          <w:bCs/>
          <w:sz w:val="32"/>
        </w:rPr>
        <w:t>我乡20</w:t>
      </w:r>
      <w:r>
        <w:rPr>
          <w:rFonts w:ascii="仿宋_GB2312" w:eastAsia="仿宋_GB2312" w:cs="仿宋_GB2312"/>
          <w:bCs/>
          <w:sz w:val="32"/>
        </w:rPr>
        <w:t>2</w:t>
      </w:r>
      <w:r>
        <w:rPr>
          <w:rFonts w:hint="eastAsia" w:ascii="仿宋_GB2312" w:eastAsia="仿宋_GB2312" w:cs="仿宋_GB2312"/>
          <w:bCs/>
          <w:sz w:val="32"/>
        </w:rPr>
        <w:t>1年有2个机构，较上年无变动。</w:t>
      </w:r>
    </w:p>
    <w:p>
      <w:pPr>
        <w:ind w:firstLine="480" w:firstLineChars="150"/>
        <w:rPr>
          <w:rFonts w:ascii="仿宋" w:eastAsia="仿宋" w:cs="宋体"/>
          <w:color w:val="000000"/>
          <w:sz w:val="32"/>
          <w:szCs w:val="32"/>
        </w:rPr>
      </w:pPr>
      <w:r>
        <w:rPr>
          <w:rFonts w:hint="eastAsia" w:ascii="仿宋" w:eastAsia="仿宋" w:cs="宋体"/>
          <w:color w:val="000000"/>
          <w:sz w:val="32"/>
          <w:szCs w:val="32"/>
        </w:rPr>
        <w:t>3.人员情况</w:t>
      </w:r>
    </w:p>
    <w:p>
      <w:pPr>
        <w:snapToGrid w:val="0"/>
        <w:spacing w:line="560" w:lineRule="exact"/>
        <w:ind w:firstLine="640" w:firstLineChars="200"/>
        <w:rPr>
          <w:rFonts w:ascii="仿宋_GB2312" w:eastAsia="仿宋_GB2312" w:cs="仿宋_GB2312"/>
          <w:bCs/>
          <w:sz w:val="32"/>
        </w:rPr>
      </w:pPr>
      <w:r>
        <w:rPr>
          <w:rFonts w:hint="eastAsia" w:ascii="仿宋" w:eastAsia="仿宋" w:cs="宋体"/>
          <w:color w:val="000000"/>
          <w:sz w:val="32"/>
          <w:szCs w:val="32"/>
        </w:rPr>
        <w:t xml:space="preserve"> </w:t>
      </w:r>
      <w:r>
        <w:rPr>
          <w:rFonts w:hint="eastAsia" w:ascii="仿宋_GB2312" w:eastAsia="仿宋_GB2312" w:cs="仿宋_GB2312"/>
          <w:bCs/>
          <w:sz w:val="32"/>
          <w:lang w:val="en-US" w:eastAsia="zh-CN"/>
        </w:rPr>
        <w:t>单位编制数26人，其中：公务员编制14人、行政工勤编制2人、事业编制10人；</w:t>
      </w:r>
      <w:r>
        <w:rPr>
          <w:rFonts w:hint="eastAsia" w:ascii="仿宋_GB2312" w:eastAsia="仿宋_GB2312" w:cs="仿宋_GB2312"/>
          <w:bCs/>
          <w:sz w:val="32"/>
        </w:rPr>
        <w:t>我乡本年度年末实有人数为27人（行政人员15，机关工勤2人，事业人员10人）</w:t>
      </w:r>
      <w:r>
        <w:rPr>
          <w:rFonts w:hint="eastAsia" w:ascii="仿宋_GB2312" w:eastAsia="仿宋_GB2312" w:cs="仿宋_GB2312"/>
          <w:bCs/>
          <w:sz w:val="32"/>
          <w:lang w:eastAsia="zh-CN"/>
        </w:rPr>
        <w:t>，</w:t>
      </w:r>
      <w:r>
        <w:rPr>
          <w:rFonts w:hint="eastAsia" w:ascii="仿宋_GB2312" w:eastAsia="仿宋_GB2312" w:cs="仿宋_GB2312"/>
          <w:bCs/>
          <w:sz w:val="32"/>
        </w:rPr>
        <w:t>比上年行政人员增加1人，事业人员增加4人，由于编制空缺，有人员新进及调进。</w:t>
      </w:r>
    </w:p>
    <w:p>
      <w:pPr>
        <w:ind w:firstLine="480" w:firstLineChars="150"/>
        <w:rPr>
          <w:rFonts w:ascii="仿宋" w:eastAsia="仿宋" w:cs="宋体"/>
          <w:color w:val="000000"/>
          <w:sz w:val="32"/>
          <w:szCs w:val="32"/>
        </w:rPr>
      </w:pPr>
    </w:p>
    <w:p>
      <w:pPr>
        <w:widowControl/>
        <w:adjustRightInd w:val="0"/>
        <w:snapToGrid w:val="0"/>
        <w:spacing w:line="540" w:lineRule="exact"/>
        <w:ind w:firstLine="480" w:firstLineChars="150"/>
        <w:jc w:val="left"/>
        <w:rPr>
          <w:rFonts w:ascii="黑体" w:eastAsia="黑体" w:cs="宋体"/>
          <w:color w:val="000000"/>
          <w:kern w:val="0"/>
          <w:sz w:val="32"/>
        </w:rPr>
      </w:pPr>
      <w:r>
        <w:rPr>
          <w:rFonts w:hint="eastAsia" w:ascii="黑体" w:eastAsia="黑体" w:cs="宋体"/>
          <w:color w:val="000000"/>
          <w:kern w:val="0"/>
          <w:sz w:val="32"/>
        </w:rPr>
        <w:t>二、部门财政资金收支情况</w:t>
      </w:r>
    </w:p>
    <w:p>
      <w:pPr>
        <w:spacing w:line="540" w:lineRule="exact"/>
        <w:ind w:firstLine="578"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（一）收入支出预算安排情况</w:t>
      </w:r>
    </w:p>
    <w:p>
      <w:pPr>
        <w:ind w:firstLine="480" w:firstLineChars="150"/>
        <w:rPr>
          <w:rFonts w:ascii="仿宋" w:eastAsia="仿宋" w:cs="宋体"/>
          <w:color w:val="000000"/>
          <w:sz w:val="32"/>
          <w:szCs w:val="32"/>
        </w:rPr>
      </w:pPr>
      <w:r>
        <w:rPr>
          <w:rFonts w:hint="eastAsia" w:ascii="仿宋" w:eastAsia="仿宋" w:cs="宋体"/>
          <w:color w:val="000000"/>
          <w:sz w:val="32"/>
          <w:szCs w:val="32"/>
        </w:rPr>
        <w:t>2021年财政拨款年初预算收入936.29万元，财政拨款收入1253.66万元；2021年财政拨款支出1255.22万元，其中：</w:t>
      </w:r>
      <w:r>
        <w:rPr>
          <w:rFonts w:hint="eastAsia" w:ascii="仿宋" w:eastAsia="仿宋"/>
          <w:color w:val="000000"/>
          <w:sz w:val="32"/>
          <w:szCs w:val="32"/>
        </w:rPr>
        <w:t>其中：基本支出1205.82万元，占96.06%；项目支出49.4万元，占3.94%。</w:t>
      </w:r>
    </w:p>
    <w:p>
      <w:pPr>
        <w:snapToGrid w:val="0"/>
        <w:spacing w:line="520" w:lineRule="exact"/>
        <w:ind w:firstLine="640" w:firstLineChars="200"/>
        <w:rPr>
          <w:rFonts w:ascii="仿宋" w:eastAsia="仿宋" w:cs="仿宋_GB2312"/>
          <w:bCs/>
          <w:sz w:val="32"/>
          <w:szCs w:val="32"/>
        </w:rPr>
      </w:pPr>
      <w:r>
        <w:rPr>
          <w:rFonts w:hint="eastAsia" w:ascii="仿宋" w:eastAsia="仿宋" w:cs="仿宋_GB2312"/>
          <w:color w:val="000000"/>
          <w:sz w:val="32"/>
          <w:szCs w:val="32"/>
          <w:lang w:val="zh-CN"/>
        </w:rPr>
        <w:t>（二）</w:t>
      </w:r>
      <w:r>
        <w:rPr>
          <w:rFonts w:hint="eastAsia" w:ascii="仿宋" w:eastAsia="仿宋" w:cs="仿宋_GB2312"/>
          <w:bCs/>
          <w:sz w:val="32"/>
          <w:szCs w:val="32"/>
        </w:rPr>
        <w:t>2021年一般公共预算财政拨款支出</w:t>
      </w:r>
      <w:r>
        <w:rPr>
          <w:rFonts w:hint="eastAsia" w:ascii="仿宋" w:eastAsia="仿宋" w:cs="仿宋_GB2312"/>
          <w:color w:val="000000"/>
          <w:sz w:val="32"/>
          <w:szCs w:val="32"/>
        </w:rPr>
        <w:t>1255.22</w:t>
      </w:r>
      <w:r>
        <w:rPr>
          <w:rFonts w:hint="eastAsia" w:ascii="仿宋" w:eastAsia="仿宋" w:cs="仿宋_GB2312"/>
          <w:bCs/>
          <w:sz w:val="32"/>
          <w:szCs w:val="32"/>
        </w:rPr>
        <w:t>万元，主要用于以下方面:一般公共服务支出1012.59万元，占80.68%；教育支出支出1.58万元，占0.15%；社会保障和就业支出113.92万元，占9.07%；卫生健康支出45.23万元，占3.6%；住房保障支出81.89万元，占6.5%。</w:t>
      </w:r>
    </w:p>
    <w:p>
      <w:pPr>
        <w:snapToGrid w:val="0"/>
        <w:spacing w:line="520" w:lineRule="exact"/>
        <w:ind w:firstLine="640" w:firstLineChars="200"/>
        <w:rPr>
          <w:rFonts w:ascii="仿宋_GB2312" w:eastAsia="仿宋_GB2312"/>
          <w:color w:val="000000"/>
          <w:sz w:val="32"/>
          <w:szCs w:val="32"/>
        </w:rPr>
      </w:pPr>
      <w:r>
        <w:rPr>
          <w:rFonts w:hint="eastAsia" w:ascii="仿宋" w:eastAsia="仿宋"/>
          <w:color w:val="000000"/>
          <w:sz w:val="32"/>
          <w:szCs w:val="32"/>
        </w:rPr>
        <w:t>人员经费</w:t>
      </w:r>
      <w:r>
        <w:rPr>
          <w:rFonts w:hint="eastAsia" w:ascii="仿宋_GB2312" w:eastAsia="仿宋_GB2312"/>
          <w:color w:val="000000"/>
          <w:sz w:val="32"/>
          <w:szCs w:val="32"/>
        </w:rPr>
        <w:t>1079.75</w:t>
      </w:r>
      <w:r>
        <w:rPr>
          <w:rFonts w:hint="eastAsia" w:ascii="仿宋" w:eastAsia="仿宋"/>
          <w:color w:val="000000"/>
          <w:sz w:val="32"/>
          <w:szCs w:val="32"/>
        </w:rPr>
        <w:t>万元，主要包括：</w:t>
      </w:r>
      <w:r>
        <w:rPr>
          <w:rFonts w:hint="eastAsia" w:ascii="仿宋_GB2312" w:eastAsia="仿宋_GB2312"/>
          <w:color w:val="000000"/>
          <w:sz w:val="32"/>
          <w:szCs w:val="32"/>
        </w:rPr>
        <w:t>基本工资208.45万元、津贴补贴279.42万元、奖金17.32万元、机关事业单位基本养老保险缴费75.93万元、职业年金缴费38万元、其他社会保障缴费5.61万元、住房公积金80.86万元、职工基本医疗保险缴费34.36万元、公务员医疗补助10.87万元、生活补助18.82万元、奖励金278.07万元、抚恤金32.05万元等。</w:t>
      </w:r>
    </w:p>
    <w:p>
      <w:pPr>
        <w:snapToGrid w:val="0"/>
        <w:spacing w:line="520" w:lineRule="exact"/>
        <w:ind w:firstLine="640" w:firstLineChars="200"/>
        <w:rPr>
          <w:rFonts w:ascii="仿宋_GB2312" w:eastAsia="仿宋_GB2312"/>
          <w:color w:val="000000"/>
          <w:sz w:val="32"/>
          <w:szCs w:val="32"/>
        </w:rPr>
      </w:pPr>
      <w:r>
        <w:rPr>
          <w:rFonts w:hint="eastAsia" w:ascii="仿宋" w:eastAsia="仿宋"/>
          <w:color w:val="000000"/>
          <w:sz w:val="32"/>
          <w:szCs w:val="32"/>
        </w:rPr>
        <w:t>　　公用经费</w:t>
      </w:r>
      <w:r>
        <w:rPr>
          <w:rFonts w:hint="eastAsia" w:ascii="仿宋_GB2312" w:eastAsia="仿宋_GB2312"/>
          <w:color w:val="000000"/>
          <w:sz w:val="32"/>
          <w:szCs w:val="32"/>
        </w:rPr>
        <w:t>126.07</w:t>
      </w:r>
      <w:r>
        <w:rPr>
          <w:rFonts w:hint="eastAsia" w:ascii="仿宋" w:eastAsia="仿宋"/>
          <w:color w:val="000000"/>
          <w:sz w:val="32"/>
          <w:szCs w:val="32"/>
        </w:rPr>
        <w:t>万元，主要包括：</w:t>
      </w:r>
      <w:r>
        <w:rPr>
          <w:rFonts w:hint="eastAsia" w:ascii="仿宋_GB2312" w:eastAsia="仿宋_GB2312"/>
          <w:color w:val="000000"/>
          <w:sz w:val="32"/>
          <w:szCs w:val="32"/>
        </w:rPr>
        <w:t>办公费31.5万元、水费0.51万元、电费8万元、邮电费19.45万元、差旅费31.27万元、维修维护费1.52万元、公务接待0.17万元、劳务费10.59万元、福利费4.46万元、公务用车运行维护费18.6万元。</w:t>
      </w:r>
    </w:p>
    <w:p>
      <w:pPr>
        <w:snapToGrid w:val="0"/>
        <w:spacing w:line="520" w:lineRule="exact"/>
        <w:ind w:firstLine="640" w:firstLineChars="200"/>
        <w:rPr>
          <w:rFonts w:ascii="仿宋" w:eastAsia="仿宋"/>
          <w:color w:val="000000"/>
          <w:sz w:val="32"/>
          <w:szCs w:val="32"/>
        </w:rPr>
      </w:pPr>
      <w:r>
        <w:rPr>
          <w:rFonts w:hint="eastAsia" w:ascii="仿宋" w:eastAsia="仿宋"/>
          <w:color w:val="000000"/>
          <w:sz w:val="32"/>
          <w:szCs w:val="32"/>
        </w:rPr>
        <w:t>项目支出49.4万元。</w:t>
      </w:r>
    </w:p>
    <w:p>
      <w:pPr>
        <w:widowControl/>
        <w:adjustRightInd w:val="0"/>
        <w:snapToGrid w:val="0"/>
        <w:spacing w:line="540" w:lineRule="exact"/>
        <w:ind w:firstLine="480" w:firstLineChars="150"/>
        <w:jc w:val="left"/>
        <w:rPr>
          <w:rFonts w:ascii="黑体" w:eastAsia="黑体" w:cs="宋体"/>
          <w:color w:val="000000"/>
          <w:kern w:val="0"/>
          <w:sz w:val="32"/>
        </w:rPr>
      </w:pPr>
      <w:r>
        <w:rPr>
          <w:rFonts w:hint="eastAsia" w:ascii="黑体" w:eastAsia="黑体" w:cs="宋体"/>
          <w:color w:val="000000"/>
          <w:kern w:val="0"/>
          <w:sz w:val="32"/>
        </w:rPr>
        <w:t>三、部门财政支出管理情况</w:t>
      </w:r>
    </w:p>
    <w:p>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（一）预算编制情况。</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(1)预算编制质量：</w:t>
      </w:r>
      <w:r>
        <w:rPr>
          <w:rFonts w:hint="eastAsia" w:ascii="仿宋" w:eastAsia="仿宋" w:cs="仿宋_GB2312"/>
          <w:sz w:val="32"/>
          <w:szCs w:val="32"/>
        </w:rPr>
        <w:t>2021年预算</w:t>
      </w:r>
      <w:r>
        <w:rPr>
          <w:rFonts w:hint="eastAsia" w:ascii="仿宋" w:eastAsia="仿宋" w:cs="宋体"/>
          <w:color w:val="000000"/>
          <w:sz w:val="32"/>
          <w:szCs w:val="32"/>
        </w:rPr>
        <w:t>936.29</w:t>
      </w:r>
      <w:r>
        <w:rPr>
          <w:rFonts w:hint="eastAsia" w:ascii="仿宋" w:eastAsia="仿宋" w:cs="仿宋_GB2312"/>
          <w:sz w:val="32"/>
          <w:szCs w:val="32"/>
        </w:rPr>
        <w:t>万元，其中人员经费750.49万元，公用经费135.8万元，项目支出54万元。2021年部门收入预算总额为936.29元，较上年增加152.76万元，增加19.5%。其中：当年财政拨款收入936.29万元，其他收入 0万元，上年结转收入0万元。相应安排支出预算936.29万元，其中：基本支出预算882.29万元，项目支出54万元。</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（2）绩效目标填报：</w:t>
      </w:r>
      <w:r>
        <w:rPr>
          <w:rFonts w:hint="eastAsia" w:ascii="仿宋" w:eastAsia="仿宋" w:cs="仿宋_GB2312"/>
          <w:color w:val="000000"/>
          <w:sz w:val="32"/>
          <w:szCs w:val="32"/>
        </w:rPr>
        <w:t>项目申报严格按照上级要求，明确绩效目标，控制支行成本，提高项目发挥作用。并</w:t>
      </w:r>
      <w:r>
        <w:rPr>
          <w:rFonts w:hint="eastAsia" w:ascii="仿宋" w:eastAsia="仿宋" w:cs="仿宋_GB2312"/>
          <w:color w:val="000000"/>
          <w:sz w:val="32"/>
          <w:szCs w:val="32"/>
          <w:lang w:val="zh-CN"/>
        </w:rPr>
        <w:t>根据财政局统一要求编制了我委整体绩效目标报告及项目整体绩效目标表，并报县财政局。</w:t>
      </w:r>
    </w:p>
    <w:p>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（二）执行管理情况。</w:t>
      </w:r>
      <w:r>
        <w:rPr>
          <w:rFonts w:hint="eastAsia" w:ascii="仿宋_GB2312" w:eastAsia="仿宋_GB2312" w:cs="仿宋_GB2312"/>
          <w:color w:val="000000"/>
          <w:sz w:val="32"/>
          <w:szCs w:val="32"/>
          <w:lang w:val="zh-CN"/>
        </w:rPr>
        <w:tab/>
      </w:r>
    </w:p>
    <w:p>
      <w:pPr>
        <w:ind w:firstLine="709"/>
        <w:rPr>
          <w:rFonts w:ascii="仿宋" w:eastAsia="仿宋"/>
          <w:bCs/>
          <w:sz w:val="32"/>
          <w:szCs w:val="32"/>
        </w:rPr>
      </w:pPr>
      <w:r>
        <w:rPr>
          <w:rFonts w:hint="eastAsia" w:ascii="仿宋" w:eastAsia="仿宋" w:cs="仿宋_GB2312"/>
          <w:color w:val="000000"/>
          <w:sz w:val="32"/>
          <w:szCs w:val="32"/>
          <w:lang w:val="zh-CN"/>
        </w:rPr>
        <w:t>部门预算执行情况良好，但基本集中在下半年。支出情况中期评估不足，</w:t>
      </w:r>
      <w:r>
        <w:rPr>
          <w:rFonts w:hint="eastAsia" w:ascii="仿宋" w:eastAsia="仿宋"/>
          <w:bCs/>
          <w:sz w:val="32"/>
          <w:szCs w:val="32"/>
        </w:rPr>
        <w:t>2021年我单位“三公”经费支出总额为18.77万元。主要是公务用车运行维护费18.6万元。2021年我单位公务用车运行维护费年初预算数为20万元，决算数为18.6万元，上年决算数为20万元，与上年同期相比减少1.4万元。公务接待数2020年决算数为0.17万元，上年决算为0.38万元，与上年同期相比减少0.21万元。</w:t>
      </w:r>
    </w:p>
    <w:p>
      <w:pPr>
        <w:spacing w:line="54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（三）综合管理情况。</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我委</w:t>
      </w:r>
      <w:r>
        <w:rPr>
          <w:rFonts w:hint="eastAsia" w:ascii="仿宋" w:eastAsia="仿宋" w:cs="仿宋_GB2312"/>
          <w:color w:val="000000"/>
          <w:sz w:val="32"/>
          <w:szCs w:val="32"/>
        </w:rPr>
        <w:t>2021年无预算、支出政府采购。所有国有资产纳入</w:t>
      </w:r>
      <w:r>
        <w:rPr>
          <w:rFonts w:hint="eastAsia" w:ascii="仿宋" w:eastAsia="仿宋" w:cs="仿宋_GB2312"/>
          <w:color w:val="000000"/>
          <w:sz w:val="32"/>
          <w:szCs w:val="32"/>
          <w:lang w:val="zh-CN"/>
        </w:rPr>
        <w:t>资产管理系统，及时准确上报并做好资产的管理工作。根据相关要求，单位使用预算资金基本符合相关的预算财务管理制度。我委在财政批复后</w:t>
      </w:r>
      <w:r>
        <w:rPr>
          <w:rFonts w:hint="eastAsia" w:ascii="仿宋" w:eastAsia="仿宋" w:cs="仿宋_GB2312"/>
          <w:color w:val="000000"/>
          <w:sz w:val="32"/>
          <w:szCs w:val="32"/>
        </w:rPr>
        <w:t>20日内在指定网站公开预决算信息。按照相关要求进行绩效自我评价，按要求及时上报，对发现的问题提出整改措施，并整改落实到位。</w:t>
      </w:r>
      <w:r>
        <w:rPr>
          <w:rFonts w:hint="eastAsia" w:ascii="仿宋" w:eastAsia="仿宋" w:cs="仿宋_GB2312"/>
          <w:color w:val="000000"/>
          <w:sz w:val="32"/>
          <w:szCs w:val="32"/>
          <w:lang w:val="zh-CN"/>
        </w:rPr>
        <w:t>绩效评价及依法接受财政监督情况等。</w:t>
      </w:r>
    </w:p>
    <w:p>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（四）整体绩效。</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widowControl/>
        <w:adjustRightInd w:val="0"/>
        <w:snapToGrid w:val="0"/>
        <w:spacing w:line="540" w:lineRule="exact"/>
        <w:jc w:val="left"/>
        <w:rPr>
          <w:rFonts w:ascii="黑体" w:eastAsia="黑体" w:cs="宋体"/>
          <w:color w:val="000000"/>
          <w:kern w:val="0"/>
          <w:sz w:val="32"/>
        </w:rPr>
      </w:pPr>
      <w:r>
        <w:rPr>
          <w:rFonts w:hint="eastAsia" w:ascii="黑体" w:eastAsia="黑体" w:cs="宋体"/>
          <w:color w:val="000000"/>
          <w:kern w:val="0"/>
          <w:sz w:val="32"/>
        </w:rPr>
        <w:t>四、评价结论及建议</w:t>
      </w:r>
    </w:p>
    <w:p>
      <w:pPr>
        <w:spacing w:line="520" w:lineRule="exact"/>
        <w:ind w:firstLine="578"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（一）评价结论</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kern w:val="0"/>
          <w:sz w:val="32"/>
          <w:szCs w:val="32"/>
          <w:shd w:val="clear" w:color="auto" w:fill="FFFFFF"/>
          <w:lang w:val="zh-CN"/>
        </w:rPr>
        <w:t>在自评过程发现问题，查找原因，及时纠正偏差，为下一步工作夯实基础。</w:t>
      </w:r>
      <w:r>
        <w:rPr>
          <w:rFonts w:hint="eastAsia" w:ascii="仿宋" w:eastAsia="仿宋" w:cs="仿宋_GB2312"/>
          <w:color w:val="000000"/>
          <w:sz w:val="32"/>
          <w:szCs w:val="32"/>
        </w:rPr>
        <w:t>整体评价良好，预算支出和决算支出情况相符。</w:t>
      </w:r>
    </w:p>
    <w:p>
      <w:pPr>
        <w:spacing w:line="520" w:lineRule="exact"/>
        <w:ind w:firstLine="578"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（二）存在问题</w:t>
      </w:r>
    </w:p>
    <w:p>
      <w:pPr>
        <w:spacing w:line="540" w:lineRule="exact"/>
        <w:ind w:firstLine="642" w:firstLineChars="200"/>
        <w:rPr>
          <w:rFonts w:ascii="仿宋" w:eastAsia="仿宋" w:cs="仿宋_GB2312"/>
          <w:color w:val="000000"/>
          <w:sz w:val="32"/>
          <w:szCs w:val="32"/>
          <w:shd w:val="clear" w:color="auto" w:fill="FFFFFF"/>
        </w:rPr>
      </w:pPr>
      <w:r>
        <w:rPr>
          <w:rFonts w:hint="eastAsia" w:ascii="仿宋" w:eastAsia="仿宋" w:cs="仿宋_GB2312"/>
          <w:b/>
          <w:bCs/>
          <w:color w:val="000000"/>
          <w:kern w:val="0"/>
          <w:sz w:val="32"/>
          <w:szCs w:val="32"/>
        </w:rPr>
        <w:t xml:space="preserve"> </w:t>
      </w:r>
      <w:r>
        <w:rPr>
          <w:rFonts w:hint="eastAsia" w:ascii="仿宋" w:eastAsia="仿宋" w:cs="仿宋_GB2312"/>
          <w:color w:val="000000"/>
          <w:sz w:val="32"/>
          <w:szCs w:val="32"/>
          <w:shd w:val="clear" w:color="auto" w:fill="FFFFFF"/>
        </w:rPr>
        <w:t xml:space="preserve">一是资金使用效益有待进一步提高。二是绩效目标设立不够明确、细化和量化。虽然设立了项目资金绩效目标，但目标不够明确、细化和量化。        </w:t>
      </w:r>
    </w:p>
    <w:p>
      <w:pPr>
        <w:spacing w:line="520" w:lineRule="exact"/>
        <w:ind w:firstLine="578"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（三）改进建议</w:t>
      </w:r>
    </w:p>
    <w:p>
      <w:pPr>
        <w:pStyle w:val="14"/>
        <w:widowControl/>
        <w:shd w:val="clear" w:color="auto" w:fill="FFFFFF"/>
        <w:spacing w:beforeAutospacing="0" w:afterAutospacing="0" w:line="576" w:lineRule="exact"/>
        <w:ind w:firstLine="640" w:firstLineChars="200"/>
        <w:rPr>
          <w:rFonts w:ascii="仿宋" w:eastAsia="仿宋" w:cs="仿宋_GB2312"/>
          <w:color w:val="000000"/>
          <w:sz w:val="32"/>
          <w:szCs w:val="32"/>
          <w:shd w:val="clear" w:color="auto" w:fill="FFFFFF"/>
        </w:rPr>
      </w:pPr>
      <w:r>
        <w:rPr>
          <w:rFonts w:hint="eastAsia" w:ascii="仿宋" w:eastAsia="仿宋" w:cs="仿宋_GB2312"/>
          <w:color w:val="000000"/>
          <w:sz w:val="32"/>
          <w:szCs w:val="32"/>
        </w:rPr>
        <w:t>一是合理规范使用财政预算资金。二是</w:t>
      </w:r>
      <w:r>
        <w:rPr>
          <w:rFonts w:hint="eastAsia" w:ascii="仿宋" w:eastAsia="仿宋"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ind w:firstLine="1760" w:firstLineChars="400"/>
        <w:outlineLvl w:val="0"/>
        <w:rPr>
          <w:rFonts w:hint="eastAsia" w:ascii="黑体" w:eastAsia="黑体"/>
          <w:color w:val="000000"/>
          <w:sz w:val="44"/>
          <w:szCs w:val="44"/>
        </w:rPr>
      </w:pPr>
    </w:p>
    <w:p>
      <w:pPr>
        <w:spacing w:line="600" w:lineRule="exact"/>
        <w:ind w:firstLine="1760" w:firstLineChars="400"/>
        <w:outlineLvl w:val="0"/>
        <w:rPr>
          <w:rFonts w:hint="eastAsia" w:ascii="黑体" w:eastAsia="黑体"/>
          <w:color w:val="000000"/>
          <w:sz w:val="44"/>
          <w:szCs w:val="44"/>
        </w:rPr>
      </w:pPr>
    </w:p>
    <w:p>
      <w:pPr>
        <w:spacing w:line="600" w:lineRule="exact"/>
        <w:ind w:firstLine="1760" w:firstLineChars="400"/>
        <w:outlineLvl w:val="0"/>
        <w:rPr>
          <w:rFonts w:hint="eastAsia" w:ascii="黑体" w:eastAsia="黑体"/>
          <w:color w:val="000000"/>
          <w:sz w:val="44"/>
          <w:szCs w:val="44"/>
        </w:rPr>
      </w:pPr>
    </w:p>
    <w:p>
      <w:pPr>
        <w:spacing w:line="600" w:lineRule="exact"/>
        <w:ind w:firstLine="1760" w:firstLineChars="400"/>
        <w:outlineLvl w:val="0"/>
        <w:rPr>
          <w:rFonts w:hint="eastAsia" w:ascii="黑体" w:eastAsia="黑体"/>
          <w:color w:val="000000"/>
          <w:sz w:val="44"/>
          <w:szCs w:val="44"/>
        </w:rPr>
      </w:pPr>
    </w:p>
    <w:p>
      <w:pPr>
        <w:spacing w:line="600" w:lineRule="exact"/>
        <w:ind w:firstLine="1760" w:firstLineChars="400"/>
        <w:outlineLvl w:val="0"/>
        <w:rPr>
          <w:rFonts w:hint="eastAsia" w:ascii="黑体" w:eastAsia="黑体"/>
          <w:color w:val="000000"/>
          <w:sz w:val="44"/>
          <w:szCs w:val="44"/>
        </w:rPr>
      </w:pPr>
    </w:p>
    <w:p>
      <w:pPr>
        <w:spacing w:line="600" w:lineRule="exact"/>
        <w:ind w:firstLine="2640" w:firstLineChars="600"/>
        <w:outlineLvl w:val="0"/>
        <w:rPr>
          <w:rStyle w:val="19"/>
          <w:rFonts w:ascii="黑体" w:eastAsia="黑体"/>
          <w:b w:val="0"/>
        </w:rPr>
      </w:pPr>
      <w:r>
        <w:rPr>
          <w:rFonts w:hint="eastAsia" w:ascii="黑体" w:eastAsia="黑体"/>
          <w:color w:val="000000"/>
          <w:sz w:val="44"/>
          <w:szCs w:val="44"/>
        </w:rPr>
        <w:t>第</w:t>
      </w:r>
      <w:r>
        <w:rPr>
          <w:rStyle w:val="19"/>
          <w:rFonts w:hint="eastAsia" w:ascii="黑体" w:eastAsia="黑体"/>
          <w:b w:val="0"/>
        </w:rPr>
        <w:t>五部分 附表</w:t>
      </w:r>
    </w:p>
    <w:p>
      <w:pPr>
        <w:pStyle w:val="4"/>
        <w:rPr>
          <w:rFonts w:ascii="仿宋" w:eastAsia="仿宋"/>
          <w:color w:val="000000"/>
        </w:rPr>
      </w:pPr>
      <w:r>
        <w:rPr>
          <w:rFonts w:hint="eastAsia" w:ascii="仿宋" w:eastAsia="仿宋"/>
          <w:b w:val="0"/>
          <w:color w:val="000000"/>
        </w:rPr>
        <w:t>一、收</w:t>
      </w:r>
      <w:r>
        <w:rPr>
          <w:rStyle w:val="20"/>
          <w:rFonts w:hint="eastAsia" w:ascii="仿宋" w:eastAsia="仿宋"/>
          <w:b w:val="0"/>
          <w:bCs w:val="0"/>
        </w:rPr>
        <w:t>入支出决算总表</w:t>
      </w:r>
    </w:p>
    <w:p>
      <w:pPr>
        <w:pStyle w:val="4"/>
        <w:rPr>
          <w:rFonts w:ascii="仿宋" w:eastAsia="仿宋"/>
          <w:color w:val="000000"/>
        </w:rPr>
      </w:pPr>
      <w:bookmarkStart w:id="63" w:name="_Toc15396620"/>
      <w:r>
        <w:rPr>
          <w:rFonts w:hint="eastAsia" w:ascii="仿宋" w:eastAsia="仿宋"/>
          <w:b w:val="0"/>
          <w:color w:val="000000"/>
        </w:rPr>
        <w:t>二、收</w:t>
      </w:r>
      <w:r>
        <w:rPr>
          <w:rStyle w:val="20"/>
          <w:rFonts w:hint="eastAsia" w:ascii="仿宋" w:eastAsia="仿宋"/>
          <w:b w:val="0"/>
          <w:bCs w:val="0"/>
        </w:rPr>
        <w:t>入总表</w:t>
      </w:r>
      <w:bookmarkEnd w:id="63"/>
    </w:p>
    <w:p>
      <w:pPr>
        <w:pStyle w:val="4"/>
        <w:rPr>
          <w:rFonts w:ascii="仿宋" w:eastAsia="仿宋"/>
          <w:color w:val="000000"/>
        </w:rPr>
      </w:pPr>
      <w:bookmarkStart w:id="64" w:name="_Toc15396621"/>
      <w:r>
        <w:rPr>
          <w:rStyle w:val="20"/>
          <w:rFonts w:hint="eastAsia" w:ascii="仿宋" w:eastAsia="仿宋"/>
          <w:b w:val="0"/>
          <w:bCs w:val="0"/>
        </w:rPr>
        <w:t>三、</w:t>
      </w:r>
      <w:r>
        <w:rPr>
          <w:rFonts w:hint="eastAsia" w:ascii="仿宋" w:eastAsia="仿宋"/>
          <w:b w:val="0"/>
          <w:color w:val="000000"/>
        </w:rPr>
        <w:t>支</w:t>
      </w:r>
      <w:r>
        <w:rPr>
          <w:rStyle w:val="20"/>
          <w:rFonts w:hint="eastAsia" w:ascii="仿宋" w:eastAsia="仿宋"/>
          <w:b w:val="0"/>
          <w:bCs w:val="0"/>
        </w:rPr>
        <w:t>出总表</w:t>
      </w:r>
      <w:bookmarkEnd w:id="64"/>
    </w:p>
    <w:p>
      <w:pPr>
        <w:pStyle w:val="4"/>
        <w:rPr>
          <w:rFonts w:ascii="仿宋" w:eastAsia="仿宋"/>
          <w:b w:val="0"/>
          <w:color w:val="000000"/>
        </w:rPr>
      </w:pPr>
      <w:bookmarkStart w:id="65" w:name="_Toc15396622"/>
      <w:r>
        <w:rPr>
          <w:rStyle w:val="20"/>
          <w:rFonts w:hint="eastAsia" w:ascii="仿宋" w:eastAsia="仿宋"/>
          <w:b w:val="0"/>
          <w:bCs w:val="0"/>
        </w:rPr>
        <w:t>四、</w:t>
      </w:r>
      <w:r>
        <w:rPr>
          <w:rFonts w:hint="eastAsia" w:ascii="仿宋" w:eastAsia="仿宋"/>
          <w:b w:val="0"/>
          <w:color w:val="000000"/>
        </w:rPr>
        <w:t>财</w:t>
      </w:r>
      <w:r>
        <w:rPr>
          <w:rStyle w:val="20"/>
          <w:rFonts w:hint="eastAsia" w:ascii="仿宋" w:eastAsia="仿宋"/>
          <w:b w:val="0"/>
          <w:bCs w:val="0"/>
        </w:rPr>
        <w:t>政拨款收入支出决算总表</w:t>
      </w:r>
      <w:bookmarkEnd w:id="65"/>
    </w:p>
    <w:p>
      <w:pPr>
        <w:pStyle w:val="4"/>
        <w:rPr>
          <w:rFonts w:ascii="仿宋" w:eastAsia="仿宋"/>
          <w:color w:val="000000"/>
        </w:rPr>
      </w:pPr>
      <w:bookmarkStart w:id="66" w:name="_Toc15396623"/>
      <w:r>
        <w:rPr>
          <w:rStyle w:val="20"/>
          <w:rFonts w:hint="eastAsia" w:ascii="仿宋" w:eastAsia="仿宋"/>
          <w:b w:val="0"/>
          <w:bCs w:val="0"/>
        </w:rPr>
        <w:t>五、</w:t>
      </w:r>
      <w:r>
        <w:rPr>
          <w:rFonts w:hint="eastAsia" w:ascii="仿宋" w:eastAsia="仿宋"/>
          <w:b w:val="0"/>
          <w:color w:val="000000"/>
        </w:rPr>
        <w:t>财</w:t>
      </w:r>
      <w:r>
        <w:rPr>
          <w:rStyle w:val="20"/>
          <w:rFonts w:hint="eastAsia" w:ascii="仿宋" w:eastAsia="仿宋"/>
          <w:b w:val="0"/>
          <w:bCs w:val="0"/>
        </w:rPr>
        <w:t>政拨款支出决算明细表（政府经济分类科目）</w:t>
      </w:r>
      <w:bookmarkEnd w:id="66"/>
    </w:p>
    <w:p>
      <w:pPr>
        <w:pStyle w:val="4"/>
        <w:rPr>
          <w:rFonts w:ascii="仿宋" w:eastAsia="仿宋"/>
          <w:color w:val="000000"/>
        </w:rPr>
      </w:pPr>
      <w:bookmarkStart w:id="67" w:name="_Toc15396624"/>
      <w:r>
        <w:rPr>
          <w:rStyle w:val="20"/>
          <w:rFonts w:hint="eastAsia" w:ascii="仿宋" w:eastAsia="仿宋"/>
          <w:b w:val="0"/>
          <w:bCs w:val="0"/>
        </w:rPr>
        <w:t>六、</w:t>
      </w:r>
      <w:r>
        <w:rPr>
          <w:rFonts w:hint="eastAsia" w:ascii="仿宋" w:eastAsia="仿宋"/>
          <w:b w:val="0"/>
          <w:color w:val="000000"/>
        </w:rPr>
        <w:t>一</w:t>
      </w:r>
      <w:r>
        <w:rPr>
          <w:rStyle w:val="20"/>
          <w:rFonts w:hint="eastAsia" w:ascii="仿宋" w:eastAsia="仿宋"/>
          <w:b w:val="0"/>
          <w:bCs w:val="0"/>
        </w:rPr>
        <w:t>般公共预算财政拨款支出决算表</w:t>
      </w:r>
      <w:bookmarkEnd w:id="67"/>
    </w:p>
    <w:p>
      <w:pPr>
        <w:pStyle w:val="4"/>
        <w:rPr>
          <w:rFonts w:ascii="仿宋" w:eastAsia="仿宋"/>
          <w:color w:val="000000"/>
        </w:rPr>
      </w:pPr>
      <w:bookmarkStart w:id="68" w:name="_Toc15396625"/>
      <w:r>
        <w:rPr>
          <w:rStyle w:val="20"/>
          <w:rFonts w:hint="eastAsia" w:ascii="仿宋" w:eastAsia="仿宋"/>
          <w:b w:val="0"/>
          <w:bCs w:val="0"/>
        </w:rPr>
        <w:t>七、</w:t>
      </w:r>
      <w:r>
        <w:rPr>
          <w:rFonts w:hint="eastAsia" w:ascii="仿宋" w:eastAsia="仿宋"/>
          <w:b w:val="0"/>
          <w:color w:val="000000"/>
        </w:rPr>
        <w:t>一</w:t>
      </w:r>
      <w:r>
        <w:rPr>
          <w:rStyle w:val="20"/>
          <w:rFonts w:hint="eastAsia" w:ascii="仿宋" w:eastAsia="仿宋"/>
          <w:b w:val="0"/>
          <w:bCs w:val="0"/>
        </w:rPr>
        <w:t>般公共预算财政拨款支出决算明细表</w:t>
      </w:r>
      <w:bookmarkEnd w:id="68"/>
    </w:p>
    <w:p>
      <w:pPr>
        <w:pStyle w:val="4"/>
        <w:rPr>
          <w:rFonts w:ascii="仿宋" w:eastAsia="仿宋"/>
          <w:color w:val="000000"/>
        </w:rPr>
      </w:pPr>
      <w:bookmarkStart w:id="69" w:name="_Toc15396626"/>
      <w:r>
        <w:rPr>
          <w:rStyle w:val="20"/>
          <w:rFonts w:hint="eastAsia" w:ascii="仿宋" w:eastAsia="仿宋"/>
          <w:b w:val="0"/>
          <w:bCs w:val="0"/>
        </w:rPr>
        <w:t>八、</w:t>
      </w:r>
      <w:r>
        <w:rPr>
          <w:rFonts w:hint="eastAsia" w:ascii="仿宋" w:eastAsia="仿宋"/>
          <w:b w:val="0"/>
          <w:color w:val="000000"/>
        </w:rPr>
        <w:t>一</w:t>
      </w:r>
      <w:r>
        <w:rPr>
          <w:rStyle w:val="20"/>
          <w:rFonts w:hint="eastAsia" w:ascii="仿宋" w:eastAsia="仿宋"/>
          <w:b w:val="0"/>
          <w:bCs w:val="0"/>
        </w:rPr>
        <w:t>般公共预算财政拨款基本支出决算表</w:t>
      </w:r>
      <w:bookmarkEnd w:id="69"/>
    </w:p>
    <w:p>
      <w:pPr>
        <w:pStyle w:val="4"/>
        <w:rPr>
          <w:rFonts w:ascii="仿宋" w:eastAsia="仿宋"/>
          <w:color w:val="000000"/>
        </w:rPr>
      </w:pPr>
      <w:bookmarkStart w:id="70" w:name="_Toc15396627"/>
      <w:r>
        <w:rPr>
          <w:rStyle w:val="20"/>
          <w:rFonts w:hint="eastAsia" w:ascii="仿宋" w:eastAsia="仿宋"/>
          <w:b w:val="0"/>
          <w:bCs w:val="0"/>
        </w:rPr>
        <w:t>九、</w:t>
      </w:r>
      <w:r>
        <w:rPr>
          <w:rFonts w:hint="eastAsia" w:ascii="仿宋" w:eastAsia="仿宋"/>
          <w:b w:val="0"/>
          <w:color w:val="000000"/>
        </w:rPr>
        <w:t>一</w:t>
      </w:r>
      <w:r>
        <w:rPr>
          <w:rStyle w:val="20"/>
          <w:rFonts w:hint="eastAsia" w:ascii="仿宋" w:eastAsia="仿宋"/>
          <w:b w:val="0"/>
          <w:bCs w:val="0"/>
        </w:rPr>
        <w:t>般公共预算财政拨款项目支出决算表</w:t>
      </w:r>
      <w:bookmarkEnd w:id="70"/>
    </w:p>
    <w:p>
      <w:pPr>
        <w:pStyle w:val="4"/>
        <w:rPr>
          <w:rFonts w:ascii="仿宋" w:eastAsia="仿宋"/>
          <w:color w:val="000000"/>
        </w:rPr>
      </w:pPr>
      <w:bookmarkStart w:id="71" w:name="_Toc15396628"/>
      <w:r>
        <w:rPr>
          <w:rStyle w:val="20"/>
          <w:rFonts w:hint="eastAsia" w:ascii="仿宋" w:eastAsia="仿宋"/>
          <w:b w:val="0"/>
          <w:bCs w:val="0"/>
        </w:rPr>
        <w:t>十、</w:t>
      </w:r>
      <w:r>
        <w:rPr>
          <w:rFonts w:hint="eastAsia" w:ascii="仿宋" w:eastAsia="仿宋"/>
          <w:b w:val="0"/>
          <w:color w:val="000000"/>
        </w:rPr>
        <w:t>一</w:t>
      </w:r>
      <w:r>
        <w:rPr>
          <w:rStyle w:val="20"/>
          <w:rFonts w:hint="eastAsia" w:ascii="仿宋" w:eastAsia="仿宋"/>
          <w:b w:val="0"/>
          <w:bCs w:val="0"/>
        </w:rPr>
        <w:t>般公共预算财政拨款“三公”经费支出决算表</w:t>
      </w:r>
      <w:bookmarkEnd w:id="71"/>
    </w:p>
    <w:p>
      <w:pPr>
        <w:pStyle w:val="4"/>
        <w:rPr>
          <w:rFonts w:ascii="仿宋" w:eastAsia="仿宋"/>
          <w:color w:val="000000"/>
        </w:rPr>
      </w:pPr>
      <w:bookmarkStart w:id="72" w:name="_Toc15396629"/>
      <w:r>
        <w:rPr>
          <w:rStyle w:val="20"/>
          <w:rFonts w:hint="eastAsia" w:ascii="仿宋" w:eastAsia="仿宋"/>
          <w:b w:val="0"/>
          <w:bCs w:val="0"/>
        </w:rPr>
        <w:t>十一、</w:t>
      </w:r>
      <w:r>
        <w:rPr>
          <w:rFonts w:hint="eastAsia" w:ascii="仿宋" w:eastAsia="仿宋"/>
          <w:b w:val="0"/>
          <w:color w:val="000000"/>
        </w:rPr>
        <w:t>政</w:t>
      </w:r>
      <w:r>
        <w:rPr>
          <w:rStyle w:val="20"/>
          <w:rFonts w:hint="eastAsia" w:ascii="仿宋" w:eastAsia="仿宋"/>
          <w:b w:val="0"/>
          <w:bCs w:val="0"/>
        </w:rPr>
        <w:t>府性基金预算财政拨款收入支出决算表</w:t>
      </w:r>
      <w:bookmarkEnd w:id="72"/>
    </w:p>
    <w:p>
      <w:pPr>
        <w:pStyle w:val="4"/>
        <w:rPr>
          <w:rFonts w:ascii="仿宋" w:eastAsia="仿宋"/>
          <w:color w:val="000000"/>
        </w:rPr>
      </w:pPr>
      <w:bookmarkStart w:id="73" w:name="_Toc15396630"/>
      <w:r>
        <w:rPr>
          <w:rStyle w:val="20"/>
          <w:rFonts w:hint="eastAsia" w:ascii="仿宋" w:eastAsia="仿宋"/>
          <w:b w:val="0"/>
          <w:bCs w:val="0"/>
        </w:rPr>
        <w:t>十二、</w:t>
      </w:r>
      <w:r>
        <w:rPr>
          <w:rFonts w:hint="eastAsia" w:ascii="仿宋" w:eastAsia="仿宋"/>
          <w:b w:val="0"/>
          <w:color w:val="000000"/>
        </w:rPr>
        <w:t>政</w:t>
      </w:r>
      <w:r>
        <w:rPr>
          <w:rStyle w:val="20"/>
          <w:rFonts w:hint="eastAsia" w:ascii="仿宋" w:eastAsia="仿宋"/>
          <w:b w:val="0"/>
          <w:bCs w:val="0"/>
        </w:rPr>
        <w:t>府性基金预算财政拨款“三公”经费支出决算表</w:t>
      </w:r>
      <w:bookmarkEnd w:id="73"/>
    </w:p>
    <w:p>
      <w:pPr>
        <w:pStyle w:val="4"/>
        <w:rPr>
          <w:rFonts w:ascii="仿宋" w:eastAsia="仿宋"/>
          <w:color w:val="000000"/>
        </w:rPr>
      </w:pPr>
      <w:bookmarkStart w:id="74" w:name="_Toc15396631"/>
      <w:r>
        <w:rPr>
          <w:rStyle w:val="20"/>
          <w:rFonts w:hint="eastAsia" w:ascii="仿宋" w:eastAsia="仿宋"/>
          <w:b w:val="0"/>
          <w:bCs w:val="0"/>
        </w:rPr>
        <w:t>十三、</w:t>
      </w:r>
      <w:r>
        <w:rPr>
          <w:rFonts w:hint="eastAsia" w:ascii="仿宋" w:eastAsia="仿宋"/>
          <w:b w:val="0"/>
          <w:color w:val="000000"/>
        </w:rPr>
        <w:t>国</w:t>
      </w:r>
      <w:r>
        <w:rPr>
          <w:rStyle w:val="20"/>
          <w:rFonts w:hint="eastAsia" w:ascii="仿宋" w:eastAsia="仿宋"/>
          <w:b w:val="0"/>
          <w:bCs w:val="0"/>
        </w:rPr>
        <w:t>有资本经营预算支出决算表</w:t>
      </w:r>
      <w:bookmarkEnd w:id="74"/>
    </w:p>
    <w:p>
      <w:pPr>
        <w:pStyle w:val="4"/>
        <w:rPr>
          <w:rFonts w:ascii="仿宋" w:eastAsia="仿宋"/>
          <w:color w:val="000000"/>
        </w:rPr>
      </w:pPr>
    </w:p>
    <w:p>
      <w:pPr>
        <w:pStyle w:val="4"/>
        <w:rPr>
          <w:rStyle w:val="19"/>
          <w:rFonts w:ascii="仿宋" w:eastAsia="仿宋"/>
          <w:b w:val="0"/>
          <w:bCs w:val="0"/>
          <w:sz w:val="32"/>
          <w:szCs w:val="32"/>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bookmarkEnd w:id="61"/>
    <w:bookmarkEnd w:id="62"/>
    <w:p>
      <w:pPr>
        <w:spacing w:line="600" w:lineRule="exact"/>
        <w:outlineLvl w:val="0"/>
        <w:rPr>
          <w:rFonts w:ascii="黑体" w:eastAsia="黑体"/>
          <w:color w:val="000000"/>
          <w:sz w:val="44"/>
          <w:szCs w:val="44"/>
        </w:rPr>
      </w:pPr>
      <w:bookmarkStart w:id="75" w:name="_Toc15396618"/>
      <w:bookmarkStart w:id="76" w:name="_Toc15396619"/>
    </w:p>
    <w:bookmarkEnd w:id="75"/>
    <w:bookmarkEnd w:id="76"/>
    <w:p>
      <w:pPr>
        <w:pStyle w:val="4"/>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DejaVu Sans"/>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方正小标宋简体">
    <w:altName w:val="AR PL UKai CN"/>
    <w:panose1 w:val="03000509000000000000"/>
    <w:charset w:val="86"/>
    <w:family w:val="auto"/>
    <w:pitch w:val="default"/>
    <w:sig w:usb0="00000000" w:usb1="0000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AR PL UKai CN">
    <w:panose1 w:val="02000503000000000000"/>
    <w:charset w:val="86"/>
    <w:family w:val="auto"/>
    <w:pitch w:val="default"/>
    <w:sig w:usb0="A00002FF" w:usb1="3ACFFDFF" w:usb2="00000036" w:usb3="00000000" w:csb0="2016009F" w:csb1="DFD70000"/>
  </w:font>
  <w:font w:name="Lucida Sans">
    <w:altName w:val="仿宋_GB2312"/>
    <w:panose1 w:val="00000000000000000000"/>
    <w:charset w:val="01"/>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微软雅黑">
    <w:altName w:val="AR PL UKai CN"/>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2246095"/>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22</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21B58365"/>
    <w:multiLevelType w:val="singleLevel"/>
    <w:tmpl w:val="21B58365"/>
    <w:lvl w:ilvl="0" w:tentative="0">
      <w:start w:val="2"/>
      <w:numFmt w:val="chineseCounting"/>
      <w:suff w:val="nothing"/>
      <w:lvlText w:val="（%1）"/>
      <w:lvlJc w:val="left"/>
      <w:pPr>
        <w:tabs>
          <w:tab w:val="left" w:pos="0"/>
        </w:tabs>
        <w:ind w:left="0" w:firstLine="0"/>
      </w:pPr>
      <w:rPr>
        <w:rFonts w:hint="eastAsia"/>
      </w:rPr>
    </w:lvl>
  </w:abstractNum>
  <w:abstractNum w:abstractNumId="6">
    <w:nsid w:val="747B1FF4"/>
    <w:multiLevelType w:val="singleLevel"/>
    <w:tmpl w:val="747B1FF4"/>
    <w:lvl w:ilvl="0" w:tentative="0">
      <w:start w:val="2"/>
      <w:numFmt w:val="decimal"/>
      <w:lvlText w:val="%1."/>
      <w:lvlJc w:val="left"/>
      <w:pPr>
        <w:tabs>
          <w:tab w:val="left" w:pos="0"/>
        </w:tabs>
        <w:ind w:left="0" w:firstLine="0"/>
      </w:pPr>
    </w:lvl>
  </w:abstractNum>
  <w:num w:numId="1">
    <w:abstractNumId w:val="3"/>
  </w:num>
  <w:num w:numId="2">
    <w:abstractNumId w:val="5"/>
  </w:num>
  <w:num w:numId="3">
    <w:abstractNumId w:val="0"/>
  </w:num>
  <w:num w:numId="4">
    <w:abstractNumId w:val="4"/>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MmY5MWM4NWJhZGMyNWVhZDBmNTBjYWFlNTNlYzBiNzgifQ=="/>
  </w:docVars>
  <w:rsids>
    <w:rsidRoot w:val="00000000"/>
    <w:rsid w:val="5E738B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0"/>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6">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图表目录1"/>
    <w:basedOn w:val="1"/>
    <w:next w:val="1"/>
    <w:qFormat/>
    <w:uiPriority w:val="0"/>
    <w:pPr>
      <w:spacing w:beforeAutospacing="1" w:afterAutospacing="1"/>
      <w:ind w:left="400" w:leftChars="200" w:hanging="200" w:hangingChars="200"/>
    </w:p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able of figures"/>
    <w:basedOn w:val="1"/>
    <w:next w:val="1"/>
    <w:semiHidden/>
    <w:qFormat/>
    <w:uiPriority w:val="99"/>
    <w:pPr>
      <w:ind w:left="200" w:leftChars="200" w:hanging="200" w:hangingChars="200"/>
    </w:pPr>
  </w:style>
  <w:style w:type="paragraph" w:styleId="13">
    <w:name w:val="toc 2"/>
    <w:basedOn w:val="1"/>
    <w:next w:val="1"/>
    <w:qFormat/>
    <w:uiPriority w:val="0"/>
    <w:pPr>
      <w:tabs>
        <w:tab w:val="right" w:leader="dot" w:pos="8296"/>
      </w:tabs>
      <w:ind w:left="200" w:leftChars="200"/>
    </w:pPr>
  </w:style>
  <w:style w:type="paragraph" w:styleId="14">
    <w:name w:val="Normal (Web)"/>
    <w:basedOn w:val="1"/>
    <w:qFormat/>
    <w:uiPriority w:val="0"/>
    <w:pPr>
      <w:widowControl/>
      <w:spacing w:beforeAutospacing="1" w:afterAutospacing="1"/>
      <w:jc w:val="left"/>
    </w:pPr>
    <w:rPr>
      <w:rFonts w:ascii="宋体"/>
      <w:kern w:val="0"/>
      <w:sz w:val="24"/>
    </w:r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19">
    <w:name w:val="heading 1 Char"/>
    <w:basedOn w:val="16"/>
    <w:link w:val="3"/>
    <w:qFormat/>
    <w:uiPriority w:val="0"/>
    <w:rPr>
      <w:rFonts w:ascii="Times New Roman" w:hAnsi="Times New Roman" w:eastAsia="宋体" w:cs="Times New Roman"/>
      <w:b/>
      <w:bCs/>
      <w:kern w:val="44"/>
      <w:sz w:val="44"/>
      <w:szCs w:val="44"/>
      <w:lang w:val="en-US" w:eastAsia="zh-CN" w:bidi="ar-SA"/>
    </w:rPr>
  </w:style>
  <w:style w:type="character" w:customStyle="1" w:styleId="20">
    <w:name w:val="heading 2 Char"/>
    <w:basedOn w:val="16"/>
    <w:link w:val="4"/>
    <w:qFormat/>
    <w:uiPriority w:val="0"/>
    <w:rPr>
      <w:rFonts w:ascii="Cambria" w:hAnsi="Cambria" w:eastAsia="宋体" w:cs="Times New Roman"/>
      <w:b/>
      <w:bCs/>
      <w:kern w:val="2"/>
      <w:sz w:val="32"/>
      <w:szCs w:val="32"/>
      <w:lang w:val="en-US" w:eastAsia="zh-CN" w:bidi="ar-SA"/>
    </w:rPr>
  </w:style>
  <w:style w:type="paragraph" w:customStyle="1" w:styleId="21">
    <w:name w:val="图表目录11"/>
    <w:basedOn w:val="1"/>
    <w:next w:val="1"/>
    <w:qFormat/>
    <w:uiPriority w:val="0"/>
    <w:pPr>
      <w:spacing w:beforeAutospacing="1" w:afterAutospacing="1"/>
      <w:ind w:left="400" w:leftChars="200" w:hanging="200" w:hangingChars="200"/>
    </w:pPr>
  </w:style>
  <w:style w:type="character" w:customStyle="1" w:styleId="22">
    <w:name w:val="Header Char"/>
    <w:basedOn w:val="16"/>
    <w:qFormat/>
    <w:uiPriority w:val="0"/>
    <w:rPr>
      <w:rFonts w:ascii="Times New Roman" w:hAnsi="Times New Roman"/>
      <w:sz w:val="18"/>
      <w:szCs w:val="18"/>
    </w:rPr>
  </w:style>
  <w:style w:type="character" w:customStyle="1" w:styleId="23">
    <w:name w:val="Footer Char"/>
    <w:basedOn w:val="16"/>
    <w:qFormat/>
    <w:uiPriority w:val="0"/>
    <w:rPr>
      <w:rFonts w:ascii="Times New Roman" w:hAnsi="Times New Roman"/>
      <w:sz w:val="18"/>
      <w:szCs w:val="18"/>
    </w:rPr>
  </w:style>
  <w:style w:type="character" w:customStyle="1" w:styleId="24">
    <w:name w:val="Body Text Char"/>
    <w:basedOn w:val="16"/>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标题1"/>
    <w:basedOn w:val="3"/>
    <w:next w:val="1"/>
    <w:qFormat/>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28">
    <w:name w:val="普通(网站) Char"/>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AR PL UKai CN" panose="02000503000000000000" charset="-122"/>
                <a:ea typeface="AR PL UKai CN" panose="02000503000000000000" charset="-122"/>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66502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alpha val="85000"/>
              </a:srgbClr>
            </a:solidFill>
            <a:ln w="6350">
              <a:solidFill>
                <a:srgbClr val="FFFFFF"/>
              </a:solidFill>
              <a:prstDash val="solid"/>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panose="02000503000000000000" charset="-122"/>
                    <a:ea typeface="AR PL UKai CN" panose="02000503000000000000" charset="-122"/>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 </c:v>
                </c:pt>
                <c:pt idx="1">
                  <c:v>2020年</c:v>
                </c:pt>
              </c:strCache>
            </c:strRef>
          </c:cat>
          <c:val>
            <c:numRef>
              <c:f>'Sheet1'!$B$2:$B$3</c:f>
              <c:numCache>
                <c:formatCode>General</c:formatCode>
                <c:ptCount val="2"/>
                <c:pt idx="0">
                  <c:v>659.34</c:v>
                </c:pt>
                <c:pt idx="1">
                  <c:v>557.77</c:v>
                </c:pt>
              </c:numCache>
            </c:numRef>
          </c:val>
        </c:ser>
        <c:ser>
          <c:idx val="1"/>
          <c:order val="1"/>
          <c:tx>
            <c:strRef>
              <c:f>'Sheet1'!$C$1</c:f>
              <c:strCache>
                <c:ptCount val="1"/>
                <c:pt idx="0">
                  <c:v>总支出</c:v>
                </c:pt>
              </c:strCache>
            </c:strRef>
          </c:tx>
          <c:spPr>
            <a:solidFill>
              <a:srgbClr val="C0504D">
                <a:alpha val="85000"/>
              </a:srgbClr>
            </a:solidFill>
            <a:ln w="6350">
              <a:solidFill>
                <a:srgbClr val="FFFFFF"/>
              </a:solidFill>
              <a:prstDash val="solid"/>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panose="02000503000000000000" charset="-122"/>
                    <a:ea typeface="AR PL UKai CN" panose="02000503000000000000" charset="-122"/>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 </c:v>
                </c:pt>
                <c:pt idx="1">
                  <c:v>2020年</c:v>
                </c:pt>
              </c:strCache>
            </c:strRef>
          </c:cat>
          <c:val>
            <c:numRef>
              <c:f>'Sheet1'!$C$2:$C$3</c:f>
              <c:numCache>
                <c:formatCode>General</c:formatCode>
                <c:ptCount val="2"/>
                <c:pt idx="0">
                  <c:v>671.87</c:v>
                </c:pt>
                <c:pt idx="1">
                  <c:v>445.92</c:v>
                </c:pt>
              </c:numCache>
            </c:numRef>
          </c:val>
        </c:ser>
        <c:dLbls>
          <c:showLegendKey val="0"/>
          <c:showVal val="1"/>
          <c:showCatName val="0"/>
          <c:showSerName val="0"/>
          <c:showPercent val="0"/>
          <c:showBubbleSize val="0"/>
        </c:dLbls>
        <c:gapWidth val="65"/>
        <c:axId val="0"/>
        <c:axId val="1"/>
      </c:barChart>
      <c:catAx>
        <c:axId val="0"/>
        <c:scaling>
          <c:orientation val="minMax"/>
        </c:scaling>
        <c:delete val="0"/>
        <c:axPos val="b"/>
        <c:numFmt formatCode="General" sourceLinked="1"/>
        <c:majorTickMark val="none"/>
        <c:minorTickMark val="none"/>
        <c:tickLblPos val="nextTo"/>
        <c:spPr>
          <a:ln w="19050" cap="flat" cmpd="sng" algn="ctr">
            <a:solidFill>
              <a:srgbClr val="404040"/>
            </a:solidFill>
            <a:prstDash val="solid"/>
            <a:round/>
          </a:ln>
        </c:spPr>
        <c:txPr>
          <a:bodyPr rot="-60000000" spcFirstLastPara="0" vertOverflow="ellipsis" vert="horz" wrap="square" anchor="ctr" anchorCtr="1"/>
          <a:lstStyle/>
          <a:p>
            <a:pPr>
              <a:defRPr lang="zh-CN" sz="900" b="0" i="0" u="none" strike="noStrike" kern="1200" cap="all" baseline="0">
                <a:solidFill>
                  <a:srgbClr val="404040"/>
                </a:solidFill>
                <a:latin typeface="AR PL UKai CN" panose="02000503000000000000" charset="-122"/>
                <a:ea typeface="AR PL UKai CN" panose="02000503000000000000" charset="-122"/>
                <a:cs typeface="Lucida Sans"/>
              </a:defRPr>
            </a:pPr>
          </a:p>
        </c:txPr>
        <c:crossAx val="1"/>
        <c:crosses val="autoZero"/>
        <c:auto val="1"/>
        <c:lblAlgn val="ctr"/>
        <c:lblOffset val="100"/>
        <c:noMultiLvlLbl val="0"/>
      </c:catAx>
      <c:valAx>
        <c:axId val="1"/>
        <c:scaling>
          <c:orientation val="minMax"/>
          <c:max val="4500"/>
          <c:min val="0"/>
        </c:scaling>
        <c:delete val="1"/>
        <c:axPos val="l"/>
        <c:majorGridlines>
          <c:spPr>
            <a:ln w="6350" cap="flat" cmpd="sng" algn="ctr">
              <a:solidFill>
                <a:srgbClr val="868686"/>
              </a:solidFill>
              <a:prstDash val="solid"/>
              <a:round/>
            </a:ln>
          </c:spPr>
        </c:majorGridlines>
        <c:numFmt formatCode="General"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crossAx val="0"/>
        <c:crossesAt val="1"/>
        <c:crossBetween val="between"/>
      </c:valAx>
      <c:spPr>
        <a:noFill/>
        <a:ln>
          <a:noFill/>
        </a:ln>
      </c:spPr>
    </c:plotArea>
    <c:legend>
      <c:legendPos val="b"/>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r>
                      <a:rPr lang="zh-CN" sz="1000" b="0" i="0" u="none" strike="noStrike" baseline="0">
                        <a:solidFill>
                          <a:srgbClr val="000000"/>
                        </a:solidFill>
                        <a:latin typeface="AR PL UKai CN" panose="02000503000000000000" charset="-122"/>
                        <a:ea typeface="AR PL UKai CN" panose="02000503000000000000" charset="-122"/>
                        <a:cs typeface="Lucida Sans"/>
                      </a:rPr>
                      <a:t>100%</a:t>
                    </a:r>
                    <a:endParaRPr lang="zh-CN" sz="1000" b="0" i="0" u="none" strike="noStrike" baseline="0">
                      <a:solidFill>
                        <a:srgbClr val="000000"/>
                      </a:solidFill>
                      <a:latin typeface="AR PL UKai CN" panose="02000503000000000000" charset="-122"/>
                      <a:ea typeface="AR PL UKai CN" panose="02000503000000000000" charset="-122"/>
                      <a:cs typeface="Lucida Sans"/>
                    </a:endParaRPr>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政府性基金预算财政拨款收入</c:v>
                </c:pt>
              </c:strCache>
            </c:strRef>
          </c:cat>
          <c:val>
            <c:numRef>
              <c:f>'Sheet1 (2)'!$B$2:$B$3</c:f>
              <c:numCache>
                <c:formatCode>General</c:formatCode>
                <c:ptCount val="2"/>
                <c:pt idx="0">
                  <c:v>582.7</c:v>
                </c:pt>
                <c:pt idx="1">
                  <c:v>76.64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explosion val="9"/>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1"/>
              <c:layout>
                <c:manualLayout>
                  <c:x val="0.015284116"/>
                  <c:y val="-0.030852178"/>
                </c:manualLayout>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r>
                      <a:rPr lang="zh-CN"/>
                      <a:t>392.24</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466.97</c:v>
                </c:pt>
                <c:pt idx="1">
                  <c:v>204.9</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2021年 </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659.34</c:v>
                </c:pt>
                <c:pt idx="1">
                  <c:v>671.87</c:v>
                </c:pt>
              </c:numCache>
            </c:numRef>
          </c:val>
        </c:ser>
        <c:ser>
          <c:idx val="1"/>
          <c:order val="1"/>
          <c:tx>
            <c:strRef>
              <c:f>'Sheet1 (4)'!$A$3</c:f>
              <c:strCache>
                <c:ptCount val="1"/>
                <c:pt idx="0">
                  <c:v>2020年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557.77</c:v>
                </c:pt>
                <c:pt idx="1">
                  <c:v>445.92</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a:defRPr>
            </a:pPr>
            <a:r>
              <a:rPr lang="zh-CN"/>
              <a:t>支出结构表</a:t>
            </a:r>
            <a:endParaRPr lang="zh-CN"/>
          </a:p>
        </c:rich>
      </c:tx>
      <c:layout/>
      <c:overlay val="0"/>
      <c:spPr>
        <a:noFill/>
        <a:ln>
          <a:noFill/>
        </a:ln>
      </c:spPr>
    </c:title>
    <c:autoTitleDeleted val="0"/>
    <c:plotArea>
      <c:layout/>
      <c:pieChart>
        <c:varyColors val="1"/>
        <c:ser>
          <c:idx val="0"/>
          <c:order val="0"/>
          <c:tx>
            <c:strRef>
              <c:f>'Sheet1 (5)'!$B$1</c:f>
              <c:strCache>
                <c:ptCount val="1"/>
                <c:pt idx="0">
                  <c:v>支出结构表</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Pt>
            <c:idx val="6"/>
            <c:bubble3D val="0"/>
            <c:spPr>
              <a:solidFill>
                <a:srgbClr val="2C4D75"/>
              </a:solidFill>
              <a:ln w="19050">
                <a:solidFill>
                  <a:srgbClr val="FFFFFF"/>
                </a:solidFill>
                <a:prstDash val="solid"/>
              </a:ln>
            </c:spPr>
          </c:dPt>
          <c:dPt>
            <c:idx val="7"/>
            <c:bubble3D val="0"/>
            <c:spPr>
              <a:solidFill>
                <a:srgbClr val="772C2A"/>
              </a:solidFill>
              <a:ln w="19050">
                <a:solidFill>
                  <a:srgbClr val="FFFFFF"/>
                </a:solidFill>
                <a:prstDash val="solid"/>
              </a:ln>
            </c:spPr>
          </c:dPt>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(5)'!$A$2:$A$9</c:f>
              <c:strCache>
                <c:ptCount val="8"/>
                <c:pt idx="0">
                  <c:v>一般公共服务支出</c:v>
                </c:pt>
                <c:pt idx="1">
                  <c:v>社会保障和就业支出</c:v>
                </c:pt>
                <c:pt idx="2">
                  <c:v>卫生健康支出</c:v>
                </c:pt>
                <c:pt idx="3">
                  <c:v>城乡社区支出</c:v>
                </c:pt>
                <c:pt idx="4">
                  <c:v>农林水支出</c:v>
                </c:pt>
                <c:pt idx="5">
                  <c:v>灾害防治及应急管理支出</c:v>
                </c:pt>
                <c:pt idx="6">
                  <c:v>住房保障支出</c:v>
                </c:pt>
                <c:pt idx="7">
                  <c:v>其他支出</c:v>
                </c:pt>
              </c:strCache>
            </c:strRef>
          </c:cat>
          <c:val>
            <c:numRef>
              <c:f>'Sheet1 (5)'!$B$2:$B$9</c:f>
              <c:numCache>
                <c:formatCode>General</c:formatCode>
                <c:ptCount val="8"/>
                <c:pt idx="0">
                  <c:v>279.64</c:v>
                </c:pt>
                <c:pt idx="1">
                  <c:v>76.95</c:v>
                </c:pt>
                <c:pt idx="2">
                  <c:v>21.54</c:v>
                </c:pt>
                <c:pt idx="3">
                  <c:v>76.64</c:v>
                </c:pt>
                <c:pt idx="4">
                  <c:v>161.77</c:v>
                </c:pt>
                <c:pt idx="5">
                  <c:v>7</c:v>
                </c:pt>
                <c:pt idx="6">
                  <c:v>35.69</c:v>
                </c:pt>
                <c:pt idx="7">
                  <c:v>12.63</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31</Pages>
  <Words>9788</Words>
  <Characters>10847</Characters>
  <Lines>870</Lines>
  <Paragraphs>416</Paragraphs>
  <TotalTime>0</TotalTime>
  <ScaleCrop>false</ScaleCrop>
  <LinksUpToDate>false</LinksUpToDate>
  <CharactersWithSpaces>11125</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2021-09-18T11:28:00Z</dcterms:created>
  <dc:creator>张彬茜</dc:creator>
  <cp:lastModifiedBy>user</cp:lastModifiedBy>
  <cp:lastPrinted>2021-09-18T11:06:00Z</cp:lastPrinted>
  <dcterms:modified xsi:type="dcterms:W3CDTF">2022-08-29T16:55:53Z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7446358C982B43FBBF5486ACE152A102</vt:lpwstr>
  </property>
</Properties>
</file>