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77425"/>
      <w:bookmarkStart w:id="3" w:name="_Toc15377193"/>
      <w:bookmarkStart w:id="4" w:name="_Toc15378441"/>
      <w:bookmarkStart w:id="5" w:name="_Toc15396597"/>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28892"/>
      <w:bookmarkStart w:id="7" w:name="_Toc20266"/>
      <w:r>
        <w:rPr>
          <w:rFonts w:hint="eastAsia" w:ascii="方正小标宋简体" w:hAnsi="宋体" w:eastAsia="方正小标宋简体"/>
          <w:color w:val="000000"/>
          <w:sz w:val="72"/>
          <w:szCs w:val="72"/>
        </w:rPr>
        <w:t>金川县</w:t>
      </w:r>
      <w:bookmarkEnd w:id="6"/>
      <w:bookmarkEnd w:id="7"/>
      <w:r>
        <w:rPr>
          <w:rFonts w:hint="eastAsia" w:ascii="方正小标宋简体" w:hAnsi="宋体" w:eastAsia="方正小标宋简体"/>
          <w:color w:val="000000"/>
          <w:sz w:val="72"/>
          <w:szCs w:val="72"/>
        </w:rPr>
        <w:t>阿科里乡人民政府</w:t>
      </w:r>
    </w:p>
    <w:p>
      <w:pPr>
        <w:widowControl/>
        <w:jc w:val="center"/>
        <w:rPr>
          <w:rFonts w:ascii="方正小标宋简体" w:eastAsia="方正小标宋简体"/>
          <w:color w:val="000000"/>
          <w:sz w:val="36"/>
          <w:szCs w:val="36"/>
        </w:rPr>
      </w:pPr>
      <w:r>
        <w:rPr>
          <w:rFonts w:hint="eastAsia" w:ascii="方正小标宋简体" w:hAnsi="宋体" w:eastAsia="方正小标宋简体"/>
          <w:color w:val="000000"/>
          <w:sz w:val="72"/>
          <w:szCs w:val="72"/>
        </w:rPr>
        <w:t>部门决算</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w:t>
      </w:r>
      <w:r>
        <w:t>21</w:t>
      </w:r>
      <w:r>
        <w:rPr>
          <w:rFonts w:hint="eastAsia"/>
        </w:rPr>
        <w:t>年</w:t>
      </w:r>
      <w:r>
        <w:t>8</w:t>
      </w:r>
      <w:r>
        <w:rPr>
          <w:rFonts w:hint="eastAsia"/>
        </w:rPr>
        <w:t>月</w:t>
      </w:r>
      <w:r>
        <w:t>3</w:t>
      </w:r>
      <w:r>
        <w:rPr>
          <w:rFonts w:hint="eastAsia"/>
        </w:rPr>
        <w:t>日</w:t>
      </w:r>
    </w:p>
    <w:p/>
    <w:p/>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1"/>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1"/>
        <w:ind w:left="420"/>
        <w:rPr>
          <w:rFonts w:ascii="仿宋" w:eastAsia="仿宋"/>
          <w:sz w:val="28"/>
          <w:szCs w:val="28"/>
        </w:rPr>
      </w:pPr>
      <w:r>
        <w:rPr>
          <w:rStyle w:val="16"/>
          <w:rFonts w:hint="eastAsia" w:ascii="仿宋" w:eastAsia="仿宋"/>
          <w:bCs/>
          <w:sz w:val="28"/>
          <w:szCs w:val="28"/>
        </w:rPr>
        <w:t xml:space="preserve"> 十、预算绩效情况说明..................................15</w:t>
      </w:r>
    </w:p>
    <w:p/>
    <w:p>
      <w:pPr>
        <w:pStyle w:val="11"/>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0"/>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p>
    <w:p>
      <w:pPr>
        <w:pStyle w:val="10"/>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rPr>
        <w:t>8</w:t>
      </w:r>
    </w:p>
    <w:p>
      <w:pPr>
        <w:pStyle w:val="11"/>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8</w:t>
      </w:r>
    </w:p>
    <w:p>
      <w:pPr>
        <w:pStyle w:val="10"/>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8</w:t>
      </w:r>
    </w:p>
    <w:p>
      <w:pPr>
        <w:pStyle w:val="11"/>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8" w:name="_Toc15396599"/>
      <w:bookmarkStart w:id="9" w:name="_Toc15377196"/>
      <w:r>
        <w:rPr>
          <w:rFonts w:ascii="黑体" w:eastAsia="黑体"/>
          <w:b/>
        </w:rPr>
        <w:br w:type="page"/>
      </w:r>
    </w:p>
    <w:p>
      <w:pPr>
        <w:pStyle w:val="2"/>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8"/>
      <w:bookmarkEnd w:id="9"/>
    </w:p>
    <w:p>
      <w:pPr>
        <w:pStyle w:val="3"/>
        <w:spacing w:before="0" w:after="0" w:line="240" w:lineRule="auto"/>
        <w:ind w:left="640" w:hanging="640" w:hangingChars="200"/>
        <w:rPr>
          <w:rStyle w:val="18"/>
          <w:rFonts w:ascii="黑体" w:eastAsia="黑体"/>
          <w:b w:val="0"/>
          <w:bCs w:val="0"/>
        </w:rPr>
      </w:pPr>
      <w:bookmarkStart w:id="10" w:name="_Toc15396600"/>
      <w:bookmarkStart w:id="11" w:name="_Toc15377197"/>
      <w:r>
        <w:rPr>
          <w:rFonts w:hint="eastAsia" w:ascii="黑体" w:eastAsia="黑体"/>
          <w:b w:val="0"/>
          <w:color w:val="000000"/>
        </w:rPr>
        <w:t>一、基</w:t>
      </w:r>
      <w:r>
        <w:rPr>
          <w:rStyle w:val="18"/>
          <w:rFonts w:hint="eastAsia" w:ascii="黑体" w:eastAsia="黑体"/>
          <w:b w:val="0"/>
          <w:bCs w:val="0"/>
        </w:rPr>
        <w:t>本职能及主要工作</w:t>
      </w:r>
      <w:bookmarkEnd w:id="10"/>
      <w:bookmarkEnd w:id="11"/>
      <w:bookmarkStart w:id="12" w:name="_Toc15378445"/>
      <w:bookmarkStart w:id="13" w:name="_Toc15377198"/>
    </w:p>
    <w:p>
      <w:pPr>
        <w:pStyle w:val="3"/>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2"/>
      <w:bookmarkEnd w:id="13"/>
      <w:bookmarkStart w:id="14" w:name="_Toc15377199"/>
      <w:bookmarkStart w:id="15" w:name="_Toc15378446"/>
    </w:p>
    <w:p>
      <w:pPr>
        <w:widowControl/>
        <w:spacing w:line="56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贯彻落实党和政府各项路线方针政策。深入贯彻党的十八大、十八届四中、五中全会精神，宣传和贯彻执行党的路线、方针、政策和国家的法律、法令；宣传和贯彻上级机关的政策、法规、规章、决定等；执行本级党代会和人代会的决定、决议；研究决定辖区内政治、经济、文化等重大问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480" w:firstLineChars="150"/>
        <w:rPr>
          <w:rFonts w:ascii="仿宋_GB2312" w:hAnsi="仿宋" w:eastAsia="仿宋_GB2312"/>
          <w:sz w:val="32"/>
          <w:szCs w:val="32"/>
        </w:rPr>
      </w:pPr>
      <w:r>
        <w:rPr>
          <w:rFonts w:hint="eastAsia" w:ascii="仿宋_GB2312" w:hAnsi="仿宋" w:eastAsia="仿宋_GB2312"/>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napToGrid w:val="0"/>
        <w:spacing w:line="560" w:lineRule="exact"/>
        <w:ind w:firstLine="640" w:firstLineChars="200"/>
        <w:rPr>
          <w:bCs/>
          <w:color w:val="000000"/>
          <w:sz w:val="32"/>
          <w:szCs w:val="32"/>
          <w:highlight w:val="yellow"/>
        </w:rPr>
      </w:pPr>
      <w:r>
        <w:rPr>
          <w:rFonts w:hint="eastAsia" w:ascii="仿宋_GB2312" w:hAnsi="仿宋" w:eastAsia="仿宋_GB2312"/>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3"/>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4"/>
      <w:bookmarkEnd w:id="15"/>
    </w:p>
    <w:p>
      <w:pPr>
        <w:spacing w:line="576" w:lineRule="exact"/>
        <w:ind w:firstLine="600" w:firstLineChars="200"/>
        <w:rPr>
          <w:rFonts w:ascii="仿宋_GB2312" w:eastAsia="仿宋_GB2312"/>
          <w:sz w:val="30"/>
          <w:szCs w:val="30"/>
        </w:rPr>
      </w:pPr>
      <w:bookmarkStart w:id="16" w:name="_Toc15377200"/>
      <w:bookmarkStart w:id="17" w:name="_Toc15396601"/>
      <w:r>
        <w:rPr>
          <w:rFonts w:hint="eastAsia" w:ascii="仿宋_GB2312" w:eastAsia="仿宋_GB2312"/>
          <w:sz w:val="30"/>
          <w:szCs w:val="30"/>
        </w:rPr>
        <w:t>2020年，我乡在县委、县政府的正确领导下，在州双联单位、县级联系部门的关怀下，在乡党委的指导下，在</w:t>
      </w:r>
      <w:r>
        <w:rPr>
          <w:rFonts w:hint="eastAsia" w:ascii="仿宋_GB2312" w:eastAsia="仿宋_GB2312"/>
          <w:sz w:val="30"/>
          <w:szCs w:val="30"/>
          <w:lang w:eastAsia="zh-CN"/>
        </w:rPr>
        <w:t>乡镇</w:t>
      </w:r>
      <w:r>
        <w:rPr>
          <w:rFonts w:hint="eastAsia" w:ascii="仿宋_GB2312" w:eastAsia="仿宋_GB2312"/>
          <w:sz w:val="30"/>
          <w:szCs w:val="30"/>
        </w:rPr>
        <w:t>人大的监督支持下，在各村两委的密切配合下，紧紧团结依靠全乡人民，健全完善了相关管理制度，牢牢抓住中央和省州支持民族地区跨越发展的大好机遇，攻坚克难、乘势而上，全面完成了年初既定确定的各项任务。</w:t>
      </w:r>
    </w:p>
    <w:p>
      <w:pPr>
        <w:snapToGrid w:val="0"/>
        <w:spacing w:line="360" w:lineRule="auto"/>
        <w:ind w:firstLine="600" w:firstLineChars="200"/>
        <w:rPr>
          <w:rFonts w:ascii="仿宋_GB2312" w:eastAsia="仿宋_GB2312"/>
          <w:sz w:val="30"/>
          <w:szCs w:val="30"/>
        </w:rPr>
      </w:pPr>
      <w:r>
        <w:rPr>
          <w:rFonts w:hint="eastAsia" w:ascii="仿宋_GB2312" w:eastAsia="仿宋_GB2312"/>
          <w:sz w:val="30"/>
          <w:szCs w:val="30"/>
        </w:rPr>
        <w:t>2020年以来，以“发展特色产业，拓宽致富渠道，建设生态小康阿科里；发展公益事业，提升民生水平，建设民主和谐阿科里；弘扬孝德文化，壮大旅游产业，建设孝德美丽阿科里；依托资源优势，加快小康进程，建设幸福安康阿科里”的工作目标，进一步理清工作思路，创新工作方式、振奋精神，抢抓机遇、攻坚破难，继续夯实基础设施，大力发展特色优势产业</w:t>
      </w:r>
      <w:r>
        <w:rPr>
          <w:rFonts w:hint="eastAsia" w:ascii="仿宋_GB2312" w:eastAsia="仿宋_GB2312"/>
          <w:color w:val="000000"/>
          <w:sz w:val="30"/>
          <w:szCs w:val="30"/>
        </w:rPr>
        <w:t>，积极培育</w:t>
      </w:r>
      <w:r>
        <w:rPr>
          <w:rFonts w:hint="eastAsia" w:ascii="仿宋_GB2312" w:eastAsia="仿宋_GB2312"/>
          <w:sz w:val="30"/>
          <w:szCs w:val="30"/>
        </w:rPr>
        <w:t>壮大集体经济，奋力推进旅游强乡工作基调，带动群众增收致富。</w:t>
      </w:r>
    </w:p>
    <w:p>
      <w:pPr>
        <w:spacing w:line="578" w:lineRule="exact"/>
        <w:ind w:firstLine="640" w:firstLineChars="200"/>
        <w:rPr>
          <w:rStyle w:val="18"/>
          <w:b w:val="0"/>
          <w:bCs w:val="0"/>
        </w:rPr>
      </w:pPr>
      <w:r>
        <w:rPr>
          <w:rStyle w:val="18"/>
          <w:rFonts w:hint="eastAsia" w:ascii="黑体" w:eastAsia="黑体"/>
          <w:b w:val="0"/>
          <w:bCs w:val="0"/>
        </w:rPr>
        <w:t>二、机构设置</w:t>
      </w:r>
      <w:bookmarkEnd w:id="16"/>
      <w:bookmarkEnd w:id="17"/>
    </w:p>
    <w:p>
      <w:pPr>
        <w:widowControl/>
        <w:ind w:firstLine="640" w:firstLineChars="200"/>
        <w:jc w:val="left"/>
        <w:rPr>
          <w:rFonts w:ascii="仿宋" w:hAnsi="仿宋" w:eastAsia="仿宋_GB2312"/>
          <w:color w:val="000000"/>
          <w:kern w:val="0"/>
          <w:sz w:val="32"/>
          <w:szCs w:val="32"/>
        </w:rPr>
      </w:pPr>
      <w:r>
        <w:rPr>
          <w:rFonts w:hint="eastAsia" w:ascii="仿宋_GB2312" w:eastAsia="仿宋_GB2312"/>
          <w:bCs/>
          <w:color w:val="000000"/>
          <w:sz w:val="32"/>
          <w:szCs w:val="32"/>
        </w:rPr>
        <w:t>机构情况：我乡2019年有2个机构，增加个0机构</w:t>
      </w:r>
      <w:r>
        <w:rPr>
          <w:rFonts w:hint="eastAsia" w:ascii="仿宋_GB2312" w:eastAsia="仿宋_GB2312"/>
          <w:bCs/>
          <w:sz w:val="32"/>
        </w:rPr>
        <w:t>。</w:t>
      </w:r>
    </w:p>
    <w:p>
      <w:pPr>
        <w:pStyle w:val="2"/>
        <w:ind w:right="440"/>
        <w:jc w:val="right"/>
      </w:pPr>
      <w:bookmarkStart w:id="18" w:name="_Toc15396602"/>
      <w:bookmarkStart w:id="19" w:name="_Toc15377204"/>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2020年度部门决算情况说明</w:t>
      </w:r>
      <w:bookmarkEnd w:id="18"/>
      <w:bookmarkEnd w:id="19"/>
    </w:p>
    <w:p>
      <w:pPr>
        <w:pStyle w:val="23"/>
        <w:numPr>
          <w:ilvl w:val="0"/>
          <w:numId w:val="1"/>
        </w:numPr>
        <w:ind w:left="0" w:firstLine="0" w:firstLineChars="0"/>
        <w:outlineLvl w:val="1"/>
        <w:rPr>
          <w:rStyle w:val="18"/>
          <w:rFonts w:ascii="黑体" w:eastAsia="黑体"/>
          <w:b w:val="0"/>
        </w:rPr>
      </w:pPr>
      <w:bookmarkStart w:id="20" w:name="_Toc15377205"/>
      <w:bookmarkStart w:id="21" w:name="_Toc15396603"/>
      <w:r>
        <w:rPr>
          <w:rFonts w:hint="eastAsia" w:ascii="黑体" w:eastAsia="黑体"/>
          <w:color w:val="000000"/>
          <w:sz w:val="32"/>
          <w:szCs w:val="32"/>
        </w:rPr>
        <w:t>收</w:t>
      </w:r>
      <w:r>
        <w:rPr>
          <w:rStyle w:val="18"/>
          <w:rFonts w:hint="eastAsia" w:ascii="黑体" w:eastAsia="黑体"/>
          <w:b w:val="0"/>
        </w:rPr>
        <w:t>入支出决算总体情况说明</w:t>
      </w:r>
      <w:bookmarkEnd w:id="20"/>
      <w:bookmarkEnd w:id="21"/>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2020年度总收入557.77万元，较上年收入增加117万元，增加26.54%。增加的主要原因是2020年人员增加，财政应返还增加，导致今年比上年度收入增加。</w:t>
      </w:r>
    </w:p>
    <w:p>
      <w:pPr>
        <w:snapToGrid w:val="0"/>
        <w:spacing w:line="520" w:lineRule="exact"/>
        <w:ind w:firstLine="632" w:firstLineChars="200"/>
        <w:rPr>
          <w:rFonts w:ascii="仿宋" w:eastAsia="仿宋"/>
          <w:sz w:val="32"/>
          <w:szCs w:val="32"/>
        </w:rPr>
      </w:pPr>
      <w:r>
        <w:rPr>
          <w:rFonts w:hint="eastAsia" w:ascii="仿宋_GB2312" w:eastAsia="仿宋_GB2312"/>
          <w:spacing w:val="-2"/>
          <w:sz w:val="32"/>
          <w:szCs w:val="32"/>
        </w:rPr>
        <w:t>2020年总支出445.92万元，较上年支出减少464.68万元，减少51.03%。主要原因一是当年部门预算安排项目经费较上年有所减少；二是2020年支出包含了上年结转项目。</w:t>
      </w:r>
    </w:p>
    <w:p>
      <w:pPr>
        <w:spacing w:line="600" w:lineRule="exact"/>
        <w:ind w:firstLine="420" w:firstLineChars="200"/>
        <w:rPr>
          <w:rStyle w:val="18"/>
          <w:rFonts w:ascii="黑体" w:eastAsia="黑体"/>
          <w:b w:val="0"/>
        </w:rPr>
      </w:pPr>
      <w:bookmarkStart w:id="22" w:name="_Toc15396604"/>
      <w:bookmarkStart w:id="23" w:name="_Toc15377206"/>
      <w:r>
        <w:drawing>
          <wp:anchor distT="0" distB="0" distL="114300" distR="114300" simplePos="0" relativeHeight="251664384" behindDoc="0" locked="0" layoutInCell="1" allowOverlap="1">
            <wp:simplePos x="0" y="0"/>
            <wp:positionH relativeFrom="column">
              <wp:posOffset>271145</wp:posOffset>
            </wp:positionH>
            <wp:positionV relativeFrom="paragraph">
              <wp:posOffset>-3729355</wp:posOffset>
            </wp:positionV>
            <wp:extent cx="5213350" cy="4027805"/>
            <wp:effectExtent l="4445" t="4445" r="9525" b="6350"/>
            <wp:wrapTopAndBottom/>
            <wp:docPr id="1080"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eastAsia="黑体"/>
          <w:color w:val="000000"/>
          <w:sz w:val="32"/>
          <w:szCs w:val="32"/>
        </w:rPr>
        <w:t>二、收入决</w:t>
      </w:r>
      <w:r>
        <w:rPr>
          <w:rStyle w:val="18"/>
          <w:rFonts w:hint="eastAsia" w:ascii="黑体" w:eastAsia="黑体"/>
          <w:b w:val="0"/>
        </w:rPr>
        <w:t>算情况说明</w:t>
      </w:r>
      <w:bookmarkEnd w:id="22"/>
      <w:bookmarkEnd w:id="23"/>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20年总收入557.77万元，其中：一般公共预算财政拨款收入557.77万元，占100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；其他收入0万元，占0%（青藏川滇交界地藏区州（市）长联席会议各市州缴纳联席会议费及机关食堂职工缴费）。</w:t>
      </w:r>
    </w:p>
    <w:p>
      <w:pPr>
        <w:spacing w:line="600" w:lineRule="exact"/>
        <w:ind w:firstLine="640" w:firstLineChars="200"/>
        <w:outlineLvl w:val="1"/>
        <w:rPr>
          <w:rStyle w:val="18"/>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4" w:name="_Toc15377207"/>
      <w:bookmarkStart w:id="25" w:name="_Toc15396605"/>
      <w:r>
        <w:rPr>
          <w:rFonts w:hint="eastAsia" w:ascii="黑体" w:eastAsia="黑体"/>
          <w:color w:val="000000"/>
          <w:sz w:val="32"/>
          <w:szCs w:val="32"/>
        </w:rPr>
        <w:t>三、支出决</w:t>
      </w:r>
      <w:r>
        <w:rPr>
          <w:rStyle w:val="18"/>
          <w:rFonts w:hint="eastAsia" w:ascii="黑体" w:eastAsia="黑体"/>
          <w:b w:val="0"/>
        </w:rPr>
        <w:t>算情况说明</w:t>
      </w:r>
      <w:bookmarkEnd w:id="24"/>
      <w:bookmarkEnd w:id="25"/>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2020年本年总支出445.92万元，其中：基本支出347.10万元，占77.84%；项目支出98.82万元，占22.16%；上缴上级支出0万元，占0%；经营支出0万元，占0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0288"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8"/>
          <w:rFonts w:ascii="黑体" w:eastAsia="黑体"/>
          <w:b w:val="0"/>
        </w:rPr>
      </w:pPr>
      <w:bookmarkStart w:id="26" w:name="_Toc15396606"/>
      <w:bookmarkStart w:id="27" w:name="_Toc15377208"/>
      <w:r>
        <w:rPr>
          <w:rFonts w:hint="eastAsia" w:ascii="黑体" w:eastAsia="黑体"/>
          <w:color w:val="000000"/>
          <w:sz w:val="32"/>
          <w:szCs w:val="32"/>
        </w:rPr>
        <w:t>四、财</w:t>
      </w:r>
      <w:r>
        <w:rPr>
          <w:rStyle w:val="18"/>
          <w:rFonts w:hint="eastAsia" w:ascii="黑体" w:eastAsia="黑体"/>
          <w:b w:val="0"/>
        </w:rPr>
        <w:t>政拨款收入支出决算总体情况说明</w:t>
      </w:r>
      <w:bookmarkEnd w:id="26"/>
      <w:bookmarkEnd w:id="27"/>
    </w:p>
    <w:p>
      <w:pPr>
        <w:snapToGrid w:val="0"/>
        <w:spacing w:line="520" w:lineRule="exact"/>
        <w:ind w:firstLine="640" w:firstLineChars="200"/>
        <w:rPr>
          <w:rFonts w:ascii="仿宋_GB2312" w:eastAsia="仿宋_GB2312"/>
          <w:color w:val="000000"/>
          <w:spacing w:val="-2"/>
          <w:sz w:val="32"/>
          <w:szCs w:val="32"/>
        </w:rPr>
      </w:pPr>
      <w:r>
        <w:rPr>
          <w:rFonts w:hint="eastAsia" w:ascii="仿宋" w:eastAsia="仿宋"/>
          <w:color w:val="000000"/>
          <w:sz w:val="32"/>
          <w:szCs w:val="32"/>
        </w:rPr>
        <w:t>2020年财政拨款收入557.77万元。与2019年相比，一般公共预算财政拨款收入较上年增加</w:t>
      </w:r>
      <w:r>
        <w:rPr>
          <w:rFonts w:hint="eastAsia" w:ascii="仿宋_GB2312" w:eastAsia="仿宋_GB2312"/>
          <w:color w:val="000000"/>
          <w:spacing w:val="-2"/>
          <w:sz w:val="32"/>
          <w:szCs w:val="32"/>
        </w:rPr>
        <w:t>117</w:t>
      </w:r>
      <w:r>
        <w:rPr>
          <w:rFonts w:hint="eastAsia" w:ascii="仿宋" w:eastAsia="仿宋"/>
          <w:color w:val="000000"/>
          <w:sz w:val="32"/>
          <w:szCs w:val="32"/>
        </w:rPr>
        <w:t>万元，增加</w:t>
      </w:r>
      <w:r>
        <w:rPr>
          <w:rFonts w:hint="eastAsia" w:ascii="仿宋_GB2312" w:eastAsia="仿宋_GB2312"/>
          <w:color w:val="000000"/>
          <w:spacing w:val="-2"/>
          <w:sz w:val="32"/>
          <w:szCs w:val="32"/>
        </w:rPr>
        <w:t>26.54</w:t>
      </w:r>
      <w:r>
        <w:rPr>
          <w:rFonts w:hint="eastAsia" w:ascii="仿宋" w:eastAsia="仿宋"/>
          <w:color w:val="000000"/>
          <w:sz w:val="32"/>
          <w:szCs w:val="32"/>
        </w:rPr>
        <w:t>%。</w:t>
      </w:r>
      <w:r>
        <w:rPr>
          <w:rFonts w:hint="eastAsia" w:ascii="仿宋_GB2312" w:eastAsia="仿宋_GB2312"/>
          <w:color w:val="000000"/>
          <w:spacing w:val="-2"/>
          <w:sz w:val="32"/>
          <w:szCs w:val="32"/>
        </w:rPr>
        <w:t>增加的主要原因是2020年人员增加，财政应返还增加，导致今年比上年度收入增加。</w:t>
      </w:r>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2020年财政拨款支出445.92万元，</w:t>
      </w:r>
      <w:r>
        <w:rPr>
          <w:rFonts w:hint="eastAsia" w:ascii="仿宋" w:eastAsia="仿宋"/>
          <w:sz w:val="32"/>
          <w:szCs w:val="32"/>
        </w:rPr>
        <w:t>较上年支出减少</w:t>
      </w:r>
      <w:r>
        <w:rPr>
          <w:rFonts w:hint="eastAsia" w:ascii="仿宋_GB2312" w:eastAsia="仿宋_GB2312"/>
          <w:spacing w:val="-2"/>
          <w:sz w:val="32"/>
          <w:szCs w:val="32"/>
        </w:rPr>
        <w:t>464.68</w:t>
      </w:r>
      <w:r>
        <w:rPr>
          <w:rFonts w:hint="eastAsia" w:ascii="仿宋" w:eastAsia="仿宋"/>
          <w:sz w:val="32"/>
          <w:szCs w:val="32"/>
        </w:rPr>
        <w:t>万元，减少</w:t>
      </w:r>
      <w:r>
        <w:rPr>
          <w:rFonts w:hint="eastAsia" w:ascii="仿宋_GB2312" w:eastAsia="仿宋_GB2312"/>
          <w:spacing w:val="-2"/>
          <w:sz w:val="32"/>
          <w:szCs w:val="32"/>
        </w:rPr>
        <w:t>51.03</w:t>
      </w:r>
      <w:r>
        <w:rPr>
          <w:rFonts w:hint="eastAsia" w:ascii="仿宋" w:eastAsia="仿宋"/>
          <w:sz w:val="32"/>
          <w:szCs w:val="32"/>
        </w:rPr>
        <w:t>%</w:t>
      </w:r>
      <w:r>
        <w:rPr>
          <w:rFonts w:hint="eastAsia" w:ascii="仿宋_GB2312" w:eastAsia="仿宋_GB2312"/>
          <w:spacing w:val="-2"/>
          <w:sz w:val="32"/>
          <w:szCs w:val="32"/>
        </w:rPr>
        <w:t>。</w:t>
      </w:r>
    </w:p>
    <w:p>
      <w:pPr>
        <w:spacing w:line="600" w:lineRule="exact"/>
        <w:ind w:firstLine="640" w:firstLineChars="200"/>
        <w:rPr>
          <w:rStyle w:val="18"/>
          <w:rFonts w:ascii="黑体" w:eastAsia="黑体"/>
          <w:b w:val="0"/>
        </w:rPr>
      </w:pPr>
      <w:r>
        <w:rPr>
          <w:rFonts w:hint="eastAsia" w:ascii="仿宋" w:eastAsia="仿宋"/>
          <w:color w:val="000000"/>
          <w:sz w:val="32"/>
          <w:szCs w:val="32"/>
        </w:rPr>
        <w:drawing>
          <wp:anchor distT="0" distB="0" distL="114300" distR="114300" simplePos="0" relativeHeight="251661312"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28" w:name="_Toc15377209"/>
      <w:bookmarkStart w:id="29" w:name="_Toc15396607"/>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28"/>
      <w:bookmarkEnd w:id="29"/>
    </w:p>
    <w:p>
      <w:pPr>
        <w:spacing w:line="600" w:lineRule="exact"/>
        <w:ind w:firstLine="643" w:firstLineChars="200"/>
        <w:outlineLvl w:val="2"/>
        <w:rPr>
          <w:rFonts w:ascii="仿宋" w:eastAsia="仿宋"/>
          <w:b/>
          <w:color w:val="000000"/>
          <w:sz w:val="32"/>
          <w:szCs w:val="32"/>
        </w:rPr>
      </w:pPr>
      <w:bookmarkStart w:id="30" w:name="_Toc15377210"/>
      <w:r>
        <w:rPr>
          <w:rFonts w:hint="eastAsia" w:ascii="仿宋" w:eastAsia="仿宋"/>
          <w:b/>
          <w:color w:val="000000"/>
          <w:sz w:val="32"/>
          <w:szCs w:val="32"/>
        </w:rPr>
        <w:t>（一）一般公共预算财政拨款支出决算总体情况</w:t>
      </w:r>
      <w:bookmarkEnd w:id="30"/>
    </w:p>
    <w:p>
      <w:pPr>
        <w:snapToGrid w:val="0"/>
        <w:spacing w:line="520" w:lineRule="exact"/>
        <w:ind w:firstLine="640" w:firstLineChars="200"/>
        <w:rPr>
          <w:rFonts w:ascii="仿宋_GB2312" w:eastAsia="仿宋_GB2312"/>
          <w:color w:val="FF0000"/>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w:t>
      </w:r>
      <w:r>
        <w:rPr>
          <w:rFonts w:hint="eastAsia" w:ascii="仿宋" w:eastAsia="仿宋"/>
          <w:color w:val="000000"/>
          <w:sz w:val="32"/>
          <w:szCs w:val="32"/>
        </w:rPr>
        <w:t>445.92</w:t>
      </w:r>
      <w:r>
        <w:rPr>
          <w:rFonts w:hint="eastAsia" w:ascii="仿宋_GB2312" w:eastAsia="仿宋_GB2312"/>
          <w:spacing w:val="-2"/>
          <w:sz w:val="32"/>
          <w:szCs w:val="32"/>
        </w:rPr>
        <w:t>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支出减少464.68万元，减少51.03%。主要原因一是当年安排部门预算项目经费较上年有所减少；二是2020年财政拨款支出包含了上年结转项目。</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1" w:name="_Toc15377211"/>
      <w:r>
        <w:rPr>
          <w:rFonts w:hint="eastAsia" w:ascii="仿宋" w:eastAsia="仿宋"/>
          <w:b/>
          <w:color w:val="000000"/>
          <w:sz w:val="32"/>
          <w:szCs w:val="32"/>
        </w:rPr>
        <w:t>（二）一般公共预算财政拨款支出决算结构情况</w:t>
      </w:r>
      <w:bookmarkEnd w:id="31"/>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20年一般公共预算财政拨款支出445.92万元，主要用于以下方面</w:t>
      </w:r>
      <w:r>
        <w:rPr>
          <w:rFonts w:hint="eastAsia" w:ascii="仿宋" w:eastAsia="仿宋"/>
          <w:color w:val="000000"/>
          <w:sz w:val="32"/>
          <w:szCs w:val="32"/>
          <w:lang w:eastAsia="zh-CN"/>
        </w:rPr>
        <w:t>：</w:t>
      </w:r>
      <w:r>
        <w:rPr>
          <w:rFonts w:hint="eastAsia" w:ascii="仿宋" w:eastAsia="仿宋"/>
          <w:b/>
          <w:color w:val="000000"/>
          <w:sz w:val="32"/>
          <w:szCs w:val="32"/>
        </w:rPr>
        <w:t>一般公共服务（类）</w:t>
      </w:r>
      <w:r>
        <w:rPr>
          <w:rFonts w:hint="eastAsia" w:ascii="仿宋" w:eastAsia="仿宋"/>
          <w:color w:val="000000"/>
          <w:sz w:val="32"/>
          <w:szCs w:val="32"/>
        </w:rPr>
        <w:t>支出223.08万元，占50.03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支出35.65万元，占7.99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22.04万元，占4.94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农林水支出</w:t>
      </w:r>
      <w:r>
        <w:rPr>
          <w:rFonts w:hint="eastAsia" w:ascii="仿宋" w:eastAsia="仿宋"/>
          <w:color w:val="000000"/>
          <w:sz w:val="32"/>
          <w:szCs w:val="32"/>
        </w:rPr>
        <w:t>120.94万元，占27.12%；</w:t>
      </w:r>
      <w:r>
        <w:rPr>
          <w:rFonts w:hint="eastAsia" w:ascii="仿宋" w:eastAsia="仿宋"/>
          <w:b/>
          <w:bCs/>
          <w:color w:val="000000"/>
          <w:sz w:val="32"/>
          <w:szCs w:val="32"/>
        </w:rPr>
        <w:t>住房保障支出</w:t>
      </w:r>
      <w:r>
        <w:rPr>
          <w:rFonts w:hint="eastAsia" w:ascii="仿宋" w:eastAsia="仿宋"/>
          <w:color w:val="000000"/>
          <w:sz w:val="32"/>
          <w:szCs w:val="32"/>
        </w:rPr>
        <w:t>27.46万元，占6.16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灾害防治及应急管理支出</w:t>
      </w:r>
      <w:r>
        <w:rPr>
          <w:rFonts w:hint="eastAsia" w:ascii="仿宋" w:eastAsia="仿宋"/>
          <w:color w:val="000000"/>
          <w:sz w:val="32"/>
          <w:szCs w:val="32"/>
        </w:rPr>
        <w:t>10万元，占2.24%；</w:t>
      </w:r>
      <w:r>
        <w:rPr>
          <w:rFonts w:hint="eastAsia" w:ascii="仿宋" w:eastAsia="仿宋"/>
          <w:b/>
          <w:bCs/>
          <w:color w:val="000000"/>
          <w:sz w:val="32"/>
          <w:szCs w:val="32"/>
        </w:rPr>
        <w:t>其他支出</w:t>
      </w:r>
      <w:r>
        <w:rPr>
          <w:rFonts w:hint="eastAsia" w:ascii="仿宋" w:eastAsia="仿宋"/>
          <w:color w:val="000000"/>
          <w:sz w:val="32"/>
          <w:szCs w:val="32"/>
        </w:rPr>
        <w:t>6.75万元，占1.52%。</w:t>
      </w:r>
    </w:p>
    <w:p>
      <w:pPr>
        <w:spacing w:line="600" w:lineRule="exact"/>
        <w:ind w:firstLine="8320" w:firstLineChars="2600"/>
        <w:outlineLvl w:val="2"/>
        <w:rPr>
          <w:rFonts w:ascii="仿宋" w:eastAsia="仿宋"/>
          <w:b/>
          <w:color w:val="000000"/>
          <w:sz w:val="32"/>
          <w:szCs w:val="32"/>
        </w:rPr>
      </w:pPr>
      <w:bookmarkStart w:id="32" w:name="_Toc15378460"/>
      <w:bookmarkStart w:id="33" w:name="_Toc15377444"/>
      <w:bookmarkStart w:id="34" w:name="_Toc15377213"/>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35" w:name="_Toc15377212"/>
      <w:r>
        <w:rPr>
          <w:rFonts w:hint="eastAsia" w:ascii="仿宋" w:eastAsia="仿宋"/>
          <w:b/>
          <w:color w:val="000000"/>
          <w:sz w:val="32"/>
          <w:szCs w:val="32"/>
        </w:rPr>
        <w:t>（三）一般公共预算财政拨款支出决算具体情况</w:t>
      </w:r>
      <w:bookmarkEnd w:id="35"/>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2020年一般公共预算数为557.77万元，支出决算数为445.92万元，完</w:t>
      </w:r>
      <w:r>
        <w:rPr>
          <w:rStyle w:val="15"/>
          <w:rFonts w:hint="eastAsia" w:ascii="仿宋" w:eastAsia="仿宋"/>
          <w:b w:val="0"/>
          <w:bCs/>
          <w:color w:val="000000"/>
          <w:sz w:val="32"/>
          <w:szCs w:val="32"/>
        </w:rPr>
        <w:t>成预算79.95</w:t>
      </w:r>
      <w:r>
        <w:rPr>
          <w:rStyle w:val="15"/>
          <w:rFonts w:ascii="仿宋" w:eastAsia="仿宋"/>
          <w:b w:val="0"/>
          <w:bCs/>
          <w:color w:val="000000"/>
          <w:sz w:val="32"/>
          <w:szCs w:val="32"/>
        </w:rPr>
        <w:t>%</w:t>
      </w:r>
      <w:r>
        <w:rPr>
          <w:rStyle w:val="15"/>
          <w:rFonts w:hint="eastAsia" w:ascii="仿宋" w:eastAsia="仿宋"/>
          <w:b w:val="0"/>
          <w:bCs/>
          <w:color w:val="000000"/>
          <w:sz w:val="32"/>
          <w:szCs w:val="32"/>
        </w:rPr>
        <w:t>。结转下年118.6万元。其中：</w:t>
      </w:r>
      <w:bookmarkEnd w:id="32"/>
      <w:bookmarkEnd w:id="33"/>
      <w:bookmarkEnd w:id="34"/>
    </w:p>
    <w:p>
      <w:pPr>
        <w:spacing w:line="600"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1.一般公共服务（类）政府办公厅（室）及相关机构事务（款）行政运行（项）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支出决算为223.08万元，完成预算100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ascii="仿宋" w:eastAsia="仿宋"/>
          <w:b w:val="0"/>
          <w:bCs/>
          <w:color w:val="000000"/>
          <w:sz w:val="32"/>
          <w:szCs w:val="32"/>
        </w:rPr>
      </w:pPr>
      <w:r>
        <w:rPr>
          <w:rStyle w:val="15"/>
          <w:rFonts w:ascii="仿宋" w:eastAsia="仿宋"/>
          <w:bCs/>
          <w:color w:val="000000"/>
          <w:sz w:val="32"/>
          <w:szCs w:val="32"/>
        </w:rPr>
        <w:t>2.</w:t>
      </w:r>
      <w:r>
        <w:rPr>
          <w:rFonts w:hint="eastAsia" w:ascii="仿宋" w:eastAsia="仿宋"/>
          <w:b/>
          <w:bCs/>
          <w:color w:val="000000"/>
          <w:sz w:val="32"/>
          <w:szCs w:val="32"/>
        </w:rPr>
        <w:t>农林水支出</w:t>
      </w:r>
      <w:r>
        <w:rPr>
          <w:rFonts w:hint="eastAsia" w:ascii="仿宋" w:eastAsia="仿宋"/>
          <w:b/>
          <w:bCs/>
          <w:color w:val="000000"/>
          <w:sz w:val="32"/>
          <w:szCs w:val="32"/>
          <w:lang w:eastAsia="zh-CN"/>
        </w:rPr>
        <w:t>：</w:t>
      </w:r>
      <w:r>
        <w:rPr>
          <w:rStyle w:val="15"/>
          <w:rFonts w:ascii="仿宋" w:eastAsia="仿宋"/>
          <w:b w:val="0"/>
          <w:bCs/>
          <w:color w:val="000000"/>
          <w:sz w:val="32"/>
          <w:szCs w:val="32"/>
        </w:rPr>
        <w:t xml:space="preserve"> </w:t>
      </w:r>
      <w:r>
        <w:rPr>
          <w:rFonts w:hint="eastAsia" w:ascii="仿宋" w:eastAsia="仿宋"/>
          <w:color w:val="000000"/>
          <w:sz w:val="32"/>
          <w:szCs w:val="32"/>
        </w:rPr>
        <w:t>120.94万元，占27.12%</w:t>
      </w:r>
      <w:r>
        <w:rPr>
          <w:rStyle w:val="15"/>
          <w:rFonts w:hint="eastAsia" w:ascii="仿宋" w:eastAsia="仿宋"/>
          <w:b w:val="0"/>
          <w:bCs/>
          <w:color w:val="000000"/>
          <w:sz w:val="32"/>
          <w:szCs w:val="32"/>
        </w:rPr>
        <w:t>支出决算为</w:t>
      </w:r>
      <w:r>
        <w:rPr>
          <w:rFonts w:hint="eastAsia" w:ascii="仿宋" w:eastAsia="仿宋"/>
          <w:color w:val="000000"/>
          <w:sz w:val="32"/>
          <w:szCs w:val="32"/>
        </w:rPr>
        <w:t>120.94</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3</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Cs/>
          <w:color w:val="000000"/>
          <w:sz w:val="32"/>
          <w:szCs w:val="32"/>
        </w:rPr>
        <w:t>社会保障和就业（类）行政事业单位离退休（款）机关事业单位基本养老保险缴费支出（项）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Fonts w:hint="eastAsia" w:ascii="仿宋" w:eastAsia="仿宋"/>
          <w:color w:val="000000"/>
          <w:sz w:val="32"/>
          <w:szCs w:val="32"/>
        </w:rPr>
        <w:t>35.65</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4</w:t>
      </w:r>
      <w:r>
        <w:rPr>
          <w:rStyle w:val="15"/>
          <w:rFonts w:ascii="仿宋" w:eastAsia="仿宋"/>
          <w:bCs/>
          <w:color w:val="000000"/>
          <w:sz w:val="32"/>
          <w:szCs w:val="32"/>
        </w:rPr>
        <w:t>.</w:t>
      </w:r>
      <w:r>
        <w:rPr>
          <w:rFonts w:hint="eastAsia" w:ascii="仿宋" w:eastAsia="仿宋"/>
          <w:b/>
          <w:bCs/>
          <w:color w:val="000000"/>
          <w:sz w:val="32"/>
          <w:szCs w:val="32"/>
        </w:rPr>
        <w:t>灾害防治及应急管理支出：</w:t>
      </w:r>
      <w:r>
        <w:rPr>
          <w:rStyle w:val="15"/>
          <w:rFonts w:hint="eastAsia" w:ascii="仿宋" w:eastAsia="仿宋"/>
          <w:b w:val="0"/>
          <w:bCs/>
          <w:color w:val="000000"/>
          <w:sz w:val="32"/>
          <w:szCs w:val="32"/>
        </w:rPr>
        <w:t>支出决算为10万元，完成预算100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5.卫生健康支出（类）行政事业单位医疗（款）行政单位医疗（项）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w:t>
      </w:r>
      <w:r>
        <w:rPr>
          <w:rFonts w:hint="eastAsia" w:ascii="仿宋" w:eastAsia="仿宋"/>
          <w:color w:val="000000"/>
          <w:sz w:val="32"/>
          <w:szCs w:val="32"/>
        </w:rPr>
        <w:t>22.04</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6.</w:t>
      </w:r>
      <w:r>
        <w:rPr>
          <w:rFonts w:hint="eastAsia" w:ascii="仿宋" w:eastAsia="仿宋"/>
          <w:b/>
          <w:bCs/>
          <w:color w:val="000000"/>
          <w:sz w:val="32"/>
          <w:szCs w:val="32"/>
        </w:rPr>
        <w:t>其他支出</w:t>
      </w:r>
      <w:r>
        <w:rPr>
          <w:rFonts w:hint="eastAsia" w:ascii="仿宋" w:eastAsia="仿宋"/>
          <w:b/>
          <w:bCs/>
          <w:color w:val="000000"/>
          <w:sz w:val="32"/>
          <w:szCs w:val="32"/>
          <w:lang w:eastAsia="zh-CN"/>
        </w:rPr>
        <w:t>：</w:t>
      </w:r>
      <w:r>
        <w:rPr>
          <w:rStyle w:val="15"/>
          <w:rFonts w:hint="eastAsia" w:ascii="仿宋" w:eastAsia="仿宋"/>
          <w:b w:val="0"/>
          <w:bCs/>
          <w:color w:val="000000"/>
          <w:sz w:val="32"/>
          <w:szCs w:val="32"/>
        </w:rPr>
        <w:t>支出决算为</w:t>
      </w:r>
      <w:r>
        <w:rPr>
          <w:rFonts w:hint="eastAsia" w:ascii="仿宋" w:eastAsia="仿宋"/>
          <w:color w:val="000000"/>
          <w:sz w:val="32"/>
          <w:szCs w:val="32"/>
        </w:rPr>
        <w:t>6.75</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Style w:val="15"/>
          <w:rFonts w:ascii="仿宋" w:eastAsia="仿宋"/>
          <w:bCs/>
          <w:color w:val="000000"/>
          <w:sz w:val="32"/>
          <w:szCs w:val="32"/>
        </w:rPr>
      </w:pPr>
      <w:bookmarkStart w:id="36" w:name="_Toc15377214"/>
      <w:bookmarkStart w:id="37" w:name="_Toc15396608"/>
      <w:r>
        <w:rPr>
          <w:rStyle w:val="15"/>
          <w:rFonts w:hint="eastAsia" w:ascii="仿宋" w:eastAsia="仿宋"/>
          <w:bCs/>
          <w:color w:val="000000"/>
          <w:sz w:val="32"/>
          <w:szCs w:val="32"/>
        </w:rPr>
        <w:t>7.住房保障（类）住房改革支出（款）住房公积金（项）：</w:t>
      </w:r>
      <w:r>
        <w:rPr>
          <w:rStyle w:val="15"/>
          <w:rFonts w:hint="eastAsia" w:ascii="仿宋" w:eastAsia="仿宋"/>
          <w:b w:val="0"/>
          <w:bCs/>
          <w:color w:val="000000"/>
          <w:sz w:val="32"/>
          <w:szCs w:val="32"/>
        </w:rPr>
        <w:t>支出决算为</w:t>
      </w:r>
      <w:r>
        <w:rPr>
          <w:rFonts w:hint="eastAsia" w:ascii="仿宋" w:eastAsia="仿宋"/>
          <w:color w:val="000000"/>
          <w:sz w:val="32"/>
          <w:szCs w:val="32"/>
        </w:rPr>
        <w:t>27.46</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36"/>
      <w:bookmarkEnd w:id="37"/>
      <w:r>
        <w:rPr>
          <w:rStyle w:val="18"/>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20年一般公共预算财政拨款基本支出347.10万元，其中：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325.06万元，主要包括：基本工资60.43万元、津贴补贴110.84万元、奖金4.58万元、绩效工资15.35万元、机关事业单位基本养老保险缴费23.77万元、职业年金缴费11.88万元、职工基本医疗保险缴费12.98万元、公务员医疗补助缴费3.22万元、其他社会保障缴费2.48万元、住房公积金27.47万元、奖励金52.06万元。</w:t>
      </w:r>
      <w:r>
        <w:rPr>
          <w:rFonts w:ascii="仿宋" w:eastAsia="仿宋"/>
          <w:color w:val="000000"/>
          <w:sz w:val="32"/>
          <w:szCs w:val="32"/>
        </w:rPr>
        <w:br w:type="textWrapping"/>
      </w:r>
      <w:r>
        <w:rPr>
          <w:rFonts w:hint="eastAsia" w:ascii="仿宋" w:eastAsia="仿宋"/>
          <w:color w:val="000000"/>
          <w:sz w:val="32"/>
          <w:szCs w:val="32"/>
        </w:rPr>
        <w:t>　　公用经费22.04万元，主要包括：办公费1.69万元、印刷费1万元、电费2.5万元、邮电费1.8万元、取暖费1.7万元、差旅费2.98万元、劳务费3万元、委托业务费1万元、公务用车运行维护费6.37万元。</w:t>
      </w:r>
    </w:p>
    <w:p>
      <w:pPr>
        <w:spacing w:line="600" w:lineRule="exact"/>
        <w:ind w:firstLine="640" w:firstLineChars="200"/>
        <w:outlineLvl w:val="1"/>
        <w:rPr>
          <w:rStyle w:val="18"/>
          <w:rFonts w:ascii="黑体" w:eastAsia="黑体"/>
          <w:b w:val="0"/>
        </w:rPr>
      </w:pPr>
      <w:bookmarkStart w:id="38" w:name="_Toc15377215"/>
      <w:bookmarkStart w:id="39" w:name="_Toc15396609"/>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38"/>
      <w:bookmarkEnd w:id="39"/>
    </w:p>
    <w:p>
      <w:pPr>
        <w:spacing w:line="600" w:lineRule="exact"/>
        <w:ind w:firstLine="640"/>
        <w:outlineLvl w:val="2"/>
        <w:rPr>
          <w:rFonts w:ascii="仿宋" w:eastAsia="仿宋"/>
          <w:b/>
          <w:color w:val="000000"/>
          <w:sz w:val="32"/>
          <w:szCs w:val="32"/>
        </w:rPr>
      </w:pPr>
      <w:bookmarkStart w:id="40" w:name="_Toc15377216"/>
      <w:r>
        <w:rPr>
          <w:rFonts w:hint="eastAsia" w:ascii="仿宋" w:eastAsia="仿宋"/>
          <w:b/>
          <w:color w:val="000000"/>
          <w:sz w:val="32"/>
          <w:szCs w:val="32"/>
        </w:rPr>
        <w:t>（一）“三公”经费财政拨款支出决算总体情况说明</w:t>
      </w:r>
      <w:bookmarkEnd w:id="40"/>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20年“三公”经费财政拨款支出决算为6.37万元，完成预算100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1" w:name="_Toc15377217"/>
      <w:r>
        <w:rPr>
          <w:rFonts w:hint="eastAsia" w:ascii="仿宋" w:eastAsia="仿宋"/>
          <w:b/>
          <w:color w:val="000000"/>
          <w:sz w:val="32"/>
          <w:szCs w:val="32"/>
        </w:rPr>
        <w:t>（二）“三公”经费财政拨款支出决算具体情况说明</w:t>
      </w:r>
      <w:bookmarkEnd w:id="41"/>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决算6.37万元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；公务用车购置及运行维护费支出决算6.37万元，占100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numPr>
          <w:ilvl w:val="0"/>
          <w:numId w:val="2"/>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eastAsia="仿宋"/>
          <w:b w:val="0"/>
          <w:bCs/>
          <w:color w:val="000000"/>
          <w:sz w:val="32"/>
          <w:szCs w:val="32"/>
        </w:rPr>
        <w:t>完成预算0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sz w:val="32"/>
          <w:szCs w:val="32"/>
        </w:rPr>
        <w:t>全年安排因公出国（境）团组0次，出国（境）0人。因</w:t>
      </w:r>
      <w:r>
        <w:rPr>
          <w:rFonts w:hint="eastAsia" w:ascii="仿宋_GB2312" w:eastAsia="仿宋_GB2312"/>
          <w:color w:val="000000"/>
          <w:sz w:val="32"/>
          <w:szCs w:val="32"/>
        </w:rPr>
        <w:t>公出国（境）支出决算比</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s="仿宋"/>
          <w:color w:val="000000"/>
          <w:sz w:val="32"/>
          <w:szCs w:val="32"/>
        </w:rPr>
        <w:t>增加0万元，增加原因为。</w:t>
      </w:r>
    </w:p>
    <w:p>
      <w:pPr>
        <w:numPr>
          <w:ilvl w:val="0"/>
          <w:numId w:val="2"/>
        </w:numPr>
        <w:spacing w:line="600" w:lineRule="exact"/>
        <w:ind w:firstLine="640"/>
        <w:rPr>
          <w:rFonts w:ascii="仿宋_GB2312" w:eastAsia="仿宋_GB2312"/>
          <w:b/>
          <w:sz w:val="32"/>
          <w:szCs w:val="32"/>
        </w:rPr>
      </w:pPr>
      <w:r>
        <w:rPr>
          <w:rFonts w:hint="eastAsia" w:ascii="仿宋_GB2312" w:eastAsia="仿宋_GB2312"/>
          <w:b/>
          <w:color w:val="000000"/>
          <w:sz w:val="32"/>
          <w:szCs w:val="32"/>
        </w:rPr>
        <w:t>公务</w:t>
      </w:r>
      <w:r>
        <w:rPr>
          <w:rFonts w:hint="eastAsia" w:ascii="仿宋_GB2312" w:eastAsia="仿宋_GB2312"/>
          <w:b/>
          <w:sz w:val="32"/>
          <w:szCs w:val="32"/>
        </w:rPr>
        <w:t>用车购置及</w:t>
      </w:r>
      <w:r>
        <w:rPr>
          <w:rFonts w:hint="eastAsia" w:ascii="仿宋_GB2312" w:eastAsia="仿宋_GB2312"/>
          <w:b/>
          <w:color w:val="000000"/>
          <w:sz w:val="32"/>
          <w:szCs w:val="32"/>
        </w:rPr>
        <w:t>运行维护费支出</w:t>
      </w:r>
      <w:r>
        <w:rPr>
          <w:rFonts w:hint="eastAsia" w:ascii="仿宋_GB2312" w:eastAsia="仿宋_GB2312"/>
          <w:color w:val="000000"/>
          <w:sz w:val="32"/>
          <w:szCs w:val="32"/>
        </w:rPr>
        <w:t>6.37万元</w:t>
      </w:r>
      <w:r>
        <w:rPr>
          <w:rFonts w:hint="eastAsia" w:ascii="仿宋_GB2312" w:eastAsia="仿宋_GB2312"/>
          <w:color w:val="000000"/>
          <w:sz w:val="32"/>
          <w:szCs w:val="32"/>
          <w:lang w:eastAsia="zh-CN"/>
        </w:rPr>
        <w:t>，</w:t>
      </w:r>
      <w:r>
        <w:rPr>
          <w:rStyle w:val="15"/>
          <w:rFonts w:hint="eastAsia" w:ascii="仿宋" w:eastAsia="仿宋"/>
          <w:b w:val="0"/>
          <w:bCs/>
          <w:color w:val="000000"/>
          <w:sz w:val="32"/>
          <w:szCs w:val="32"/>
        </w:rPr>
        <w:t>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9年减少0.43万元，</w:t>
      </w:r>
      <w:r>
        <w:rPr>
          <w:rFonts w:hint="eastAsia" w:ascii="仿宋_GB2312" w:eastAsia="仿宋_GB2312"/>
          <w:sz w:val="32"/>
          <w:szCs w:val="32"/>
        </w:rPr>
        <w:t>减少6.32</w:t>
      </w:r>
      <w:r>
        <w:rPr>
          <w:rFonts w:ascii="仿宋_GB2312" w:eastAsia="仿宋_GB2312"/>
          <w:sz w:val="32"/>
          <w:szCs w:val="32"/>
        </w:rPr>
        <w:t>%</w:t>
      </w:r>
      <w:r>
        <w:rPr>
          <w:rFonts w:hint="eastAsia" w:ascii="仿宋_GB2312" w:eastAsia="仿宋_GB2312"/>
          <w:sz w:val="32"/>
          <w:szCs w:val="32"/>
        </w:rPr>
        <w:t>。主要用于开展单位工作所需的公务用车燃料费、车辆维修费、过路过桥费、车辆保险费等支出。</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日，共有车辆2辆，其中：部级领导干部用车0辆、主要领导干部用车0辆、机要通信用车0辆、应急保障用车2辆、执法执勤用车0辆、特种专业技术用车0辆、离退休干部用车0辆、其他用车0辆。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6.37万元。</w:t>
      </w:r>
      <w:r>
        <w:rPr>
          <w:rFonts w:hint="eastAsia" w:ascii="仿宋_GB2312" w:eastAsia="仿宋_GB2312"/>
          <w:color w:val="000000"/>
          <w:sz w:val="32"/>
          <w:szCs w:val="32"/>
        </w:rPr>
        <w:t>主要用我单位所需的公务用车燃料费、维修费、过路过桥费、保险费等支出。</w:t>
      </w:r>
    </w:p>
    <w:p>
      <w:pPr>
        <w:numPr>
          <w:ilvl w:val="0"/>
          <w:numId w:val="3"/>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eastAsia="仿宋"/>
          <w:b w:val="0"/>
          <w:bCs/>
          <w:color w:val="000000"/>
          <w:sz w:val="32"/>
          <w:szCs w:val="32"/>
        </w:rPr>
        <w:t>完成预算0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s="仿宋"/>
          <w:color w:val="000000"/>
          <w:sz w:val="32"/>
          <w:szCs w:val="32"/>
        </w:rPr>
        <w:t>公务接待费0万元，较上年减少0万元，减少0%，减少原因是。</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主要用于执行公务、开展业务活动开支的交通费、住宿费、用餐费等。国内公务接待0批次，0人次，共计支出0万元。</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2" w:name="_Toc15396610"/>
      <w:bookmarkStart w:id="43" w:name="_Toc15377218"/>
    </w:p>
    <w:p>
      <w:pPr>
        <w:spacing w:line="600" w:lineRule="exact"/>
        <w:ind w:firstLine="640"/>
        <w:outlineLvl w:val="1"/>
        <w:rPr>
          <w:rStyle w:val="18"/>
          <w:rFonts w:ascii="黑体" w:eastAsia="黑体"/>
        </w:rPr>
      </w:pPr>
      <w:r>
        <w:rPr>
          <w:rFonts w:hint="eastAsia" w:ascii="黑体" w:eastAsia="黑体"/>
          <w:color w:val="000000"/>
          <w:sz w:val="32"/>
          <w:szCs w:val="32"/>
        </w:rPr>
        <w:t>八、</w:t>
      </w:r>
      <w:r>
        <w:rPr>
          <w:rStyle w:val="18"/>
          <w:rFonts w:hint="eastAsia" w:asci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4"/>
        </w:numPr>
        <w:spacing w:line="600" w:lineRule="exact"/>
        <w:ind w:firstLine="640"/>
        <w:outlineLvl w:val="1"/>
        <w:rPr>
          <w:rStyle w:val="18"/>
          <w:rFonts w:ascii="黑体" w:eastAsia="黑体"/>
          <w:b w:val="0"/>
        </w:rPr>
      </w:pPr>
      <w:bookmarkStart w:id="44" w:name="_Toc15396611"/>
      <w:bookmarkStart w:id="45" w:name="_Toc15377219"/>
      <w:r>
        <w:rPr>
          <w:rStyle w:val="18"/>
          <w:rFonts w:hint="eastAsia" w:ascii="黑体" w:eastAsia="黑体"/>
          <w:b w:val="0"/>
        </w:rPr>
        <w:t>国有资本经营预算支出决算情况说明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3"/>
        <w:numPr>
          <w:ilvl w:val="0"/>
          <w:numId w:val="5"/>
        </w:numPr>
        <w:spacing w:line="580" w:lineRule="exact"/>
        <w:ind w:firstLineChars="0"/>
        <w:rPr>
          <w:rStyle w:val="18"/>
          <w:rFonts w:ascii="黑体" w:eastAsia="黑体"/>
          <w:b w:val="0"/>
        </w:rPr>
      </w:pPr>
      <w:r>
        <w:rPr>
          <w:rStyle w:val="18"/>
          <w:rFonts w:hint="eastAsia" w:ascii="黑体" w:eastAsia="黑体"/>
          <w:b w:val="0"/>
        </w:rPr>
        <w:t>预算绩效情况说明</w:t>
      </w:r>
    </w:p>
    <w:p>
      <w:pPr>
        <w:numPr>
          <w:ilvl w:val="0"/>
          <w:numId w:val="6"/>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600" w:lineRule="atLeast"/>
        <w:ind w:firstLine="643" w:firstLineChars="200"/>
        <w:rPr>
          <w:rFonts w:ascii="仿宋_GB2312" w:eastAsia="仿宋_GB2312"/>
          <w:color w:val="000000"/>
          <w:sz w:val="32"/>
          <w:szCs w:val="32"/>
        </w:rPr>
      </w:pPr>
      <w:bookmarkStart w:id="46" w:name="_Toc15396612"/>
      <w:bookmarkStart w:id="47" w:name="_Toc15377221"/>
      <w:r>
        <w:rPr>
          <w:rFonts w:hint="eastAsia" w:ascii="仿宋" w:eastAsia="仿宋" w:cs="楷体_GB2312"/>
          <w:b/>
          <w:bCs/>
          <w:sz w:val="32"/>
          <w:szCs w:val="32"/>
        </w:rPr>
        <w:t>预算绩效管理工作开展情况。</w:t>
      </w:r>
      <w:r>
        <w:rPr>
          <w:rFonts w:hint="eastAsia" w:ascii="仿宋_GB2312" w:eastAsia="仿宋_GB2312"/>
          <w:color w:val="000000"/>
          <w:sz w:val="32"/>
          <w:szCs w:val="32"/>
        </w:rPr>
        <w:t>1.绩效目标管理情况。</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按照预算绩效管理要求，本部门对2020年一般公共预算项目支出开展了绩效目标管理，共编制绩效目标0个，涉及财政资金0元，覆盖率达到0%。</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2.部门整体支出绩效自评开展情况。</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按照预算绩效管理要求，本部门对2020年整体支出开展绩效自评，自评得分79分，存在的问题：一是部门履职成效不高，二是内部控制管理不健全，三是目标任务不明确。下一步改进措施：一是改进工作方式，明确预算目标任务，做到相关性、合理性；二是加大对内部控制的管理，建立健全内部控制度，提高绩效管理履职成效</w:t>
      </w:r>
    </w:p>
    <w:p>
      <w:pPr>
        <w:ind w:firstLine="1280" w:firstLineChars="400"/>
        <w:rPr>
          <w:rFonts w:ascii="黑体" w:hAnsi="黑体" w:eastAsia="黑体"/>
          <w:color w:val="000000"/>
          <w:sz w:val="32"/>
          <w:szCs w:val="32"/>
        </w:rPr>
      </w:pPr>
      <w:r>
        <w:rPr>
          <w:rFonts w:hint="eastAsia" w:ascii="黑体" w:hAnsi="黑体" w:eastAsia="黑体"/>
          <w:color w:val="000000"/>
          <w:sz w:val="32"/>
          <w:szCs w:val="32"/>
        </w:rPr>
        <w:t>2020年部门整体支出绩效评价得分表</w:t>
      </w:r>
    </w:p>
    <w:p>
      <w:pPr>
        <w:rPr>
          <w:rFonts w:ascii="黑体" w:hAnsi="黑体" w:eastAsia="黑体"/>
          <w:color w:val="000000"/>
          <w:sz w:val="32"/>
          <w:szCs w:val="32"/>
        </w:rPr>
      </w:pPr>
    </w:p>
    <w:tbl>
      <w:tblPr>
        <w:tblStyle w:val="13"/>
        <w:tblW w:w="0" w:type="auto"/>
        <w:tblInd w:w="-176" w:type="dxa"/>
        <w:tblLayout w:type="fixed"/>
        <w:tblCellMar>
          <w:top w:w="0" w:type="dxa"/>
          <w:left w:w="108" w:type="dxa"/>
          <w:bottom w:w="0" w:type="dxa"/>
          <w:right w:w="108" w:type="dxa"/>
        </w:tblCellMar>
      </w:tblPr>
      <w:tblGrid>
        <w:gridCol w:w="1702"/>
        <w:gridCol w:w="2268"/>
        <w:gridCol w:w="3402"/>
        <w:gridCol w:w="2126"/>
      </w:tblGrid>
      <w:tr>
        <w:tblPrEx>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w:t>
            </w:r>
          </w:p>
        </w:tc>
      </w:tr>
      <w:tr>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w:t>
            </w:r>
            <w:r>
              <w:rPr>
                <w:rFonts w:hint="eastAsia" w:ascii="宋体" w:hAnsi="宋体" w:cs="宋体"/>
                <w:color w:val="000000"/>
                <w:kern w:val="0"/>
                <w:sz w:val="20"/>
                <w:szCs w:val="20"/>
                <w:lang w:eastAsia="zh-CN"/>
              </w:rPr>
              <w:t>制度</w:t>
            </w:r>
            <w:r>
              <w:rPr>
                <w:rFonts w:hint="eastAsia" w:ascii="宋体" w:hAnsi="宋体" w:cs="宋体"/>
                <w:color w:val="000000"/>
                <w:kern w:val="0"/>
                <w:sz w:val="20"/>
                <w:szCs w:val="20"/>
              </w:rPr>
              <w:t>健全完整（2分）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18</w:t>
            </w:r>
          </w:p>
        </w:tc>
      </w:tr>
      <w:tr>
        <w:tblPrEx>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bl>
    <w:p>
      <w:pPr>
        <w:rPr>
          <w:color w:val="000000"/>
        </w:rPr>
      </w:pPr>
    </w:p>
    <w:p>
      <w:pPr>
        <w:spacing w:line="600" w:lineRule="atLeast"/>
        <w:ind w:firstLine="643" w:firstLineChars="200"/>
        <w:rPr>
          <w:rFonts w:ascii="仿宋_GB2312" w:eastAsia="仿宋_GB2312"/>
          <w:b/>
          <w:color w:val="000000"/>
          <w:sz w:val="32"/>
          <w:szCs w:val="32"/>
        </w:rPr>
      </w:pP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3.部门自行组织绩效评价开展情况。</w:t>
      </w:r>
    </w:p>
    <w:p>
      <w:pPr>
        <w:spacing w:line="600" w:lineRule="atLeast"/>
        <w:ind w:firstLine="800" w:firstLineChars="250"/>
        <w:rPr>
          <w:rFonts w:ascii="仿宋_GB2312" w:eastAsia="仿宋_GB2312"/>
          <w:color w:val="000000"/>
          <w:sz w:val="32"/>
          <w:szCs w:val="32"/>
        </w:rPr>
      </w:pPr>
      <w:r>
        <w:rPr>
          <w:rFonts w:hint="eastAsia" w:ascii="仿宋_GB2312" w:eastAsia="仿宋_GB2312"/>
          <w:color w:val="000000"/>
          <w:sz w:val="32"/>
          <w:szCs w:val="32"/>
        </w:rPr>
        <w:t>阿科里乡开展了整体支出绩效评价，本部门对2020年整体支出开展绩效自评，自评得分79分，存在的问题：一是履职成效不高，二是内部控制管理不健全，三是目标任务不明确。下一步改进措施：一是改进工作方式，明确预算目标任务，做到相关性、合理性；二是加大对内部控制的管理，建立健全内部控制度，提高绩效管理履职成效。本部门对公共运行维护费项目开展了绩效评价，得分为79分，存在的问题：一是项目决策的可行性、明确性不够，二是项目管理中执行不够规范，三是项目进展缓慢，完成情况低，项目没有达到相应的效益。下一步改进措施：一是提高资金的使用率，加大项目的实施进度提高质量管理，达到最高的效益。二是对项目进行政策依据、完善，提高明确性和合理性。</w:t>
      </w:r>
    </w:p>
    <w:p>
      <w:pPr>
        <w:jc w:val="center"/>
        <w:rPr>
          <w:rFonts w:ascii="黑体" w:hAnsi="黑体" w:eastAsia="黑体"/>
          <w:color w:val="000000"/>
          <w:sz w:val="32"/>
          <w:szCs w:val="32"/>
        </w:rPr>
      </w:pPr>
      <w:r>
        <w:rPr>
          <w:rFonts w:hint="eastAsia" w:ascii="黑体" w:hAnsi="黑体" w:eastAsia="黑体"/>
          <w:color w:val="000000"/>
          <w:sz w:val="32"/>
          <w:szCs w:val="32"/>
        </w:rPr>
        <w:t>2020年项目支出绩效评价得分表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113"/>
        <w:gridCol w:w="3535"/>
        <w:gridCol w:w="1311"/>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618"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单位名称/</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项目名称</w:t>
            </w:r>
          </w:p>
        </w:tc>
        <w:tc>
          <w:tcPr>
            <w:tcW w:w="8270" w:type="dxa"/>
            <w:gridSpan w:val="4"/>
            <w:vAlign w:val="center"/>
          </w:tcPr>
          <w:p>
            <w:pPr>
              <w:widowControl/>
              <w:spacing w:line="2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金川县阿科里乡人民政府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618"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一级</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2113"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二级</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3535"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1311"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分值</w:t>
            </w:r>
          </w:p>
        </w:tc>
        <w:tc>
          <w:tcPr>
            <w:tcW w:w="1311" w:type="dxa"/>
            <w:vAlign w:val="center"/>
          </w:tcPr>
          <w:p>
            <w:pPr>
              <w:widowControl/>
              <w:spacing w:line="2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（20分）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项目决策</w:t>
            </w: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科学决策</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必要性</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（政策依据</w:t>
            </w:r>
            <w:r>
              <w:rPr>
                <w:rFonts w:hint="eastAsia" w:ascii="宋体" w:hAnsi="宋体" w:cs="宋体"/>
                <w:color w:val="000000"/>
                <w:kern w:val="0"/>
                <w:sz w:val="20"/>
                <w:szCs w:val="20"/>
                <w:lang w:eastAsia="zh-CN"/>
              </w:rPr>
              <w:t>）</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可行性</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（政策完善）</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 xml:space="preserve">绩效目标    </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明确性</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合理性</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618"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项目管理</w:t>
            </w: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（7分）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资金管理</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资金分配</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textDirection w:val="tbRlV"/>
            <w:vAlign w:val="center"/>
          </w:tcPr>
          <w:p>
            <w:pPr>
              <w:widowControl/>
              <w:spacing w:line="260" w:lineRule="exact"/>
              <w:jc w:val="center"/>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资金使用</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项目执行</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执行规范</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18"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（特性指标70分）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 xml:space="preserve">项目绩效  </w:t>
            </w: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（20）</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项目完成</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完成数量</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完成质量</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完成时效</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完成成本</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项目效益</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经济效益（可选项）</w:t>
            </w:r>
          </w:p>
        </w:tc>
        <w:tc>
          <w:tcPr>
            <w:tcW w:w="1311" w:type="dxa"/>
            <w:vMerge w:val="restart"/>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40</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社会效益（可选项）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tcPr>
          <w:p>
            <w:pPr>
              <w:widowControl/>
              <w:spacing w:line="260" w:lineRule="exact"/>
              <w:jc w:val="left"/>
              <w:rPr>
                <w:rFonts w:ascii="宋体" w:hAnsi="宋体" w:cs="宋体"/>
                <w:color w:val="000000"/>
                <w:kern w:val="0"/>
                <w:sz w:val="15"/>
                <w:szCs w:val="15"/>
              </w:rPr>
            </w:pPr>
            <w:r>
              <w:rPr>
                <w:rFonts w:hint="eastAsia" w:ascii="宋体" w:hAnsi="宋体" w:cs="宋体"/>
                <w:color w:val="000000"/>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生态效益（可选项）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tcPr>
          <w:p>
            <w:pPr>
              <w:widowControl/>
              <w:spacing w:line="260" w:lineRule="exact"/>
              <w:jc w:val="left"/>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可持续效益（可选项）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tcPr>
          <w:p>
            <w:pPr>
              <w:widowControl/>
              <w:spacing w:line="260" w:lineRule="exact"/>
              <w:jc w:val="left"/>
              <w:rPr>
                <w:rFonts w:ascii="宋体" w:hAnsi="宋体" w:cs="宋体"/>
                <w:color w:val="000000"/>
                <w:kern w:val="0"/>
                <w:sz w:val="15"/>
                <w:szCs w:val="15"/>
              </w:rPr>
            </w:pPr>
            <w:r>
              <w:rPr>
                <w:rFonts w:hint="eastAsia" w:ascii="宋体" w:hAnsi="宋体" w:cs="宋体"/>
                <w:color w:val="000000"/>
                <w:kern w:val="0"/>
                <w:sz w:val="15"/>
                <w:szCs w:val="15"/>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公平效率（可选项）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tcPr>
          <w:p>
            <w:pPr>
              <w:widowControl/>
              <w:spacing w:line="260" w:lineRule="exact"/>
              <w:jc w:val="left"/>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使用效率（可选项）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tcPr>
          <w:p>
            <w:pPr>
              <w:widowControl/>
              <w:spacing w:line="260" w:lineRule="exact"/>
              <w:jc w:val="left"/>
              <w:rPr>
                <w:rFonts w:ascii="宋体" w:hAnsi="宋体" w:cs="宋体"/>
                <w:color w:val="000000"/>
                <w:kern w:val="0"/>
                <w:sz w:val="15"/>
                <w:szCs w:val="15"/>
              </w:rPr>
            </w:pPr>
            <w:r>
              <w:rPr>
                <w:rFonts w:hint="eastAsia" w:ascii="宋体" w:hAnsi="宋体" w:cs="宋体"/>
                <w:color w:val="000000"/>
                <w:kern w:val="0"/>
                <w:sz w:val="15"/>
                <w:szCs w:val="15"/>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服务对象满意度    </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618" w:type="dxa"/>
            <w:vAlign w:val="center"/>
          </w:tcPr>
          <w:p>
            <w:pPr>
              <w:widowControl/>
              <w:spacing w:line="260" w:lineRule="exact"/>
              <w:jc w:val="left"/>
              <w:rPr>
                <w:rFonts w:ascii="宋体" w:hAnsi="宋体" w:cs="宋体"/>
                <w:color w:val="000000"/>
                <w:kern w:val="0"/>
                <w:sz w:val="20"/>
                <w:szCs w:val="20"/>
              </w:rPr>
            </w:pPr>
            <w:r>
              <w:rPr>
                <w:rFonts w:hint="eastAsia" w:ascii="宋体" w:hAnsi="宋体" w:cs="宋体"/>
                <w:color w:val="000000"/>
                <w:kern w:val="0"/>
                <w:sz w:val="20"/>
                <w:szCs w:val="20"/>
              </w:rPr>
              <w:t>总分</w:t>
            </w:r>
          </w:p>
        </w:tc>
        <w:tc>
          <w:tcPr>
            <w:tcW w:w="8270" w:type="dxa"/>
            <w:gridSpan w:val="4"/>
            <w:vAlign w:val="center"/>
          </w:tcPr>
          <w:p>
            <w:pPr>
              <w:widowControl/>
              <w:spacing w:line="260" w:lineRule="exact"/>
              <w:jc w:val="center"/>
              <w:rPr>
                <w:rFonts w:ascii="宋体" w:hAnsi="宋体" w:cs="宋体"/>
                <w:color w:val="000000"/>
                <w:kern w:val="0"/>
                <w:sz w:val="15"/>
                <w:szCs w:val="15"/>
              </w:rPr>
            </w:pPr>
          </w:p>
        </w:tc>
      </w:tr>
    </w:tbl>
    <w:p>
      <w:pPr>
        <w:spacing w:line="600" w:lineRule="exact"/>
        <w:ind w:firstLine="640" w:firstLineChars="200"/>
        <w:outlineLvl w:val="1"/>
        <w:rPr>
          <w:rStyle w:val="18"/>
          <w:rFonts w:ascii="黑体" w:eastAsia="黑体"/>
        </w:rPr>
      </w:pPr>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46"/>
      <w:bookmarkEnd w:id="47"/>
    </w:p>
    <w:p>
      <w:pPr>
        <w:spacing w:line="600" w:lineRule="exact"/>
        <w:ind w:firstLine="643" w:firstLineChars="200"/>
        <w:outlineLvl w:val="2"/>
        <w:rPr>
          <w:rFonts w:ascii="仿宋" w:eastAsia="仿宋"/>
          <w:color w:val="000000"/>
          <w:sz w:val="32"/>
          <w:szCs w:val="32"/>
        </w:rPr>
      </w:pPr>
      <w:bookmarkStart w:id="48" w:name="_Toc15377222"/>
      <w:r>
        <w:rPr>
          <w:rFonts w:hint="eastAsia" w:ascii="仿宋" w:eastAsia="仿宋"/>
          <w:b/>
          <w:color w:val="000000"/>
          <w:sz w:val="32"/>
          <w:szCs w:val="32"/>
        </w:rPr>
        <w:t>（一）机关运行经费支出情况</w:t>
      </w:r>
      <w:bookmarkEnd w:id="48"/>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20年，阿科里乡运行经费支出0万元</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49" w:name="_Toc15377223"/>
      <w:r>
        <w:rPr>
          <w:rFonts w:hint="eastAsia" w:ascii="仿宋" w:eastAsia="仿宋"/>
          <w:b/>
          <w:color w:val="000000"/>
          <w:sz w:val="32"/>
          <w:szCs w:val="32"/>
        </w:rPr>
        <w:t>（二）政府采购支出情况</w:t>
      </w:r>
      <w:bookmarkEnd w:id="49"/>
    </w:p>
    <w:p>
      <w:pPr>
        <w:spacing w:line="600" w:lineRule="exact"/>
        <w:ind w:firstLine="640" w:firstLineChars="20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20年，政府采购支出总额211.03万元，其中：政府采购货物支出15.45万元、政府采购工程支出195.58万元。</w:t>
      </w:r>
      <w:r>
        <w:rPr>
          <w:rFonts w:hint="eastAsia" w:ascii="仿宋_GB2312" w:eastAsia="仿宋_GB2312"/>
          <w:sz w:val="32"/>
          <w:szCs w:val="32"/>
        </w:rPr>
        <w:t>主要用于。</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0" w:name="_Toc15377224"/>
      <w:r>
        <w:rPr>
          <w:rFonts w:hint="eastAsia" w:ascii="仿宋" w:eastAsia="仿宋"/>
          <w:b/>
          <w:color w:val="000000"/>
          <w:sz w:val="32"/>
          <w:szCs w:val="32"/>
        </w:rPr>
        <w:t>（三）国有资产占有使用情况</w:t>
      </w:r>
      <w:bookmarkEnd w:id="50"/>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日，共有车辆1辆，为日常工作及应急保障用车。</w:t>
      </w:r>
      <w:r>
        <w:rPr>
          <w:rFonts w:hint="eastAsia" w:ascii="仿宋_GB2312" w:eastAsia="仿宋_GB2312"/>
          <w:b/>
          <w:color w:val="000000"/>
          <w:sz w:val="32"/>
          <w:szCs w:val="32"/>
        </w:rPr>
        <w:t xml:space="preserve">    </w:t>
      </w:r>
    </w:p>
    <w:p>
      <w:pPr>
        <w:numPr>
          <w:ilvl w:val="0"/>
          <w:numId w:val="7"/>
        </w:numPr>
        <w:spacing w:line="600" w:lineRule="exact"/>
        <w:ind w:firstLine="663" w:firstLineChars="150"/>
        <w:jc w:val="center"/>
        <w:outlineLvl w:val="0"/>
        <w:rPr>
          <w:rStyle w:val="17"/>
          <w:rFonts w:ascii="黑体" w:eastAsia="黑体"/>
          <w:b w:val="0"/>
        </w:rPr>
      </w:pPr>
      <w:bookmarkStart w:id="51" w:name="_Toc15377225"/>
      <w:bookmarkStart w:id="52" w:name="_Toc15396613"/>
      <w:r>
        <w:rPr>
          <w:rFonts w:hint="eastAsia" w:ascii="黑体" w:eastAsia="黑体"/>
          <w:b/>
          <w:color w:val="000000"/>
          <w:sz w:val="44"/>
          <w:szCs w:val="44"/>
        </w:rPr>
        <w:t>名</w:t>
      </w:r>
      <w:r>
        <w:rPr>
          <w:rStyle w:val="17"/>
          <w:rFonts w:hint="eastAsia" w:ascii="黑体" w:eastAsia="黑体"/>
          <w:b w:val="0"/>
        </w:rPr>
        <w:t>词解释</w:t>
      </w:r>
      <w:bookmarkEnd w:id="51"/>
      <w:bookmarkEnd w:id="52"/>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3" w:name="_Toc15377226"/>
      <w:bookmarkStart w:id="54" w:name="_Toc15396614"/>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ind w:firstLine="640" w:firstLineChars="200"/>
        <w:rPr>
          <w:rFonts w:ascii="仿宋_GB2312" w:eastAsia="仿宋_GB2312"/>
          <w:bCs/>
          <w:color w:val="000000"/>
          <w:sz w:val="32"/>
          <w:szCs w:val="32"/>
        </w:rPr>
      </w:pPr>
      <w:r>
        <w:rPr>
          <w:rFonts w:hint="eastAsia" w:ascii="仿宋_GB2312" w:eastAsia="仿宋_GB2312"/>
          <w:bCs/>
          <w:color w:val="000000"/>
          <w:sz w:val="32"/>
          <w:szCs w:val="32"/>
        </w:rPr>
        <w:t>附件</w:t>
      </w:r>
    </w:p>
    <w:p>
      <w:pPr>
        <w:ind w:firstLine="640" w:firstLineChars="200"/>
        <w:rPr>
          <w:rFonts w:ascii="仿宋_GB2312" w:eastAsia="仿宋_GB2312"/>
          <w:bCs/>
          <w:color w:val="000000"/>
          <w:sz w:val="32"/>
          <w:szCs w:val="32"/>
        </w:rPr>
      </w:pPr>
    </w:p>
    <w:p>
      <w:pPr>
        <w:pStyle w:val="2"/>
        <w:jc w:val="center"/>
        <w:rPr>
          <w:rFonts w:ascii="黑体" w:eastAsia="黑体"/>
          <w:b w:val="0"/>
        </w:rPr>
      </w:pPr>
      <w:r>
        <w:rPr>
          <w:rFonts w:hint="eastAsia" w:ascii="黑体" w:eastAsia="黑体"/>
          <w:b w:val="0"/>
        </w:rPr>
        <w:t>金川县阿科里乡人民政府</w:t>
      </w:r>
    </w:p>
    <w:p>
      <w:pPr>
        <w:pStyle w:val="2"/>
        <w:jc w:val="center"/>
        <w:rPr>
          <w:rFonts w:ascii="黑体" w:eastAsia="黑体"/>
          <w:b w:val="0"/>
        </w:rPr>
      </w:pPr>
      <w:r>
        <w:rPr>
          <w:rFonts w:hint="eastAsia" w:ascii="黑体" w:eastAsia="黑体"/>
          <w:b w:val="0"/>
        </w:rPr>
        <w:t>2020年部门整体支出绩效评价报告</w:t>
      </w:r>
    </w:p>
    <w:p>
      <w:pPr>
        <w:ind w:firstLine="640" w:firstLineChars="200"/>
        <w:rPr>
          <w:rFonts w:ascii="仿宋_GB2312" w:eastAsia="仿宋_GB2312"/>
          <w:color w:val="000000"/>
          <w:sz w:val="32"/>
          <w:szCs w:val="32"/>
        </w:rPr>
      </w:pPr>
    </w:p>
    <w:p>
      <w:pPr>
        <w:ind w:firstLine="640" w:firstLineChars="200"/>
        <w:rPr>
          <w:rFonts w:ascii="仿宋_GB2312" w:eastAsia="仿宋_GB2312"/>
          <w:color w:val="000000"/>
          <w:sz w:val="32"/>
          <w:szCs w:val="32"/>
        </w:rPr>
      </w:pPr>
      <w:bookmarkStart w:id="55" w:name="_Toc15396618"/>
      <w:bookmarkStart w:id="56" w:name="_Toc15396619"/>
      <w:r>
        <w:rPr>
          <w:rFonts w:hint="eastAsia" w:ascii="仿宋_GB2312" w:eastAsia="仿宋_GB2312"/>
          <w:color w:val="000000"/>
          <w:sz w:val="32"/>
          <w:szCs w:val="32"/>
        </w:rPr>
        <w:t>一、部门（单位）概况</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（一）阿科里乡人民政府下设“一办四中心一所”：具体组成为：党政综合办公室、综合文化发展中心、社会保障综合服务中心、经济发展中心、阿科里乡财政所。</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二）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w:t>
      </w:r>
      <w:r>
        <w:rPr>
          <w:rFonts w:hint="eastAsia" w:ascii="仿宋_GB2312" w:eastAsia="仿宋_GB2312"/>
          <w:color w:val="000000"/>
          <w:sz w:val="32"/>
          <w:szCs w:val="32"/>
          <w:lang w:eastAsia="zh-CN"/>
        </w:rPr>
        <w:t>其他事项</w:t>
      </w:r>
      <w:r>
        <w:rPr>
          <w:rFonts w:hint="eastAsia" w:ascii="仿宋_GB2312" w:eastAsia="仿宋_GB2312"/>
          <w:color w:val="000000"/>
          <w:sz w:val="32"/>
          <w:szCs w:val="32"/>
        </w:rPr>
        <w:t>。七、执行本级人民代表大会的决议和上级国家行政机关的决定和命令，发布决定和命令。八、保护社会主义的全民所有的财产和劳动群众集体所有的财产，保护公民私人所有的合法财产，维护社会秩序，保障公民的人身权利、民主权利和其他权利。</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三）阿科里乡人民政府2020年年初在职21人，其中行政人员14人，行政工勤2人，事业人员5人；2020年年末在职17人，其中行政人员11人，行政工勤1人，事业人员5人。2021年1-6月独立编制单位机构数为1个，财政供养人员编制为26名，其中行政编制14名，行政工勤编制2名，事业编制10名（其中参照公务员法管理人员编制0人）；2021年1-6月实际财政供养人员23人，其中：行政14人，行政工勤1人， 事业8人，较上年增加6人，主要原因是机构改革，人员增加，三站人员编制下划给乡镇。</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二、部门财政资金收支情况</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一）2020年阿科里乡本年收入合计557.77万元，其中：一般公共预算财政拨款收入557.77万元，占100%；政府性基金预算财政拨款收入0元，占0%；国有资本经营预算财政拨款收入0万元，占0%；事业收入0万元，占0%；经营收入0万元，占0%；附属单位上缴收入0万元，占0%；其他收入0万元，占0%。</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2021年1-6月收入合计270.64万元，其中：一般公共预算财政拨款收入270.64万元。</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（二）2020年一般公共预算财政拨款支出445.92万元，主要用于以下方面</w:t>
      </w:r>
      <w:r>
        <w:rPr>
          <w:rFonts w:hint="eastAsia" w:ascii="仿宋_GB2312" w:eastAsia="仿宋_GB2312"/>
          <w:color w:val="000000"/>
          <w:sz w:val="32"/>
          <w:szCs w:val="32"/>
          <w:lang w:eastAsia="zh-CN"/>
        </w:rPr>
        <w:t>：</w:t>
      </w:r>
      <w:r>
        <w:rPr>
          <w:rFonts w:hint="eastAsia" w:ascii="仿宋_GB2312" w:eastAsia="仿宋_GB2312"/>
          <w:color w:val="000000"/>
          <w:sz w:val="32"/>
          <w:szCs w:val="32"/>
        </w:rPr>
        <w:t xml:space="preserve"> 其中一般公共服务支出为223.08万元，占50.03%；社会保障和就业支出为35.65万元，占8%；卫健康支出22.04万元，占4.94%；农林水支出为120.94万元，占27.12%；住房保障支出27.46万元，占6.16%；灾害防治及应急管理支出10万元，占2.24%；其他支出为6.75万元，占1.51%。</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其中：人员经费支出325.06万元，主要包括：基本工资60.43万元、津贴补贴110.84万元、奖金4.59万元、绩效工资15.35万元、机关事业单位基本养老保险缴费23.77万元、职业年金缴费11.88万元、其他社会保障缴费2.48万元、住房公积金27.46万元、职工基本医疗保险缴费12.98万元、公务员医疗补助3.22万元、奖励金52.06万元。</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日常公用经费支出22.04万元，主要包括：办公费1.69万元、印刷费1万元、电费2.5万元、邮电费1.8万元、取暖费1.7万元、差旅费2.98万元、劳务费3万元、委托业务费1万元、公务用车运行维护费6.37万元。</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项目支出98.82万元，主要包括：人大会议费0.5万元，人大代表工作经费1.25万元，疫情工作经费5.84万元，对村干部生活补助支出41.48万元，村级维护费办公费33万元（其中公共运行维护费21万元、基层党组织活动经费6万元、办公费6万元），应急救援资金10万元；基础设施建设资金6.75万元。</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2021年1-6月财政总支出为266.46万元，其中：</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人员经费233.79万元，主要包括：基本工资38.11万元、津贴补贴65.77万元、绩效工资8.65万元、机关事业单位基本养老保险缴费15.16万元、职业年金缴费7.59万元、职工基本医疗保险缴费8.26万元、公务员医疗补助缴费2.17万元、其他社会保障缴费0.51万元、村干部工资2.61万元、住房公积金16.10万元、奖励金67.77万元，其他对个人和家庭的补助1.1万元。</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公用经费12.7万元，主要包括：办公费2.39万元、印刷费1.53万元、电费2.4万元、邮电费1.35万元、差旅费1.99万元、公务用车运行维护费2.02万元、手续费0.02万元、其他交通费用1万元。</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2021年1-6月项目支出19.96万元，主要包括</w:t>
      </w:r>
      <w:r>
        <w:rPr>
          <w:rFonts w:hint="eastAsia" w:ascii="仿宋_GB2312" w:eastAsia="仿宋_GB2312"/>
          <w:color w:val="000000"/>
          <w:sz w:val="32"/>
          <w:szCs w:val="32"/>
          <w:lang w:eastAsia="zh-CN"/>
        </w:rPr>
        <w:t>：</w:t>
      </w:r>
      <w:r>
        <w:rPr>
          <w:rFonts w:hint="eastAsia" w:ascii="仿宋_GB2312" w:eastAsia="仿宋_GB2312"/>
          <w:color w:val="000000"/>
          <w:sz w:val="32"/>
          <w:szCs w:val="32"/>
        </w:rPr>
        <w:t xml:space="preserve">阿科里村至莫斯卡牧道清理资金2万元、阿科里乡道路维护和推雪资金8万元、阿科里村加里沟牧道清理资金2万元、阿科里乡治安及环境监控费4.8万元、村级离任审计3.16万元。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三、部门财政支出管理情况</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（一）预算编制情况。</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eastAsia="zh-CN"/>
        </w:rPr>
        <w:t>）</w:t>
      </w:r>
      <w:r>
        <w:rPr>
          <w:rFonts w:hint="eastAsia" w:ascii="仿宋_GB2312" w:eastAsia="仿宋_GB2312"/>
          <w:color w:val="000000"/>
          <w:sz w:val="32"/>
          <w:szCs w:val="32"/>
        </w:rPr>
        <w:t>预算编制质量：</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2020年预算404.66万元，其中人员经费349.41万元，公用经费55.25万元。</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2021年部门收入预算总额为396.37元，较上年减少8.29万元，减少2.5%，主要是机构改革人员变动。其中：当年财政拨款收入396.37万元，其他收入 0万元，上年结转收入0万元。相应安排支出预算396.37万元，其中：基本支出预算396.37万元，项目支出0万元。</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（2）绩效目标填报：项目申报严格按照上级要求，明确绩效目标，控制</w:t>
      </w:r>
      <w:r>
        <w:rPr>
          <w:rFonts w:hint="eastAsia" w:ascii="仿宋_GB2312" w:eastAsia="仿宋_GB2312"/>
          <w:color w:val="000000"/>
          <w:sz w:val="32"/>
          <w:szCs w:val="32"/>
          <w:lang w:eastAsia="zh-CN"/>
        </w:rPr>
        <w:t>执行</w:t>
      </w:r>
      <w:r>
        <w:rPr>
          <w:rFonts w:hint="eastAsia" w:ascii="仿宋_GB2312" w:eastAsia="仿宋_GB2312"/>
          <w:color w:val="000000"/>
          <w:sz w:val="32"/>
          <w:szCs w:val="32"/>
        </w:rPr>
        <w:t>成本，提高项目发挥作用。并根据财政局统一要求编制了我会整体绩效目标报告及项目整体绩效目标表，并报县财政局。</w:t>
      </w:r>
      <w:bookmarkStart w:id="57" w:name="_GoBack"/>
      <w:bookmarkEnd w:id="57"/>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（二）执行管理情况。</w:t>
      </w:r>
      <w:r>
        <w:rPr>
          <w:rFonts w:hint="eastAsia" w:ascii="仿宋_GB2312" w:eastAsia="仿宋_GB2312"/>
          <w:color w:val="000000"/>
          <w:sz w:val="32"/>
          <w:szCs w:val="32"/>
        </w:rPr>
        <w:tab/>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部门预算执行情况良好，但基本集中在下半年。支出情况中期评估不足，2020年“三公”经费预算6.37万元，其中公务接待费0万元，公务用车运行维护费6.37万元，实际支出6.37万元，公务接待费0万元，公务用车运行维护费6.37万元。</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2021年“三公”经费预算5.8万元，其中公务接待费0万元，严格执行厉行节约的要求，认真贯彻落实中央八项规定及省委省政府十项规定要求，严格控制接待规模及接待标准。</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公务用车运行维护费5.8万元，1-6月实际支出公务接待费0万元，公务用车运行维护费2.02万元。</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（三）综合管理情况。</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我乡2020年无预算、支出政府采购。所有国有资产纳入资产管理系统，及时准确上报并做好资产的管理工作。根据相关要求，单位使用预算资金基本符合相关的预算财务管理制度。我乡在财政批复后20日内在指定网站公开预决算信息。按照相关要求进行绩效自我评价，按要求及时上报，对发现的问题提出整改措施，并整改落实到位。绩效评价及依法接受财政监督情况等。</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（四）整体绩效。</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我乡按照规定完全履行职责，整体评价良好，服务对象基本满意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四、评价结论及建议</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（一）评价结论。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在自评过程发现问题，查找原因，及时纠正偏差，为下一步工作夯实基础。整体评价良好，预算支出和决算支出情况相符。</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（二）存在问题。</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 一是资金使用效益有待进一步提高。公用经费上半年拨付进度慢。二是绩效目标设立不够明确、细化和量化。虽然设立了项目资金绩效目标，但目标不够明确、细化和量化。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（三）改进建议。</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一是加强资金拨付进度，更加合理规范使用财政预算资金。二是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ind w:firstLine="640" w:firstLineChars="200"/>
        <w:rPr>
          <w:rFonts w:ascii="仿宋_GB2312" w:eastAsia="仿宋_GB2312"/>
          <w:color w:val="000000"/>
          <w:sz w:val="32"/>
          <w:szCs w:val="32"/>
        </w:rPr>
      </w:pPr>
    </w:p>
    <w:p>
      <w:pPr>
        <w:ind w:firstLine="640" w:firstLineChars="200"/>
        <w:rPr>
          <w:rFonts w:ascii="仿宋_GB2312" w:eastAsia="仿宋_GB2312"/>
          <w:color w:val="000000"/>
          <w:sz w:val="32"/>
          <w:szCs w:val="32"/>
        </w:rPr>
      </w:pPr>
    </w:p>
    <w:bookmarkEnd w:id="55"/>
    <w:bookmarkEnd w:id="56"/>
    <w:p>
      <w:pPr>
        <w:rPr>
          <w:rFonts w:ascii="仿宋_GB2312" w:eastAsia="仿宋_GB2312"/>
          <w:color w:val="000000"/>
          <w:sz w:val="32"/>
          <w:szCs w:val="32"/>
        </w:rPr>
      </w:pPr>
    </w:p>
    <w:p>
      <w:pPr>
        <w:ind w:firstLine="640" w:firstLineChars="200"/>
        <w:rPr>
          <w:rFonts w:ascii="仿宋_GB2312" w:eastAsia="仿宋_GB2312"/>
          <w:color w:val="000000"/>
          <w:sz w:val="32"/>
          <w:szCs w:val="32"/>
        </w:rPr>
      </w:pPr>
    </w:p>
    <w:p>
      <w:pPr>
        <w:ind w:firstLine="640" w:firstLineChars="200"/>
        <w:rPr>
          <w:rFonts w:ascii="仿宋_GB2312" w:eastAsia="仿宋_GB2312"/>
          <w:color w:val="000000"/>
          <w:sz w:val="32"/>
          <w:szCs w:val="32"/>
        </w:rPr>
      </w:pPr>
    </w:p>
    <w:bookmarkEnd w:id="53"/>
    <w:bookmarkEnd w:id="54"/>
    <w:p>
      <w:pPr>
        <w:rPr>
          <w:rFonts w:ascii="仿宋_GB2312" w:eastAsia="仿宋_GB2312"/>
          <w:color w:val="000000"/>
          <w:sz w:val="32"/>
          <w:szCs w:val="32"/>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0508730"/>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18</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5CDAFF"/>
    <w:multiLevelType w:val="singleLevel"/>
    <w:tmpl w:val="E25CDAFF"/>
    <w:lvl w:ilvl="0" w:tentative="0">
      <w:start w:val="1"/>
      <w:numFmt w:val="decimal"/>
      <w:lvlText w:val="%1."/>
      <w:lvlJc w:val="left"/>
      <w:pPr>
        <w:tabs>
          <w:tab w:val="left" w:pos="312"/>
        </w:tabs>
      </w:p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78D72DD4"/>
    <w:multiLevelType w:val="singleLevel"/>
    <w:tmpl w:val="78D72DD4"/>
    <w:lvl w:ilvl="0" w:tentative="0">
      <w:start w:val="3"/>
      <w:numFmt w:val="decimal"/>
      <w:lvlText w:val="%1."/>
      <w:lvlJc w:val="left"/>
      <w:pPr>
        <w:tabs>
          <w:tab w:val="left" w:pos="0"/>
        </w:tabs>
        <w:ind w:left="0" w:firstLine="0"/>
      </w:pPr>
    </w:lvl>
  </w:abstractNum>
  <w:num w:numId="1">
    <w:abstractNumId w:val="4"/>
  </w:num>
  <w:num w:numId="2">
    <w:abstractNumId w:val="1"/>
  </w:num>
  <w:num w:numId="3">
    <w:abstractNumId w:val="6"/>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6F5D5A"/>
    <w:rsid w:val="000953C0"/>
    <w:rsid w:val="00393071"/>
    <w:rsid w:val="004B5A54"/>
    <w:rsid w:val="005C29AB"/>
    <w:rsid w:val="006666DD"/>
    <w:rsid w:val="006F5D5A"/>
    <w:rsid w:val="009132EB"/>
    <w:rsid w:val="00AB0364"/>
    <w:rsid w:val="00B24A23"/>
    <w:rsid w:val="041C219F"/>
    <w:rsid w:val="04A25512"/>
    <w:rsid w:val="0CD35E8E"/>
    <w:rsid w:val="0CFC7B2E"/>
    <w:rsid w:val="0D7F6275"/>
    <w:rsid w:val="17B46C45"/>
    <w:rsid w:val="17E214F9"/>
    <w:rsid w:val="1C6731FD"/>
    <w:rsid w:val="1DBF3352"/>
    <w:rsid w:val="1E8F23E9"/>
    <w:rsid w:val="22A45803"/>
    <w:rsid w:val="26363759"/>
    <w:rsid w:val="2C7A4D37"/>
    <w:rsid w:val="3A896483"/>
    <w:rsid w:val="3D39498C"/>
    <w:rsid w:val="3FBF6A06"/>
    <w:rsid w:val="40852EEA"/>
    <w:rsid w:val="4FAD7B4E"/>
    <w:rsid w:val="54EA27D7"/>
    <w:rsid w:val="559D3B7F"/>
    <w:rsid w:val="5C1A3671"/>
    <w:rsid w:val="5D676C46"/>
    <w:rsid w:val="66464F91"/>
    <w:rsid w:val="68550294"/>
    <w:rsid w:val="69F74A22"/>
    <w:rsid w:val="6D106F6F"/>
    <w:rsid w:val="6FCA65CB"/>
    <w:rsid w:val="70F76C90"/>
    <w:rsid w:val="718D0E89"/>
    <w:rsid w:val="794F29D8"/>
    <w:rsid w:val="79650B86"/>
    <w:rsid w:val="7ABB1297"/>
    <w:rsid w:val="7ADE6FFF"/>
    <w:rsid w:val="7DDA0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Normal (Web)"/>
    <w:basedOn w:val="1"/>
    <w:qFormat/>
    <w:uiPriority w:val="99"/>
    <w:pPr>
      <w:spacing w:beforeAutospacing="1" w:afterAutospacing="1"/>
      <w:jc w:val="left"/>
    </w:pPr>
    <w:rPr>
      <w:rFonts w:ascii="Calibri" w:hAnsi="Calibri"/>
      <w:kern w:val="0"/>
      <w:sz w:val="24"/>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标题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3"/>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G:\&#20197;&#21069;&#24180;&#24230;\2020&#24180;&#20915;&#31639;\&#22270;&#26631;.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收入支出对比表</a:t>
            </a:r>
            <a:endParaRPr sz="18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title>
    <c:autoTitleDeleted val="0"/>
    <c:plotArea>
      <c:layout>
        <c:manualLayout>
          <c:layoutTarget val="inner"/>
          <c:xMode val="edge"/>
          <c:yMode val="edge"/>
          <c:x val="0.105516185476815"/>
          <c:y val="0.168993146689997"/>
          <c:w val="0.74988801399825"/>
          <c:h val="0.678939195100612"/>
        </c:manualLayout>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[图标.xls]Sheet1!$A$3:$A$4</c:f>
              <c:strCache>
                <c:ptCount val="2"/>
                <c:pt idx="0">
                  <c:v>2019年</c:v>
                </c:pt>
                <c:pt idx="1">
                  <c:v>2020年</c:v>
                </c:pt>
              </c:strCache>
            </c:strRef>
          </c:cat>
          <c:val>
            <c:numRef>
              <c:f>[图标.xls]Sheet1!$B$3:$B$4</c:f>
              <c:numCache>
                <c:formatCode>General</c:formatCode>
                <c:ptCount val="2"/>
                <c:pt idx="0">
                  <c:v>440.77</c:v>
                </c:pt>
                <c:pt idx="1">
                  <c:v>557.77</c:v>
                </c:pt>
              </c:numCache>
            </c:numRef>
          </c:val>
        </c:ser>
        <c:ser>
          <c:idx val="1"/>
          <c:order val="1"/>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[图标.xls]Sheet1!$A$3:$A$4</c:f>
              <c:strCache>
                <c:ptCount val="2"/>
                <c:pt idx="0">
                  <c:v>2019年</c:v>
                </c:pt>
                <c:pt idx="1">
                  <c:v>2020年</c:v>
                </c:pt>
              </c:strCache>
            </c:strRef>
          </c:cat>
          <c:val>
            <c:numRef>
              <c:f>[图标.xls]Sheet1!$C$3:$C$4</c:f>
              <c:numCache>
                <c:formatCode>General</c:formatCode>
                <c:ptCount val="2"/>
                <c:pt idx="0">
                  <c:v>910.6</c:v>
                </c:pt>
                <c:pt idx="1">
                  <c:v>445.92</c:v>
                </c:pt>
              </c:numCache>
            </c:numRef>
          </c:val>
        </c:ser>
        <c:dLbls>
          <c:showLegendKey val="0"/>
          <c:showVal val="1"/>
          <c:showCatName val="0"/>
          <c:showSerName val="0"/>
          <c:showPercent val="0"/>
          <c:showBubbleSize val="0"/>
        </c:dLbls>
        <c:gapWidth val="150"/>
        <c:axId val="53237632"/>
        <c:axId val="95134464"/>
      </c:barChart>
      <c:catAx>
        <c:axId val="53237632"/>
        <c:scaling>
          <c:orientation val="minMax"/>
        </c:scaling>
        <c:delete val="0"/>
        <c:axPos val="b"/>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95134464"/>
        <c:crosses val="autoZero"/>
        <c:auto val="1"/>
        <c:lblAlgn val="ctr"/>
        <c:lblOffset val="100"/>
        <c:noMultiLvlLbl val="0"/>
      </c:catAx>
      <c:valAx>
        <c:axId val="95134464"/>
        <c:scaling>
          <c:orientation val="minMax"/>
        </c:scaling>
        <c:delete val="0"/>
        <c:axPos val="l"/>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53237632"/>
        <c:crosses val="autoZero"/>
        <c:crossBetween val="between"/>
      </c:valAx>
      <c:spPr>
        <a:noFill/>
        <a:ln w="3175">
          <a:noFill/>
        </a:ln>
      </c:spPr>
    </c:plotArea>
    <c:plotVisOnly val="1"/>
    <c:dispBlanksAs val="gap"/>
    <c:showDLblsOverMax val="0"/>
  </c:chart>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Arial" panose="020B0604020202020204" pitchFamily="2"/>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strCache>
            </c:strRef>
          </c:cat>
          <c:val>
            <c:numRef>
              <c:f>'Sheet1 (2)'!$B$2:$B$3</c:f>
              <c:numCache>
                <c:formatCode>General</c:formatCode>
                <c:ptCount val="2"/>
                <c:pt idx="0">
                  <c:v>557.77</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zero"/>
    <c:showDLblsOverMax val="0"/>
  </c:chart>
  <c:spPr>
    <a:solidFill>
      <a:srgbClr val="FFFFFF"/>
    </a:solidFill>
    <a:ln w="1270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Arial" panose="020B0604020202020204" pitchFamily="2"/>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347.1</c:v>
                </c:pt>
                <c:pt idx="1">
                  <c:v>98.82</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zero"/>
    <c:showDLblsOverMax val="0"/>
  </c:chart>
  <c:spPr>
    <a:solidFill>
      <a:srgbClr val="FFFFFF"/>
    </a:solidFill>
    <a:ln w="1270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Arial" panose="020B0604020202020204" pitchFamily="2"/>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440.77</c:v>
                </c:pt>
                <c:pt idx="1">
                  <c:v>910.6</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557.77</c:v>
                </c:pt>
                <c:pt idx="1">
                  <c:v>445.92</c:v>
                </c:pt>
              </c:numCache>
            </c:numRef>
          </c:val>
        </c:ser>
        <c:dLbls>
          <c:showLegendKey val="0"/>
          <c:showVal val="1"/>
          <c:showCatName val="0"/>
          <c:showSerName val="0"/>
          <c:showPercent val="0"/>
          <c:showBubbleSize val="0"/>
        </c:dLbls>
        <c:gapWidth val="219"/>
        <c:overlap val="-27"/>
        <c:axId val="52471296"/>
        <c:axId val="52472832"/>
      </c:barChart>
      <c:catAx>
        <c:axId val="52471296"/>
        <c:scaling>
          <c:orientation val="minMax"/>
        </c:scaling>
        <c:delete val="0"/>
        <c:axPos val="b"/>
        <c:numFmt formatCode="General" sourceLinked="1"/>
        <c:majorTickMark val="none"/>
        <c:minorTickMark val="none"/>
        <c:tickLblPos val="nextTo"/>
        <c:spPr>
          <a:ln w="1270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crossAx val="52472832"/>
        <c:crosses val="autoZero"/>
        <c:auto val="1"/>
        <c:lblAlgn val="ctr"/>
        <c:lblOffset val="100"/>
        <c:noMultiLvlLbl val="0"/>
      </c:catAx>
      <c:valAx>
        <c:axId val="52472832"/>
        <c:scaling>
          <c:orientation val="minMax"/>
          <c:max val="4500"/>
          <c:min val="0"/>
        </c:scaling>
        <c:delete val="0"/>
        <c:axPos val="l"/>
        <c:majorGridlines>
          <c:spPr>
            <a:ln w="1270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crossAx val="52471296"/>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gap"/>
    <c:showDLblsOverMax val="0"/>
  </c:chart>
  <c:spPr>
    <a:solidFill>
      <a:srgbClr val="FFFFFF"/>
    </a:solidFill>
    <a:ln w="1270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Arial" panose="020B0604020202020204" pitchFamily="2"/>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910.6</c:v>
                </c:pt>
                <c:pt idx="1">
                  <c:v>445.92</c:v>
                </c:pt>
              </c:numCache>
            </c:numRef>
          </c:val>
        </c:ser>
        <c:dLbls>
          <c:showLegendKey val="0"/>
          <c:showVal val="1"/>
          <c:showCatName val="0"/>
          <c:showSerName val="0"/>
          <c:showPercent val="0"/>
          <c:showBubbleSize val="0"/>
        </c:dLbls>
        <c:gapWidth val="219"/>
        <c:overlap val="-27"/>
        <c:axId val="42724352"/>
        <c:axId val="52491008"/>
      </c:barChart>
      <c:catAx>
        <c:axId val="42724352"/>
        <c:scaling>
          <c:orientation val="minMax"/>
        </c:scaling>
        <c:delete val="0"/>
        <c:axPos val="b"/>
        <c:numFmt formatCode="General" sourceLinked="1"/>
        <c:majorTickMark val="none"/>
        <c:minorTickMark val="none"/>
        <c:tickLblPos val="nextTo"/>
        <c:spPr>
          <a:ln w="1270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crossAx val="52491008"/>
        <c:crosses val="autoZero"/>
        <c:auto val="1"/>
        <c:lblAlgn val="ctr"/>
        <c:lblOffset val="100"/>
        <c:noMultiLvlLbl val="0"/>
      </c:catAx>
      <c:valAx>
        <c:axId val="52491008"/>
        <c:scaling>
          <c:orientation val="minMax"/>
          <c:max val="4500"/>
          <c:min val="0"/>
        </c:scaling>
        <c:delete val="0"/>
        <c:axPos val="l"/>
        <c:majorGridlines>
          <c:spPr>
            <a:ln w="1270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crossAx val="42724352"/>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gap"/>
    <c:showDLblsOverMax val="0"/>
  </c:chart>
  <c:spPr>
    <a:solidFill>
      <a:srgbClr val="FFFFFF"/>
    </a:solidFill>
    <a:ln w="1270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Arial" panose="020B0604020202020204" pitchFamily="2"/>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Pt>
            <c:idx val="5"/>
            <c:bubble3D val="0"/>
            <c:spPr>
              <a:solidFill>
                <a:srgbClr val="4F81BD"/>
              </a:solidFill>
              <a:ln>
                <a:noFill/>
              </a:ln>
            </c:spPr>
          </c:dPt>
          <c:dPt>
            <c:idx val="6"/>
            <c:bubble3D val="0"/>
            <c:spPr>
              <a:solidFill>
                <a:srgbClr val="4F81BD"/>
              </a:solidFill>
              <a:ln>
                <a:noFill/>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(6)'!$A$2:$A$8</c:f>
              <c:strCache>
                <c:ptCount val="7"/>
                <c:pt idx="0">
                  <c:v>一般公共服务</c:v>
                </c:pt>
                <c:pt idx="1">
                  <c:v>农林水支出</c:v>
                </c:pt>
                <c:pt idx="2">
                  <c:v>灾害防治及应急管理支出</c:v>
                </c:pt>
                <c:pt idx="3">
                  <c:v>其他支出</c:v>
                </c:pt>
                <c:pt idx="4">
                  <c:v>社会保障和就业</c:v>
                </c:pt>
                <c:pt idx="5">
                  <c:v>医疗卫生支出</c:v>
                </c:pt>
                <c:pt idx="6">
                  <c:v>住房保障支出</c:v>
                </c:pt>
              </c:strCache>
            </c:strRef>
          </c:cat>
          <c:val>
            <c:numRef>
              <c:f>'Sheet1 (6)'!$B$2:$B$8</c:f>
              <c:numCache>
                <c:formatCode>General</c:formatCode>
                <c:ptCount val="7"/>
                <c:pt idx="0">
                  <c:v>223.08</c:v>
                </c:pt>
                <c:pt idx="1">
                  <c:v>120.94</c:v>
                </c:pt>
                <c:pt idx="2">
                  <c:v>10</c:v>
                </c:pt>
                <c:pt idx="3">
                  <c:v>6.75</c:v>
                </c:pt>
                <c:pt idx="4">
                  <c:v>35.65</c:v>
                </c:pt>
                <c:pt idx="5">
                  <c:v>22.04</c:v>
                </c:pt>
                <c:pt idx="6">
                  <c:v>27.46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zero"/>
    <c:showDLblsOverMax val="0"/>
  </c:chart>
  <c:spPr>
    <a:solidFill>
      <a:srgbClr val="FFFFFF"/>
    </a:solidFill>
    <a:ln w="1270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Arial" panose="020B0604020202020204" pitchFamily="2"/>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1">
                  <c:v>公务用车购置及运行维护费</c:v>
                </c:pt>
              </c:strCache>
            </c:strRef>
          </c:cat>
          <c:val>
            <c:numRef>
              <c:f>'Sheet1 (7)'!$B$2:$B$4</c:f>
              <c:numCache>
                <c:formatCode>General</c:formatCode>
                <c:ptCount val="3"/>
                <c:pt idx="1">
                  <c:v>6.37</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zero"/>
    <c:showDLblsOverMax val="0"/>
  </c:chart>
  <c:spPr>
    <a:solidFill>
      <a:srgbClr val="FFFFFF"/>
    </a:solidFill>
    <a:ln w="1270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1814</Words>
  <Characters>10343</Characters>
  <Lines>86</Lines>
  <Paragraphs>24</Paragraphs>
  <TotalTime>7</TotalTime>
  <ScaleCrop>false</ScaleCrop>
  <LinksUpToDate>false</LinksUpToDate>
  <CharactersWithSpaces>12133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不改</cp:lastModifiedBy>
  <cp:lastPrinted>2020-09-29T10:36:00Z</cp:lastPrinted>
  <dcterms:modified xsi:type="dcterms:W3CDTF">2021-09-27T02:36:51Z</dcterms:modified>
  <dc:title>四川省***</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7446358C982B43FBBF5486ACE152A102</vt:lpwstr>
  </property>
</Properties>
</file>