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宋体" w:eastAsia="方正小标宋简体" w:cs="Times New Roman"/>
          <w:color w:val="000000"/>
          <w:sz w:val="36"/>
          <w:szCs w:val="36"/>
        </w:rPr>
      </w:pPr>
      <w:r>
        <w:rPr>
          <w:rFonts w:hint="eastAsia" w:ascii="方正小标宋简体" w:hAnsi="宋体" w:eastAsia="方正小标宋简体" w:cs="Times New Roman"/>
          <w:color w:val="000000"/>
          <w:sz w:val="36"/>
          <w:szCs w:val="36"/>
          <w:lang w:eastAsia="zh-CN"/>
        </w:rPr>
        <w:t>阿坝州金川县阿科里乡人民政府</w:t>
      </w:r>
      <w:r>
        <w:rPr>
          <w:rFonts w:hint="eastAsia" w:ascii="方正小标宋简体" w:hAnsi="宋体" w:eastAsia="方正小标宋简体" w:cs="Times New Roman"/>
          <w:color w:val="000000"/>
          <w:sz w:val="36"/>
          <w:szCs w:val="36"/>
        </w:rPr>
        <w:t>201</w:t>
      </w:r>
      <w:r>
        <w:rPr>
          <w:rFonts w:hint="eastAsia" w:ascii="方正小标宋简体" w:hAnsi="宋体" w:eastAsia="方正小标宋简体" w:cs="Times New Roman"/>
          <w:color w:val="000000"/>
          <w:sz w:val="36"/>
          <w:szCs w:val="36"/>
          <w:lang w:val="en-US" w:eastAsia="zh-CN"/>
        </w:rPr>
        <w:t>8</w:t>
      </w:r>
      <w:r>
        <w:rPr>
          <w:rFonts w:hint="eastAsia" w:ascii="方正小标宋简体" w:hAnsi="宋体" w:eastAsia="方正小标宋简体" w:cs="Times New Roman"/>
          <w:color w:val="000000"/>
          <w:sz w:val="36"/>
          <w:szCs w:val="36"/>
        </w:rPr>
        <w:t xml:space="preserve">年决算公开  </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目 录</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一、基本职能及主要工作</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（一）主要职能。</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（二）201</w:t>
      </w:r>
      <w:r>
        <w:rPr>
          <w:rFonts w:hint="eastAsia" w:ascii="仿宋_GB2312" w:hAnsi="Times New Roman" w:eastAsia="仿宋_GB2312" w:cs="Times New Roman"/>
          <w:b w:val="0"/>
          <w:bCs/>
          <w:color w:val="000000"/>
          <w:sz w:val="32"/>
          <w:szCs w:val="32"/>
          <w:lang w:val="en-US" w:eastAsia="zh-CN"/>
        </w:rPr>
        <w:t>8</w:t>
      </w:r>
      <w:r>
        <w:rPr>
          <w:rFonts w:hint="eastAsia" w:ascii="仿宋_GB2312" w:hAnsi="Times New Roman" w:eastAsia="仿宋_GB2312" w:cs="Times New Roman"/>
          <w:b w:val="0"/>
          <w:bCs/>
          <w:color w:val="000000"/>
          <w:sz w:val="32"/>
          <w:szCs w:val="32"/>
        </w:rPr>
        <w:t>年重点工作完成情况。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二、部门概况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三、收支决算总体情况说明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四、财政拨款收入支出决算总体情况说明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五、一般公共预算财政拨款支出决算情况说明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（一）一般公共预算财政拨款支出决算总体情况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（二）一般公共预算财政拨款支出决算结构情况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（三）一般公共预算财政拨款支出决算具体情况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六、一般公共预算财政拨款基本支出决算情况说明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七、“三公”经费财政拨款支出决算情况说明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（一）“三公”经费财政拨款支出决算总体情况说明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（二）“三公”经费财政拨款支出决算具体情况说明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八、政府性基金预算支出决算情况说明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九、国有资本经营预算支出决算情况说明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十、其他重要事项的情况说明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（一）机关运行经费支出情况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（二）政府采购支出情况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（三）国有资产占有使用情况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（四）预算绩效情况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1.绩效目标管理情况。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2.部门整体支出绩效自评开展情况。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3.部门自行组织绩效评价开展情况。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十一、名词解释</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exact"/>
        <w:jc w:val="center"/>
        <w:rPr>
          <w:rFonts w:hint="eastAsia" w:ascii="方正小标宋简体" w:hAnsi="宋体" w:eastAsia="方正小标宋简体" w:cs="Times New Roman"/>
          <w:color w:val="000000"/>
          <w:sz w:val="36"/>
          <w:szCs w:val="36"/>
          <w:lang w:eastAsia="zh-CN"/>
        </w:rPr>
      </w:pPr>
      <w:r>
        <w:rPr>
          <w:rFonts w:hint="eastAsia" w:ascii="方正小标宋简体" w:hAnsi="宋体" w:eastAsia="方正小标宋简体" w:cs="Times New Roman"/>
          <w:color w:val="000000"/>
          <w:sz w:val="36"/>
          <w:szCs w:val="36"/>
        </w:rPr>
        <w:t>四川省阿坝州</w:t>
      </w:r>
      <w:r>
        <w:rPr>
          <w:rFonts w:hint="eastAsia" w:ascii="方正小标宋简体" w:hAnsi="宋体" w:eastAsia="方正小标宋简体" w:cs="Times New Roman"/>
          <w:color w:val="000000"/>
          <w:sz w:val="36"/>
          <w:szCs w:val="36"/>
          <w:lang w:eastAsia="zh-CN"/>
        </w:rPr>
        <w:t>金川县阿科里乡人民政府</w:t>
      </w:r>
    </w:p>
    <w:p>
      <w:pPr>
        <w:spacing w:line="600" w:lineRule="exact"/>
        <w:jc w:val="center"/>
        <w:rPr>
          <w:rFonts w:hint="eastAsia" w:ascii="方正小标宋简体" w:hAnsi="宋体" w:eastAsia="方正小标宋简体" w:cs="Times New Roman"/>
          <w:color w:val="000000"/>
          <w:sz w:val="36"/>
          <w:szCs w:val="36"/>
        </w:rPr>
      </w:pPr>
    </w:p>
    <w:p>
      <w:pPr>
        <w:spacing w:line="600" w:lineRule="exact"/>
        <w:jc w:val="center"/>
        <w:rPr>
          <w:rFonts w:hint="eastAsia" w:ascii="方正小标宋简体" w:hAnsi="宋体" w:eastAsia="方正小标宋简体" w:cs="Times New Roman"/>
          <w:color w:val="000000"/>
          <w:sz w:val="36"/>
          <w:szCs w:val="36"/>
        </w:rPr>
      </w:pPr>
      <w:r>
        <w:rPr>
          <w:rFonts w:hint="eastAsia" w:ascii="方正小标宋简体" w:hAnsi="宋体" w:eastAsia="方正小标宋简体" w:cs="Times New Roman"/>
          <w:color w:val="000000"/>
          <w:sz w:val="36"/>
          <w:szCs w:val="36"/>
        </w:rPr>
        <w:t>201</w:t>
      </w:r>
      <w:r>
        <w:rPr>
          <w:rFonts w:hint="eastAsia" w:ascii="方正小标宋简体" w:hAnsi="宋体" w:eastAsia="方正小标宋简体" w:cs="Times New Roman"/>
          <w:color w:val="000000"/>
          <w:sz w:val="36"/>
          <w:szCs w:val="36"/>
          <w:lang w:val="en-US" w:eastAsia="zh-CN"/>
        </w:rPr>
        <w:t>8</w:t>
      </w:r>
      <w:r>
        <w:rPr>
          <w:rFonts w:hint="eastAsia" w:ascii="方正小标宋简体" w:hAnsi="宋体" w:eastAsia="方正小标宋简体" w:cs="Times New Roman"/>
          <w:color w:val="000000"/>
          <w:sz w:val="36"/>
          <w:szCs w:val="36"/>
        </w:rPr>
        <w:t>年部门决算编制说明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exact"/>
        <w:ind w:firstLine="640" w:firstLineChars="200"/>
        <w:rPr>
          <w:rFonts w:hint="eastAsia" w:ascii="黑体" w:hAnsi="Times New Roman" w:eastAsia="黑体" w:cs="Times New Roman"/>
          <w:color w:val="000000"/>
          <w:sz w:val="32"/>
          <w:szCs w:val="32"/>
        </w:rPr>
      </w:pPr>
      <w:r>
        <w:rPr>
          <w:rFonts w:hint="eastAsia" w:ascii="黑体" w:hAnsi="Times New Roman" w:eastAsia="黑体" w:cs="Times New Roman"/>
          <w:color w:val="000000"/>
          <w:sz w:val="32"/>
          <w:szCs w:val="32"/>
        </w:rPr>
        <w:t>一、基本职能及主要工作</w:t>
      </w:r>
    </w:p>
    <w:p>
      <w:pPr>
        <w:spacing w:line="600" w:lineRule="atLeast"/>
        <w:ind w:firstLine="643"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bCs w:val="0"/>
          <w:color w:val="000000"/>
          <w:sz w:val="32"/>
          <w:szCs w:val="32"/>
        </w:rPr>
        <w:t>（一）主要职能</w:t>
      </w:r>
      <w:r>
        <w:rPr>
          <w:rFonts w:hint="eastAsia" w:ascii="仿宋_GB2312" w:hAnsi="Times New Roman" w:eastAsia="仿宋_GB2312" w:cs="Times New Roman"/>
          <w:b w:val="0"/>
          <w:bCs/>
          <w:color w:val="000000"/>
          <w:sz w:val="32"/>
          <w:szCs w:val="32"/>
        </w:rPr>
        <w:t>。</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贯彻落实党和政府各项路线方针政策。深入贯彻党的十八大、十八届四中、五中全会精神，宣传和贯彻执行党的路线、方针、政策和国家的法律、法令；宣传和贯彻上级机关的政策、法规、规章、决定等；执行本级党代会和人代会的决定、决议；研究决定辖区内政治、经济、文化等重大问题。</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（4）、进一步强化社会管理职能，加强辖区内的社会治安综合管理。建立村、企业及单位治安综合治理网络，实行群防群治。加强法制宣传教育，积极做好平安</w:t>
      </w:r>
      <w:r>
        <w:rPr>
          <w:rFonts w:hint="eastAsia" w:ascii="仿宋_GB2312" w:hAnsi="Times New Roman" w:eastAsia="仿宋_GB2312" w:cs="Times New Roman"/>
          <w:b w:val="0"/>
          <w:bCs/>
          <w:color w:val="000000"/>
          <w:sz w:val="32"/>
          <w:szCs w:val="32"/>
          <w:lang w:eastAsia="zh-CN"/>
        </w:rPr>
        <w:t>乡镇</w:t>
      </w:r>
      <w:r>
        <w:rPr>
          <w:rFonts w:hint="eastAsia" w:ascii="仿宋_GB2312" w:hAnsi="Times New Roman" w:eastAsia="仿宋_GB2312" w:cs="Times New Roman"/>
          <w:b w:val="0"/>
          <w:bCs/>
          <w:color w:val="000000"/>
          <w:sz w:val="32"/>
          <w:szCs w:val="32"/>
        </w:rPr>
        <w:t>、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（二）201</w:t>
      </w:r>
      <w:r>
        <w:rPr>
          <w:rFonts w:hint="eastAsia" w:ascii="仿宋_GB2312" w:hAnsi="Times New Roman" w:eastAsia="仿宋_GB2312" w:cs="Times New Roman"/>
          <w:b/>
          <w:bCs w:val="0"/>
          <w:color w:val="000000"/>
          <w:sz w:val="32"/>
          <w:szCs w:val="32"/>
          <w:lang w:val="en-US" w:eastAsia="zh-CN"/>
        </w:rPr>
        <w:t>8</w:t>
      </w:r>
      <w:r>
        <w:rPr>
          <w:rFonts w:hint="eastAsia" w:ascii="仿宋_GB2312" w:hAnsi="Times New Roman" w:eastAsia="仿宋_GB2312" w:cs="Times New Roman"/>
          <w:b/>
          <w:bCs w:val="0"/>
          <w:color w:val="000000"/>
          <w:sz w:val="32"/>
          <w:szCs w:val="32"/>
        </w:rPr>
        <w:t>年重点工作完成情况。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我乡在县委、县政府的正确领导下，在州双联单位、县级联系部门的关怀下，在乡党委的指导下，在乡人大的监督支持下，在各村两委的密切配合下，紧紧团结依靠全乡人民，健全完善了相关管理制度，认真贯彻落实科学发展观、党的十八大及十八届四中、五中全会及十九大精神和习近平总书记系列重要讲话精神。按照省委“三大发展战略”、州委“五为”总体工作要求，把握“夯实基础、增量提质、跨越发展”的工作基调，紧紧围绕县委县政府“一二三四五”发展战略、“一四三四”治县方略，为加快“四地三县”建设，牢牢抓住中央和省州支持民族地区跨越发展的大好机遇，攻坚克难、乘势而上，全面完成了年初既定确定的各项任务。</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以来，班子成员以“四个全面”为主线、以脱贫攻坚为主战场，以“党建引领，和谐稳定，补齐短板，调整产业，脱贫奔康，发展旅游，凝心聚力”为思路，以“发展特色产业，拓宽致富渠道，建设生态小康阿科里；发展公益事业，提升民生水平，建设民主和谐阿科里；弘扬孝德文化，壮大旅游产业，建设孝德美丽阿科里；依托资源优势，加快小康进程，建设幸福安康阿科里”的工作目标，进一步理清工作思路，创新工作方式、振奋精神，抢抓机遇、攻坚破难，继续夯实基础设施，大力发展特色优势产业，积极培育壮大集体经济，奋力推进旅游强乡工作基调，带动群众增收致富。</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二、部门概况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机构情况：我乡2018年有2个机构，增加个0机构。</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人员情况：2018年年初在职20人（行政人员14人,机关工勤2人，事业管理4人）。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2018年年末在职20人（行政人员13，机关工勤2人事业管理5人）。</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三、收支决算总体情况说明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阿科里本年收入合计661.39万元，其中：一般公共预算财政拨款收入661.39万元，占100%；政府性基金预算财政拨款收入0万元，占0%；国有资本经营预算财政拨款收入0万元，占0%；事业收入0万元，占0%；经营收入0万元，占0%；附属单位上缴收入0万元，占0%；其他收入0万元，占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2018年阿科里乡本年支出合计418.21万元，基本支出299.21万元，占72%；项目支出119万元，占28%，上缴上级支出0万元，占0%；经营支出0万元，占0%；对附属单位补助支出0万元，占0%。</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四、财政拨款收入支出决算总体情况说明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2018年度财政拨款收入总计661.39万元，财政拨款支出418.21万元。2017年财政拨款收入695.52万元，财政拨款支出527.62万元，与2017年相比，财政拨款收入减少34.13万元，减少4.9%，支出减少109.41万元，减少20.74%。</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五、一般公共预算财政拨款支出决算情况说明</w:t>
      </w:r>
    </w:p>
    <w:p>
      <w:pPr>
        <w:spacing w:line="600" w:lineRule="atLeast"/>
        <w:ind w:firstLine="321" w:firstLineChars="1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（一）一般公共预算财政拨款支出决算总体情况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2018年度一般公共预算财政拨款支出418.21万元，占本年支出合计的100%。与2017年相比一般公共预算财政拨款支出减少109.41万元，减少20.74%。</w:t>
      </w:r>
    </w:p>
    <w:p>
      <w:pPr>
        <w:spacing w:line="600" w:lineRule="atLeast"/>
        <w:ind w:firstLine="321" w:firstLineChars="1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（二）一般公共预算财政拨款支出决算结构情况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一般公共预算财政拨款支出418.21万元，主要用于以下方面:一般公共服务支出181.01万元，占43.29%；文化体育与传媒0万元，占0%，社会保障和就业支出40.91万元，占9.78%；医疗卫生支出12.14万元，占2.9%；农林水支出159.13万元，占38.05%；住房保障支出25.02万元，占5.98%；其他支出0万元，占0%。</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（三）一般公共预算财政拨款支出决算具体情况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一般公共服务（类）201（款）: 支出决算为181.01万元，完成预算100%。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2.教育（类）***（款）: 支出决算为0万元，完成预算0%，决算数大于/小于预算数的主要原因是…。</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3.科学技术（类）***（款）: 支出决算为0万元，完成预算0%，决算数大于/小于预算数的主要原因是…。</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4.文化体育与传媒（类）***（款）: 支出决算为0万元，完成预算0%。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5.社会保障和就业（类）208（款）: 支出决算为40.91万元，完成预算100%。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6.医疗卫生与计划生育（类）210（款）:支出决算为12.14万元，完成预算100%。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7.农林水支出（类）213（款）:支出决算为159.13万元，完成预算100%。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8.住房保障支出（类）221（款）:支出决算为25.02万元，完成预算100%。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9.其他支出（类）229（款）:支出决算为0万元，完成预算0%。</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六、一般公共预算财政拨款基本支出决算情况说明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2018年度一般公共预算财政拨款基本支出299.21万元，其中：</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人员经费278.32万元，主要包括：基本工资56.59万元，津贴补贴123.37万元，奖金4.67万元，绩效工资12.10万元，机关事业单位基本养老保险缴费29.22万元，职业年金缴费11.69万元，其他社会保障缴费3.51万元，职工医疗保险12.14万元，其他工资福利支出0万元，离休费0万元，退休费0万元，抚恤金0万元，生活补助0万元，医疗费,0万元，奖励金0.01万元，住房公积金25.02万元，提租补贴0万元、购房补贴0万元、其他对个人和家庭的补助支出等。</w:t>
      </w:r>
      <w:r>
        <w:rPr>
          <w:rFonts w:hint="eastAsia" w:ascii="仿宋_GB2312" w:hAnsi="Times New Roman" w:eastAsia="仿宋_GB2312" w:cs="Times New Roman"/>
          <w:b w:val="0"/>
          <w:bCs/>
          <w:color w:val="000000"/>
          <w:sz w:val="32"/>
          <w:szCs w:val="32"/>
        </w:rPr>
        <w:br w:type="textWrapping"/>
      </w:r>
      <w:r>
        <w:rPr>
          <w:rFonts w:hint="eastAsia" w:ascii="仿宋_GB2312" w:hAnsi="Times New Roman" w:eastAsia="仿宋_GB2312" w:cs="Times New Roman"/>
          <w:b w:val="0"/>
          <w:bCs/>
          <w:color w:val="000000"/>
          <w:sz w:val="32"/>
          <w:szCs w:val="32"/>
        </w:rPr>
        <w:t>　　公用经费20.88万元，主要包括：办公费0.39万元，印刷1万元，咨询费0万元，手续费0万元，水费0万元，电费2.2万元，邮电费1.7万元，取暖费1.8万元，物业管理费0万元，差旅费2.99万元，因公出国（境）费用0万元，维修（护）费0万元，租赁费0万元，会议费0万元，培训费0万元，公务接待费0万元，劳务费3万元，委托业务费1万元，工会经费0万元，福利费0万元，公务用车运行维护费6.8万元，其他交通费0万元，税金及附加费用0万元，其他商品和服务支出0万元，办公设备购置0万元，公务用车购置0万元，信息网络及软件购置更新0万元，其他资本性支出0万元。</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七、“三公”经费财政拨款支出决算情况说明</w:t>
      </w:r>
    </w:p>
    <w:p>
      <w:pPr>
        <w:spacing w:line="600" w:lineRule="atLeast"/>
        <w:ind w:firstLine="321" w:firstLineChars="1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（一）“三公”经费财政拨款支出决算总体情况说明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2018年度“三公”经费财政拨款支出决算为6.8万元，完成预算94%，节约开支公务接待费未开支。</w:t>
      </w:r>
    </w:p>
    <w:p>
      <w:pPr>
        <w:spacing w:line="600" w:lineRule="atLeast"/>
        <w:ind w:firstLine="321" w:firstLineChars="1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（二）“三公”经费财政拨款支出决算具体情况说明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2018年度“三公”经费财政拨款支出决算中，因公出国（境）费支出决算0万元，占0%；公务用车购置及运行维护费支出决算6.8万元，占94%；公务接待费支出决算0万元，占0%。具体情况如下：</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1.因公出国（境）经费支出0万元，全年安排因公出国（境）团组0次，出国（境）0人。因公出国（境）支出决算2018年0万元</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2.公务用车购置及运行维护费支出6.8万元。其中：</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公务用车购置支出0万元。全年按规定更新购置公务用车0辆，其中：轿车0辆、金额0万元，越野车0辆、金额0万元，载客汽车0辆、金额0万元，主要用于下村公务派车。截至2018年12月底，单位共有公务用车1辆，其中：轿车0辆、越野车1辆、载客汽0辆。</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公务用车运行维护费支出6.8万元。主要用于下村（具体工作）等所需的公务用车燃料费、维修费、过路过桥费、保险费等支出。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公务用车购置及运行维护费支出决算比2017年减少23.91万元，减少77.86%，主要原因是2017年新购一辆公务用车。</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3.公务接待费支出0万元。主要用于执行公务、开展业务活动开支的交通费、住宿费、用餐费等。国内公务接待0批次，0人次（不包括陪同人员），共计支出0万元，具体内容包括：（接待具体项目、金额）。其中：外事接待0批次，0人，共计支出0万元，主要用于接待…（具体项目）。</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公务接待费支出决算比2018年持平，公务接待费未开支。</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八、政府性基金预算支出决算情况说明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2018年度政府性基金预算拨款支出0万元。</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九、国有资本经营预算支出决算情况说明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2018年度国有资本经营预算拨款支出0万元。</w:t>
      </w:r>
    </w:p>
    <w:p>
      <w:pPr>
        <w:numPr>
          <w:ilvl w:val="0"/>
          <w:numId w:val="1"/>
        </w:num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其他重要事项的情况说明</w:t>
      </w:r>
    </w:p>
    <w:p>
      <w:pPr>
        <w:numPr>
          <w:ilvl w:val="0"/>
          <w:numId w:val="0"/>
        </w:num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（一）机关运行经费支出情况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2018年度阿科里乡机关运行经费支出0万元， 2017年0万元，与2017年持平。</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（二）政府采购支出情况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阿科里乡政府采购支出总额0万元，其中：政府采购货物支出0万元、政府采购工程支出0万元、政府采购服务支出0万元。主要用于日常下村（具体工作）。授予中小企业合同金额0万元，占政府采购支出总额的0%，其中：授予小微企业合同金额0万元，占政府采购支出总额的0%。</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（三）国有资产占有使用情况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截至2018年12月31日，阿科里乡共有车辆1辆，其中：部级领导干部用车0辆、一般公务用车1辆、一般执法执勤用车0辆、特种专业技术用车0辆、其他用车0辆；单价50万元以上通用设备0台（套），单价100万元以上专用设备0台（套）。</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（四）预算绩效情况</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1.绩效目标管理情况。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按照预算绩效管理要求，本部门对2018年一般公共预算项目支出开展了绩效目标管理，共编制绩效目标0个，涉及财政资金0元，覆盖率达到0%。</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2.部门整体支出绩效自评开展情况。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按照预算绩效管理要求，本部门对2018年整体支出开展绩效自评，自评得分80分，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pPr>
        <w:jc w:val="center"/>
        <w:rPr>
          <w:rFonts w:hint="eastAsia" w:ascii="黑体" w:hAnsi="黑体" w:eastAsia="黑体"/>
          <w:color w:val="000000"/>
          <w:sz w:val="32"/>
          <w:szCs w:val="32"/>
        </w:rPr>
      </w:pPr>
      <w:r>
        <w:rPr>
          <w:rFonts w:hint="eastAsia" w:ascii="黑体" w:hAnsi="黑体" w:eastAsia="黑体"/>
          <w:color w:val="000000"/>
          <w:sz w:val="32"/>
          <w:szCs w:val="32"/>
        </w:rPr>
        <w:t>2018年部门整体支出绩效评价得分表</w:t>
      </w:r>
    </w:p>
    <w:tbl>
      <w:tblPr>
        <w:tblStyle w:val="3"/>
        <w:tblW w:w="9498" w:type="dxa"/>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0</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0</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r>
              <w:rPr>
                <w:rFonts w:hint="eastAsia" w:ascii="宋体" w:hAnsi="宋体" w:cs="宋体"/>
                <w:color w:val="000000"/>
                <w:kern w:val="0"/>
                <w:sz w:val="20"/>
                <w:szCs w:val="20"/>
              </w:rPr>
              <w:t>健全完整（2分）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14</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noWrap w:val="0"/>
            <w:vAlign w:val="top"/>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noWrap w:val="0"/>
            <w:vAlign w:val="top"/>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noWrap w:val="0"/>
            <w:vAlign w:val="top"/>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noWrap w:val="0"/>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bl>
    <w:p>
      <w:pPr>
        <w:rPr>
          <w:rFonts w:hint="eastAsia"/>
          <w:color w:val="000000"/>
        </w:rPr>
      </w:pPr>
    </w:p>
    <w:p>
      <w:pPr>
        <w:spacing w:line="600" w:lineRule="atLeast"/>
        <w:ind w:firstLine="643" w:firstLineChars="200"/>
        <w:rPr>
          <w:rFonts w:hint="eastAsia" w:ascii="仿宋_GB2312" w:eastAsia="仿宋_GB2312"/>
          <w:b/>
          <w:color w:val="000000"/>
          <w:sz w:val="32"/>
          <w:szCs w:val="32"/>
        </w:rPr>
      </w:pPr>
    </w:p>
    <w:p>
      <w:pPr>
        <w:spacing w:line="600" w:lineRule="atLeast"/>
        <w:ind w:firstLine="643" w:firstLineChars="200"/>
        <w:rPr>
          <w:rFonts w:ascii="仿宋_GB2312" w:eastAsia="仿宋_GB2312"/>
          <w:b/>
          <w:bCs/>
          <w:color w:val="000000"/>
          <w:sz w:val="32"/>
          <w:szCs w:val="32"/>
        </w:rPr>
      </w:pPr>
      <w:r>
        <w:rPr>
          <w:rFonts w:hint="eastAsia" w:ascii="仿宋_GB2312" w:eastAsia="仿宋_GB2312"/>
          <w:b/>
          <w:bCs/>
          <w:color w:val="000000"/>
          <w:sz w:val="32"/>
          <w:szCs w:val="32"/>
        </w:rPr>
        <w:t>3.部门自行组织绩效评价开展情况。</w:t>
      </w:r>
    </w:p>
    <w:p>
      <w:pPr>
        <w:spacing w:line="600" w:lineRule="atLeast"/>
        <w:ind w:firstLine="800" w:firstLineChars="250"/>
        <w:rPr>
          <w:rFonts w:hint="eastAsia" w:ascii="仿宋_GB2312" w:eastAsia="仿宋_GB2312"/>
          <w:color w:val="000000"/>
          <w:sz w:val="32"/>
          <w:szCs w:val="32"/>
        </w:rPr>
      </w:pPr>
      <w:r>
        <w:rPr>
          <w:rFonts w:hint="eastAsia" w:ascii="仿宋_GB2312" w:eastAsia="仿宋_GB2312"/>
          <w:color w:val="000000"/>
          <w:sz w:val="32"/>
          <w:szCs w:val="32"/>
        </w:rPr>
        <w:t>阿科里乡开展了整体支出绩效评价，本部门对2018年整体支出开展绩效自评，自评得分76分，存在的问题：一是履职成效不高，二是内部控制管理不健全，三是目标任务不明确。下一步改进措施：一是改进工作方式，明确预算目标任务，做到相关性、合理性；二是加大对内部控制的管理，建立健全内部控制度，提高绩效管理履职成效。本部门对公共运行维护费项目开展了绩效评价，得分为75分，存在的问题：一是项目决策的可行性、明确性不够，二是项目管理中执行不够规范，三是项目进展缓慢，完成情况低，项目没有达到相应的效益。下一步改进措施：一是提高资金的使用率，加大项目的实施进度提高质量管理，达到最高的效益。二是对项目进行政策依据、完善，提高明确性和合理性。</w:t>
      </w:r>
    </w:p>
    <w:p>
      <w:pPr>
        <w:jc w:val="center"/>
        <w:rPr>
          <w:rFonts w:hint="eastAsia" w:ascii="黑体" w:hAnsi="黑体" w:eastAsia="黑体"/>
          <w:color w:val="000000"/>
          <w:sz w:val="32"/>
          <w:szCs w:val="32"/>
        </w:rPr>
      </w:pPr>
      <w:r>
        <w:rPr>
          <w:rFonts w:hint="eastAsia" w:ascii="黑体" w:hAnsi="黑体" w:eastAsia="黑体"/>
          <w:color w:val="000000"/>
          <w:sz w:val="32"/>
          <w:szCs w:val="32"/>
        </w:rPr>
        <w:t>2018年项目支出绩效评价得分表</w:t>
      </w:r>
    </w:p>
    <w:tbl>
      <w:tblPr>
        <w:tblStyle w:val="3"/>
        <w:tblW w:w="9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 w:hRule="atLeast"/>
          <w:jc w:val="center"/>
        </w:trPr>
        <w:tc>
          <w:tcPr>
            <w:tcW w:w="1618" w:type="dxa"/>
            <w:noWrap w:val="0"/>
            <w:vAlign w:val="center"/>
          </w:tcPr>
          <w:p>
            <w:pPr>
              <w:widowControl/>
              <w:spacing w:line="260" w:lineRule="exact"/>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单位名称/</w:t>
            </w:r>
          </w:p>
          <w:p>
            <w:pPr>
              <w:widowControl/>
              <w:spacing w:line="260" w:lineRule="exact"/>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项目名称</w:t>
            </w:r>
          </w:p>
        </w:tc>
        <w:tc>
          <w:tcPr>
            <w:tcW w:w="8270" w:type="dxa"/>
            <w:gridSpan w:val="4"/>
            <w:noWrap w:val="0"/>
            <w:vAlign w:val="center"/>
          </w:tcPr>
          <w:p>
            <w:pPr>
              <w:widowControl/>
              <w:spacing w:line="26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金川县阿科里乡人民政府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618" w:type="dxa"/>
            <w:noWrap w:val="0"/>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一级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2113" w:type="dxa"/>
            <w:noWrap w:val="0"/>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二级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3535" w:type="dxa"/>
            <w:noWrap w:val="0"/>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1311" w:type="dxa"/>
            <w:noWrap w:val="0"/>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分值</w:t>
            </w:r>
          </w:p>
        </w:tc>
        <w:tc>
          <w:tcPr>
            <w:tcW w:w="1311" w:type="dxa"/>
            <w:noWrap w:val="0"/>
            <w:vAlign w:val="center"/>
          </w:tcPr>
          <w:p>
            <w:pPr>
              <w:widowControl/>
              <w:spacing w:line="26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项目决策</w:t>
            </w:r>
          </w:p>
        </w:tc>
        <w:tc>
          <w:tcPr>
            <w:tcW w:w="2113"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科学决策</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必要性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（政策依据)</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可行性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（政策完善）</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绩效目标    </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明确性</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合理性</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618"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项目管理</w:t>
            </w:r>
          </w:p>
        </w:tc>
        <w:tc>
          <w:tcPr>
            <w:tcW w:w="2113"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（7分）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资金管理</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资金分配</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textDirection w:val="tbRlV"/>
            <w:vAlign w:val="center"/>
          </w:tcPr>
          <w:p>
            <w:pPr>
              <w:widowControl/>
              <w:spacing w:line="260" w:lineRule="exact"/>
              <w:jc w:val="center"/>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资金使用</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项目执行</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执行规范</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18"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（特性指标70分）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项目绩效  </w:t>
            </w:r>
          </w:p>
        </w:tc>
        <w:tc>
          <w:tcPr>
            <w:tcW w:w="2113"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项目完成</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完成数量</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完成质量</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完成时效</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完成成本</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restart"/>
            <w:noWrap w:val="0"/>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项目效益</w:t>
            </w: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经济效益（可选项）</w:t>
            </w:r>
          </w:p>
        </w:tc>
        <w:tc>
          <w:tcPr>
            <w:tcW w:w="1311" w:type="dxa"/>
            <w:vMerge w:val="restart"/>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社会效益（可选项）</w:t>
            </w:r>
          </w:p>
        </w:tc>
        <w:tc>
          <w:tcPr>
            <w:tcW w:w="1311" w:type="dxa"/>
            <w:vMerge w:val="continue"/>
            <w:noWrap w:val="0"/>
            <w:vAlign w:val="center"/>
          </w:tcPr>
          <w:p>
            <w:pPr>
              <w:widowControl/>
              <w:spacing w:line="260" w:lineRule="exact"/>
              <w:jc w:val="left"/>
              <w:rPr>
                <w:rFonts w:ascii="宋体" w:hAnsi="宋体" w:cs="宋体"/>
                <w:color w:val="000000"/>
                <w:kern w:val="0"/>
                <w:sz w:val="20"/>
                <w:szCs w:val="20"/>
              </w:rPr>
            </w:pPr>
          </w:p>
        </w:tc>
        <w:tc>
          <w:tcPr>
            <w:tcW w:w="1311" w:type="dxa"/>
            <w:noWrap w:val="0"/>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生态效益（可选项）</w:t>
            </w:r>
          </w:p>
        </w:tc>
        <w:tc>
          <w:tcPr>
            <w:tcW w:w="1311" w:type="dxa"/>
            <w:vMerge w:val="continue"/>
            <w:noWrap w:val="0"/>
            <w:vAlign w:val="center"/>
          </w:tcPr>
          <w:p>
            <w:pPr>
              <w:widowControl/>
              <w:spacing w:line="260" w:lineRule="exact"/>
              <w:jc w:val="left"/>
              <w:rPr>
                <w:rFonts w:ascii="宋体" w:hAnsi="宋体" w:cs="宋体"/>
                <w:color w:val="000000"/>
                <w:kern w:val="0"/>
                <w:sz w:val="20"/>
                <w:szCs w:val="20"/>
              </w:rPr>
            </w:pPr>
          </w:p>
        </w:tc>
        <w:tc>
          <w:tcPr>
            <w:tcW w:w="1311" w:type="dxa"/>
            <w:noWrap w:val="0"/>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可持续效益（可选项）</w:t>
            </w:r>
          </w:p>
        </w:tc>
        <w:tc>
          <w:tcPr>
            <w:tcW w:w="1311" w:type="dxa"/>
            <w:vMerge w:val="continue"/>
            <w:noWrap w:val="0"/>
            <w:vAlign w:val="center"/>
          </w:tcPr>
          <w:p>
            <w:pPr>
              <w:widowControl/>
              <w:spacing w:line="260" w:lineRule="exact"/>
              <w:jc w:val="left"/>
              <w:rPr>
                <w:rFonts w:ascii="宋体" w:hAnsi="宋体" w:cs="宋体"/>
                <w:color w:val="000000"/>
                <w:kern w:val="0"/>
                <w:sz w:val="20"/>
                <w:szCs w:val="20"/>
              </w:rPr>
            </w:pPr>
          </w:p>
        </w:tc>
        <w:tc>
          <w:tcPr>
            <w:tcW w:w="1311" w:type="dxa"/>
            <w:noWrap w:val="0"/>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公平效率（可选项）</w:t>
            </w:r>
          </w:p>
        </w:tc>
        <w:tc>
          <w:tcPr>
            <w:tcW w:w="1311" w:type="dxa"/>
            <w:vMerge w:val="continue"/>
            <w:noWrap w:val="0"/>
            <w:vAlign w:val="center"/>
          </w:tcPr>
          <w:p>
            <w:pPr>
              <w:widowControl/>
              <w:spacing w:line="260" w:lineRule="exact"/>
              <w:jc w:val="left"/>
              <w:rPr>
                <w:rFonts w:ascii="宋体" w:hAnsi="宋体" w:cs="宋体"/>
                <w:color w:val="000000"/>
                <w:kern w:val="0"/>
                <w:sz w:val="20"/>
                <w:szCs w:val="20"/>
              </w:rPr>
            </w:pPr>
          </w:p>
        </w:tc>
        <w:tc>
          <w:tcPr>
            <w:tcW w:w="1311" w:type="dxa"/>
            <w:noWrap w:val="0"/>
            <w:vAlign w:val="top"/>
          </w:tcPr>
          <w:p>
            <w:pPr>
              <w:widowControl/>
              <w:spacing w:line="260" w:lineRule="exact"/>
              <w:jc w:val="left"/>
              <w:rPr>
                <w:rFonts w:hint="default" w:ascii="宋体" w:hAnsi="宋体" w:cs="宋体" w:eastAsiaTheme="minorEastAsia"/>
                <w:color w:val="000000"/>
                <w:kern w:val="0"/>
                <w:sz w:val="15"/>
                <w:szCs w:val="15"/>
                <w:lang w:val="en-US" w:eastAsia="zh-CN"/>
              </w:rPr>
            </w:pPr>
            <w:r>
              <w:rPr>
                <w:rFonts w:hint="eastAsia" w:ascii="宋体" w:hAnsi="宋体" w:cs="宋体"/>
                <w:color w:val="000000"/>
                <w:kern w:val="0"/>
                <w:sz w:val="15"/>
                <w:szCs w:val="15"/>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使用效率（可选项）</w:t>
            </w:r>
          </w:p>
        </w:tc>
        <w:tc>
          <w:tcPr>
            <w:tcW w:w="1311" w:type="dxa"/>
            <w:vMerge w:val="continue"/>
            <w:noWrap w:val="0"/>
            <w:vAlign w:val="center"/>
          </w:tcPr>
          <w:p>
            <w:pPr>
              <w:widowControl/>
              <w:spacing w:line="260" w:lineRule="exact"/>
              <w:jc w:val="left"/>
              <w:rPr>
                <w:rFonts w:ascii="宋体" w:hAnsi="宋体" w:cs="宋体"/>
                <w:color w:val="000000"/>
                <w:kern w:val="0"/>
                <w:sz w:val="20"/>
                <w:szCs w:val="20"/>
              </w:rPr>
            </w:pPr>
          </w:p>
        </w:tc>
        <w:tc>
          <w:tcPr>
            <w:tcW w:w="1311" w:type="dxa"/>
            <w:noWrap w:val="0"/>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18" w:type="dxa"/>
            <w:vMerge w:val="continue"/>
            <w:noWrap w:val="0"/>
            <w:vAlign w:val="center"/>
          </w:tcPr>
          <w:p>
            <w:pPr>
              <w:widowControl/>
              <w:spacing w:line="260" w:lineRule="exact"/>
              <w:jc w:val="left"/>
              <w:rPr>
                <w:rFonts w:ascii="宋体" w:hAnsi="宋体" w:cs="宋体"/>
                <w:color w:val="000000"/>
                <w:kern w:val="0"/>
                <w:sz w:val="20"/>
                <w:szCs w:val="20"/>
              </w:rPr>
            </w:pPr>
          </w:p>
        </w:tc>
        <w:tc>
          <w:tcPr>
            <w:tcW w:w="2113" w:type="dxa"/>
            <w:vMerge w:val="continue"/>
            <w:noWrap w:val="0"/>
            <w:vAlign w:val="center"/>
          </w:tcPr>
          <w:p>
            <w:pPr>
              <w:widowControl/>
              <w:spacing w:line="260" w:lineRule="exact"/>
              <w:jc w:val="left"/>
              <w:rPr>
                <w:rFonts w:ascii="宋体" w:hAnsi="宋体" w:cs="宋体"/>
                <w:color w:val="000000"/>
                <w:kern w:val="0"/>
                <w:sz w:val="20"/>
                <w:szCs w:val="20"/>
              </w:rPr>
            </w:pPr>
          </w:p>
        </w:tc>
        <w:tc>
          <w:tcPr>
            <w:tcW w:w="3535"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服务对象满意度    </w:t>
            </w:r>
          </w:p>
        </w:tc>
        <w:tc>
          <w:tcPr>
            <w:tcW w:w="1311" w:type="dxa"/>
            <w:noWrap w:val="0"/>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311" w:type="dxa"/>
            <w:noWrap w:val="0"/>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18" w:type="dxa"/>
            <w:noWrap w:val="0"/>
            <w:vAlign w:val="center"/>
          </w:tcPr>
          <w:p>
            <w:pPr>
              <w:widowControl/>
              <w:spacing w:line="260" w:lineRule="exact"/>
              <w:jc w:val="left"/>
              <w:rPr>
                <w:rFonts w:ascii="宋体" w:hAnsi="宋体" w:cs="宋体"/>
                <w:color w:val="000000"/>
                <w:kern w:val="0"/>
                <w:sz w:val="20"/>
                <w:szCs w:val="20"/>
              </w:rPr>
            </w:pPr>
            <w:r>
              <w:rPr>
                <w:rFonts w:hint="eastAsia" w:ascii="宋体" w:hAnsi="宋体" w:cs="宋体"/>
                <w:color w:val="000000"/>
                <w:kern w:val="0"/>
                <w:sz w:val="20"/>
                <w:szCs w:val="20"/>
              </w:rPr>
              <w:t>总分</w:t>
            </w:r>
          </w:p>
        </w:tc>
        <w:tc>
          <w:tcPr>
            <w:tcW w:w="8270" w:type="dxa"/>
            <w:gridSpan w:val="4"/>
            <w:noWrap w:val="0"/>
            <w:vAlign w:val="center"/>
          </w:tcPr>
          <w:p>
            <w:pPr>
              <w:widowControl/>
              <w:spacing w:line="260" w:lineRule="exact"/>
              <w:jc w:val="center"/>
              <w:rPr>
                <w:rFonts w:hint="default" w:ascii="宋体" w:hAnsi="宋体" w:cs="宋体" w:eastAsiaTheme="minorEastAsia"/>
                <w:color w:val="000000"/>
                <w:kern w:val="0"/>
                <w:sz w:val="15"/>
                <w:szCs w:val="15"/>
                <w:lang w:val="en-US" w:eastAsia="zh-CN"/>
              </w:rPr>
            </w:pPr>
            <w:r>
              <w:rPr>
                <w:rFonts w:hint="eastAsia" w:ascii="宋体" w:hAnsi="宋体" w:cs="宋体"/>
                <w:color w:val="000000"/>
                <w:kern w:val="0"/>
                <w:sz w:val="15"/>
                <w:szCs w:val="15"/>
                <w:lang w:val="en-US" w:eastAsia="zh-CN"/>
              </w:rPr>
              <w:t>76</w:t>
            </w:r>
          </w:p>
        </w:tc>
      </w:tr>
    </w:tbl>
    <w:p>
      <w:pPr>
        <w:spacing w:line="600" w:lineRule="atLeast"/>
        <w:ind w:firstLine="321" w:firstLineChars="1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十一、名词解释</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1.财政拨款收入：指单位从同级财政部门取得的财政预算资金。</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2.其他收入：指单位取得财政拨款收入以外的各项收入。主要是浙江援建的新建档案馆项目经费及省档案局</w:t>
      </w:r>
      <w:r>
        <w:rPr>
          <w:rFonts w:hint="eastAsia" w:ascii="仿宋_GB2312" w:hAnsi="Times New Roman" w:eastAsia="仿宋_GB2312" w:cs="Times New Roman"/>
          <w:b w:val="0"/>
          <w:bCs/>
          <w:color w:val="000000"/>
          <w:sz w:val="32"/>
          <w:szCs w:val="32"/>
          <w:lang w:eastAsia="zh-CN"/>
        </w:rPr>
        <w:t>下拨</w:t>
      </w:r>
      <w:r>
        <w:rPr>
          <w:rFonts w:hint="eastAsia" w:ascii="仿宋_GB2312" w:hAnsi="Times New Roman" w:eastAsia="仿宋_GB2312" w:cs="Times New Roman"/>
          <w:b w:val="0"/>
          <w:bCs/>
          <w:color w:val="000000"/>
          <w:sz w:val="32"/>
          <w:szCs w:val="32"/>
        </w:rPr>
        <w:t>的专项业务经费（收入类型）等。</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3.年初结转和结余：指以前年度尚未完成、结转到本年按有关规定继续使用的资金。</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4、年末结转和结余：指单位按有关规定结转到下年或以后年度继续使用的资金。</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5. 一般公共服务（类）201（款）26（项）01——行政运行：指反映行政单位（包括实行公务员管理的事业单位）的基本支出。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6. 一般公共服务（类）201（款）26（项）02——一般行政管理事务：指反映行政单位（包括实行公务员管理的事业单位）未单独设置项级科目的其他项目支出。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7. 一般公共服务（类）201（款）26（项）04——档案馆：指反映中央和地方各级档案馆的支出，包括档案资料征集，档案抢救、保护、编纂、修复、现代化管理、档案信息资源开发、提供、利用、档案馆设备购置、维护、档案陈列展览等方面的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8. 一般公共服务（类）201（款）99（项）99——其他档案事务支出：反映除上述项目以外其他用于档案事务方面的支出。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9.社会保障和就业支出（类）208（款）05（项）05——机关事业单位基本养老保险缴费支出：反映机关事业单位实施养老保险制度的单位缴纳的基本养老保险费支出。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10. 社会保障和就业支出（类）208（款）05（项）06——机关事业单位职业年金缴费支出：反映机关事业单位实施养老保险制度匝单位缴纳的职业年金支出。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11.医疗卫生与计划生育支出(类）210（款）05（项）01——行政单位医疗：反映财政部门集中安排的行政单位基本医疗保险</w:t>
      </w:r>
      <w:r>
        <w:rPr>
          <w:rFonts w:hint="eastAsia" w:ascii="仿宋_GB2312" w:hAnsi="Times New Roman" w:eastAsia="仿宋_GB2312" w:cs="Times New Roman"/>
          <w:b w:val="0"/>
          <w:bCs/>
          <w:color w:val="000000"/>
          <w:sz w:val="32"/>
          <w:szCs w:val="32"/>
          <w:lang w:eastAsia="zh-CN"/>
        </w:rPr>
        <w:t>缴费</w:t>
      </w:r>
      <w:bookmarkStart w:id="0" w:name="_GoBack"/>
      <w:bookmarkEnd w:id="0"/>
      <w:r>
        <w:rPr>
          <w:rFonts w:hint="eastAsia" w:ascii="仿宋_GB2312" w:hAnsi="Times New Roman" w:eastAsia="仿宋_GB2312" w:cs="Times New Roman"/>
          <w:b w:val="0"/>
          <w:bCs/>
          <w:color w:val="000000"/>
          <w:sz w:val="32"/>
          <w:szCs w:val="32"/>
        </w:rPr>
        <w:t>经费。</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12.住房保障支出(类）221（款）02（项）01————住房公积金：反映行政事业单位按人力资源和社会保障部、财政部规定的基本工资和津贴补贴以及规定比例为职工缴纳的住房公积金。</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13.年末结转和结余：指本年度或以前年度预算安排、因客观条件发生变化无法按原计划实施，需延迟到以后年度按有关规定继续使用的资金。</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14.基本支出：指为保障机构正常运转、完成日常工作任务而发生的人员支出和公用支出。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15.项目支出：指在基本支出之外为完成特定行政任务和事业发展目标所发生的支出。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16.“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w:t>
      </w:r>
    </w:p>
    <w:p>
      <w:pPr>
        <w:spacing w:line="600" w:lineRule="atLeast"/>
        <w:ind w:firstLine="640" w:firstLineChars="200"/>
        <w:rPr>
          <w:rFonts w:hint="eastAsia" w:ascii="仿宋_GB2312" w:hAnsi="Times New Roman" w:eastAsia="仿宋_GB2312" w:cs="Times New Roman"/>
          <w:b w:val="0"/>
          <w:bCs/>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5459A4"/>
    <w:multiLevelType w:val="singleLevel"/>
    <w:tmpl w:val="4E5459A4"/>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52696C"/>
    <w:rsid w:val="26826F82"/>
    <w:rsid w:val="297019B5"/>
    <w:rsid w:val="2F986C20"/>
    <w:rsid w:val="4235582A"/>
    <w:rsid w:val="46153F71"/>
    <w:rsid w:val="49847BEC"/>
    <w:rsid w:val="5E3F6BA6"/>
    <w:rsid w:val="70ED5564"/>
    <w:rsid w:val="75B87841"/>
    <w:rsid w:val="7C8072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color w:val="FF3300"/>
      <w:kern w:val="0"/>
      <w:sz w:val="24"/>
      <w:u w:val="single"/>
      <w:lang w:val="en-US" w:eastAsia="zh-CN" w:bidi="ar"/>
    </w:rPr>
  </w:style>
  <w:style w:type="character" w:styleId="5">
    <w:name w:val="Strong"/>
    <w:basedOn w:val="4"/>
    <w:qFormat/>
    <w:uiPriority w:val="0"/>
    <w:rPr>
      <w:b/>
    </w:rPr>
  </w:style>
  <w:style w:type="character" w:styleId="6">
    <w:name w:val="FollowedHyperlink"/>
    <w:basedOn w:val="4"/>
    <w:qFormat/>
    <w:uiPriority w:val="0"/>
    <w:rPr>
      <w:color w:val="4E4342"/>
      <w:u w:val="none"/>
    </w:rPr>
  </w:style>
  <w:style w:type="character" w:styleId="7">
    <w:name w:val="Hyperlink"/>
    <w:basedOn w:val="4"/>
    <w:qFormat/>
    <w:uiPriority w:val="0"/>
    <w:rPr>
      <w:color w:val="4E434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平淡无奇</cp:lastModifiedBy>
  <cp:lastPrinted>2021-05-20T02:24:00Z</cp:lastPrinted>
  <dcterms:modified xsi:type="dcterms:W3CDTF">2021-06-07T02:23:24Z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256A3DC03E0243C09775E914A0340D4C</vt:lpwstr>
  </property>
</Properties>
</file>