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</w:rPr>
        <w:t>机关幼儿园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/>
          <w:sz w:val="44"/>
          <w:szCs w:val="44"/>
        </w:rPr>
        <w:t>202</w:t>
      </w:r>
      <w:r>
        <w:rPr>
          <w:rFonts w:ascii="Times New Roman" w:eastAsia="方正小标宋_GBK" w:cs="Times New Roman" w:hAnsi="Times New Roman" w:hint="eastAsia"/>
          <w:sz w:val="44"/>
          <w:szCs w:val="44"/>
        </w:rPr>
        <w:t>6</w:t>
      </w:r>
      <w:r>
        <w:rPr>
          <w:rFonts w:ascii="Times New Roman" w:eastAsia="方正小标宋_GBK" w:cs="Times New Roman" w:hAnsi="Times New Roman"/>
          <w:sz w:val="44"/>
          <w:szCs w:val="44"/>
        </w:rPr>
        <w:t>年部门预算绩效目标</w:t>
      </w: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</w:pP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2026年，我单位部门预算546.04万元 ，均严格按绩效管理要求实现项目绩效目标管理，其中重点项目预算0个，现将情况说明如下：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完成了2026年本级部门预算整体绩效目标申报和0个项目预算绩效目标申报，并编报0个项目预算事前绩效评估报告。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1.保障单位正常运转，为学前儿童教育提供优质教育服务。</w:t>
        <w:tab/>
        <w:t xml:space="preserve">    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2.保障单位全体在编教职工工资发放、社会保障、基本医疗及住房公积金补助等，准时发放，提高工作效率。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3.保障退休人员、遗属人员等补助及时发放。保障单位的正常运转，做好预算工作，及时发放资金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4.贯彻国家教育方针政策，对3-6岁儿童实行科学合理的教育教学工作，促进幼儿德智体美等全面发展。负责幼儿园机构年检，档案，人员关系等人事工作，负责领导和有关人员外出学习，考察的服务工作，配合做好全员的重要会议，大型活动，和各项活动的组织协调工作。负责办公室的日常工作，负责印鉴的管理与使用。完成园领导交办的其他工作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5.制定后勤部门工作计划，安排后勤人员政治、业务学习，开展各种活动等，协助园领导进行后勤工作管理，负责抓好后勤人员的思想和业务工作。勤俭办园，督促后勤人员做好本职工作，做好总结工作。遵守教职工道德规范和园内各项制度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6.创设适合幼儿健康发展的保育教育活动环境，加强教师专业技能的学习培养，促进幼儿实施体、智、德、美诸方面全面和谐发展</w:t>
        <w:tab/>
        <w:tab/>
      </w:r>
    </w:p>
    <w:p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我单位无重点项目。</w:t>
      </w:r>
    </w:p>
    <w:p>
      <w:pPr>
        <w:spacing w:line="560" w:lineRule="exact"/>
        <w:ind w:firstLineChars="200" w:firstLine="640"/>
        <w:rPr>
          <w:rFonts w:asci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微软雅黑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2</Pages>
  <Words>612</Words>
  <Characters>634</Characters>
  <Lines>33</Lines>
  <Paragraphs>14</Paragraphs>
  <CharactersWithSpaces>642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3</cp:revision>
  <dcterms:created xsi:type="dcterms:W3CDTF">2023-02-06T06:46:00Z</dcterms:created>
  <dcterms:modified xsi:type="dcterms:W3CDTF">2026-03-19T02:16:15Z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eyJoZGlkIjoiNzlmNWI1MTUwNWIyZmM4ZTBkMjc3MzEzZWRkMGEzNGUiLCJ1c2VySWQiOiIyODIwNDY5MTgifQ==</vt:lpwstr>
  </property>
  <property fmtid="{D5CDD505-2E9C-101B-9397-08002B2CF9AE}" pid="4" name="ICV">
    <vt:lpwstr>BF73B912A7544CD19969B7FB1C111BFD_12</vt:lpwstr>
  </property>
</Properties>
</file>