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9E3BA">
      <w:pPr>
        <w:adjustRightInd w:val="0"/>
        <w:snapToGrid w:val="0"/>
        <w:spacing w:line="360" w:lineRule="auto"/>
        <w:jc w:val="center"/>
        <w:outlineLvl w:val="0"/>
        <w:rPr>
          <w:rFonts w:hint="eastAsia" w:ascii="Times New Roman" w:hAnsi="Times New Roman"/>
          <w:lang w:val="en-US" w:eastAsia="zh-CN"/>
        </w:rPr>
      </w:pPr>
      <w:bookmarkStart w:id="0" w:name="_Toc15377193"/>
      <w:bookmarkStart w:id="1" w:name="_Toc15396597"/>
      <w:bookmarkStart w:id="2" w:name="_Toc15396475"/>
      <w:bookmarkStart w:id="3" w:name="_Toc15377425"/>
      <w:bookmarkStart w:id="4" w:name="_Toc15306267"/>
      <w:bookmarkStart w:id="5" w:name="_Toc15378441"/>
      <w:bookmarkStart w:id="55" w:name="_GoBack"/>
      <w:bookmarkEnd w:id="55"/>
    </w:p>
    <w:p w14:paraId="6F235E89">
      <w:pPr>
        <w:pStyle w:val="6"/>
        <w:rPr>
          <w:rFonts w:hint="eastAsia" w:ascii="Times New Roman" w:hAnsi="Times New Roman" w:eastAsia="方正小标宋简体" w:cs="Times New Roman"/>
          <w:color w:val="auto"/>
          <w:kern w:val="2"/>
          <w:sz w:val="72"/>
          <w:szCs w:val="72"/>
          <w:highlight w:val="none"/>
          <w:lang w:val="en-US" w:eastAsia="zh-CN" w:bidi="ar-SA"/>
        </w:rPr>
      </w:pPr>
    </w:p>
    <w:p w14:paraId="65762050">
      <w:pPr>
        <w:adjustRightInd w:val="0"/>
        <w:snapToGrid w:val="0"/>
        <w:spacing w:line="360" w:lineRule="auto"/>
        <w:jc w:val="center"/>
        <w:outlineLvl w:val="0"/>
        <w:rPr>
          <w:rFonts w:hint="eastAsia" w:ascii="方正小标宋简体" w:eastAsia="方正小标宋简体" w:cs="方正小标宋简体"/>
          <w:sz w:val="72"/>
          <w:szCs w:val="72"/>
        </w:rPr>
      </w:pPr>
    </w:p>
    <w:p w14:paraId="336EC39D">
      <w:pPr>
        <w:adjustRightInd w:val="0"/>
        <w:snapToGrid w:val="0"/>
        <w:spacing w:line="360" w:lineRule="auto"/>
        <w:jc w:val="center"/>
        <w:outlineLvl w:val="0"/>
        <w:rPr>
          <w:rFonts w:hint="eastAsia" w:ascii="方正小标宋简体" w:eastAsia="方正小标宋简体" w:cs="方正小标宋简体"/>
          <w:sz w:val="72"/>
          <w:szCs w:val="72"/>
        </w:rPr>
      </w:pPr>
    </w:p>
    <w:p w14:paraId="3B7DB83F">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4</w:t>
      </w:r>
      <w:r>
        <w:rPr>
          <w:rFonts w:hint="eastAsia" w:ascii="方正小标宋简体" w:eastAsia="方正小标宋简体" w:cs="方正小标宋简体"/>
          <w:sz w:val="72"/>
          <w:szCs w:val="72"/>
        </w:rPr>
        <w:t>年度</w:t>
      </w:r>
    </w:p>
    <w:p w14:paraId="1EE2340A">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r>
        <w:rPr>
          <w:rFonts w:hint="eastAsia" w:ascii="方正小标宋简体" w:eastAsia="方正小标宋简体" w:cs="方正小标宋简体"/>
          <w:sz w:val="72"/>
          <w:szCs w:val="72"/>
          <w:lang w:val="en-US" w:eastAsia="zh-CN"/>
        </w:rPr>
        <w:t>金川县机关幼儿园</w:t>
      </w:r>
    </w:p>
    <w:p w14:paraId="29C0F82E">
      <w:pPr>
        <w:adjustRightInd w:val="0"/>
        <w:snapToGrid w:val="0"/>
        <w:spacing w:line="360" w:lineRule="auto"/>
        <w:jc w:val="center"/>
        <w:outlineLvl w:val="0"/>
        <w:rPr>
          <w:rFonts w:ascii="Times New Roman" w:hAnsi="Times New Roman"/>
        </w:rPr>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720" w:num="1"/>
          <w:titlePg/>
          <w:docGrid w:type="lines" w:linePitch="312" w:charSpace="0"/>
        </w:sectPr>
      </w:pPr>
      <w:r>
        <w:rPr>
          <w:rFonts w:hint="eastAsia" w:ascii="方正小标宋简体" w:eastAsia="方正小标宋简体" w:cs="方正小标宋简体"/>
          <w:sz w:val="72"/>
          <w:szCs w:val="72"/>
        </w:rPr>
        <w:t>部门决算</w:t>
      </w:r>
    </w:p>
    <w:bookmarkEnd w:id="0"/>
    <w:bookmarkEnd w:id="1"/>
    <w:bookmarkEnd w:id="2"/>
    <w:bookmarkEnd w:id="3"/>
    <w:bookmarkEnd w:id="4"/>
    <w:bookmarkEnd w:id="5"/>
    <w:p w14:paraId="46C0AD4A">
      <w:pPr>
        <w:widowControl/>
        <w:jc w:val="both"/>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09EAA170">
      <w:pPr>
        <w:widowControl/>
        <w:jc w:val="center"/>
        <w:rPr>
          <w:rFonts w:ascii="Times New Roman" w:hAnsi="Times New Roman" w:eastAsia="黑体" w:cs="Arial"/>
          <w:color w:val="auto"/>
          <w:sz w:val="28"/>
          <w:szCs w:val="28"/>
          <w:highlight w:val="none"/>
        </w:rPr>
      </w:pPr>
    </w:p>
    <w:p w14:paraId="28261676">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27</w:t>
      </w:r>
      <w:r>
        <w:rPr>
          <w:rFonts w:hint="eastAsia" w:ascii="Times New Roman" w:hAnsi="Times New Roman" w:eastAsia="仿宋_GB2312" w:cs="仿宋_GB2312"/>
          <w:color w:val="auto"/>
          <w:sz w:val="32"/>
          <w:szCs w:val="32"/>
          <w:highlight w:val="none"/>
        </w:rPr>
        <w:t>日</w:t>
      </w:r>
    </w:p>
    <w:p w14:paraId="067BAE0D">
      <w:pPr>
        <w:rPr>
          <w:rFonts w:ascii="Times New Roman" w:hAnsi="Times New Roman"/>
          <w:color w:val="auto"/>
          <w:highlight w:val="none"/>
        </w:rPr>
      </w:pPr>
    </w:p>
    <w:p w14:paraId="416DB892">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22319A2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ascii="Times New Roman" w:hAnsi="Times New Roman" w:eastAsia="仿宋_GB2312" w:cs="仿宋_GB2312"/>
          <w:color w:val="auto"/>
          <w:sz w:val="32"/>
          <w:szCs w:val="32"/>
          <w:highlight w:val="none"/>
          <w:lang w:val="en-US" w:eastAsia="zh-CN"/>
        </w:rPr>
        <w:t>.................................................................4</w:t>
      </w:r>
    </w:p>
    <w:p w14:paraId="61D4388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二、机构设置</w:t>
      </w:r>
      <w:r>
        <w:rPr>
          <w:rFonts w:hint="eastAsia" w:ascii="Times New Roman" w:hAnsi="Times New Roman" w:eastAsia="仿宋_GB2312" w:cs="仿宋_GB2312"/>
          <w:color w:val="auto"/>
          <w:sz w:val="32"/>
          <w:szCs w:val="32"/>
          <w:highlight w:val="none"/>
          <w:lang w:val="en-US" w:eastAsia="zh-CN"/>
        </w:rPr>
        <w:t>.................................................................5</w:t>
      </w:r>
    </w:p>
    <w:p w14:paraId="6F503A26">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41BFB38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.................................5</w:t>
      </w:r>
    </w:p>
    <w:p w14:paraId="34BD2A4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.................................................6</w:t>
      </w:r>
    </w:p>
    <w:p w14:paraId="298B76D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.................................................6-11</w:t>
      </w:r>
    </w:p>
    <w:p w14:paraId="389D960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................11-12</w:t>
      </w:r>
    </w:p>
    <w:p w14:paraId="1CF0F25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.........13</w:t>
      </w:r>
    </w:p>
    <w:p w14:paraId="2B52F4CB">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...14</w:t>
      </w: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............14-15</w:t>
      </w:r>
    </w:p>
    <w:p w14:paraId="5C0DCAF1">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......................15</w:t>
      </w: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..................15</w:t>
      </w:r>
    </w:p>
    <w:p w14:paraId="6626F75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...................................15-16</w:t>
      </w:r>
    </w:p>
    <w:p w14:paraId="568763FA">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............................................................16-18</w:t>
      </w:r>
    </w:p>
    <w:p w14:paraId="25AD9CDB">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....................................................................19-25</w:t>
      </w:r>
    </w:p>
    <w:p w14:paraId="1E7B012D">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.....................................................................26</w:t>
      </w:r>
    </w:p>
    <w:p w14:paraId="539A6D1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75A7F4E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2B5C608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66F295A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4513A92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1326088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775C289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7124362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593EFD9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32F7C35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420F576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0EE0786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624A085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391B3148">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77196"/>
      <w:bookmarkStart w:id="7" w:name="_Toc15396599"/>
      <w:r>
        <w:rPr>
          <w:rFonts w:hint="eastAsia" w:ascii="Times New Roman" w:hAnsi="Times New Roman" w:eastAsia="仿宋_GB2312" w:cs="仿宋_GB2312"/>
          <w:b/>
          <w:color w:val="auto"/>
          <w:sz w:val="32"/>
          <w:szCs w:val="32"/>
          <w:highlight w:val="none"/>
        </w:rPr>
        <w:br w:type="page"/>
      </w:r>
    </w:p>
    <w:p w14:paraId="42B6B553">
      <w:pPr>
        <w:pStyle w:val="3"/>
        <w:jc w:val="center"/>
        <w:rPr>
          <w:rStyle w:val="2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0"/>
          <w:rFonts w:hint="eastAsia" w:ascii="Times New Roman" w:hAnsi="Times New Roman" w:eastAsia="方正小标宋简体" w:cs="方正小标宋简体"/>
          <w:b w:val="0"/>
          <w:bCs w:val="0"/>
          <w:color w:val="auto"/>
          <w:highlight w:val="none"/>
        </w:rPr>
        <w:t>部门概况</w:t>
      </w:r>
      <w:bookmarkEnd w:id="6"/>
      <w:bookmarkEnd w:id="7"/>
    </w:p>
    <w:p w14:paraId="25BA59C9">
      <w:pPr>
        <w:widowControl/>
        <w:jc w:val="left"/>
        <w:rPr>
          <w:rFonts w:ascii="Times New Roman" w:hAnsi="Times New Roman" w:eastAsia="黑体"/>
          <w:color w:val="auto"/>
          <w:sz w:val="32"/>
          <w:szCs w:val="32"/>
          <w:highlight w:val="none"/>
        </w:rPr>
      </w:pPr>
    </w:p>
    <w:p w14:paraId="6932C1A9">
      <w:pPr>
        <w:pStyle w:val="4"/>
        <w:numPr>
          <w:ilvl w:val="0"/>
          <w:numId w:val="1"/>
        </w:numPr>
        <w:rPr>
          <w:rStyle w:val="21"/>
          <w:rFonts w:ascii="仿宋" w:hAnsi="仿宋" w:eastAsia="黑体"/>
          <w:b w:val="0"/>
          <w:bCs w:val="0"/>
        </w:rPr>
      </w:pPr>
      <w:r>
        <w:rPr>
          <w:rFonts w:hint="eastAsia" w:ascii="Times New Roman" w:hAnsi="Times New Roman" w:eastAsia="黑体"/>
          <w:b w:val="0"/>
          <w:color w:val="auto"/>
          <w:highlight w:val="none"/>
          <w:lang w:eastAsia="zh-CN"/>
        </w:rPr>
        <w:t>部门职责</w:t>
      </w:r>
      <w:bookmarkStart w:id="8" w:name="_Toc15396601"/>
      <w:bookmarkStart w:id="9" w:name="_Toc15377200"/>
    </w:p>
    <w:p w14:paraId="6A8AA941">
      <w:pPr>
        <w:pStyle w:val="4"/>
        <w:ind w:left="0" w:firstLine="584" w:firstLineChars="200"/>
        <w:rPr>
          <w:rStyle w:val="21"/>
          <w:rFonts w:ascii="仿宋" w:hAnsi="仿宋" w:eastAsia="黑体"/>
          <w:b w:val="0"/>
          <w:bCs w:val="0"/>
        </w:rPr>
      </w:pPr>
      <w:r>
        <w:rPr>
          <w:rFonts w:hint="eastAsia" w:eastAsia="仿宋_GB2312"/>
          <w:b w:val="0"/>
          <w:bCs w:val="0"/>
          <w:spacing w:val="-14"/>
          <w:sz w:val="32"/>
          <w:szCs w:val="32"/>
        </w:rPr>
        <w:t>对3-6岁幼儿保育教育工作。</w:t>
      </w:r>
      <w:r>
        <w:rPr>
          <w:rFonts w:hint="eastAsia" w:ascii="仿宋_GB2312" w:eastAsia="仿宋_GB2312"/>
          <w:b w:val="0"/>
          <w:bCs w:val="0"/>
          <w:sz w:val="32"/>
          <w:szCs w:val="32"/>
        </w:rPr>
        <w:t>贯彻执行党和国家关于预算、税收、行政事业单位国有资产、财务、会计等法律、法规、规章和方针、政策。根据本单位实际情况，编制财务计划；研究制定本单位财务制度，推进本单位财务工作顺利进行，编制年度本单位预决算方案，经批准后组织执行。管理各项财政收入；管理本单位各项支出，指导和监管各项财务活动，指导和监督收支活动。认真贯彻执行党和国家的有关法律法规、方针、政策，坚持民主管理，依法办园，执行上级主管部门的指示和决定。为实行3--6岁幼儿保育和教育提供有力的经费保障，促进幼儿实施体、智、德、美诸方面全面和谐发展。面向家长开展多种形式的早期教育宣传、指导等服务，促进家庭教育质量的不断提高。贯彻幼儿教育法规、传播科学教育理念、开展教育科学研究、培训师资，发挥县示范性幼儿园的示范、辐射作用。</w:t>
      </w:r>
    </w:p>
    <w:p w14:paraId="012B34EE">
      <w:pPr>
        <w:pStyle w:val="4"/>
        <w:rPr>
          <w:rStyle w:val="21"/>
          <w:rFonts w:ascii="Times New Roman" w:hAnsi="Times New Roman"/>
          <w:b w:val="0"/>
          <w:bCs w:val="0"/>
          <w:color w:val="auto"/>
          <w:highlight w:val="none"/>
        </w:rPr>
      </w:pPr>
      <w:r>
        <w:rPr>
          <w:rFonts w:hint="eastAsia" w:ascii="Times New Roman" w:hAnsi="Times New Roman" w:eastAsia="黑体"/>
          <w:b w:val="0"/>
          <w:color w:val="auto"/>
          <w:highlight w:val="none"/>
        </w:rPr>
        <w:t>二、机</w:t>
      </w:r>
      <w:r>
        <w:rPr>
          <w:rStyle w:val="21"/>
          <w:rFonts w:hint="eastAsia" w:ascii="Times New Roman" w:hAnsi="Times New Roman" w:eastAsia="黑体"/>
          <w:b w:val="0"/>
          <w:bCs w:val="0"/>
          <w:color w:val="auto"/>
          <w:highlight w:val="none"/>
        </w:rPr>
        <w:t>构设置</w:t>
      </w:r>
      <w:bookmarkEnd w:id="8"/>
      <w:bookmarkEnd w:id="9"/>
    </w:p>
    <w:p w14:paraId="3A0A6C31">
      <w:pPr>
        <w:ind w:firstLine="640" w:firstLineChars="200"/>
        <w:rPr>
          <w:rFonts w:hint="eastAsia" w:ascii="仿宋_GB2312" w:eastAsia="仿宋_GB2312"/>
          <w:sz w:val="32"/>
          <w:szCs w:val="32"/>
        </w:rPr>
      </w:pPr>
      <w:r>
        <w:rPr>
          <w:rFonts w:hint="eastAsia" w:ascii="仿宋_GB2312" w:eastAsia="仿宋_GB2312"/>
          <w:sz w:val="32"/>
          <w:szCs w:val="32"/>
        </w:rPr>
        <w:t>金川县机关幼儿园属事业单位1个，独立编制机构数1个，独立核算机构数1个，单位编制数1个，其中：事业编制56个。</w:t>
      </w:r>
    </w:p>
    <w:p w14:paraId="6F3244D8">
      <w:pPr>
        <w:ind w:firstLine="640" w:firstLineChars="200"/>
        <w:rPr>
          <w:rFonts w:hint="eastAsia" w:ascii="仿宋_GB2312" w:eastAsia="仿宋_GB2312"/>
          <w:sz w:val="32"/>
          <w:szCs w:val="32"/>
        </w:rPr>
      </w:pPr>
      <w:r>
        <w:rPr>
          <w:rFonts w:hint="eastAsia" w:ascii="仿宋_GB2312" w:eastAsia="仿宋_GB2312"/>
          <w:sz w:val="32"/>
          <w:szCs w:val="32"/>
        </w:rPr>
        <w:t>人员情况:截止202</w:t>
      </w:r>
      <w:r>
        <w:rPr>
          <w:rFonts w:hint="eastAsia" w:ascii="仿宋_GB2312" w:eastAsia="仿宋_GB2312"/>
          <w:sz w:val="32"/>
          <w:szCs w:val="32"/>
          <w:lang w:val="en-US" w:eastAsia="zh-CN"/>
        </w:rPr>
        <w:t>4</w:t>
      </w:r>
      <w:r>
        <w:rPr>
          <w:rFonts w:hint="eastAsia" w:ascii="仿宋_GB2312" w:eastAsia="仿宋_GB2312"/>
          <w:sz w:val="32"/>
          <w:szCs w:val="32"/>
        </w:rPr>
        <w:t>年末，单位实有人数</w:t>
      </w:r>
      <w:r>
        <w:rPr>
          <w:rFonts w:hint="eastAsia" w:ascii="仿宋_GB2312" w:eastAsia="仿宋_GB2312"/>
          <w:sz w:val="32"/>
          <w:szCs w:val="32"/>
          <w:lang w:val="en-US" w:eastAsia="zh-CN"/>
        </w:rPr>
        <w:t>46</w:t>
      </w:r>
      <w:r>
        <w:rPr>
          <w:rFonts w:hint="eastAsia" w:ascii="仿宋_GB2312" w:eastAsia="仿宋_GB2312"/>
          <w:sz w:val="32"/>
          <w:szCs w:val="32"/>
        </w:rPr>
        <w:t>人，其中：在职</w:t>
      </w:r>
      <w:r>
        <w:rPr>
          <w:rFonts w:hint="eastAsia" w:ascii="仿宋_GB2312" w:eastAsia="仿宋_GB2312"/>
          <w:sz w:val="32"/>
          <w:szCs w:val="32"/>
          <w:lang w:val="en-US" w:eastAsia="zh-CN"/>
        </w:rPr>
        <w:t>46</w:t>
      </w:r>
      <w:r>
        <w:rPr>
          <w:rFonts w:hint="eastAsia" w:ascii="仿宋_GB2312" w:eastAsia="仿宋_GB2312"/>
          <w:sz w:val="32"/>
          <w:szCs w:val="32"/>
        </w:rPr>
        <w:t>人。遗属1人，退休1</w:t>
      </w:r>
      <w:r>
        <w:rPr>
          <w:rFonts w:hint="eastAsia" w:ascii="仿宋_GB2312" w:eastAsia="仿宋_GB2312"/>
          <w:sz w:val="32"/>
          <w:szCs w:val="32"/>
          <w:lang w:val="en-US" w:eastAsia="zh-CN"/>
        </w:rPr>
        <w:t>6</w:t>
      </w:r>
      <w:r>
        <w:rPr>
          <w:rFonts w:hint="eastAsia" w:ascii="仿宋_GB2312" w:eastAsia="仿宋_GB2312"/>
          <w:sz w:val="32"/>
          <w:szCs w:val="32"/>
        </w:rPr>
        <w:t>人</w:t>
      </w:r>
    </w:p>
    <w:p w14:paraId="36A57DE8">
      <w:pPr>
        <w:pStyle w:val="3"/>
        <w:numPr>
          <w:ilvl w:val="0"/>
          <w:numId w:val="2"/>
        </w:numPr>
        <w:jc w:val="both"/>
        <w:rPr>
          <w:rFonts w:hint="eastAsia" w:ascii="Times New Roman" w:hAnsi="Times New Roman" w:eastAsia="方正小标宋简体" w:cs="方正小标宋简体"/>
          <w:b w:val="0"/>
          <w:color w:val="auto"/>
          <w:highlight w:val="none"/>
        </w:rPr>
      </w:pP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Start w:id="10" w:name="_Toc15377205"/>
      <w:bookmarkStart w:id="11" w:name="_Toc15396603"/>
    </w:p>
    <w:p w14:paraId="620BA66E">
      <w:pPr>
        <w:pStyle w:val="3"/>
        <w:numPr>
          <w:ilvl w:val="0"/>
          <w:numId w:val="3"/>
        </w:numPr>
        <w:jc w:val="both"/>
        <w:rPr>
          <w:rStyle w:val="21"/>
          <w:rFonts w:hint="eastAsia" w:ascii="Times New Roman" w:hAnsi="Times New Roman" w:eastAsia="黑体"/>
          <w:b w:val="0"/>
          <w:bCs/>
          <w:color w:val="auto"/>
          <w:highlight w:val="none"/>
        </w:rPr>
      </w:pPr>
      <w:r>
        <w:rPr>
          <w:rFonts w:hint="eastAsia" w:ascii="Times New Roman" w:hAnsi="Times New Roman" w:eastAsia="黑体"/>
          <w:color w:val="auto"/>
          <w:sz w:val="32"/>
          <w:szCs w:val="32"/>
          <w:highlight w:val="none"/>
        </w:rPr>
        <w:t>收</w:t>
      </w:r>
      <w:r>
        <w:rPr>
          <w:rStyle w:val="21"/>
          <w:rFonts w:hint="eastAsia" w:ascii="Times New Roman" w:hAnsi="Times New Roman" w:eastAsia="黑体"/>
          <w:b w:val="0"/>
          <w:bCs/>
          <w:color w:val="auto"/>
          <w:highlight w:val="none"/>
        </w:rPr>
        <w:t>入支出决算总体情况说明</w:t>
      </w:r>
      <w:bookmarkEnd w:id="10"/>
      <w:bookmarkEnd w:id="11"/>
    </w:p>
    <w:p w14:paraId="75A6A198">
      <w:pPr>
        <w:pStyle w:val="31"/>
        <w:spacing w:before="0" w:after="0" w:line="520" w:lineRule="atLeast"/>
        <w:ind w:firstLine="720"/>
        <w:jc w:val="both"/>
      </w:pPr>
      <w:bookmarkStart w:id="12" w:name="_Toc15377206"/>
      <w:bookmarkStart w:id="13" w:name="_Toc15396604"/>
      <w:r>
        <w:rPr>
          <w:rFonts w:ascii="仿宋_GB2312" w:eastAsia="仿宋_GB2312" w:cs="仿宋_GB2312"/>
          <w:sz w:val="32"/>
          <w:szCs w:val="32"/>
        </w:rPr>
        <w:t>1.本年度年初预算收入数为1,035.56万元，上年度年初预算收入数为1,024.93万元，比去年增加10.63万元，原因：</w:t>
      </w:r>
      <w:r>
        <w:rPr>
          <w:rFonts w:hint="eastAsia" w:ascii="仿宋_GB2312" w:eastAsia="仿宋_GB2312" w:cs="仿宋_GB2312"/>
          <w:sz w:val="32"/>
          <w:szCs w:val="32"/>
          <w:lang w:val="en-US" w:eastAsia="zh-CN"/>
        </w:rPr>
        <w:t>预估项目支出预算增加</w:t>
      </w:r>
      <w:r>
        <w:rPr>
          <w:rFonts w:ascii="仿宋_GB2312" w:eastAsia="仿宋_GB2312" w:cs="仿宋_GB2312"/>
          <w:sz w:val="32"/>
          <w:szCs w:val="32"/>
        </w:rPr>
        <w:t>。</w:t>
      </w:r>
    </w:p>
    <w:p w14:paraId="4E4C0FA5">
      <w:pPr>
        <w:pStyle w:val="31"/>
        <w:keepNext w:val="0"/>
        <w:keepLines w:val="0"/>
        <w:pageBreakBefore w:val="0"/>
        <w:widowControl/>
        <w:kinsoku/>
        <w:wordWrap/>
        <w:overflowPunct/>
        <w:topLinePunct w:val="0"/>
        <w:autoSpaceDE/>
        <w:autoSpaceDN/>
        <w:bidi w:val="0"/>
        <w:adjustRightInd/>
        <w:snapToGrid/>
        <w:spacing w:before="0" w:after="0" w:line="520" w:lineRule="atLeast"/>
        <w:ind w:firstLine="0"/>
        <w:jc w:val="center"/>
        <w:textAlignment w:val="auto"/>
      </w:pPr>
    </w:p>
    <w:p w14:paraId="029DAD03">
      <w:pPr>
        <w:pStyle w:val="31"/>
        <w:spacing w:before="0" w:after="0" w:line="520" w:lineRule="atLeast"/>
        <w:ind w:firstLine="720"/>
        <w:jc w:val="both"/>
      </w:pPr>
      <w:r>
        <w:rPr>
          <w:rFonts w:ascii="仿宋_GB2312" w:eastAsia="仿宋_GB2312" w:cs="仿宋_GB2312"/>
          <w:sz w:val="32"/>
          <w:szCs w:val="32"/>
        </w:rPr>
        <w:t>2.本年度全年预算收入数为1,126.44万元，上年度全年预算收入数为1,130.17万元，比去年减少3.73万元，原因：</w:t>
      </w:r>
      <w:r>
        <w:rPr>
          <w:rFonts w:hint="eastAsia" w:ascii="仿宋_GB2312" w:eastAsia="仿宋_GB2312" w:cs="仿宋_GB2312"/>
          <w:sz w:val="32"/>
          <w:szCs w:val="32"/>
          <w:lang w:val="en-US" w:eastAsia="zh-CN"/>
        </w:rPr>
        <w:t>项目支出增加</w:t>
      </w:r>
      <w:r>
        <w:rPr>
          <w:rFonts w:ascii="仿宋_GB2312" w:eastAsia="仿宋_GB2312" w:cs="仿宋_GB2312"/>
          <w:sz w:val="32"/>
          <w:szCs w:val="32"/>
        </w:rPr>
        <w:t>。</w:t>
      </w:r>
    </w:p>
    <w:p w14:paraId="29368636">
      <w:pPr>
        <w:pStyle w:val="31"/>
        <w:keepNext w:val="0"/>
        <w:keepLines w:val="0"/>
        <w:pageBreakBefore w:val="0"/>
        <w:widowControl/>
        <w:kinsoku/>
        <w:wordWrap/>
        <w:overflowPunct/>
        <w:topLinePunct w:val="0"/>
        <w:autoSpaceDE/>
        <w:autoSpaceDN/>
        <w:bidi w:val="0"/>
        <w:adjustRightInd/>
        <w:snapToGrid/>
        <w:spacing w:before="0" w:after="0" w:line="520" w:lineRule="atLeast"/>
        <w:ind w:firstLine="0"/>
        <w:jc w:val="center"/>
        <w:textAlignment w:val="auto"/>
      </w:pPr>
    </w:p>
    <w:p w14:paraId="0E6E62FB">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二、收入决算情况说明</w:t>
      </w:r>
      <w:bookmarkEnd w:id="12"/>
      <w:bookmarkEnd w:id="13"/>
    </w:p>
    <w:p w14:paraId="57C8CBBF">
      <w:pPr>
        <w:pStyle w:val="31"/>
        <w:spacing w:before="0" w:after="0" w:line="520" w:lineRule="atLeast"/>
        <w:ind w:firstLine="720"/>
        <w:jc w:val="both"/>
      </w:pPr>
      <w:r>
        <w:rPr>
          <w:rFonts w:ascii="仿宋_GB2312" w:eastAsia="仿宋_GB2312" w:cs="仿宋_GB2312"/>
          <w:sz w:val="32"/>
          <w:szCs w:val="32"/>
        </w:rPr>
        <w:t>本年预算收入数为1,126.44万元，收入决算数为1,126.44万元，预算完成度100%。本年度预算支出数为1,126.44万元，支出决算数为1,126.44万元。</w:t>
      </w:r>
    </w:p>
    <w:p w14:paraId="380C29E9">
      <w:pPr>
        <w:pStyle w:val="31"/>
        <w:spacing w:before="0" w:after="0" w:line="520" w:lineRule="atLeast"/>
        <w:ind w:firstLine="720"/>
        <w:jc w:val="both"/>
      </w:pPr>
      <w:r>
        <w:rPr>
          <w:rFonts w:ascii="仿宋_GB2312" w:eastAsia="仿宋_GB2312" w:cs="仿宋_GB2312"/>
          <w:sz w:val="32"/>
          <w:szCs w:val="32"/>
        </w:rPr>
        <w:t>图3、预算执行分析</w:t>
      </w:r>
    </w:p>
    <w:p w14:paraId="272381D4">
      <w:pPr>
        <w:pStyle w:val="31"/>
        <w:keepNext w:val="0"/>
        <w:keepLines w:val="0"/>
        <w:pageBreakBefore w:val="0"/>
        <w:widowControl/>
        <w:kinsoku/>
        <w:wordWrap/>
        <w:overflowPunct/>
        <w:topLinePunct w:val="0"/>
        <w:autoSpaceDE/>
        <w:autoSpaceDN/>
        <w:bidi w:val="0"/>
        <w:adjustRightInd/>
        <w:snapToGrid/>
        <w:spacing w:before="0" w:after="0" w:line="520" w:lineRule="atLeast"/>
        <w:ind w:firstLine="0"/>
        <w:jc w:val="center"/>
        <w:textAlignment w:val="auto"/>
        <w:rPr>
          <w:rFonts w:hint="eastAsia" w:ascii="Times New Roman" w:hAnsi="Times New Roman" w:eastAsia="仿宋_GB2312" w:cs="仿宋_GB2312"/>
          <w:color w:val="auto"/>
          <w:sz w:val="32"/>
          <w:szCs w:val="32"/>
          <w:highlight w:val="none"/>
          <w:lang w:eastAsia="zh-CN"/>
        </w:rPr>
      </w:pPr>
    </w:p>
    <w:p w14:paraId="6184F4EE">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bookmarkStart w:id="14" w:name="_Toc15377207"/>
      <w:bookmarkStart w:id="15"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1"/>
          <w:rFonts w:hint="eastAsia" w:ascii="Times New Roman" w:hAnsi="Times New Roman" w:eastAsia="黑体"/>
          <w:b w:val="0"/>
          <w:color w:val="auto"/>
          <w:highlight w:val="none"/>
        </w:rPr>
        <w:t>出决算情况说明</w:t>
      </w:r>
      <w:bookmarkEnd w:id="14"/>
      <w:bookmarkEnd w:id="15"/>
    </w:p>
    <w:p w14:paraId="55D56789">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lang w:eastAsia="zh-CN"/>
        </w:rPr>
        <w:t>2024年度本年支出合计</w:t>
      </w:r>
      <w:r>
        <w:rPr>
          <w:rFonts w:hint="eastAsia" w:ascii="仿宋_GB2312" w:eastAsia="仿宋_GB2312" w:cs="仿宋_GB2312"/>
          <w:sz w:val="32"/>
          <w:szCs w:val="32"/>
        </w:rPr>
        <w:t>1126.44</w:t>
      </w:r>
      <w:r>
        <w:rPr>
          <w:rFonts w:hint="eastAsia" w:ascii="仿宋_GB2312" w:eastAsia="仿宋_GB2312" w:cs="仿宋_GB2312"/>
          <w:color w:val="auto"/>
          <w:sz w:val="32"/>
          <w:szCs w:val="32"/>
          <w:highlight w:val="none"/>
          <w:lang w:eastAsia="zh-CN"/>
        </w:rPr>
        <w:t>万元，其中：基本支出</w:t>
      </w:r>
      <w:r>
        <w:rPr>
          <w:rFonts w:hint="eastAsia" w:ascii="仿宋_GB2312" w:eastAsia="仿宋_GB2312" w:cs="仿宋_GB2312"/>
          <w:sz w:val="32"/>
          <w:szCs w:val="32"/>
        </w:rPr>
        <w:t>1119.54</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99.38</w:t>
      </w:r>
      <w:r>
        <w:rPr>
          <w:rFonts w:hint="eastAsia" w:ascii="仿宋_GB2312" w:eastAsia="仿宋_GB2312" w:cs="仿宋_GB2312"/>
          <w:color w:val="auto"/>
          <w:sz w:val="32"/>
          <w:szCs w:val="32"/>
          <w:highlight w:val="none"/>
          <w:lang w:eastAsia="zh-CN"/>
        </w:rPr>
        <w:t>%；项目支出</w:t>
      </w:r>
      <w:r>
        <w:rPr>
          <w:rFonts w:hint="eastAsia" w:ascii="仿宋_GB2312" w:eastAsia="仿宋_GB2312" w:cs="仿宋_GB2312"/>
          <w:sz w:val="32"/>
          <w:szCs w:val="32"/>
        </w:rPr>
        <w:t>6.9</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0.61</w:t>
      </w:r>
      <w:r>
        <w:rPr>
          <w:rFonts w:hint="eastAsia" w:ascii="仿宋_GB2312" w:eastAsia="仿宋_GB2312" w:cs="仿宋_GB2312"/>
          <w:color w:val="auto"/>
          <w:sz w:val="32"/>
          <w:szCs w:val="32"/>
          <w:highlight w:val="none"/>
          <w:lang w:eastAsia="zh-CN"/>
        </w:rPr>
        <w:t>%；上缴上级支出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%；经营支出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%；对附属单位补助支出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14:paraId="21BCF9BA">
      <w:pPr>
        <w:ind w:firstLine="800" w:firstLineChars="250"/>
        <w:rPr>
          <w:rFonts w:hint="eastAsia" w:ascii="Times New Roman" w:hAnsi="Times New Roman" w:eastAsia="仿宋_GB2312" w:cs="仿宋_GB2312"/>
          <w:color w:val="auto"/>
          <w:sz w:val="32"/>
          <w:szCs w:val="32"/>
          <w:highlight w:val="none"/>
          <w:lang w:eastAsia="zh-CN"/>
        </w:rPr>
      </w:pPr>
    </w:p>
    <w:p w14:paraId="7AF784D6">
      <w:pPr>
        <w:pStyle w:val="31"/>
        <w:spacing w:before="0" w:after="0" w:line="520" w:lineRule="atLeast"/>
        <w:ind w:firstLine="640"/>
      </w:pPr>
      <w:r>
        <w:rPr>
          <w:rFonts w:ascii="仿宋_GB2312" w:eastAsia="仿宋_GB2312" w:cs="仿宋_GB2312"/>
          <w:b/>
          <w:bCs/>
          <w:sz w:val="32"/>
          <w:szCs w:val="32"/>
        </w:rPr>
        <w:t>1．收入支出与预算对比分析。</w:t>
      </w:r>
    </w:p>
    <w:p w14:paraId="453E354D">
      <w:pPr>
        <w:pStyle w:val="31"/>
        <w:spacing w:before="0" w:after="0" w:line="520" w:lineRule="atLeast"/>
        <w:ind w:firstLine="640"/>
        <w:jc w:val="left"/>
      </w:pPr>
      <w:r>
        <w:rPr>
          <w:rFonts w:ascii="仿宋_GB2312" w:eastAsia="仿宋_GB2312" w:cs="仿宋_GB2312"/>
          <w:sz w:val="32"/>
          <w:szCs w:val="32"/>
        </w:rPr>
        <w:t>本年年初预算收入1,035.56万元，全年预算收入1,126.44万元，全年决算收入1,126.44万元：</w:t>
      </w:r>
      <w:r>
        <w:rPr>
          <w:rFonts w:ascii="仿宋_GB2312" w:eastAsia="仿宋_GB2312" w:cs="仿宋_GB2312"/>
          <w:sz w:val="32"/>
          <w:szCs w:val="32"/>
        </w:rPr>
        <w:br w:type="textWrapping"/>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Layout w:type="autofit"/>
        <w:tblCellMar>
          <w:top w:w="0" w:type="dxa"/>
          <w:left w:w="108" w:type="dxa"/>
          <w:bottom w:w="0" w:type="dxa"/>
          <w:right w:w="108" w:type="dxa"/>
        </w:tblCellMar>
      </w:tblPr>
      <w:tblGrid>
        <w:gridCol w:w="2130"/>
        <w:gridCol w:w="2130"/>
        <w:gridCol w:w="2131"/>
        <w:gridCol w:w="2131"/>
      </w:tblGrid>
      <w:tr w14:paraId="097F72CE">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666666" w:sz="12" w:space="0"/>
              <w:right w:val="single" w:color="auto" w:sz="4" w:space="0"/>
            </w:tcBorders>
            <w:noWrap/>
            <w:vAlign w:val="center"/>
          </w:tcPr>
          <w:p w14:paraId="7B5858D7">
            <w:pPr>
              <w:spacing w:after="0" w:line="240" w:lineRule="auto"/>
              <w:jc w:val="center"/>
              <w:rPr>
                <w:b/>
                <w:bCs/>
              </w:rPr>
            </w:pPr>
            <w:r>
              <w:rPr>
                <w:b/>
                <w:bCs/>
              </w:rPr>
              <w:t>项目</w:t>
            </w:r>
          </w:p>
        </w:tc>
        <w:tc>
          <w:tcPr>
            <w:tcW w:w="2158" w:type="dxa"/>
            <w:tcBorders>
              <w:top w:val="single" w:color="auto" w:sz="4" w:space="0"/>
              <w:left w:val="single" w:color="auto" w:sz="4" w:space="0"/>
              <w:bottom w:val="single" w:color="666666" w:sz="12" w:space="0"/>
              <w:right w:val="single" w:color="auto" w:sz="4" w:space="0"/>
            </w:tcBorders>
            <w:noWrap/>
            <w:vAlign w:val="center"/>
          </w:tcPr>
          <w:p w14:paraId="26D2AD2A">
            <w:pPr>
              <w:spacing w:after="0" w:line="240" w:lineRule="auto"/>
              <w:jc w:val="center"/>
              <w:rPr>
                <w:b/>
                <w:bCs/>
              </w:rPr>
            </w:pPr>
            <w:r>
              <w:rPr>
                <w:b/>
                <w:bCs/>
              </w:rPr>
              <w:t>年初预算收入</w:t>
            </w:r>
          </w:p>
        </w:tc>
        <w:tc>
          <w:tcPr>
            <w:tcW w:w="2158" w:type="dxa"/>
            <w:tcBorders>
              <w:top w:val="single" w:color="auto" w:sz="4" w:space="0"/>
              <w:left w:val="single" w:color="auto" w:sz="4" w:space="0"/>
              <w:bottom w:val="single" w:color="666666" w:sz="12" w:space="0"/>
              <w:right w:val="single" w:color="auto" w:sz="4" w:space="0"/>
            </w:tcBorders>
            <w:noWrap/>
            <w:vAlign w:val="center"/>
          </w:tcPr>
          <w:p w14:paraId="7CD8E774">
            <w:pPr>
              <w:spacing w:after="0" w:line="240" w:lineRule="auto"/>
              <w:jc w:val="center"/>
              <w:rPr>
                <w:b/>
                <w:bCs/>
              </w:rPr>
            </w:pPr>
            <w:r>
              <w:rPr>
                <w:b/>
                <w:bCs/>
              </w:rPr>
              <w:t>全年预算收入</w:t>
            </w:r>
          </w:p>
        </w:tc>
        <w:tc>
          <w:tcPr>
            <w:tcW w:w="2158" w:type="dxa"/>
            <w:tcBorders>
              <w:top w:val="single" w:color="auto" w:sz="4" w:space="0"/>
              <w:left w:val="single" w:color="auto" w:sz="4" w:space="0"/>
              <w:bottom w:val="single" w:color="666666" w:sz="12" w:space="0"/>
              <w:right w:val="single" w:color="auto" w:sz="4" w:space="0"/>
            </w:tcBorders>
            <w:noWrap/>
            <w:vAlign w:val="center"/>
          </w:tcPr>
          <w:p w14:paraId="4430B0FA">
            <w:pPr>
              <w:spacing w:after="0" w:line="240" w:lineRule="auto"/>
              <w:jc w:val="center"/>
              <w:rPr>
                <w:b/>
                <w:bCs/>
              </w:rPr>
            </w:pPr>
            <w:r>
              <w:rPr>
                <w:b/>
                <w:bCs/>
              </w:rPr>
              <w:t>全年决算收入</w:t>
            </w:r>
          </w:p>
        </w:tc>
      </w:tr>
      <w:tr w14:paraId="29D67663">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61C433CB">
            <w:pPr>
              <w:spacing w:after="0" w:line="240" w:lineRule="auto"/>
              <w:jc w:val="center"/>
              <w:rPr>
                <w:b/>
                <w:bCs/>
              </w:rPr>
            </w:pPr>
            <w:r>
              <w:rPr>
                <w:b/>
                <w:bCs/>
              </w:rPr>
              <w:t>一般公共预算财政拨款收入</w:t>
            </w:r>
          </w:p>
        </w:tc>
        <w:tc>
          <w:tcPr>
            <w:tcW w:w="2158" w:type="dxa"/>
            <w:tcBorders>
              <w:top w:val="single" w:color="auto" w:sz="4" w:space="0"/>
              <w:left w:val="single" w:color="auto" w:sz="4" w:space="0"/>
              <w:bottom w:val="single" w:color="auto" w:sz="4" w:space="0"/>
              <w:right w:val="single" w:color="auto" w:sz="4" w:space="0"/>
            </w:tcBorders>
            <w:noWrap/>
            <w:vAlign w:val="center"/>
          </w:tcPr>
          <w:p w14:paraId="7FD067A7">
            <w:pPr>
              <w:spacing w:after="0" w:line="240" w:lineRule="auto"/>
              <w:jc w:val="right"/>
            </w:pPr>
            <w:r>
              <w:t>1,035.56</w:t>
            </w:r>
          </w:p>
        </w:tc>
        <w:tc>
          <w:tcPr>
            <w:tcW w:w="2158" w:type="dxa"/>
            <w:tcBorders>
              <w:top w:val="single" w:color="auto" w:sz="4" w:space="0"/>
              <w:left w:val="single" w:color="auto" w:sz="4" w:space="0"/>
              <w:bottom w:val="single" w:color="auto" w:sz="4" w:space="0"/>
              <w:right w:val="single" w:color="auto" w:sz="4" w:space="0"/>
            </w:tcBorders>
            <w:noWrap/>
            <w:vAlign w:val="center"/>
          </w:tcPr>
          <w:p w14:paraId="65542C96">
            <w:pPr>
              <w:spacing w:after="0" w:line="240" w:lineRule="auto"/>
              <w:jc w:val="right"/>
            </w:pPr>
            <w:r>
              <w:t>1,126.44</w:t>
            </w:r>
          </w:p>
        </w:tc>
        <w:tc>
          <w:tcPr>
            <w:tcW w:w="2158" w:type="dxa"/>
            <w:tcBorders>
              <w:top w:val="single" w:color="auto" w:sz="4" w:space="0"/>
              <w:left w:val="single" w:color="auto" w:sz="4" w:space="0"/>
              <w:bottom w:val="single" w:color="auto" w:sz="4" w:space="0"/>
              <w:right w:val="single" w:color="auto" w:sz="4" w:space="0"/>
            </w:tcBorders>
            <w:noWrap/>
            <w:vAlign w:val="center"/>
          </w:tcPr>
          <w:p w14:paraId="409A46CD">
            <w:pPr>
              <w:spacing w:after="0" w:line="240" w:lineRule="auto"/>
              <w:jc w:val="right"/>
            </w:pPr>
            <w:r>
              <w:t>1,126.44</w:t>
            </w:r>
          </w:p>
        </w:tc>
      </w:tr>
      <w:tr w14:paraId="0D143143">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6A30D561">
            <w:pPr>
              <w:spacing w:after="0" w:line="240" w:lineRule="auto"/>
              <w:jc w:val="center"/>
              <w:rPr>
                <w:b/>
                <w:bCs/>
              </w:rPr>
            </w:pPr>
            <w:r>
              <w:rPr>
                <w:b/>
                <w:bCs/>
              </w:rPr>
              <w:t>政府性基金预算财政拨款收入</w:t>
            </w:r>
          </w:p>
        </w:tc>
        <w:tc>
          <w:tcPr>
            <w:tcW w:w="2158" w:type="dxa"/>
            <w:tcBorders>
              <w:top w:val="single" w:color="auto" w:sz="4" w:space="0"/>
              <w:left w:val="single" w:color="auto" w:sz="4" w:space="0"/>
              <w:bottom w:val="single" w:color="auto" w:sz="4" w:space="0"/>
              <w:right w:val="single" w:color="auto" w:sz="4" w:space="0"/>
            </w:tcBorders>
            <w:noWrap/>
            <w:vAlign w:val="center"/>
          </w:tcPr>
          <w:p w14:paraId="55E028BD">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5AB33048">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2105CF0E">
            <w:pPr>
              <w:spacing w:after="0" w:line="240" w:lineRule="auto"/>
              <w:jc w:val="right"/>
            </w:pPr>
            <w:r>
              <w:t>0.00</w:t>
            </w:r>
          </w:p>
        </w:tc>
      </w:tr>
      <w:tr w14:paraId="3E023F3D">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06649A77">
            <w:pPr>
              <w:spacing w:after="0" w:line="240" w:lineRule="auto"/>
              <w:jc w:val="center"/>
              <w:rPr>
                <w:b/>
                <w:bCs/>
              </w:rPr>
            </w:pPr>
            <w:r>
              <w:rPr>
                <w:b/>
                <w:bCs/>
              </w:rPr>
              <w:t>国有资本经营预算财政拨款收入</w:t>
            </w:r>
          </w:p>
        </w:tc>
        <w:tc>
          <w:tcPr>
            <w:tcW w:w="2158" w:type="dxa"/>
            <w:tcBorders>
              <w:top w:val="single" w:color="auto" w:sz="4" w:space="0"/>
              <w:left w:val="single" w:color="auto" w:sz="4" w:space="0"/>
              <w:bottom w:val="single" w:color="auto" w:sz="4" w:space="0"/>
              <w:right w:val="single" w:color="auto" w:sz="4" w:space="0"/>
            </w:tcBorders>
            <w:noWrap/>
            <w:vAlign w:val="center"/>
          </w:tcPr>
          <w:p w14:paraId="745BA522">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1319C70D">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0BD30BA0">
            <w:pPr>
              <w:spacing w:after="0" w:line="240" w:lineRule="auto"/>
              <w:jc w:val="right"/>
            </w:pPr>
            <w:r>
              <w:t>0.00</w:t>
            </w:r>
          </w:p>
        </w:tc>
      </w:tr>
      <w:tr w14:paraId="6AF4ABC2">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752C4194">
            <w:pPr>
              <w:spacing w:after="0" w:line="240" w:lineRule="auto"/>
              <w:jc w:val="center"/>
              <w:rPr>
                <w:b/>
                <w:bCs/>
              </w:rPr>
            </w:pPr>
            <w:r>
              <w:rPr>
                <w:b/>
                <w:bCs/>
              </w:rPr>
              <w:t>上级补助收入</w:t>
            </w:r>
          </w:p>
        </w:tc>
        <w:tc>
          <w:tcPr>
            <w:tcW w:w="2158" w:type="dxa"/>
            <w:tcBorders>
              <w:top w:val="single" w:color="auto" w:sz="4" w:space="0"/>
              <w:left w:val="single" w:color="auto" w:sz="4" w:space="0"/>
              <w:bottom w:val="single" w:color="auto" w:sz="4" w:space="0"/>
              <w:right w:val="single" w:color="auto" w:sz="4" w:space="0"/>
            </w:tcBorders>
            <w:noWrap/>
            <w:vAlign w:val="center"/>
          </w:tcPr>
          <w:p w14:paraId="406966E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66B97DAD">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5BD89879">
            <w:pPr>
              <w:spacing w:after="0" w:line="240" w:lineRule="auto"/>
              <w:jc w:val="right"/>
            </w:pPr>
            <w:r>
              <w:t>0.00</w:t>
            </w:r>
          </w:p>
        </w:tc>
      </w:tr>
      <w:tr w14:paraId="2EB405B6">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76DA4827">
            <w:pPr>
              <w:spacing w:after="0" w:line="240" w:lineRule="auto"/>
              <w:jc w:val="center"/>
              <w:rPr>
                <w:b/>
                <w:bCs/>
              </w:rPr>
            </w:pPr>
            <w:r>
              <w:rPr>
                <w:b/>
                <w:bCs/>
              </w:rPr>
              <w:t>事业收入</w:t>
            </w:r>
          </w:p>
        </w:tc>
        <w:tc>
          <w:tcPr>
            <w:tcW w:w="2158" w:type="dxa"/>
            <w:tcBorders>
              <w:top w:val="single" w:color="auto" w:sz="4" w:space="0"/>
              <w:left w:val="single" w:color="auto" w:sz="4" w:space="0"/>
              <w:bottom w:val="single" w:color="auto" w:sz="4" w:space="0"/>
              <w:right w:val="single" w:color="auto" w:sz="4" w:space="0"/>
            </w:tcBorders>
            <w:noWrap/>
            <w:vAlign w:val="center"/>
          </w:tcPr>
          <w:p w14:paraId="240384F8">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3B56FF21">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7B75ED52">
            <w:pPr>
              <w:spacing w:after="0" w:line="240" w:lineRule="auto"/>
              <w:jc w:val="right"/>
            </w:pPr>
            <w:r>
              <w:t>0.00</w:t>
            </w:r>
          </w:p>
        </w:tc>
      </w:tr>
      <w:tr w14:paraId="049FBC46">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70F92C25">
            <w:pPr>
              <w:spacing w:after="0" w:line="240" w:lineRule="auto"/>
              <w:jc w:val="center"/>
              <w:rPr>
                <w:b/>
                <w:bCs/>
              </w:rPr>
            </w:pPr>
            <w:r>
              <w:rPr>
                <w:b/>
                <w:bCs/>
              </w:rPr>
              <w:t>经营收入</w:t>
            </w:r>
          </w:p>
        </w:tc>
        <w:tc>
          <w:tcPr>
            <w:tcW w:w="2158" w:type="dxa"/>
            <w:tcBorders>
              <w:top w:val="single" w:color="auto" w:sz="4" w:space="0"/>
              <w:left w:val="single" w:color="auto" w:sz="4" w:space="0"/>
              <w:bottom w:val="single" w:color="auto" w:sz="4" w:space="0"/>
              <w:right w:val="single" w:color="auto" w:sz="4" w:space="0"/>
            </w:tcBorders>
            <w:noWrap/>
            <w:vAlign w:val="center"/>
          </w:tcPr>
          <w:p w14:paraId="0E66A422">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2F1C2AC0">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19F397A3">
            <w:pPr>
              <w:spacing w:after="0" w:line="240" w:lineRule="auto"/>
              <w:jc w:val="right"/>
            </w:pPr>
            <w:r>
              <w:t>0.00</w:t>
            </w:r>
          </w:p>
        </w:tc>
      </w:tr>
      <w:tr w14:paraId="6EF3A5DD">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7ECA4D51">
            <w:pPr>
              <w:spacing w:after="0" w:line="240" w:lineRule="auto"/>
              <w:jc w:val="center"/>
              <w:rPr>
                <w:b/>
                <w:bCs/>
              </w:rPr>
            </w:pPr>
            <w:r>
              <w:rPr>
                <w:b/>
                <w:bCs/>
              </w:rPr>
              <w:t>附属单位上缴收入</w:t>
            </w:r>
          </w:p>
        </w:tc>
        <w:tc>
          <w:tcPr>
            <w:tcW w:w="2158" w:type="dxa"/>
            <w:tcBorders>
              <w:top w:val="single" w:color="auto" w:sz="4" w:space="0"/>
              <w:left w:val="single" w:color="auto" w:sz="4" w:space="0"/>
              <w:bottom w:val="single" w:color="auto" w:sz="4" w:space="0"/>
              <w:right w:val="single" w:color="auto" w:sz="4" w:space="0"/>
            </w:tcBorders>
            <w:noWrap/>
            <w:vAlign w:val="center"/>
          </w:tcPr>
          <w:p w14:paraId="570B036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655D183C">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060E8E0D">
            <w:pPr>
              <w:spacing w:after="0" w:line="240" w:lineRule="auto"/>
              <w:jc w:val="right"/>
            </w:pPr>
            <w:r>
              <w:t>0.00</w:t>
            </w:r>
          </w:p>
        </w:tc>
      </w:tr>
      <w:tr w14:paraId="526A3163">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288DA977">
            <w:pPr>
              <w:spacing w:after="0" w:line="240" w:lineRule="auto"/>
              <w:jc w:val="center"/>
              <w:rPr>
                <w:b/>
                <w:bCs/>
              </w:rPr>
            </w:pPr>
            <w:r>
              <w:rPr>
                <w:b/>
                <w:bCs/>
              </w:rPr>
              <w:t>其他收入</w:t>
            </w:r>
          </w:p>
        </w:tc>
        <w:tc>
          <w:tcPr>
            <w:tcW w:w="2158" w:type="dxa"/>
            <w:tcBorders>
              <w:top w:val="single" w:color="auto" w:sz="4" w:space="0"/>
              <w:left w:val="single" w:color="auto" w:sz="4" w:space="0"/>
              <w:bottom w:val="single" w:color="auto" w:sz="4" w:space="0"/>
              <w:right w:val="single" w:color="auto" w:sz="4" w:space="0"/>
            </w:tcBorders>
            <w:noWrap/>
            <w:vAlign w:val="center"/>
          </w:tcPr>
          <w:p w14:paraId="72B0A86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0FAB543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137167CF">
            <w:pPr>
              <w:spacing w:after="0" w:line="240" w:lineRule="auto"/>
              <w:jc w:val="right"/>
            </w:pPr>
            <w:r>
              <w:t>0.00</w:t>
            </w:r>
          </w:p>
        </w:tc>
      </w:tr>
    </w:tbl>
    <w:p w14:paraId="5DCD54E1"/>
    <w:p w14:paraId="62FB784F">
      <w:pPr>
        <w:pStyle w:val="31"/>
        <w:spacing w:before="0" w:after="0" w:line="520" w:lineRule="atLeast"/>
        <w:ind w:firstLine="720"/>
      </w:pPr>
      <w:r>
        <w:rPr>
          <w:rFonts w:hint="eastAsia" w:ascii="仿宋_GB2312" w:eastAsia="仿宋_GB2312" w:cs="仿宋_GB2312"/>
          <w:sz w:val="32"/>
          <w:szCs w:val="32"/>
          <w:lang w:val="en-US" w:eastAsia="zh-CN"/>
        </w:rPr>
        <w:t>支出</w:t>
      </w:r>
      <w:r>
        <w:rPr>
          <w:rFonts w:ascii="仿宋_GB2312" w:eastAsia="仿宋_GB2312" w:cs="仿宋_GB2312"/>
          <w:sz w:val="32"/>
          <w:szCs w:val="32"/>
        </w:rPr>
        <w:t>功能科目</w:t>
      </w:r>
      <w:r>
        <w:rPr>
          <w:rFonts w:hint="eastAsia" w:ascii="仿宋_GB2312" w:eastAsia="仿宋_GB2312" w:cs="仿宋_GB2312"/>
          <w:sz w:val="32"/>
          <w:szCs w:val="32"/>
          <w:lang w:val="en-US" w:eastAsia="zh-CN"/>
        </w:rPr>
        <w:t>分类</w:t>
      </w:r>
      <w:r>
        <w:rPr>
          <w:rFonts w:ascii="仿宋_GB2312" w:eastAsia="仿宋_GB2312" w:cs="仿宋_GB2312"/>
          <w:sz w:val="32"/>
          <w:szCs w:val="32"/>
        </w:rPr>
        <w:t>详情：</w:t>
      </w:r>
      <w:r>
        <w:rPr>
          <w:rFonts w:ascii="仿宋_GB2312" w:eastAsia="仿宋_GB2312" w:cs="仿宋_GB2312"/>
          <w:sz w:val="32"/>
          <w:szCs w:val="32"/>
        </w:rPr>
        <w:br w:type="textWrapping"/>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Layout w:type="autofit"/>
        <w:tblCellMar>
          <w:top w:w="0" w:type="dxa"/>
          <w:left w:w="108" w:type="dxa"/>
          <w:bottom w:w="0" w:type="dxa"/>
          <w:right w:w="108" w:type="dxa"/>
        </w:tblCellMar>
      </w:tblPr>
      <w:tblGrid>
        <w:gridCol w:w="2130"/>
        <w:gridCol w:w="2130"/>
        <w:gridCol w:w="2131"/>
        <w:gridCol w:w="2131"/>
      </w:tblGrid>
      <w:tr w14:paraId="18C81DC4">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666666" w:sz="12" w:space="0"/>
              <w:right w:val="single" w:color="auto" w:sz="4" w:space="0"/>
            </w:tcBorders>
            <w:noWrap/>
            <w:vAlign w:val="center"/>
          </w:tcPr>
          <w:p w14:paraId="1259037F">
            <w:pPr>
              <w:spacing w:after="0" w:line="240" w:lineRule="auto"/>
              <w:jc w:val="center"/>
              <w:rPr>
                <w:b/>
                <w:bCs/>
              </w:rPr>
            </w:pPr>
            <w:r>
              <w:rPr>
                <w:b/>
                <w:bCs/>
              </w:rPr>
              <w:t>项目</w:t>
            </w:r>
          </w:p>
        </w:tc>
        <w:tc>
          <w:tcPr>
            <w:tcW w:w="2158" w:type="dxa"/>
            <w:tcBorders>
              <w:top w:val="single" w:color="auto" w:sz="4" w:space="0"/>
              <w:left w:val="single" w:color="auto" w:sz="4" w:space="0"/>
              <w:bottom w:val="single" w:color="666666" w:sz="12" w:space="0"/>
              <w:right w:val="single" w:color="auto" w:sz="4" w:space="0"/>
            </w:tcBorders>
            <w:noWrap/>
            <w:vAlign w:val="center"/>
          </w:tcPr>
          <w:p w14:paraId="3CA6D9E8">
            <w:pPr>
              <w:spacing w:after="0" w:line="240" w:lineRule="auto"/>
              <w:jc w:val="center"/>
              <w:rPr>
                <w:b/>
                <w:bCs/>
              </w:rPr>
            </w:pPr>
            <w:r>
              <w:rPr>
                <w:b/>
                <w:bCs/>
              </w:rPr>
              <w:t>年初预算支出</w:t>
            </w:r>
          </w:p>
        </w:tc>
        <w:tc>
          <w:tcPr>
            <w:tcW w:w="2158" w:type="dxa"/>
            <w:tcBorders>
              <w:top w:val="single" w:color="auto" w:sz="4" w:space="0"/>
              <w:left w:val="single" w:color="auto" w:sz="4" w:space="0"/>
              <w:bottom w:val="single" w:color="666666" w:sz="12" w:space="0"/>
              <w:right w:val="single" w:color="auto" w:sz="4" w:space="0"/>
            </w:tcBorders>
            <w:noWrap/>
            <w:vAlign w:val="center"/>
          </w:tcPr>
          <w:p w14:paraId="0DD712D1">
            <w:pPr>
              <w:spacing w:after="0" w:line="240" w:lineRule="auto"/>
              <w:jc w:val="center"/>
              <w:rPr>
                <w:b/>
                <w:bCs/>
              </w:rPr>
            </w:pPr>
            <w:r>
              <w:rPr>
                <w:b/>
                <w:bCs/>
              </w:rPr>
              <w:t>全年预算支出</w:t>
            </w:r>
          </w:p>
        </w:tc>
        <w:tc>
          <w:tcPr>
            <w:tcW w:w="2158" w:type="dxa"/>
            <w:tcBorders>
              <w:top w:val="single" w:color="auto" w:sz="4" w:space="0"/>
              <w:left w:val="single" w:color="auto" w:sz="4" w:space="0"/>
              <w:bottom w:val="single" w:color="666666" w:sz="12" w:space="0"/>
              <w:right w:val="single" w:color="auto" w:sz="4" w:space="0"/>
            </w:tcBorders>
            <w:noWrap/>
            <w:vAlign w:val="center"/>
          </w:tcPr>
          <w:p w14:paraId="6DF8ACB1">
            <w:pPr>
              <w:spacing w:after="0" w:line="240" w:lineRule="auto"/>
              <w:jc w:val="center"/>
              <w:rPr>
                <w:b/>
                <w:bCs/>
              </w:rPr>
            </w:pPr>
            <w:r>
              <w:rPr>
                <w:b/>
                <w:bCs/>
              </w:rPr>
              <w:t>全年决算支出</w:t>
            </w:r>
          </w:p>
        </w:tc>
      </w:tr>
      <w:tr w14:paraId="5D27594E">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50DB1C15">
            <w:pPr>
              <w:spacing w:after="0" w:line="240" w:lineRule="auto"/>
              <w:jc w:val="center"/>
              <w:rPr>
                <w:b/>
                <w:bCs/>
              </w:rPr>
            </w:pPr>
            <w:r>
              <w:rPr>
                <w:b/>
                <w:bCs/>
              </w:rPr>
              <w:t>一般公共服务支出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4F979070">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5B7B91A7">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11B991B6">
            <w:pPr>
              <w:spacing w:after="0" w:line="240" w:lineRule="auto"/>
              <w:jc w:val="right"/>
            </w:pPr>
            <w:r>
              <w:t>0.00</w:t>
            </w:r>
          </w:p>
        </w:tc>
      </w:tr>
      <w:tr w14:paraId="7AF8F0B2">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098CD358">
            <w:pPr>
              <w:spacing w:after="0" w:line="240" w:lineRule="auto"/>
              <w:jc w:val="center"/>
              <w:rPr>
                <w:b/>
                <w:bCs/>
              </w:rPr>
            </w:pPr>
            <w:r>
              <w:rPr>
                <w:b/>
                <w:bCs/>
              </w:rPr>
              <w:t>外交支出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0A9BA64D">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51C7C76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3FE580BD">
            <w:pPr>
              <w:spacing w:after="0" w:line="240" w:lineRule="auto"/>
              <w:jc w:val="right"/>
            </w:pPr>
            <w:r>
              <w:t>0.00</w:t>
            </w:r>
          </w:p>
        </w:tc>
      </w:tr>
      <w:tr w14:paraId="7627A8EF">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7FF039FB">
            <w:pPr>
              <w:spacing w:after="0" w:line="240" w:lineRule="auto"/>
              <w:jc w:val="center"/>
              <w:rPr>
                <w:b/>
                <w:bCs/>
              </w:rPr>
            </w:pPr>
            <w:r>
              <w:rPr>
                <w:b/>
                <w:bCs/>
              </w:rPr>
              <w:t>国防支出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1DBC752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07B4294A">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7F34D4A6">
            <w:pPr>
              <w:spacing w:after="0" w:line="240" w:lineRule="auto"/>
              <w:jc w:val="right"/>
            </w:pPr>
            <w:r>
              <w:t>0.00</w:t>
            </w:r>
          </w:p>
        </w:tc>
      </w:tr>
      <w:tr w14:paraId="7FAD0D76">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420F51ED">
            <w:pPr>
              <w:spacing w:after="0" w:line="240" w:lineRule="auto"/>
              <w:jc w:val="center"/>
              <w:rPr>
                <w:b/>
                <w:bCs/>
              </w:rPr>
            </w:pPr>
            <w:r>
              <w:rPr>
                <w:b/>
                <w:bCs/>
              </w:rPr>
              <w:t>公共安全支出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14DCD83E">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14382C17">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48D71EE6">
            <w:pPr>
              <w:spacing w:after="0" w:line="240" w:lineRule="auto"/>
              <w:jc w:val="right"/>
            </w:pPr>
            <w:r>
              <w:t>0.00</w:t>
            </w:r>
          </w:p>
        </w:tc>
      </w:tr>
      <w:tr w14:paraId="645C32B2">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349EEDD0">
            <w:pPr>
              <w:spacing w:after="0" w:line="240" w:lineRule="auto"/>
              <w:jc w:val="center"/>
              <w:rPr>
                <w:b/>
                <w:bCs/>
              </w:rPr>
            </w:pPr>
            <w:r>
              <w:rPr>
                <w:b/>
                <w:bCs/>
              </w:rPr>
              <w:t>教育支出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11A3721C">
            <w:pPr>
              <w:spacing w:after="0" w:line="240" w:lineRule="auto"/>
              <w:jc w:val="right"/>
            </w:pPr>
            <w:r>
              <w:t>712.96</w:t>
            </w:r>
          </w:p>
        </w:tc>
        <w:tc>
          <w:tcPr>
            <w:tcW w:w="2158" w:type="dxa"/>
            <w:tcBorders>
              <w:top w:val="single" w:color="auto" w:sz="4" w:space="0"/>
              <w:left w:val="single" w:color="auto" w:sz="4" w:space="0"/>
              <w:bottom w:val="single" w:color="auto" w:sz="4" w:space="0"/>
              <w:right w:val="single" w:color="auto" w:sz="4" w:space="0"/>
            </w:tcBorders>
            <w:noWrap/>
            <w:vAlign w:val="center"/>
          </w:tcPr>
          <w:p w14:paraId="066210F6">
            <w:pPr>
              <w:spacing w:after="0" w:line="240" w:lineRule="auto"/>
              <w:jc w:val="right"/>
            </w:pPr>
            <w:r>
              <w:t>805.23</w:t>
            </w:r>
          </w:p>
        </w:tc>
        <w:tc>
          <w:tcPr>
            <w:tcW w:w="2158" w:type="dxa"/>
            <w:tcBorders>
              <w:top w:val="single" w:color="auto" w:sz="4" w:space="0"/>
              <w:left w:val="single" w:color="auto" w:sz="4" w:space="0"/>
              <w:bottom w:val="single" w:color="auto" w:sz="4" w:space="0"/>
              <w:right w:val="single" w:color="auto" w:sz="4" w:space="0"/>
            </w:tcBorders>
            <w:noWrap/>
            <w:vAlign w:val="center"/>
          </w:tcPr>
          <w:p w14:paraId="53A1BED7">
            <w:pPr>
              <w:spacing w:after="0" w:line="240" w:lineRule="auto"/>
              <w:jc w:val="right"/>
            </w:pPr>
            <w:r>
              <w:t>805.23</w:t>
            </w:r>
          </w:p>
        </w:tc>
      </w:tr>
      <w:tr w14:paraId="28F3BB00">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759A0CC6">
            <w:pPr>
              <w:spacing w:after="0" w:line="240" w:lineRule="auto"/>
              <w:jc w:val="center"/>
              <w:rPr>
                <w:b/>
                <w:bCs/>
              </w:rPr>
            </w:pPr>
            <w:r>
              <w:rPr>
                <w:b/>
                <w:bCs/>
              </w:rPr>
              <w:t>科学技术支出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6FB1B277">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0EE3C33F">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69E6A01C">
            <w:pPr>
              <w:spacing w:after="0" w:line="240" w:lineRule="auto"/>
              <w:jc w:val="right"/>
            </w:pPr>
            <w:r>
              <w:t>0.00</w:t>
            </w:r>
          </w:p>
        </w:tc>
      </w:tr>
      <w:tr w14:paraId="1788C6DC">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65CA77E9">
            <w:pPr>
              <w:spacing w:after="0" w:line="240" w:lineRule="auto"/>
              <w:jc w:val="center"/>
              <w:rPr>
                <w:b/>
                <w:bCs/>
              </w:rPr>
            </w:pPr>
            <w:r>
              <w:rPr>
                <w:b/>
                <w:bCs/>
              </w:rPr>
              <w:t>文化旅游体育与传媒支出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19E9F8B1">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41DA9FBE">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315E1CFF">
            <w:pPr>
              <w:spacing w:after="0" w:line="240" w:lineRule="auto"/>
              <w:jc w:val="right"/>
            </w:pPr>
            <w:r>
              <w:t>0.00</w:t>
            </w:r>
          </w:p>
        </w:tc>
      </w:tr>
      <w:tr w14:paraId="043AD929">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3E0EA694">
            <w:pPr>
              <w:spacing w:after="0" w:line="240" w:lineRule="auto"/>
              <w:jc w:val="center"/>
              <w:rPr>
                <w:b/>
                <w:bCs/>
              </w:rPr>
            </w:pPr>
            <w:r>
              <w:rPr>
                <w:b/>
                <w:bCs/>
              </w:rPr>
              <w:t>社会保障和就业支出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52C0CCC5">
            <w:pPr>
              <w:spacing w:after="0" w:line="240" w:lineRule="auto"/>
              <w:jc w:val="right"/>
            </w:pPr>
            <w:r>
              <w:t>163.32</w:t>
            </w:r>
          </w:p>
        </w:tc>
        <w:tc>
          <w:tcPr>
            <w:tcW w:w="2158" w:type="dxa"/>
            <w:tcBorders>
              <w:top w:val="single" w:color="auto" w:sz="4" w:space="0"/>
              <w:left w:val="single" w:color="auto" w:sz="4" w:space="0"/>
              <w:bottom w:val="single" w:color="auto" w:sz="4" w:space="0"/>
              <w:right w:val="single" w:color="auto" w:sz="4" w:space="0"/>
            </w:tcBorders>
            <w:noWrap/>
            <w:vAlign w:val="center"/>
          </w:tcPr>
          <w:p w14:paraId="58A66C6E">
            <w:pPr>
              <w:spacing w:after="0" w:line="240" w:lineRule="auto"/>
              <w:jc w:val="right"/>
            </w:pPr>
            <w:r>
              <w:t>168.24</w:t>
            </w:r>
          </w:p>
        </w:tc>
        <w:tc>
          <w:tcPr>
            <w:tcW w:w="2158" w:type="dxa"/>
            <w:tcBorders>
              <w:top w:val="single" w:color="auto" w:sz="4" w:space="0"/>
              <w:left w:val="single" w:color="auto" w:sz="4" w:space="0"/>
              <w:bottom w:val="single" w:color="auto" w:sz="4" w:space="0"/>
              <w:right w:val="single" w:color="auto" w:sz="4" w:space="0"/>
            </w:tcBorders>
            <w:noWrap/>
            <w:vAlign w:val="center"/>
          </w:tcPr>
          <w:p w14:paraId="5CD75466">
            <w:pPr>
              <w:spacing w:after="0" w:line="240" w:lineRule="auto"/>
              <w:jc w:val="right"/>
            </w:pPr>
            <w:r>
              <w:t>168.24</w:t>
            </w:r>
          </w:p>
        </w:tc>
      </w:tr>
      <w:tr w14:paraId="514D75CE">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06AC5978">
            <w:pPr>
              <w:spacing w:after="0" w:line="240" w:lineRule="auto"/>
              <w:jc w:val="center"/>
              <w:rPr>
                <w:b/>
                <w:bCs/>
              </w:rPr>
            </w:pPr>
            <w:r>
              <w:rPr>
                <w:b/>
                <w:bCs/>
              </w:rPr>
              <w:t>卫生健康支出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5AEC00DE">
            <w:pPr>
              <w:spacing w:after="0" w:line="240" w:lineRule="auto"/>
              <w:jc w:val="right"/>
            </w:pPr>
            <w:r>
              <w:t>67.97</w:t>
            </w:r>
          </w:p>
        </w:tc>
        <w:tc>
          <w:tcPr>
            <w:tcW w:w="2158" w:type="dxa"/>
            <w:tcBorders>
              <w:top w:val="single" w:color="auto" w:sz="4" w:space="0"/>
              <w:left w:val="single" w:color="auto" w:sz="4" w:space="0"/>
              <w:bottom w:val="single" w:color="auto" w:sz="4" w:space="0"/>
              <w:right w:val="single" w:color="auto" w:sz="4" w:space="0"/>
            </w:tcBorders>
            <w:noWrap/>
            <w:vAlign w:val="center"/>
          </w:tcPr>
          <w:p w14:paraId="51CDC114">
            <w:pPr>
              <w:spacing w:after="0" w:line="240" w:lineRule="auto"/>
              <w:jc w:val="right"/>
            </w:pPr>
            <w:r>
              <w:t>66.66</w:t>
            </w:r>
          </w:p>
        </w:tc>
        <w:tc>
          <w:tcPr>
            <w:tcW w:w="2158" w:type="dxa"/>
            <w:tcBorders>
              <w:top w:val="single" w:color="auto" w:sz="4" w:space="0"/>
              <w:left w:val="single" w:color="auto" w:sz="4" w:space="0"/>
              <w:bottom w:val="single" w:color="auto" w:sz="4" w:space="0"/>
              <w:right w:val="single" w:color="auto" w:sz="4" w:space="0"/>
            </w:tcBorders>
            <w:noWrap/>
            <w:vAlign w:val="center"/>
          </w:tcPr>
          <w:p w14:paraId="2F048CBD">
            <w:pPr>
              <w:spacing w:after="0" w:line="240" w:lineRule="auto"/>
              <w:jc w:val="right"/>
            </w:pPr>
            <w:r>
              <w:t>66.66</w:t>
            </w:r>
          </w:p>
        </w:tc>
      </w:tr>
      <w:tr w14:paraId="00F1DF8C">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098BA732">
            <w:pPr>
              <w:spacing w:after="0" w:line="240" w:lineRule="auto"/>
              <w:jc w:val="center"/>
              <w:rPr>
                <w:b/>
                <w:bCs/>
              </w:rPr>
            </w:pPr>
            <w:r>
              <w:rPr>
                <w:b/>
                <w:bCs/>
              </w:rPr>
              <w:t>节能环保支出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7938A83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180D6F0E">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4B7AB16D">
            <w:pPr>
              <w:spacing w:after="0" w:line="240" w:lineRule="auto"/>
              <w:jc w:val="right"/>
            </w:pPr>
            <w:r>
              <w:t>0.00</w:t>
            </w:r>
          </w:p>
        </w:tc>
      </w:tr>
      <w:tr w14:paraId="6F4D4ED9">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1FC5B468">
            <w:pPr>
              <w:spacing w:after="0" w:line="240" w:lineRule="auto"/>
              <w:jc w:val="center"/>
              <w:rPr>
                <w:b/>
                <w:bCs/>
              </w:rPr>
            </w:pPr>
            <w:r>
              <w:rPr>
                <w:b/>
                <w:bCs/>
              </w:rPr>
              <w:t>城乡社区支出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73E8F3A7">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243330AE">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3EB38784">
            <w:pPr>
              <w:spacing w:after="0" w:line="240" w:lineRule="auto"/>
              <w:jc w:val="right"/>
            </w:pPr>
            <w:r>
              <w:t>0.00</w:t>
            </w:r>
          </w:p>
        </w:tc>
      </w:tr>
      <w:tr w14:paraId="1A19337D">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648AE290">
            <w:pPr>
              <w:spacing w:after="0" w:line="240" w:lineRule="auto"/>
              <w:jc w:val="center"/>
              <w:rPr>
                <w:b/>
                <w:bCs/>
              </w:rPr>
            </w:pPr>
            <w:r>
              <w:rPr>
                <w:b/>
                <w:bCs/>
              </w:rPr>
              <w:t>农林水支出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72FFD9B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624E6AC9">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416143E9">
            <w:pPr>
              <w:spacing w:after="0" w:line="240" w:lineRule="auto"/>
              <w:jc w:val="right"/>
            </w:pPr>
            <w:r>
              <w:t>0.00</w:t>
            </w:r>
          </w:p>
        </w:tc>
      </w:tr>
      <w:tr w14:paraId="15B452B9">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2A2A0A70">
            <w:pPr>
              <w:spacing w:after="0" w:line="240" w:lineRule="auto"/>
              <w:jc w:val="center"/>
              <w:rPr>
                <w:b/>
                <w:bCs/>
              </w:rPr>
            </w:pPr>
            <w:r>
              <w:rPr>
                <w:b/>
                <w:bCs/>
              </w:rPr>
              <w:t>交通运输支出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7AB07AAF">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388277FE">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7213F3CC">
            <w:pPr>
              <w:spacing w:after="0" w:line="240" w:lineRule="auto"/>
              <w:jc w:val="right"/>
            </w:pPr>
            <w:r>
              <w:t>0.00</w:t>
            </w:r>
          </w:p>
        </w:tc>
      </w:tr>
      <w:tr w14:paraId="2E79BDB5">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5A7E6587">
            <w:pPr>
              <w:spacing w:after="0" w:line="240" w:lineRule="auto"/>
              <w:jc w:val="center"/>
              <w:rPr>
                <w:b/>
                <w:bCs/>
              </w:rPr>
            </w:pPr>
            <w:r>
              <w:rPr>
                <w:b/>
                <w:bCs/>
              </w:rPr>
              <w:t>资源勘探工业信息等支出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71C24F53">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048BFDF3">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7A589B11">
            <w:pPr>
              <w:spacing w:after="0" w:line="240" w:lineRule="auto"/>
              <w:jc w:val="right"/>
            </w:pPr>
            <w:r>
              <w:t>0.00</w:t>
            </w:r>
          </w:p>
        </w:tc>
      </w:tr>
      <w:tr w14:paraId="7D3B3875">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686684D6">
            <w:pPr>
              <w:spacing w:after="0" w:line="240" w:lineRule="auto"/>
              <w:jc w:val="center"/>
              <w:rPr>
                <w:b/>
                <w:bCs/>
              </w:rPr>
            </w:pPr>
            <w:r>
              <w:rPr>
                <w:b/>
                <w:bCs/>
              </w:rPr>
              <w:t>商业服务业等支出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55951E6A">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6BBBFE0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562484A1">
            <w:pPr>
              <w:spacing w:after="0" w:line="240" w:lineRule="auto"/>
              <w:jc w:val="right"/>
            </w:pPr>
            <w:r>
              <w:t>0.00</w:t>
            </w:r>
          </w:p>
        </w:tc>
      </w:tr>
      <w:tr w14:paraId="30D0376C">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187199AF">
            <w:pPr>
              <w:spacing w:after="0" w:line="240" w:lineRule="auto"/>
              <w:jc w:val="center"/>
              <w:rPr>
                <w:b/>
                <w:bCs/>
              </w:rPr>
            </w:pPr>
            <w:r>
              <w:rPr>
                <w:b/>
                <w:bCs/>
              </w:rPr>
              <w:t>金融支出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36074A34">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368E843E">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5DB292ED">
            <w:pPr>
              <w:spacing w:after="0" w:line="240" w:lineRule="auto"/>
              <w:jc w:val="right"/>
            </w:pPr>
            <w:r>
              <w:t>0.00</w:t>
            </w:r>
          </w:p>
        </w:tc>
      </w:tr>
      <w:tr w14:paraId="19FA30BD">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2E76674E">
            <w:pPr>
              <w:spacing w:after="0" w:line="240" w:lineRule="auto"/>
              <w:jc w:val="center"/>
              <w:rPr>
                <w:b/>
                <w:bCs/>
              </w:rPr>
            </w:pPr>
            <w:r>
              <w:rPr>
                <w:b/>
                <w:bCs/>
              </w:rPr>
              <w:t>援助其他地区支出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0DBEB03A">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7B77F074">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10649851">
            <w:pPr>
              <w:spacing w:after="0" w:line="240" w:lineRule="auto"/>
              <w:jc w:val="right"/>
            </w:pPr>
            <w:r>
              <w:t>0.00</w:t>
            </w:r>
          </w:p>
        </w:tc>
      </w:tr>
      <w:tr w14:paraId="03643A12">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4420C83C">
            <w:pPr>
              <w:spacing w:after="0" w:line="240" w:lineRule="auto"/>
              <w:jc w:val="center"/>
              <w:rPr>
                <w:b/>
                <w:bCs/>
              </w:rPr>
            </w:pPr>
            <w:r>
              <w:rPr>
                <w:b/>
                <w:bCs/>
              </w:rPr>
              <w:t>自然资源海洋气象等支出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0851E8D4">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56B27A26">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079A2E69">
            <w:pPr>
              <w:spacing w:after="0" w:line="240" w:lineRule="auto"/>
              <w:jc w:val="right"/>
            </w:pPr>
            <w:r>
              <w:t>0.00</w:t>
            </w:r>
          </w:p>
        </w:tc>
      </w:tr>
      <w:tr w14:paraId="7F135C71">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204FCC85">
            <w:pPr>
              <w:spacing w:after="0" w:line="240" w:lineRule="auto"/>
              <w:jc w:val="center"/>
              <w:rPr>
                <w:b/>
                <w:bCs/>
              </w:rPr>
            </w:pPr>
            <w:r>
              <w:rPr>
                <w:b/>
                <w:bCs/>
              </w:rPr>
              <w:t>住房保障支出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79DE0649">
            <w:pPr>
              <w:spacing w:after="0" w:line="240" w:lineRule="auto"/>
              <w:jc w:val="right"/>
            </w:pPr>
            <w:r>
              <w:t>91.31</w:t>
            </w:r>
          </w:p>
        </w:tc>
        <w:tc>
          <w:tcPr>
            <w:tcW w:w="2158" w:type="dxa"/>
            <w:tcBorders>
              <w:top w:val="single" w:color="auto" w:sz="4" w:space="0"/>
              <w:left w:val="single" w:color="auto" w:sz="4" w:space="0"/>
              <w:bottom w:val="single" w:color="auto" w:sz="4" w:space="0"/>
              <w:right w:val="single" w:color="auto" w:sz="4" w:space="0"/>
            </w:tcBorders>
            <w:noWrap/>
            <w:vAlign w:val="center"/>
          </w:tcPr>
          <w:p w14:paraId="339D13EF">
            <w:pPr>
              <w:spacing w:after="0" w:line="240" w:lineRule="auto"/>
              <w:jc w:val="right"/>
            </w:pPr>
            <w:r>
              <w:t>86.30</w:t>
            </w:r>
          </w:p>
        </w:tc>
        <w:tc>
          <w:tcPr>
            <w:tcW w:w="2158" w:type="dxa"/>
            <w:tcBorders>
              <w:top w:val="single" w:color="auto" w:sz="4" w:space="0"/>
              <w:left w:val="single" w:color="auto" w:sz="4" w:space="0"/>
              <w:bottom w:val="single" w:color="auto" w:sz="4" w:space="0"/>
              <w:right w:val="single" w:color="auto" w:sz="4" w:space="0"/>
            </w:tcBorders>
            <w:noWrap/>
            <w:vAlign w:val="center"/>
          </w:tcPr>
          <w:p w14:paraId="1DEFF88E">
            <w:pPr>
              <w:spacing w:after="0" w:line="240" w:lineRule="auto"/>
              <w:jc w:val="right"/>
            </w:pPr>
            <w:r>
              <w:t>86.30</w:t>
            </w:r>
          </w:p>
        </w:tc>
      </w:tr>
      <w:tr w14:paraId="754C5CA5">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0DEC918B">
            <w:pPr>
              <w:spacing w:after="0" w:line="240" w:lineRule="auto"/>
              <w:jc w:val="center"/>
              <w:rPr>
                <w:b/>
                <w:bCs/>
              </w:rPr>
            </w:pPr>
            <w:r>
              <w:rPr>
                <w:b/>
                <w:bCs/>
              </w:rPr>
              <w:t>粮油物资储备支出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50FB1964">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13F99ADA">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5C09C4FF">
            <w:pPr>
              <w:spacing w:after="0" w:line="240" w:lineRule="auto"/>
              <w:jc w:val="right"/>
            </w:pPr>
            <w:r>
              <w:t>0.00</w:t>
            </w:r>
          </w:p>
        </w:tc>
      </w:tr>
      <w:tr w14:paraId="1D5F6F0E">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07BDB66F">
            <w:pPr>
              <w:spacing w:after="0" w:line="240" w:lineRule="auto"/>
              <w:jc w:val="center"/>
              <w:rPr>
                <w:b/>
                <w:bCs/>
              </w:rPr>
            </w:pPr>
            <w:r>
              <w:rPr>
                <w:b/>
                <w:bCs/>
              </w:rPr>
              <w:t>国有资本经营预算支出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11221E09">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004F974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5B90F484">
            <w:pPr>
              <w:spacing w:after="0" w:line="240" w:lineRule="auto"/>
              <w:jc w:val="right"/>
            </w:pPr>
            <w:r>
              <w:t>0.00</w:t>
            </w:r>
          </w:p>
        </w:tc>
      </w:tr>
      <w:tr w14:paraId="72DA6A48">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0584AEDE">
            <w:pPr>
              <w:spacing w:after="0" w:line="240" w:lineRule="auto"/>
              <w:jc w:val="center"/>
              <w:rPr>
                <w:b/>
                <w:bCs/>
              </w:rPr>
            </w:pPr>
            <w:r>
              <w:rPr>
                <w:b/>
                <w:bCs/>
              </w:rPr>
              <w:t>灾害防治及应急管理支出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19973F10">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4A75E622">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237D4EE6">
            <w:pPr>
              <w:spacing w:after="0" w:line="240" w:lineRule="auto"/>
              <w:jc w:val="right"/>
            </w:pPr>
            <w:r>
              <w:t>0.00</w:t>
            </w:r>
          </w:p>
        </w:tc>
      </w:tr>
      <w:tr w14:paraId="1DEC1080">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326F10BC">
            <w:pPr>
              <w:spacing w:after="0" w:line="240" w:lineRule="auto"/>
              <w:jc w:val="center"/>
              <w:rPr>
                <w:b/>
                <w:bCs/>
              </w:rPr>
            </w:pPr>
            <w:r>
              <w:rPr>
                <w:b/>
                <w:bCs/>
              </w:rPr>
              <w:t>其他支出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74EE8544">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7677A6BE">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5384D865">
            <w:pPr>
              <w:spacing w:after="0" w:line="240" w:lineRule="auto"/>
              <w:jc w:val="right"/>
            </w:pPr>
            <w:r>
              <w:t>0.00</w:t>
            </w:r>
          </w:p>
        </w:tc>
      </w:tr>
      <w:tr w14:paraId="468A7255">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68E3CAAF">
            <w:pPr>
              <w:spacing w:after="0" w:line="240" w:lineRule="auto"/>
              <w:jc w:val="center"/>
              <w:rPr>
                <w:b/>
                <w:bCs/>
              </w:rPr>
            </w:pPr>
            <w:r>
              <w:rPr>
                <w:b/>
                <w:bCs/>
              </w:rPr>
              <w:t>债务还本支出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1C6C075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01D137D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668EDE46">
            <w:pPr>
              <w:spacing w:after="0" w:line="240" w:lineRule="auto"/>
              <w:jc w:val="right"/>
            </w:pPr>
            <w:r>
              <w:t>0.00</w:t>
            </w:r>
          </w:p>
        </w:tc>
      </w:tr>
      <w:tr w14:paraId="52DA36A3">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01058141">
            <w:pPr>
              <w:spacing w:after="0" w:line="240" w:lineRule="auto"/>
              <w:jc w:val="center"/>
              <w:rPr>
                <w:b/>
                <w:bCs/>
              </w:rPr>
            </w:pPr>
            <w:r>
              <w:rPr>
                <w:b/>
                <w:bCs/>
              </w:rPr>
              <w:t>债务付息支出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1EED77E1">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62FE9C10">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4B8AC17B">
            <w:pPr>
              <w:spacing w:after="0" w:line="240" w:lineRule="auto"/>
              <w:jc w:val="right"/>
            </w:pPr>
            <w:r>
              <w:t>0.00</w:t>
            </w:r>
          </w:p>
        </w:tc>
      </w:tr>
      <w:tr w14:paraId="1B8AB2F1">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439ED5F6">
            <w:pPr>
              <w:spacing w:after="0" w:line="240" w:lineRule="auto"/>
              <w:jc w:val="center"/>
              <w:rPr>
                <w:b/>
                <w:bCs/>
              </w:rPr>
            </w:pPr>
            <w:r>
              <w:rPr>
                <w:b/>
                <w:bCs/>
              </w:rPr>
              <w:t>抗疫特别国债安排的支出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4DA7C52E">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3EE7F148">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2D8405A8">
            <w:pPr>
              <w:spacing w:after="0" w:line="240" w:lineRule="auto"/>
              <w:jc w:val="right"/>
            </w:pPr>
            <w:r>
              <w:t>0.00</w:t>
            </w:r>
          </w:p>
        </w:tc>
      </w:tr>
    </w:tbl>
    <w:p w14:paraId="0A73EE75"/>
    <w:p w14:paraId="32FA1D86">
      <w:pPr>
        <w:pStyle w:val="31"/>
        <w:spacing w:before="0" w:after="0" w:line="520" w:lineRule="atLeast"/>
        <w:ind w:firstLine="720"/>
        <w:rPr>
          <w:rFonts w:hint="eastAsia" w:ascii="仿宋_GB2312" w:eastAsia="仿宋_GB2312" w:cs="仿宋_GB2312"/>
          <w:sz w:val="32"/>
          <w:szCs w:val="32"/>
          <w:lang w:val="en-US" w:eastAsia="zh-CN"/>
        </w:rPr>
      </w:pPr>
    </w:p>
    <w:p w14:paraId="1567F328">
      <w:pPr>
        <w:pStyle w:val="31"/>
        <w:spacing w:before="0" w:after="0" w:line="520" w:lineRule="atLeast"/>
        <w:ind w:firstLine="720"/>
      </w:pPr>
      <w:r>
        <w:rPr>
          <w:rFonts w:hint="eastAsia" w:ascii="仿宋_GB2312" w:eastAsia="仿宋_GB2312" w:cs="仿宋_GB2312"/>
          <w:sz w:val="32"/>
          <w:szCs w:val="32"/>
          <w:lang w:val="en-US" w:eastAsia="zh-CN"/>
        </w:rPr>
        <w:t>支出性质和经济分类</w:t>
      </w:r>
      <w:r>
        <w:rPr>
          <w:rFonts w:ascii="仿宋_GB2312" w:eastAsia="仿宋_GB2312" w:cs="仿宋_GB2312"/>
          <w:sz w:val="32"/>
          <w:szCs w:val="32"/>
        </w:rPr>
        <w:t>详情：</w:t>
      </w:r>
      <w:r>
        <w:rPr>
          <w:rFonts w:ascii="仿宋_GB2312" w:eastAsia="仿宋_GB2312" w:cs="仿宋_GB2312"/>
          <w:sz w:val="32"/>
          <w:szCs w:val="32"/>
        </w:rPr>
        <w:br w:type="textWrapping"/>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Layout w:type="autofit"/>
        <w:tblCellMar>
          <w:top w:w="0" w:type="dxa"/>
          <w:left w:w="108" w:type="dxa"/>
          <w:bottom w:w="0" w:type="dxa"/>
          <w:right w:w="108" w:type="dxa"/>
        </w:tblCellMar>
      </w:tblPr>
      <w:tblGrid>
        <w:gridCol w:w="2130"/>
        <w:gridCol w:w="2130"/>
        <w:gridCol w:w="2131"/>
        <w:gridCol w:w="2131"/>
      </w:tblGrid>
      <w:tr w14:paraId="4AC15A6E">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666666" w:sz="12" w:space="0"/>
              <w:right w:val="single" w:color="auto" w:sz="4" w:space="0"/>
            </w:tcBorders>
            <w:noWrap/>
            <w:vAlign w:val="center"/>
          </w:tcPr>
          <w:p w14:paraId="003A5002">
            <w:pPr>
              <w:spacing w:after="0" w:line="240" w:lineRule="auto"/>
              <w:jc w:val="center"/>
              <w:rPr>
                <w:b/>
                <w:bCs/>
              </w:rPr>
            </w:pPr>
            <w:r>
              <w:rPr>
                <w:b/>
                <w:bCs/>
              </w:rPr>
              <w:t>项目</w:t>
            </w:r>
          </w:p>
        </w:tc>
        <w:tc>
          <w:tcPr>
            <w:tcW w:w="2158" w:type="dxa"/>
            <w:tcBorders>
              <w:top w:val="single" w:color="auto" w:sz="4" w:space="0"/>
              <w:left w:val="single" w:color="auto" w:sz="4" w:space="0"/>
              <w:bottom w:val="single" w:color="666666" w:sz="12" w:space="0"/>
              <w:right w:val="single" w:color="auto" w:sz="4" w:space="0"/>
            </w:tcBorders>
            <w:noWrap/>
            <w:vAlign w:val="center"/>
          </w:tcPr>
          <w:p w14:paraId="5486CC33">
            <w:pPr>
              <w:spacing w:after="0" w:line="240" w:lineRule="auto"/>
              <w:jc w:val="center"/>
              <w:rPr>
                <w:b/>
                <w:bCs/>
              </w:rPr>
            </w:pPr>
            <w:r>
              <w:rPr>
                <w:b/>
                <w:bCs/>
              </w:rPr>
              <w:t>年初预算支出</w:t>
            </w:r>
          </w:p>
        </w:tc>
        <w:tc>
          <w:tcPr>
            <w:tcW w:w="2158" w:type="dxa"/>
            <w:tcBorders>
              <w:top w:val="single" w:color="auto" w:sz="4" w:space="0"/>
              <w:left w:val="single" w:color="auto" w:sz="4" w:space="0"/>
              <w:bottom w:val="single" w:color="666666" w:sz="12" w:space="0"/>
              <w:right w:val="single" w:color="auto" w:sz="4" w:space="0"/>
            </w:tcBorders>
            <w:noWrap/>
            <w:vAlign w:val="center"/>
          </w:tcPr>
          <w:p w14:paraId="0989517E">
            <w:pPr>
              <w:spacing w:after="0" w:line="240" w:lineRule="auto"/>
              <w:jc w:val="center"/>
              <w:rPr>
                <w:b/>
                <w:bCs/>
              </w:rPr>
            </w:pPr>
            <w:r>
              <w:rPr>
                <w:b/>
                <w:bCs/>
              </w:rPr>
              <w:t>全年预算支出</w:t>
            </w:r>
          </w:p>
        </w:tc>
        <w:tc>
          <w:tcPr>
            <w:tcW w:w="2158" w:type="dxa"/>
            <w:tcBorders>
              <w:top w:val="single" w:color="auto" w:sz="4" w:space="0"/>
              <w:left w:val="single" w:color="auto" w:sz="4" w:space="0"/>
              <w:bottom w:val="single" w:color="666666" w:sz="12" w:space="0"/>
              <w:right w:val="single" w:color="auto" w:sz="4" w:space="0"/>
            </w:tcBorders>
            <w:noWrap/>
            <w:vAlign w:val="center"/>
          </w:tcPr>
          <w:p w14:paraId="07D2D2D9">
            <w:pPr>
              <w:spacing w:after="0" w:line="240" w:lineRule="auto"/>
              <w:jc w:val="center"/>
              <w:rPr>
                <w:b/>
                <w:bCs/>
              </w:rPr>
            </w:pPr>
            <w:r>
              <w:rPr>
                <w:b/>
                <w:bCs/>
              </w:rPr>
              <w:t>全年决算支出</w:t>
            </w:r>
          </w:p>
        </w:tc>
      </w:tr>
      <w:tr w14:paraId="188A8B04">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23D56BCF">
            <w:pPr>
              <w:spacing w:after="0" w:line="240" w:lineRule="auto"/>
              <w:jc w:val="center"/>
              <w:rPr>
                <w:b/>
                <w:bCs/>
              </w:rPr>
            </w:pPr>
            <w:r>
              <w:rPr>
                <w:b/>
                <w:bCs/>
              </w:rPr>
              <w:t>基本支出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61A9E6F8">
            <w:pPr>
              <w:spacing w:after="0" w:line="240" w:lineRule="auto"/>
              <w:jc w:val="right"/>
            </w:pPr>
            <w:r>
              <w:t>1,035.56</w:t>
            </w:r>
          </w:p>
        </w:tc>
        <w:tc>
          <w:tcPr>
            <w:tcW w:w="2158" w:type="dxa"/>
            <w:tcBorders>
              <w:top w:val="single" w:color="auto" w:sz="4" w:space="0"/>
              <w:left w:val="single" w:color="auto" w:sz="4" w:space="0"/>
              <w:bottom w:val="single" w:color="auto" w:sz="4" w:space="0"/>
              <w:right w:val="single" w:color="auto" w:sz="4" w:space="0"/>
            </w:tcBorders>
            <w:noWrap/>
            <w:vAlign w:val="center"/>
          </w:tcPr>
          <w:p w14:paraId="313A75E9">
            <w:pPr>
              <w:spacing w:after="0" w:line="240" w:lineRule="auto"/>
              <w:jc w:val="right"/>
            </w:pPr>
            <w:r>
              <w:t>1,119.54</w:t>
            </w:r>
          </w:p>
        </w:tc>
        <w:tc>
          <w:tcPr>
            <w:tcW w:w="2158" w:type="dxa"/>
            <w:tcBorders>
              <w:top w:val="single" w:color="auto" w:sz="4" w:space="0"/>
              <w:left w:val="single" w:color="auto" w:sz="4" w:space="0"/>
              <w:bottom w:val="single" w:color="auto" w:sz="4" w:space="0"/>
              <w:right w:val="single" w:color="auto" w:sz="4" w:space="0"/>
            </w:tcBorders>
            <w:noWrap/>
            <w:vAlign w:val="center"/>
          </w:tcPr>
          <w:p w14:paraId="25CD6C6A">
            <w:pPr>
              <w:spacing w:after="0" w:line="240" w:lineRule="auto"/>
              <w:jc w:val="right"/>
            </w:pPr>
            <w:r>
              <w:t>1,119.54</w:t>
            </w:r>
          </w:p>
        </w:tc>
      </w:tr>
      <w:tr w14:paraId="703F0B5A">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7387FF00">
            <w:pPr>
              <w:spacing w:after="0" w:line="240" w:lineRule="auto"/>
              <w:jc w:val="center"/>
              <w:rPr>
                <w:b/>
                <w:bCs/>
              </w:rPr>
            </w:pPr>
            <w:r>
              <w:rPr>
                <w:b/>
                <w:bCs/>
              </w:rPr>
              <w:t>人员经费</w:t>
            </w:r>
          </w:p>
        </w:tc>
        <w:tc>
          <w:tcPr>
            <w:tcW w:w="2158" w:type="dxa"/>
            <w:tcBorders>
              <w:top w:val="single" w:color="auto" w:sz="4" w:space="0"/>
              <w:left w:val="single" w:color="auto" w:sz="4" w:space="0"/>
              <w:bottom w:val="single" w:color="auto" w:sz="4" w:space="0"/>
              <w:right w:val="single" w:color="auto" w:sz="4" w:space="0"/>
            </w:tcBorders>
            <w:noWrap/>
            <w:vAlign w:val="center"/>
          </w:tcPr>
          <w:p w14:paraId="0BEC83CD">
            <w:pPr>
              <w:spacing w:after="0" w:line="240" w:lineRule="auto"/>
              <w:jc w:val="right"/>
            </w:pPr>
            <w:r>
              <w:t>1,020.99</w:t>
            </w:r>
          </w:p>
        </w:tc>
        <w:tc>
          <w:tcPr>
            <w:tcW w:w="2158" w:type="dxa"/>
            <w:tcBorders>
              <w:top w:val="single" w:color="auto" w:sz="4" w:space="0"/>
              <w:left w:val="single" w:color="auto" w:sz="4" w:space="0"/>
              <w:bottom w:val="single" w:color="auto" w:sz="4" w:space="0"/>
              <w:right w:val="single" w:color="auto" w:sz="4" w:space="0"/>
            </w:tcBorders>
            <w:noWrap/>
            <w:vAlign w:val="center"/>
          </w:tcPr>
          <w:p w14:paraId="1834D9E5">
            <w:pPr>
              <w:spacing w:after="0" w:line="240" w:lineRule="auto"/>
              <w:jc w:val="right"/>
            </w:pPr>
            <w:r>
              <w:t>1,104.97</w:t>
            </w:r>
          </w:p>
        </w:tc>
        <w:tc>
          <w:tcPr>
            <w:tcW w:w="2158" w:type="dxa"/>
            <w:tcBorders>
              <w:top w:val="single" w:color="auto" w:sz="4" w:space="0"/>
              <w:left w:val="single" w:color="auto" w:sz="4" w:space="0"/>
              <w:bottom w:val="single" w:color="auto" w:sz="4" w:space="0"/>
              <w:right w:val="single" w:color="auto" w:sz="4" w:space="0"/>
            </w:tcBorders>
            <w:noWrap/>
            <w:vAlign w:val="center"/>
          </w:tcPr>
          <w:p w14:paraId="2B94B22B">
            <w:pPr>
              <w:spacing w:after="0" w:line="240" w:lineRule="auto"/>
              <w:jc w:val="right"/>
            </w:pPr>
            <w:r>
              <w:t>1,104.97</w:t>
            </w:r>
          </w:p>
        </w:tc>
      </w:tr>
      <w:tr w14:paraId="11964283">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2BA45989">
            <w:pPr>
              <w:spacing w:after="0" w:line="240" w:lineRule="auto"/>
              <w:jc w:val="center"/>
              <w:rPr>
                <w:b/>
                <w:bCs/>
              </w:rPr>
            </w:pPr>
            <w:r>
              <w:rPr>
                <w:b/>
                <w:bCs/>
              </w:rPr>
              <w:t>公用经费</w:t>
            </w:r>
          </w:p>
        </w:tc>
        <w:tc>
          <w:tcPr>
            <w:tcW w:w="2158" w:type="dxa"/>
            <w:tcBorders>
              <w:top w:val="single" w:color="auto" w:sz="4" w:space="0"/>
              <w:left w:val="single" w:color="auto" w:sz="4" w:space="0"/>
              <w:bottom w:val="single" w:color="auto" w:sz="4" w:space="0"/>
              <w:right w:val="single" w:color="auto" w:sz="4" w:space="0"/>
            </w:tcBorders>
            <w:noWrap/>
            <w:vAlign w:val="center"/>
          </w:tcPr>
          <w:p w14:paraId="6CD6A17A">
            <w:pPr>
              <w:spacing w:after="0" w:line="240" w:lineRule="auto"/>
              <w:jc w:val="right"/>
            </w:pPr>
            <w:r>
              <w:t>14.57</w:t>
            </w:r>
          </w:p>
        </w:tc>
        <w:tc>
          <w:tcPr>
            <w:tcW w:w="2158" w:type="dxa"/>
            <w:tcBorders>
              <w:top w:val="single" w:color="auto" w:sz="4" w:space="0"/>
              <w:left w:val="single" w:color="auto" w:sz="4" w:space="0"/>
              <w:bottom w:val="single" w:color="auto" w:sz="4" w:space="0"/>
              <w:right w:val="single" w:color="auto" w:sz="4" w:space="0"/>
            </w:tcBorders>
            <w:noWrap/>
            <w:vAlign w:val="center"/>
          </w:tcPr>
          <w:p w14:paraId="09EC38ED">
            <w:pPr>
              <w:spacing w:after="0" w:line="240" w:lineRule="auto"/>
              <w:jc w:val="right"/>
            </w:pPr>
            <w:r>
              <w:t>14.57</w:t>
            </w:r>
          </w:p>
        </w:tc>
        <w:tc>
          <w:tcPr>
            <w:tcW w:w="2158" w:type="dxa"/>
            <w:tcBorders>
              <w:top w:val="single" w:color="auto" w:sz="4" w:space="0"/>
              <w:left w:val="single" w:color="auto" w:sz="4" w:space="0"/>
              <w:bottom w:val="single" w:color="auto" w:sz="4" w:space="0"/>
              <w:right w:val="single" w:color="auto" w:sz="4" w:space="0"/>
            </w:tcBorders>
            <w:noWrap/>
            <w:vAlign w:val="center"/>
          </w:tcPr>
          <w:p w14:paraId="3DEDA1DD">
            <w:pPr>
              <w:spacing w:after="0" w:line="240" w:lineRule="auto"/>
              <w:jc w:val="right"/>
            </w:pPr>
            <w:r>
              <w:t>14.57</w:t>
            </w:r>
          </w:p>
        </w:tc>
      </w:tr>
      <w:tr w14:paraId="1780A4B4">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75EADF76">
            <w:pPr>
              <w:spacing w:after="0" w:line="240" w:lineRule="auto"/>
              <w:jc w:val="center"/>
              <w:rPr>
                <w:b/>
                <w:bCs/>
              </w:rPr>
            </w:pPr>
            <w:r>
              <w:rPr>
                <w:b/>
                <w:bCs/>
              </w:rPr>
              <w:t>项目支出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1BC8E8A7">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7ECCC841">
            <w:pPr>
              <w:spacing w:after="0" w:line="240" w:lineRule="auto"/>
              <w:jc w:val="right"/>
            </w:pPr>
            <w:r>
              <w:t>6.90</w:t>
            </w:r>
          </w:p>
        </w:tc>
        <w:tc>
          <w:tcPr>
            <w:tcW w:w="2158" w:type="dxa"/>
            <w:tcBorders>
              <w:top w:val="single" w:color="auto" w:sz="4" w:space="0"/>
              <w:left w:val="single" w:color="auto" w:sz="4" w:space="0"/>
              <w:bottom w:val="single" w:color="auto" w:sz="4" w:space="0"/>
              <w:right w:val="single" w:color="auto" w:sz="4" w:space="0"/>
            </w:tcBorders>
            <w:noWrap/>
            <w:vAlign w:val="center"/>
          </w:tcPr>
          <w:p w14:paraId="26E8FBC8">
            <w:pPr>
              <w:spacing w:after="0" w:line="240" w:lineRule="auto"/>
              <w:jc w:val="right"/>
            </w:pPr>
            <w:r>
              <w:t>6.90</w:t>
            </w:r>
          </w:p>
        </w:tc>
      </w:tr>
      <w:tr w14:paraId="74159028">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2CDBC32D">
            <w:pPr>
              <w:spacing w:after="0" w:line="240" w:lineRule="auto"/>
              <w:jc w:val="center"/>
              <w:rPr>
                <w:b/>
                <w:bCs/>
              </w:rPr>
            </w:pPr>
            <w:r>
              <w:rPr>
                <w:b/>
                <w:bCs/>
              </w:rPr>
              <w:t>基本建设类项目</w:t>
            </w:r>
          </w:p>
        </w:tc>
        <w:tc>
          <w:tcPr>
            <w:tcW w:w="2158" w:type="dxa"/>
            <w:tcBorders>
              <w:top w:val="single" w:color="auto" w:sz="4" w:space="0"/>
              <w:left w:val="single" w:color="auto" w:sz="4" w:space="0"/>
              <w:bottom w:val="single" w:color="auto" w:sz="4" w:space="0"/>
              <w:right w:val="single" w:color="auto" w:sz="4" w:space="0"/>
            </w:tcBorders>
            <w:noWrap/>
            <w:vAlign w:val="center"/>
          </w:tcPr>
          <w:p w14:paraId="46A8951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4E5BA69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3C2B456A">
            <w:pPr>
              <w:spacing w:after="0" w:line="240" w:lineRule="auto"/>
              <w:jc w:val="right"/>
            </w:pPr>
            <w:r>
              <w:t>0.00</w:t>
            </w:r>
          </w:p>
        </w:tc>
      </w:tr>
      <w:tr w14:paraId="64992D74">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6CF22319">
            <w:pPr>
              <w:spacing w:after="0" w:line="240" w:lineRule="auto"/>
              <w:jc w:val="center"/>
              <w:rPr>
                <w:b/>
                <w:bCs/>
              </w:rPr>
            </w:pPr>
            <w:r>
              <w:rPr>
                <w:b/>
                <w:bCs/>
              </w:rPr>
              <w:t>上缴上级支出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4004A7FD">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0A608EC5">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3679AD95">
            <w:pPr>
              <w:spacing w:after="0" w:line="240" w:lineRule="auto"/>
              <w:jc w:val="right"/>
            </w:pPr>
            <w:r>
              <w:t>0.00</w:t>
            </w:r>
          </w:p>
        </w:tc>
      </w:tr>
      <w:tr w14:paraId="1E081BAD">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268BDF3D">
            <w:pPr>
              <w:spacing w:after="0" w:line="240" w:lineRule="auto"/>
              <w:jc w:val="center"/>
              <w:rPr>
                <w:b/>
                <w:bCs/>
              </w:rPr>
            </w:pPr>
            <w:r>
              <w:rPr>
                <w:b/>
                <w:bCs/>
              </w:rPr>
              <w:t>经营支出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7B1CDFDA">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546961AC">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0DC9CF35">
            <w:pPr>
              <w:spacing w:after="0" w:line="240" w:lineRule="auto"/>
              <w:jc w:val="right"/>
            </w:pPr>
            <w:r>
              <w:t>0.00</w:t>
            </w:r>
          </w:p>
        </w:tc>
      </w:tr>
      <w:tr w14:paraId="54F00E0B">
        <w:tblPrEx>
          <w:tblBorders>
            <w:top w:val="single" w:color="auto" w:sz="4" w:space="0"/>
            <w:left w:val="single" w:color="auto" w:sz="4" w:space="0"/>
            <w:bottom w:val="single" w:color="auto" w:sz="4" w:space="0"/>
            <w:right w:val="single" w:color="auto" w:sz="4" w:space="0"/>
            <w:insideH w:val="single" w:color="999999" w:sz="12" w:space="0"/>
            <w:insideV w:val="single" w:color="999999" w:sz="4" w:space="0"/>
          </w:tblBorders>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noWrap/>
            <w:vAlign w:val="center"/>
          </w:tcPr>
          <w:p w14:paraId="22A690A8">
            <w:pPr>
              <w:spacing w:after="0" w:line="240" w:lineRule="auto"/>
              <w:jc w:val="center"/>
              <w:rPr>
                <w:b/>
                <w:bCs/>
              </w:rPr>
            </w:pPr>
            <w:r>
              <w:rPr>
                <w:b/>
                <w:bCs/>
              </w:rPr>
              <w:t>对附属单位补助支出</w:t>
            </w:r>
          </w:p>
        </w:tc>
        <w:tc>
          <w:tcPr>
            <w:tcW w:w="2158" w:type="dxa"/>
            <w:tcBorders>
              <w:top w:val="single" w:color="auto" w:sz="4" w:space="0"/>
              <w:left w:val="single" w:color="auto" w:sz="4" w:space="0"/>
              <w:bottom w:val="single" w:color="auto" w:sz="4" w:space="0"/>
              <w:right w:val="single" w:color="auto" w:sz="4" w:space="0"/>
            </w:tcBorders>
            <w:noWrap/>
            <w:vAlign w:val="center"/>
          </w:tcPr>
          <w:p w14:paraId="3EDD459B">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345DA786">
            <w:pPr>
              <w:spacing w:after="0" w:line="240" w:lineRule="auto"/>
              <w:jc w:val="right"/>
            </w:pPr>
            <w:r>
              <w:t>0.00</w:t>
            </w:r>
          </w:p>
        </w:tc>
        <w:tc>
          <w:tcPr>
            <w:tcW w:w="2158" w:type="dxa"/>
            <w:tcBorders>
              <w:top w:val="single" w:color="auto" w:sz="4" w:space="0"/>
              <w:left w:val="single" w:color="auto" w:sz="4" w:space="0"/>
              <w:bottom w:val="single" w:color="auto" w:sz="4" w:space="0"/>
              <w:right w:val="single" w:color="auto" w:sz="4" w:space="0"/>
            </w:tcBorders>
            <w:noWrap/>
            <w:vAlign w:val="center"/>
          </w:tcPr>
          <w:p w14:paraId="37D078F2">
            <w:pPr>
              <w:spacing w:after="0" w:line="240" w:lineRule="auto"/>
              <w:jc w:val="right"/>
            </w:pPr>
            <w:r>
              <w:t>0.00</w:t>
            </w:r>
          </w:p>
        </w:tc>
      </w:tr>
    </w:tbl>
    <w:p w14:paraId="4B37DB65"/>
    <w:p w14:paraId="4CA5FC0C">
      <w:pPr>
        <w:pStyle w:val="31"/>
        <w:spacing w:before="0" w:after="0" w:line="520" w:lineRule="atLeast"/>
        <w:ind w:firstLine="640"/>
      </w:pPr>
      <w:r>
        <w:rPr>
          <w:rFonts w:ascii="仿宋_GB2312" w:eastAsia="仿宋_GB2312" w:cs="仿宋_GB2312"/>
          <w:b/>
          <w:bCs/>
          <w:sz w:val="32"/>
          <w:szCs w:val="32"/>
        </w:rPr>
        <w:t>2．收入支出结构分析。</w:t>
      </w:r>
    </w:p>
    <w:p w14:paraId="66549EE6">
      <w:pPr>
        <w:pStyle w:val="31"/>
        <w:spacing w:before="0" w:after="0" w:line="520" w:lineRule="atLeast"/>
        <w:ind w:firstLine="640"/>
        <w:jc w:val="both"/>
      </w:pPr>
      <w:r>
        <w:rPr>
          <w:rFonts w:ascii="仿宋_GB2312" w:eastAsia="仿宋_GB2312" w:cs="仿宋_GB2312"/>
          <w:sz w:val="32"/>
          <w:szCs w:val="32"/>
        </w:rPr>
        <w:t>2024年本年收入合计1,126.44万元，与上年收入合计相比减少3.73万元；</w:t>
      </w:r>
    </w:p>
    <w:p w14:paraId="07386EFC">
      <w:pPr>
        <w:pStyle w:val="31"/>
        <w:keepNext w:val="0"/>
        <w:keepLines w:val="0"/>
        <w:pageBreakBefore w:val="0"/>
        <w:widowControl/>
        <w:kinsoku/>
        <w:wordWrap/>
        <w:overflowPunct/>
        <w:topLinePunct w:val="0"/>
        <w:autoSpaceDE/>
        <w:autoSpaceDN/>
        <w:bidi w:val="0"/>
        <w:adjustRightInd/>
        <w:snapToGrid/>
        <w:spacing w:before="0" w:after="0" w:line="520" w:lineRule="atLeast"/>
        <w:ind w:firstLine="0"/>
        <w:jc w:val="center"/>
        <w:textAlignment w:val="auto"/>
      </w:pPr>
    </w:p>
    <w:p w14:paraId="76416A9D">
      <w:pPr>
        <w:pStyle w:val="31"/>
        <w:spacing w:before="0" w:after="0" w:line="520" w:lineRule="atLeast"/>
        <w:ind w:firstLine="640"/>
        <w:jc w:val="both"/>
      </w:pPr>
      <w:r>
        <w:rPr>
          <w:rFonts w:ascii="仿宋_GB2312" w:eastAsia="仿宋_GB2312" w:cs="仿宋_GB2312"/>
          <w:sz w:val="32"/>
          <w:szCs w:val="32"/>
        </w:rPr>
        <w:t>2024年本年支出合计1,126.44万元，与上年相比减少3.73万元；</w:t>
      </w:r>
    </w:p>
    <w:p w14:paraId="5959D163">
      <w:pPr>
        <w:pStyle w:val="31"/>
        <w:keepNext w:val="0"/>
        <w:keepLines w:val="0"/>
        <w:pageBreakBefore w:val="0"/>
        <w:widowControl/>
        <w:kinsoku/>
        <w:wordWrap/>
        <w:overflowPunct/>
        <w:topLinePunct w:val="0"/>
        <w:autoSpaceDE/>
        <w:autoSpaceDN/>
        <w:bidi w:val="0"/>
        <w:adjustRightInd/>
        <w:snapToGrid/>
        <w:spacing w:before="0" w:after="0" w:line="520" w:lineRule="atLeast"/>
        <w:jc w:val="center"/>
        <w:textAlignment w:val="auto"/>
      </w:pPr>
    </w:p>
    <w:p w14:paraId="32F5A3ED">
      <w:pPr>
        <w:pStyle w:val="31"/>
        <w:spacing w:before="0" w:after="0" w:line="520" w:lineRule="atLeast"/>
        <w:ind w:firstLine="640"/>
      </w:pPr>
      <w:r>
        <w:rPr>
          <w:rFonts w:ascii="仿宋_GB2312" w:eastAsia="仿宋_GB2312" w:cs="仿宋_GB2312"/>
          <w:b/>
          <w:bCs/>
          <w:sz w:val="32"/>
          <w:szCs w:val="32"/>
        </w:rPr>
        <w:t>3．支出按经济分类科目分析。</w:t>
      </w:r>
    </w:p>
    <w:p w14:paraId="7179739D">
      <w:pPr>
        <w:pStyle w:val="31"/>
        <w:spacing w:before="0" w:after="0" w:line="520" w:lineRule="atLeast"/>
        <w:ind w:firstLine="720"/>
        <w:jc w:val="both"/>
      </w:pPr>
      <w:r>
        <w:rPr>
          <w:rFonts w:ascii="仿宋_GB2312" w:eastAsia="仿宋_GB2312" w:cs="仿宋_GB2312"/>
          <w:sz w:val="32"/>
          <w:szCs w:val="32"/>
        </w:rPr>
        <w:t>（1）</w:t>
      </w:r>
      <w:r>
        <w:rPr>
          <w:rFonts w:ascii="仿宋" w:eastAsia="仿宋" w:cs="仿宋"/>
          <w:sz w:val="32"/>
          <w:szCs w:val="32"/>
        </w:rPr>
        <w:t>“</w:t>
      </w:r>
      <w:r>
        <w:rPr>
          <w:rFonts w:ascii="仿宋_GB2312" w:eastAsia="仿宋_GB2312" w:cs="仿宋_GB2312"/>
          <w:sz w:val="32"/>
          <w:szCs w:val="32"/>
        </w:rPr>
        <w:t>三公</w:t>
      </w:r>
      <w:r>
        <w:rPr>
          <w:rFonts w:ascii="仿宋" w:eastAsia="仿宋" w:cs="仿宋"/>
          <w:sz w:val="32"/>
          <w:szCs w:val="32"/>
        </w:rPr>
        <w:t>”</w:t>
      </w:r>
      <w:r>
        <w:rPr>
          <w:rFonts w:ascii="仿宋_GB2312" w:eastAsia="仿宋_GB2312" w:cs="仿宋_GB2312"/>
          <w:sz w:val="32"/>
          <w:szCs w:val="32"/>
        </w:rPr>
        <w:t>经费支出情况：单位本年度</w:t>
      </w:r>
      <w:r>
        <w:rPr>
          <w:rFonts w:ascii="仿宋" w:eastAsia="仿宋" w:cs="仿宋"/>
          <w:sz w:val="32"/>
          <w:szCs w:val="32"/>
        </w:rPr>
        <w:t>“</w:t>
      </w:r>
      <w:r>
        <w:rPr>
          <w:rFonts w:ascii="仿宋_GB2312" w:eastAsia="仿宋_GB2312" w:cs="仿宋_GB2312"/>
          <w:sz w:val="32"/>
          <w:szCs w:val="32"/>
        </w:rPr>
        <w:t>三公</w:t>
      </w:r>
      <w:r>
        <w:rPr>
          <w:rFonts w:ascii="仿宋" w:eastAsia="仿宋" w:cs="仿宋"/>
          <w:sz w:val="32"/>
          <w:szCs w:val="32"/>
        </w:rPr>
        <w:t>”</w:t>
      </w:r>
      <w:r>
        <w:rPr>
          <w:rFonts w:ascii="仿宋_GB2312" w:eastAsia="仿宋_GB2312" w:cs="仿宋_GB2312"/>
          <w:sz w:val="32"/>
          <w:szCs w:val="32"/>
        </w:rPr>
        <w:t>经费支出决算数为0.00万元；</w:t>
      </w:r>
    </w:p>
    <w:p w14:paraId="0D69EC07">
      <w:pPr>
        <w:pStyle w:val="31"/>
        <w:spacing w:before="0" w:after="0" w:line="520" w:lineRule="atLeast"/>
        <w:ind w:firstLine="720"/>
      </w:pPr>
      <w:r>
        <w:rPr>
          <w:rFonts w:ascii="仿宋_GB2312" w:eastAsia="仿宋_GB2312" w:cs="仿宋_GB2312"/>
          <w:sz w:val="32"/>
          <w:szCs w:val="32"/>
        </w:rPr>
        <w:t>（2）培训费支出情况：单位本年度培训费支出决算数为0.00万元；</w:t>
      </w:r>
    </w:p>
    <w:p w14:paraId="1BB6CE6F">
      <w:pPr>
        <w:pStyle w:val="31"/>
        <w:spacing w:before="0" w:after="0" w:line="520" w:lineRule="atLeast"/>
        <w:ind w:firstLine="640"/>
      </w:pPr>
      <w:r>
        <w:rPr>
          <w:rFonts w:ascii="仿宋_GB2312" w:eastAsia="仿宋_GB2312" w:cs="仿宋_GB2312"/>
          <w:sz w:val="32"/>
          <w:szCs w:val="32"/>
        </w:rPr>
        <w:t>（3）会议费支出情况：单位本年度会议费支出决算数为0.00万元；</w:t>
      </w:r>
    </w:p>
    <w:p w14:paraId="3429BA67">
      <w:pPr>
        <w:pStyle w:val="31"/>
        <w:spacing w:before="100" w:after="100" w:line="520" w:lineRule="atLeast"/>
        <w:ind w:firstLine="640"/>
      </w:pPr>
      <w:r>
        <w:rPr>
          <w:rFonts w:hint="eastAsia" w:ascii="仿宋_GB2312" w:eastAsia="仿宋_GB2312" w:cs="仿宋_GB2312"/>
          <w:b/>
          <w:bCs/>
          <w:sz w:val="32"/>
          <w:szCs w:val="32"/>
          <w:lang w:val="en-US" w:eastAsia="zh-CN"/>
        </w:rPr>
        <w:t>4.</w:t>
      </w:r>
      <w:r>
        <w:rPr>
          <w:rFonts w:ascii="仿宋_GB2312" w:eastAsia="仿宋_GB2312" w:cs="仿宋_GB2312"/>
          <w:b/>
          <w:bCs/>
          <w:sz w:val="32"/>
          <w:szCs w:val="32"/>
        </w:rPr>
        <w:t>支出按功能分类科目分析。</w:t>
      </w:r>
    </w:p>
    <w:p w14:paraId="7C0A52CA">
      <w:pPr>
        <w:pStyle w:val="31"/>
        <w:spacing w:before="0" w:after="0" w:line="520" w:lineRule="atLeast"/>
        <w:ind w:firstLine="720"/>
      </w:pPr>
      <w:r>
        <w:rPr>
          <w:rFonts w:ascii="仿宋_GB2312" w:eastAsia="仿宋_GB2312" w:cs="仿宋_GB2312"/>
          <w:sz w:val="32"/>
          <w:szCs w:val="32"/>
        </w:rPr>
        <w:t>2024年本年支出合计为1,126.44万元；与上年支出相比减少3.73万元，减</w:t>
      </w:r>
      <w:r>
        <w:rPr>
          <w:rFonts w:hint="eastAsia" w:ascii="仿宋_GB2312" w:eastAsia="仿宋_GB2312" w:cs="仿宋_GB2312"/>
          <w:sz w:val="32"/>
          <w:szCs w:val="32"/>
          <w:lang w:val="en-US" w:eastAsia="zh-CN"/>
        </w:rPr>
        <w:t>少</w:t>
      </w:r>
      <w:r>
        <w:rPr>
          <w:rFonts w:ascii="仿宋_GB2312" w:eastAsia="仿宋_GB2312" w:cs="仿宋_GB2312"/>
          <w:sz w:val="32"/>
          <w:szCs w:val="32"/>
        </w:rPr>
        <w:t>比例为0.33%。</w:t>
      </w:r>
    </w:p>
    <w:p w14:paraId="7E022B04">
      <w:pPr>
        <w:pStyle w:val="31"/>
        <w:spacing w:before="0" w:after="0" w:line="520" w:lineRule="atLeast"/>
        <w:ind w:firstLine="640"/>
      </w:pPr>
      <w:r>
        <w:rPr>
          <w:rFonts w:ascii="仿宋_GB2312" w:eastAsia="仿宋_GB2312" w:cs="仿宋_GB2312"/>
          <w:b/>
          <w:bCs/>
          <w:sz w:val="32"/>
          <w:szCs w:val="32"/>
        </w:rPr>
        <w:t>5.财政拨款收入、支出分析。</w:t>
      </w:r>
    </w:p>
    <w:p w14:paraId="67875456">
      <w:pPr>
        <w:pStyle w:val="31"/>
        <w:spacing w:before="0" w:after="0" w:line="520" w:lineRule="atLeast"/>
        <w:ind w:firstLine="720"/>
      </w:pPr>
      <w:r>
        <w:rPr>
          <w:rFonts w:ascii="仿宋_GB2312" w:eastAsia="仿宋_GB2312" w:cs="仿宋_GB2312"/>
          <w:sz w:val="32"/>
          <w:szCs w:val="32"/>
        </w:rPr>
        <w:t>2024年财政本年收入合计为1,126.44万元；与上年全年收入数相比减少3.73万元，减</w:t>
      </w:r>
      <w:r>
        <w:rPr>
          <w:rFonts w:hint="eastAsia" w:ascii="仿宋_GB2312" w:eastAsia="仿宋_GB2312" w:cs="仿宋_GB2312"/>
          <w:sz w:val="32"/>
          <w:szCs w:val="32"/>
          <w:lang w:val="en-US" w:eastAsia="zh-CN"/>
        </w:rPr>
        <w:t>少</w:t>
      </w:r>
      <w:r>
        <w:rPr>
          <w:rFonts w:ascii="仿宋_GB2312" w:eastAsia="仿宋_GB2312" w:cs="仿宋_GB2312"/>
          <w:sz w:val="32"/>
          <w:szCs w:val="32"/>
        </w:rPr>
        <w:t>比例为0.33%。</w:t>
      </w:r>
    </w:p>
    <w:p w14:paraId="7D64CC0D">
      <w:pPr>
        <w:pStyle w:val="31"/>
        <w:spacing w:before="0" w:after="0" w:line="520" w:lineRule="atLeast"/>
        <w:ind w:firstLine="720"/>
      </w:pPr>
      <w:r>
        <w:rPr>
          <w:rFonts w:ascii="仿宋_GB2312" w:eastAsia="仿宋_GB2312" w:cs="仿宋_GB2312"/>
          <w:sz w:val="32"/>
          <w:szCs w:val="32"/>
        </w:rPr>
        <w:t>2024年财政本年支出合计为1,126.44万元，与上年全年支出相比减少3.73万元，减</w:t>
      </w:r>
      <w:r>
        <w:rPr>
          <w:rFonts w:hint="eastAsia" w:ascii="仿宋_GB2312" w:eastAsia="仿宋_GB2312" w:cs="仿宋_GB2312"/>
          <w:sz w:val="32"/>
          <w:szCs w:val="32"/>
          <w:lang w:val="en-US" w:eastAsia="zh-CN"/>
        </w:rPr>
        <w:t>少</w:t>
      </w:r>
      <w:r>
        <w:rPr>
          <w:rFonts w:ascii="仿宋_GB2312" w:eastAsia="仿宋_GB2312" w:cs="仿宋_GB2312"/>
          <w:sz w:val="32"/>
          <w:szCs w:val="32"/>
        </w:rPr>
        <w:t>比例为0.33%。</w:t>
      </w:r>
    </w:p>
    <w:p w14:paraId="489E581C">
      <w:pPr>
        <w:pStyle w:val="31"/>
        <w:spacing w:before="0" w:after="0" w:line="520" w:lineRule="atLeast"/>
        <w:ind w:firstLine="640"/>
      </w:pPr>
      <w:r>
        <w:rPr>
          <w:rFonts w:ascii="仿宋_GB2312" w:eastAsia="仿宋_GB2312" w:cs="仿宋_GB2312"/>
          <w:b/>
          <w:bCs/>
          <w:sz w:val="32"/>
          <w:szCs w:val="32"/>
        </w:rPr>
        <w:t>6.非财政拨款收入、支出分析。</w:t>
      </w:r>
    </w:p>
    <w:p w14:paraId="0E25BFA7">
      <w:pPr>
        <w:pStyle w:val="31"/>
        <w:spacing w:before="0" w:after="0" w:line="520" w:lineRule="atLeast"/>
        <w:ind w:firstLine="720"/>
      </w:pPr>
      <w:r>
        <w:rPr>
          <w:rFonts w:ascii="仿宋_GB2312" w:eastAsia="仿宋_GB2312" w:cs="仿宋_GB2312"/>
          <w:sz w:val="32"/>
          <w:szCs w:val="32"/>
        </w:rPr>
        <w:t>2024年非财政本年收入合计为0.00万元；与上年相比增减0万元，增减比例为0%。</w:t>
      </w:r>
    </w:p>
    <w:p w14:paraId="5E5E5BEB">
      <w:pPr>
        <w:pStyle w:val="31"/>
        <w:spacing w:before="0" w:after="0" w:line="520" w:lineRule="atLeast"/>
        <w:ind w:firstLine="720"/>
      </w:pPr>
      <w:r>
        <w:rPr>
          <w:rFonts w:ascii="仿宋_GB2312" w:eastAsia="仿宋_GB2312" w:cs="仿宋_GB2312"/>
          <w:sz w:val="32"/>
          <w:szCs w:val="32"/>
        </w:rPr>
        <w:t>收入构成分为上级补助收入本年收入为0.00万元；事业收入本年收入为0.00万元；经营收入本年收入为0.00万元；附属单位上缴收入本年收入为0.00万元；其他收入本年收入为0.00万元。</w:t>
      </w:r>
    </w:p>
    <w:p w14:paraId="282AB46C">
      <w:pPr>
        <w:pStyle w:val="31"/>
        <w:spacing w:before="0" w:after="0" w:line="520" w:lineRule="atLeast"/>
        <w:ind w:firstLine="720"/>
      </w:pPr>
      <w:r>
        <w:rPr>
          <w:rFonts w:ascii="仿宋_GB2312" w:eastAsia="仿宋_GB2312" w:cs="仿宋_GB2312"/>
          <w:sz w:val="32"/>
          <w:szCs w:val="32"/>
        </w:rPr>
        <w:t>2024年非财政本年支出合计为0.00万元；与上年相比增减0万元，增减比例为0%。</w:t>
      </w:r>
    </w:p>
    <w:p w14:paraId="5C05A4B6">
      <w:pPr>
        <w:pStyle w:val="31"/>
        <w:spacing w:before="0" w:after="0" w:line="520" w:lineRule="atLeast"/>
        <w:ind w:firstLine="640"/>
      </w:pPr>
      <w:r>
        <w:rPr>
          <w:rFonts w:ascii="楷体_GB2312" w:eastAsia="楷体_GB2312" w:cs="楷体_GB2312"/>
          <w:b/>
          <w:bCs/>
          <w:sz w:val="32"/>
          <w:szCs w:val="32"/>
        </w:rPr>
        <w:t>（三）年末结转和结余情况。</w:t>
      </w:r>
    </w:p>
    <w:p w14:paraId="673C5940">
      <w:pPr>
        <w:pStyle w:val="31"/>
        <w:spacing w:before="0" w:after="0" w:line="520" w:lineRule="atLeast"/>
        <w:ind w:firstLine="640"/>
      </w:pPr>
      <w:r>
        <w:rPr>
          <w:rFonts w:ascii="仿宋_GB2312" w:eastAsia="仿宋_GB2312" w:cs="仿宋_GB2312"/>
          <w:sz w:val="32"/>
          <w:szCs w:val="32"/>
        </w:rPr>
        <w:t>1.财政拨款结转和结余</w:t>
      </w:r>
    </w:p>
    <w:p w14:paraId="669A8859">
      <w:pPr>
        <w:pStyle w:val="31"/>
        <w:spacing w:before="0" w:after="0" w:line="520" w:lineRule="atLeast"/>
        <w:ind w:firstLine="720"/>
      </w:pPr>
      <w:r>
        <w:rPr>
          <w:rFonts w:ascii="仿宋_GB2312" w:eastAsia="仿宋_GB2312" w:cs="仿宋_GB2312"/>
          <w:sz w:val="32"/>
          <w:szCs w:val="32"/>
        </w:rPr>
        <w:t>无财政拨款结转和结余</w:t>
      </w:r>
    </w:p>
    <w:p w14:paraId="4A4657C8">
      <w:pPr>
        <w:pStyle w:val="31"/>
        <w:spacing w:before="0" w:after="0" w:line="520" w:lineRule="atLeast"/>
        <w:ind w:firstLine="640"/>
      </w:pPr>
      <w:r>
        <w:rPr>
          <w:rFonts w:ascii="仿宋_GB2312" w:eastAsia="仿宋_GB2312" w:cs="仿宋_GB2312"/>
          <w:sz w:val="32"/>
          <w:szCs w:val="32"/>
        </w:rPr>
        <w:t>2.非财政拨款结转和结余</w:t>
      </w:r>
    </w:p>
    <w:p w14:paraId="27DEBD1F">
      <w:pPr>
        <w:pStyle w:val="31"/>
        <w:spacing w:before="0" w:after="0" w:line="520" w:lineRule="atLeast"/>
        <w:ind w:firstLine="720"/>
        <w:rPr>
          <w:rFonts w:hint="eastAsia" w:eastAsia="仿宋_GB2312"/>
          <w:lang w:eastAsia="zh-CN"/>
        </w:rPr>
      </w:pPr>
      <w:r>
        <w:rPr>
          <w:rFonts w:ascii="仿宋_GB2312" w:eastAsia="仿宋_GB2312" w:cs="仿宋_GB2312"/>
          <w:sz w:val="32"/>
          <w:szCs w:val="32"/>
        </w:rPr>
        <w:t>本年非财政拨款结转和结余0.00万元，与上年度相比增减0万元,其中：基本支出结转结余0.00万元，项目支出结转0.00万元，项目支出结余0.00万元，经营支出结余0.00万元</w:t>
      </w:r>
      <w:r>
        <w:rPr>
          <w:rFonts w:hint="eastAsia" w:ascii="仿宋_GB2312" w:eastAsia="仿宋_GB2312" w:cs="仿宋_GB2312"/>
          <w:sz w:val="32"/>
          <w:szCs w:val="32"/>
          <w:lang w:eastAsia="zh-CN"/>
        </w:rPr>
        <w:t>。</w:t>
      </w:r>
    </w:p>
    <w:p w14:paraId="4838BDF5">
      <w:pPr>
        <w:pStyle w:val="31"/>
        <w:spacing w:before="0" w:after="0" w:line="520" w:lineRule="atLeast"/>
        <w:ind w:firstLine="640"/>
      </w:pPr>
      <w:r>
        <w:rPr>
          <w:rFonts w:ascii="楷体_GB2312" w:eastAsia="楷体_GB2312" w:cs="楷体_GB2312"/>
          <w:b/>
          <w:bCs/>
          <w:sz w:val="32"/>
          <w:szCs w:val="32"/>
        </w:rPr>
        <w:t>（四）与预算支出相关的其他指标分析。</w:t>
      </w:r>
    </w:p>
    <w:p w14:paraId="45388433">
      <w:pPr>
        <w:pStyle w:val="31"/>
        <w:keepNext w:val="0"/>
        <w:keepLines w:val="0"/>
        <w:pageBreakBefore w:val="0"/>
        <w:widowControl/>
        <w:kinsoku/>
        <w:wordWrap/>
        <w:overflowPunct/>
        <w:topLinePunct w:val="0"/>
        <w:autoSpaceDE/>
        <w:autoSpaceDN/>
        <w:bidi w:val="0"/>
        <w:adjustRightInd/>
        <w:snapToGrid/>
        <w:spacing w:before="0" w:after="0" w:line="520" w:lineRule="atLeast"/>
        <w:ind w:firstLine="640" w:firstLineChars="200"/>
        <w:textAlignment w:val="auto"/>
        <w:rPr>
          <w:rFonts w:hint="eastAsia" w:ascii="仿宋_GB2312"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本年银行存款16.66</w:t>
      </w:r>
      <w:r>
        <w:rPr>
          <w:rFonts w:hint="eastAsia" w:ascii="仿宋_GB2312" w:eastAsia="仿宋_GB2312" w:cs="仿宋_GB2312"/>
          <w:b w:val="0"/>
          <w:bCs w:val="0"/>
          <w:color w:val="auto"/>
          <w:kern w:val="2"/>
          <w:sz w:val="32"/>
          <w:szCs w:val="32"/>
          <w:shd w:val="clear" w:color="auto" w:fill="auto"/>
          <w:lang w:val="en-US" w:eastAsia="zh-CN" w:bidi="ar-SA"/>
        </w:rPr>
        <w:t>万</w:t>
      </w:r>
      <w:r>
        <w:rPr>
          <w:rFonts w:hint="eastAsia" w:ascii="仿宋_GB2312" w:eastAsia="仿宋_GB2312" w:cs="仿宋_GB2312"/>
          <w:b w:val="0"/>
          <w:bCs w:val="0"/>
          <w:color w:val="auto"/>
          <w:sz w:val="32"/>
          <w:szCs w:val="32"/>
          <w:lang w:val="en-US" w:eastAsia="zh-CN"/>
        </w:rPr>
        <w:t>元，较上年减少5.76万元，减少25.67%，主要原因是五险一金、个税等个人待缴部分留存较少。房屋521.96</w:t>
      </w:r>
      <w:r>
        <w:rPr>
          <w:rFonts w:hint="eastAsia" w:ascii="仿宋_GB2312" w:eastAsia="仿宋_GB2312" w:cs="仿宋_GB2312"/>
          <w:b w:val="0"/>
          <w:bCs w:val="0"/>
          <w:color w:val="auto"/>
          <w:kern w:val="2"/>
          <w:sz w:val="32"/>
          <w:szCs w:val="32"/>
          <w:shd w:val="clear" w:color="auto" w:fill="auto"/>
          <w:lang w:val="en-US" w:eastAsia="zh-CN" w:bidi="ar-SA"/>
        </w:rPr>
        <w:t>万</w:t>
      </w:r>
      <w:r>
        <w:rPr>
          <w:rFonts w:hint="eastAsia" w:ascii="仿宋_GB2312" w:eastAsia="仿宋_GB2312" w:cs="仿宋_GB2312"/>
          <w:b w:val="0"/>
          <w:bCs w:val="0"/>
          <w:color w:val="auto"/>
          <w:sz w:val="32"/>
          <w:szCs w:val="32"/>
          <w:lang w:val="en-US" w:eastAsia="zh-CN"/>
        </w:rPr>
        <w:t>元，较上年0万元，增加521.96</w:t>
      </w:r>
      <w:r>
        <w:rPr>
          <w:rFonts w:hint="eastAsia" w:ascii="仿宋_GB2312" w:eastAsia="仿宋_GB2312" w:cs="仿宋_GB2312"/>
          <w:b w:val="0"/>
          <w:bCs w:val="0"/>
          <w:color w:val="auto"/>
          <w:kern w:val="2"/>
          <w:sz w:val="32"/>
          <w:szCs w:val="32"/>
          <w:shd w:val="clear" w:color="auto" w:fill="auto"/>
          <w:lang w:val="en-US" w:eastAsia="zh-CN" w:bidi="ar-SA"/>
        </w:rPr>
        <w:t>万</w:t>
      </w:r>
      <w:r>
        <w:rPr>
          <w:rFonts w:hint="eastAsia" w:ascii="仿宋_GB2312" w:eastAsia="仿宋_GB2312" w:cs="仿宋_GB2312"/>
          <w:b w:val="0"/>
          <w:bCs w:val="0"/>
          <w:color w:val="auto"/>
          <w:sz w:val="32"/>
          <w:szCs w:val="32"/>
          <w:lang w:val="en-US" w:eastAsia="zh-CN"/>
        </w:rPr>
        <w:t>元，增加100%，主要原因是本年度房屋资产填列数据为存量数据，上年度未填列房屋明细数据。车辆0</w:t>
      </w:r>
      <w:r>
        <w:rPr>
          <w:rFonts w:hint="eastAsia" w:ascii="仿宋_GB2312" w:eastAsia="仿宋_GB2312" w:cs="仿宋_GB2312"/>
          <w:b w:val="0"/>
          <w:bCs w:val="0"/>
          <w:color w:val="auto"/>
          <w:kern w:val="2"/>
          <w:sz w:val="32"/>
          <w:szCs w:val="32"/>
          <w:shd w:val="clear" w:color="auto" w:fill="auto"/>
          <w:lang w:val="en-US" w:eastAsia="zh-CN" w:bidi="ar-SA"/>
        </w:rPr>
        <w:t>万</w:t>
      </w:r>
      <w:r>
        <w:rPr>
          <w:rFonts w:hint="eastAsia" w:ascii="仿宋_GB2312" w:eastAsia="仿宋_GB2312" w:cs="仿宋_GB2312"/>
          <w:b w:val="0"/>
          <w:bCs w:val="0"/>
          <w:color w:val="auto"/>
          <w:sz w:val="32"/>
          <w:szCs w:val="32"/>
          <w:lang w:val="en-US" w:eastAsia="zh-CN"/>
        </w:rPr>
        <w:t>元，较上年无变化。</w:t>
      </w:r>
    </w:p>
    <w:p w14:paraId="433D2831">
      <w:pPr>
        <w:pStyle w:val="14"/>
        <w:rPr>
          <w:rFonts w:hint="eastAsia"/>
          <w:lang w:eastAsia="zh-CN"/>
        </w:rPr>
      </w:pPr>
    </w:p>
    <w:p w14:paraId="6C69FB9E">
      <w:pPr>
        <w:ind w:firstLine="800" w:firstLineChars="250"/>
        <w:rPr>
          <w:rFonts w:hint="eastAsia" w:ascii="Times New Roman" w:hAnsi="Times New Roman" w:eastAsia="仿宋_GB2312" w:cs="仿宋_GB2312"/>
          <w:color w:val="auto"/>
          <w:sz w:val="32"/>
          <w:szCs w:val="32"/>
          <w:highlight w:val="none"/>
          <w:lang w:eastAsia="zh-CN"/>
        </w:rPr>
      </w:pPr>
    </w:p>
    <w:p w14:paraId="68F49A93">
      <w:pPr>
        <w:spacing w:line="600" w:lineRule="exact"/>
        <w:ind w:firstLine="640" w:firstLineChars="200"/>
        <w:outlineLvl w:val="1"/>
        <w:rPr>
          <w:rStyle w:val="21"/>
          <w:rFonts w:ascii="Times New Roman" w:hAnsi="Times New Roman" w:eastAsia="黑体"/>
          <w:b w:val="0"/>
          <w:color w:val="auto"/>
          <w:highlight w:val="none"/>
        </w:rPr>
      </w:pPr>
      <w:bookmarkStart w:id="16" w:name="_Toc15377208"/>
      <w:bookmarkStart w:id="17" w:name="_Toc15396606"/>
      <w:r>
        <w:rPr>
          <w:rFonts w:hint="eastAsia" w:ascii="Times New Roman" w:hAnsi="Times New Roman" w:eastAsia="黑体"/>
          <w:color w:val="auto"/>
          <w:sz w:val="32"/>
          <w:szCs w:val="32"/>
          <w:highlight w:val="none"/>
        </w:rPr>
        <w:t>四、财</w:t>
      </w:r>
      <w:r>
        <w:rPr>
          <w:rStyle w:val="21"/>
          <w:rFonts w:hint="eastAsia" w:ascii="Times New Roman" w:hAnsi="Times New Roman" w:eastAsia="黑体"/>
          <w:b w:val="0"/>
          <w:color w:val="auto"/>
          <w:highlight w:val="none"/>
        </w:rPr>
        <w:t>政拨款收入支出决算总体情况说明</w:t>
      </w:r>
      <w:bookmarkEnd w:id="16"/>
      <w:bookmarkEnd w:id="17"/>
    </w:p>
    <w:p w14:paraId="577D6D85">
      <w:pPr>
        <w:ind w:firstLine="560" w:firstLineChars="200"/>
        <w:rPr>
          <w:rFonts w:hint="eastAsia" w:ascii="宋体" w:eastAsia="宋体" w:cs="宋体"/>
          <w:sz w:val="28"/>
          <w:szCs w:val="28"/>
          <w:lang w:val="en-US" w:eastAsia="zh-CN"/>
        </w:rPr>
      </w:pPr>
      <w:bookmarkStart w:id="18" w:name="_Toc15396607"/>
      <w:bookmarkStart w:id="19" w:name="_Toc15377209"/>
      <w:r>
        <w:rPr>
          <w:rFonts w:hint="eastAsia" w:ascii="宋体" w:eastAsia="宋体" w:cs="宋体"/>
          <w:sz w:val="28"/>
          <w:szCs w:val="28"/>
          <w:lang w:val="en-US" w:eastAsia="zh-CN"/>
        </w:rPr>
        <w:t>202</w:t>
      </w:r>
      <w:r>
        <w:rPr>
          <w:rFonts w:hint="eastAsia" w:ascii="宋体" w:cs="宋体"/>
          <w:sz w:val="28"/>
          <w:szCs w:val="28"/>
          <w:lang w:val="en-US" w:eastAsia="zh-CN"/>
        </w:rPr>
        <w:t>4</w:t>
      </w:r>
      <w:r>
        <w:rPr>
          <w:rFonts w:hint="eastAsia" w:ascii="宋体" w:eastAsia="宋体" w:cs="宋体"/>
          <w:sz w:val="28"/>
          <w:szCs w:val="28"/>
          <w:lang w:val="en-US" w:eastAsia="zh-CN"/>
        </w:rPr>
        <w:t>年总收入</w:t>
      </w:r>
      <w:r>
        <w:rPr>
          <w:rFonts w:hint="eastAsia" w:ascii="宋体" w:eastAsia="宋体" w:cs="宋体"/>
          <w:color w:val="000000"/>
          <w:sz w:val="28"/>
          <w:szCs w:val="28"/>
          <w:lang w:val="en-US" w:eastAsia="zh-CN"/>
        </w:rPr>
        <w:t>1130.174408</w:t>
      </w:r>
      <w:r>
        <w:rPr>
          <w:rFonts w:hint="eastAsia" w:ascii="宋体" w:eastAsia="宋体" w:cs="宋体"/>
          <w:kern w:val="2"/>
          <w:sz w:val="28"/>
          <w:szCs w:val="28"/>
          <w:shd w:val="clear" w:color="auto" w:fill="auto"/>
          <w:lang w:val="en-US" w:eastAsia="zh-CN" w:bidi="ar-SA"/>
        </w:rPr>
        <w:t>万</w:t>
      </w:r>
      <w:r>
        <w:rPr>
          <w:rFonts w:hint="eastAsia" w:ascii="宋体" w:eastAsia="宋体" w:cs="宋体"/>
          <w:sz w:val="28"/>
          <w:szCs w:val="28"/>
          <w:lang w:val="en-US" w:eastAsia="zh-CN"/>
        </w:rPr>
        <w:t>元，其中</w:t>
      </w:r>
      <w:r>
        <w:rPr>
          <w:rFonts w:hint="eastAsia" w:ascii="宋体" w:eastAsia="宋体" w:cs="宋体"/>
          <w:color w:val="000000"/>
          <w:sz w:val="28"/>
          <w:szCs w:val="28"/>
          <w:lang w:val="en-US" w:eastAsia="zh-CN"/>
        </w:rPr>
        <w:t>205-教育支出为</w:t>
      </w:r>
      <w:r>
        <w:rPr>
          <w:rFonts w:hint="eastAsia" w:ascii="宋体" w:cs="宋体"/>
          <w:color w:val="000000"/>
          <w:sz w:val="28"/>
          <w:szCs w:val="28"/>
          <w:lang w:val="en-US" w:eastAsia="zh-CN"/>
        </w:rPr>
        <w:t>712.96</w:t>
      </w:r>
      <w:r>
        <w:rPr>
          <w:rFonts w:hint="eastAsia" w:ascii="宋体" w:eastAsia="宋体" w:cs="宋体"/>
          <w:color w:val="000000"/>
          <w:sz w:val="28"/>
          <w:szCs w:val="28"/>
          <w:lang w:val="en-US" w:eastAsia="zh-CN"/>
        </w:rPr>
        <w:t>万元,208-社会保障和就业支出为</w:t>
      </w:r>
      <w:r>
        <w:rPr>
          <w:rFonts w:hint="eastAsia" w:ascii="宋体" w:cs="宋体"/>
          <w:color w:val="000000"/>
          <w:sz w:val="28"/>
          <w:szCs w:val="28"/>
          <w:lang w:val="en-US" w:eastAsia="zh-CN"/>
        </w:rPr>
        <w:t>163.32</w:t>
      </w:r>
      <w:r>
        <w:rPr>
          <w:rFonts w:hint="eastAsia" w:ascii="宋体" w:eastAsia="宋体" w:cs="宋体"/>
          <w:color w:val="000000"/>
          <w:sz w:val="28"/>
          <w:szCs w:val="28"/>
          <w:lang w:val="en-US" w:eastAsia="zh-CN"/>
        </w:rPr>
        <w:t>万元,210-卫生健康支出为</w:t>
      </w:r>
      <w:r>
        <w:rPr>
          <w:rFonts w:hint="eastAsia" w:ascii="宋体" w:cs="宋体"/>
          <w:color w:val="000000"/>
          <w:sz w:val="28"/>
          <w:szCs w:val="28"/>
          <w:lang w:val="en-US" w:eastAsia="zh-CN"/>
        </w:rPr>
        <w:t>67.97</w:t>
      </w:r>
      <w:r>
        <w:rPr>
          <w:rFonts w:hint="eastAsia" w:ascii="宋体" w:eastAsia="宋体" w:cs="宋体"/>
          <w:color w:val="000000"/>
          <w:sz w:val="28"/>
          <w:szCs w:val="28"/>
          <w:lang w:val="en-US" w:eastAsia="zh-CN"/>
        </w:rPr>
        <w:t>万元,221-住房保障支出为</w:t>
      </w:r>
      <w:r>
        <w:rPr>
          <w:rFonts w:hint="eastAsia" w:ascii="宋体" w:cs="宋体"/>
          <w:color w:val="000000"/>
          <w:sz w:val="28"/>
          <w:szCs w:val="28"/>
          <w:lang w:val="en-US" w:eastAsia="zh-CN"/>
        </w:rPr>
        <w:t>91.31</w:t>
      </w:r>
      <w:r>
        <w:rPr>
          <w:rFonts w:hint="eastAsia" w:ascii="宋体" w:eastAsia="宋体" w:cs="宋体"/>
          <w:color w:val="000000"/>
          <w:sz w:val="28"/>
          <w:szCs w:val="28"/>
          <w:lang w:val="en-US" w:eastAsia="zh-CN"/>
        </w:rPr>
        <w:t>万元</w:t>
      </w:r>
      <w:r>
        <w:rPr>
          <w:rFonts w:hint="eastAsia" w:ascii="宋体" w:eastAsia="宋体" w:cs="宋体"/>
          <w:sz w:val="28"/>
          <w:szCs w:val="28"/>
          <w:lang w:val="en-US" w:eastAsia="zh-CN"/>
        </w:rPr>
        <w:t>。</w:t>
      </w:r>
    </w:p>
    <w:p w14:paraId="14E2AD89">
      <w:pPr>
        <w:ind w:firstLine="560" w:firstLineChars="200"/>
        <w:rPr>
          <w:rFonts w:hint="eastAsia" w:ascii="宋体" w:eastAsia="宋体" w:cs="宋体"/>
          <w:sz w:val="28"/>
          <w:szCs w:val="28"/>
          <w:lang w:val="en-US" w:eastAsia="zh-CN"/>
        </w:rPr>
      </w:pPr>
    </w:p>
    <w:p w14:paraId="3AD5DA13">
      <w:pPr>
        <w:ind w:firstLine="560" w:firstLineChars="200"/>
        <w:rPr>
          <w:rFonts w:hint="eastAsia" w:ascii="宋体" w:eastAsia="宋体" w:cs="宋体"/>
          <w:sz w:val="28"/>
          <w:szCs w:val="28"/>
          <w:lang w:val="en-US" w:eastAsia="zh-CN"/>
        </w:rPr>
      </w:pPr>
    </w:p>
    <w:p w14:paraId="5652BA12">
      <w:pPr>
        <w:ind w:firstLine="560" w:firstLineChars="200"/>
        <w:rPr>
          <w:rFonts w:hint="eastAsia" w:ascii="宋体" w:eastAsia="宋体" w:cs="宋体"/>
          <w:sz w:val="28"/>
          <w:szCs w:val="28"/>
          <w:lang w:val="en-US" w:eastAsia="zh-CN"/>
        </w:rPr>
      </w:pPr>
    </w:p>
    <w:p w14:paraId="0908129F"/>
    <w:p w14:paraId="1BF7B66E">
      <w:pPr>
        <w:ind w:firstLine="560" w:firstLineChars="200"/>
        <w:rPr>
          <w:rFonts w:hint="eastAsia" w:ascii="宋体" w:eastAsia="宋体" w:cs="宋体"/>
          <w:sz w:val="28"/>
          <w:szCs w:val="28"/>
          <w:lang w:val="en-US" w:eastAsia="zh-CN"/>
        </w:rPr>
      </w:pPr>
      <w:r>
        <w:rPr>
          <w:rFonts w:hint="eastAsia" w:ascii="宋体" w:eastAsia="宋体" w:cs="宋体"/>
          <w:sz w:val="28"/>
          <w:szCs w:val="28"/>
          <w:lang w:val="en-US" w:eastAsia="zh-CN"/>
        </w:rPr>
        <w:t>2024年总收入</w:t>
      </w:r>
      <w:r>
        <w:rPr>
          <w:rFonts w:hint="eastAsia" w:ascii="宋体" w:eastAsia="宋体" w:cs="宋体"/>
          <w:color w:val="000000"/>
          <w:sz w:val="28"/>
          <w:szCs w:val="28"/>
          <w:lang w:val="en-US" w:eastAsia="zh-CN"/>
        </w:rPr>
        <w:t>1130.174408</w:t>
      </w:r>
      <w:r>
        <w:rPr>
          <w:rFonts w:hint="eastAsia" w:ascii="宋体" w:eastAsia="宋体" w:cs="宋体"/>
          <w:kern w:val="2"/>
          <w:sz w:val="28"/>
          <w:szCs w:val="28"/>
          <w:shd w:val="clear" w:color="auto" w:fill="auto"/>
          <w:lang w:val="en-US" w:eastAsia="zh-CN" w:bidi="ar-SA"/>
        </w:rPr>
        <w:t>万</w:t>
      </w:r>
      <w:r>
        <w:rPr>
          <w:rFonts w:hint="eastAsia" w:ascii="宋体" w:eastAsia="宋体" w:cs="宋体"/>
          <w:sz w:val="28"/>
          <w:szCs w:val="28"/>
          <w:lang w:val="en-US" w:eastAsia="zh-CN"/>
        </w:rPr>
        <w:t>元，其中</w:t>
      </w:r>
      <w:r>
        <w:rPr>
          <w:rFonts w:hint="eastAsia" w:ascii="宋体" w:eastAsia="宋体" w:cs="宋体"/>
          <w:color w:val="000000"/>
          <w:sz w:val="28"/>
          <w:szCs w:val="28"/>
          <w:lang w:val="en-US" w:eastAsia="zh-CN"/>
        </w:rPr>
        <w:t>205-教育支出为</w:t>
      </w:r>
      <w:r>
        <w:rPr>
          <w:rFonts w:hint="eastAsia" w:ascii="宋体" w:cs="宋体"/>
          <w:color w:val="000000"/>
          <w:sz w:val="28"/>
          <w:szCs w:val="28"/>
          <w:lang w:val="en-US" w:eastAsia="zh-CN"/>
        </w:rPr>
        <w:t>712.96</w:t>
      </w:r>
      <w:r>
        <w:rPr>
          <w:rFonts w:hint="eastAsia" w:ascii="宋体" w:eastAsia="宋体" w:cs="宋体"/>
          <w:color w:val="000000"/>
          <w:sz w:val="28"/>
          <w:szCs w:val="28"/>
          <w:lang w:val="en-US" w:eastAsia="zh-CN"/>
        </w:rPr>
        <w:t>万元,208-社会保障和就业支出为</w:t>
      </w:r>
      <w:r>
        <w:rPr>
          <w:rFonts w:hint="eastAsia" w:ascii="宋体" w:cs="宋体"/>
          <w:color w:val="000000"/>
          <w:sz w:val="28"/>
          <w:szCs w:val="28"/>
          <w:lang w:val="en-US" w:eastAsia="zh-CN"/>
        </w:rPr>
        <w:t>163.32</w:t>
      </w:r>
      <w:r>
        <w:rPr>
          <w:rFonts w:hint="eastAsia" w:ascii="宋体" w:eastAsia="宋体" w:cs="宋体"/>
          <w:color w:val="000000"/>
          <w:sz w:val="28"/>
          <w:szCs w:val="28"/>
          <w:lang w:val="en-US" w:eastAsia="zh-CN"/>
        </w:rPr>
        <w:t>万元,210-卫生健康支出为</w:t>
      </w:r>
      <w:r>
        <w:rPr>
          <w:rFonts w:hint="eastAsia" w:ascii="宋体" w:cs="宋体"/>
          <w:color w:val="000000"/>
          <w:sz w:val="28"/>
          <w:szCs w:val="28"/>
          <w:lang w:val="en-US" w:eastAsia="zh-CN"/>
        </w:rPr>
        <w:t>67.97</w:t>
      </w:r>
      <w:r>
        <w:rPr>
          <w:rFonts w:hint="eastAsia" w:ascii="宋体" w:eastAsia="宋体" w:cs="宋体"/>
          <w:color w:val="000000"/>
          <w:sz w:val="28"/>
          <w:szCs w:val="28"/>
          <w:lang w:val="en-US" w:eastAsia="zh-CN"/>
        </w:rPr>
        <w:t>万元,221-住房保障支出为</w:t>
      </w:r>
      <w:r>
        <w:rPr>
          <w:rFonts w:hint="eastAsia" w:ascii="宋体" w:cs="宋体"/>
          <w:color w:val="000000"/>
          <w:sz w:val="28"/>
          <w:szCs w:val="28"/>
          <w:lang w:val="en-US" w:eastAsia="zh-CN"/>
        </w:rPr>
        <w:t>91.31</w:t>
      </w:r>
      <w:r>
        <w:rPr>
          <w:rFonts w:hint="eastAsia" w:ascii="宋体" w:eastAsia="宋体" w:cs="宋体"/>
          <w:color w:val="000000"/>
          <w:sz w:val="28"/>
          <w:szCs w:val="28"/>
          <w:lang w:val="en-US" w:eastAsia="zh-CN"/>
        </w:rPr>
        <w:t>万元</w:t>
      </w:r>
      <w:r>
        <w:rPr>
          <w:rFonts w:hint="eastAsia" w:ascii="宋体" w:eastAsia="宋体" w:cs="宋体"/>
          <w:sz w:val="28"/>
          <w:szCs w:val="28"/>
          <w:lang w:val="en-US" w:eastAsia="zh-CN"/>
        </w:rPr>
        <w:t>。</w:t>
      </w:r>
    </w:p>
    <w:p w14:paraId="05E33C11">
      <w:pPr>
        <w:ind w:firstLine="560" w:firstLineChars="200"/>
        <w:rPr>
          <w:rFonts w:hint="eastAsia" w:ascii="宋体" w:eastAsia="宋体" w:cs="宋体"/>
          <w:sz w:val="28"/>
          <w:szCs w:val="28"/>
          <w:lang w:val="en-US" w:eastAsia="zh-CN"/>
        </w:rPr>
      </w:pPr>
    </w:p>
    <w:p w14:paraId="1903F3B7">
      <w:pPr>
        <w:ind w:firstLine="560" w:firstLineChars="200"/>
        <w:rPr>
          <w:rFonts w:hint="eastAsia" w:ascii="宋体" w:eastAsia="宋体" w:cs="宋体"/>
          <w:sz w:val="28"/>
          <w:szCs w:val="28"/>
          <w:lang w:val="en-US" w:eastAsia="zh-CN"/>
        </w:rPr>
      </w:pPr>
    </w:p>
    <w:p w14:paraId="67773715">
      <w:pPr>
        <w:ind w:firstLine="560" w:firstLineChars="200"/>
        <w:rPr>
          <w:rFonts w:hint="eastAsia" w:ascii="宋体" w:eastAsia="宋体" w:cs="宋体"/>
          <w:sz w:val="28"/>
          <w:szCs w:val="28"/>
          <w:lang w:val="en-US" w:eastAsia="zh-CN"/>
        </w:rPr>
      </w:pPr>
    </w:p>
    <w:p w14:paraId="3AA678B0">
      <w:pPr>
        <w:spacing w:line="600" w:lineRule="exact"/>
        <w:outlineLvl w:val="1"/>
        <w:rPr>
          <w:rStyle w:val="21"/>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般公共预算财政拨款支出决算情况说明</w:t>
      </w:r>
      <w:bookmarkEnd w:id="18"/>
      <w:bookmarkEnd w:id="19"/>
    </w:p>
    <w:p w14:paraId="07A35EE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0"/>
    </w:p>
    <w:p w14:paraId="78A7A689">
      <w:pPr>
        <w:pStyle w:val="31"/>
        <w:spacing w:before="0" w:after="0" w:line="520" w:lineRule="atLeast"/>
        <w:ind w:firstLine="720"/>
        <w:jc w:val="both"/>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2024年度一般公共预算财政拨款支出</w:t>
      </w:r>
      <w:r>
        <w:rPr>
          <w:rFonts w:hint="eastAsia" w:ascii="仿宋_GB2312" w:eastAsia="仿宋_GB2312" w:cs="仿宋_GB2312"/>
          <w:sz w:val="32"/>
          <w:szCs w:val="32"/>
        </w:rPr>
        <w:t>1126.44</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100</w:t>
      </w:r>
      <w:r>
        <w:rPr>
          <w:rFonts w:hint="eastAsia" w:ascii="仿宋_GB2312" w:eastAsia="仿宋_GB2312" w:cs="仿宋_GB2312"/>
          <w:color w:val="auto"/>
          <w:kern w:val="2"/>
          <w:sz w:val="32"/>
          <w:szCs w:val="32"/>
          <w:highlight w:val="none"/>
          <w:lang w:val="en-US" w:eastAsia="zh-CN" w:bidi="ar-SA"/>
        </w:rPr>
        <w:t>%。</w:t>
      </w:r>
      <w:r>
        <w:rPr>
          <w:rFonts w:ascii="仿宋_GB2312" w:eastAsia="仿宋_GB2312" w:cs="仿宋_GB2312"/>
          <w:sz w:val="32"/>
          <w:szCs w:val="32"/>
        </w:rPr>
        <w:t>上年度全年预算收入数为1,130.17万元，比去年减少3.73万元，原因：</w:t>
      </w:r>
      <w:r>
        <w:rPr>
          <w:rFonts w:hint="eastAsia" w:ascii="仿宋_GB2312" w:eastAsia="仿宋_GB2312" w:cs="仿宋_GB2312"/>
          <w:sz w:val="32"/>
          <w:szCs w:val="32"/>
          <w:lang w:val="en-US" w:eastAsia="zh-CN"/>
        </w:rPr>
        <w:t>项目支出增加</w:t>
      </w:r>
      <w:r>
        <w:rPr>
          <w:rFonts w:ascii="仿宋_GB2312" w:eastAsia="仿宋_GB2312" w:cs="仿宋_GB2312"/>
          <w:sz w:val="32"/>
          <w:szCs w:val="32"/>
        </w:rPr>
        <w:t>。</w:t>
      </w:r>
    </w:p>
    <w:p w14:paraId="0042FD0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1"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1"/>
    </w:p>
    <w:p w14:paraId="0EA6EA3B">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eastAsia="仿宋_GB2312" w:cs="仿宋_GB2312"/>
          <w:sz w:val="32"/>
          <w:szCs w:val="32"/>
        </w:rPr>
        <w:t>1126.44</w:t>
      </w:r>
      <w:r>
        <w:rPr>
          <w:rFonts w:hint="eastAsia" w:asci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1035.56</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宋体" w:eastAsia="宋体" w:cs="宋体"/>
          <w:sz w:val="28"/>
          <w:szCs w:val="28"/>
          <w:lang w:val="en-US" w:eastAsia="zh-CN"/>
        </w:rPr>
        <w:t>其中</w:t>
      </w:r>
      <w:r>
        <w:rPr>
          <w:rFonts w:hint="eastAsia" w:ascii="宋体" w:eastAsia="宋体" w:cs="宋体"/>
          <w:color w:val="000000"/>
          <w:sz w:val="28"/>
          <w:szCs w:val="28"/>
          <w:lang w:val="en-US" w:eastAsia="zh-CN"/>
        </w:rPr>
        <w:t>205-教育支出为</w:t>
      </w:r>
      <w:r>
        <w:rPr>
          <w:rFonts w:hint="eastAsia" w:ascii="宋体" w:cs="宋体"/>
          <w:color w:val="000000"/>
          <w:sz w:val="28"/>
          <w:szCs w:val="28"/>
          <w:lang w:val="en-US" w:eastAsia="zh-CN"/>
        </w:rPr>
        <w:t>712.96</w:t>
      </w:r>
      <w:r>
        <w:rPr>
          <w:rFonts w:hint="eastAsia" w:ascii="宋体" w:eastAsia="宋体" w:cs="宋体"/>
          <w:color w:val="000000"/>
          <w:sz w:val="28"/>
          <w:szCs w:val="28"/>
          <w:lang w:val="en-US" w:eastAsia="zh-CN"/>
        </w:rPr>
        <w:t>万元,208-社会保障和就业支出为</w:t>
      </w:r>
      <w:r>
        <w:rPr>
          <w:rFonts w:hint="eastAsia" w:ascii="宋体" w:cs="宋体"/>
          <w:color w:val="000000"/>
          <w:sz w:val="28"/>
          <w:szCs w:val="28"/>
          <w:lang w:val="en-US" w:eastAsia="zh-CN"/>
        </w:rPr>
        <w:t>163.32</w:t>
      </w:r>
      <w:r>
        <w:rPr>
          <w:rFonts w:hint="eastAsia" w:ascii="宋体" w:eastAsia="宋体" w:cs="宋体"/>
          <w:color w:val="000000"/>
          <w:sz w:val="28"/>
          <w:szCs w:val="28"/>
          <w:lang w:val="en-US" w:eastAsia="zh-CN"/>
        </w:rPr>
        <w:t>万元,210-卫生健康支出为</w:t>
      </w:r>
      <w:r>
        <w:rPr>
          <w:rFonts w:hint="eastAsia" w:ascii="宋体" w:cs="宋体"/>
          <w:color w:val="000000"/>
          <w:sz w:val="28"/>
          <w:szCs w:val="28"/>
          <w:lang w:val="en-US" w:eastAsia="zh-CN"/>
        </w:rPr>
        <w:t>67.97</w:t>
      </w:r>
      <w:r>
        <w:rPr>
          <w:rFonts w:hint="eastAsia" w:ascii="宋体" w:eastAsia="宋体" w:cs="宋体"/>
          <w:color w:val="000000"/>
          <w:sz w:val="28"/>
          <w:szCs w:val="28"/>
          <w:lang w:val="en-US" w:eastAsia="zh-CN"/>
        </w:rPr>
        <w:t>万元,221-住房保障支出为</w:t>
      </w:r>
      <w:r>
        <w:rPr>
          <w:rFonts w:hint="eastAsia" w:ascii="宋体" w:cs="宋体"/>
          <w:color w:val="000000"/>
          <w:sz w:val="28"/>
          <w:szCs w:val="28"/>
          <w:lang w:val="en-US" w:eastAsia="zh-CN"/>
        </w:rPr>
        <w:t>91.31</w:t>
      </w:r>
      <w:r>
        <w:rPr>
          <w:rFonts w:hint="eastAsia" w:ascii="宋体" w:eastAsia="宋体" w:cs="宋体"/>
          <w:color w:val="000000"/>
          <w:sz w:val="28"/>
          <w:szCs w:val="28"/>
          <w:lang w:val="en-US" w:eastAsia="zh-CN"/>
        </w:rPr>
        <w:t>万元</w:t>
      </w:r>
      <w:r>
        <w:rPr>
          <w:rFonts w:hint="eastAsia" w:ascii="宋体" w:eastAsia="宋体" w:cs="宋体"/>
          <w:sz w:val="28"/>
          <w:szCs w:val="28"/>
          <w:lang w:val="en-US" w:eastAsia="zh-CN"/>
        </w:rPr>
        <w:t>。</w:t>
      </w:r>
    </w:p>
    <w:p w14:paraId="20FEA3C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2"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2"/>
    </w:p>
    <w:p w14:paraId="453467A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3" w:name="_Toc15378460"/>
      <w:bookmarkStart w:id="24" w:name="_Toc15377444"/>
      <w:bookmarkStart w:id="25"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eastAsia="仿宋_GB2312" w:cs="仿宋_GB2312"/>
          <w:sz w:val="32"/>
          <w:szCs w:val="32"/>
        </w:rPr>
        <w:t>1126.44</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一般公共服务支出1035.56万元，</w:t>
      </w:r>
      <w:r>
        <w:rPr>
          <w:rFonts w:hint="eastAsia" w:ascii="Times New Roman" w:hAnsi="Times New Roman" w:eastAsia="仿宋_GB2312" w:cs="仿宋_GB2312"/>
          <w:color w:val="auto"/>
          <w:kern w:val="2"/>
          <w:sz w:val="32"/>
          <w:szCs w:val="32"/>
          <w:highlight w:val="none"/>
          <w:lang w:val="en-US" w:eastAsia="zh-CN" w:bidi="ar-SA"/>
        </w:rPr>
        <w:t>其中：</w:t>
      </w:r>
      <w:bookmarkEnd w:id="23"/>
      <w:bookmarkEnd w:id="24"/>
      <w:bookmarkEnd w:id="25"/>
    </w:p>
    <w:p w14:paraId="2902E85D">
      <w:pPr>
        <w:spacing w:line="600" w:lineRule="exact"/>
        <w:ind w:firstLine="643" w:firstLineChars="200"/>
        <w:rPr>
          <w:rFonts w:ascii="仿宋" w:eastAsia="仿宋"/>
          <w:b/>
          <w:sz w:val="32"/>
          <w:szCs w:val="32"/>
        </w:rPr>
      </w:pPr>
      <w:bookmarkStart w:id="26" w:name="_Toc15396608"/>
      <w:bookmarkStart w:id="27" w:name="_Toc15377214"/>
      <w:r>
        <w:rPr>
          <w:rStyle w:val="18"/>
          <w:rFonts w:hint="eastAsia" w:ascii="仿宋" w:eastAsia="仿宋"/>
          <w:bCs/>
          <w:sz w:val="32"/>
          <w:szCs w:val="32"/>
          <w:lang w:val="en-US" w:eastAsia="zh-CN"/>
        </w:rPr>
        <w:t>1</w:t>
      </w:r>
      <w:r>
        <w:rPr>
          <w:rStyle w:val="18"/>
          <w:rFonts w:ascii="仿宋" w:eastAsia="仿宋"/>
          <w:bCs/>
          <w:sz w:val="32"/>
          <w:szCs w:val="32"/>
        </w:rPr>
        <w:t>.</w:t>
      </w:r>
      <w:r>
        <w:rPr>
          <w:rStyle w:val="18"/>
          <w:rFonts w:hint="eastAsia" w:ascii="仿宋_GB2312" w:eastAsia="仿宋_GB2312" w:cs="仿宋_GB2312"/>
          <w:sz w:val="32"/>
          <w:szCs w:val="32"/>
          <w:lang w:bidi="ar-SA"/>
        </w:rPr>
        <w:t>教育（类）</w:t>
      </w:r>
      <w:r>
        <w:rPr>
          <w:rStyle w:val="18"/>
          <w:rFonts w:hint="eastAsia" w:ascii="仿宋_GB2312" w:eastAsia="仿宋_GB2312" w:cs="仿宋_GB2312"/>
          <w:sz w:val="32"/>
          <w:szCs w:val="32"/>
          <w:lang w:val="en-US" w:eastAsia="zh-CN" w:bidi="ar-SA"/>
        </w:rPr>
        <w:t>其他教育支出</w:t>
      </w:r>
      <w:r>
        <w:rPr>
          <w:rStyle w:val="18"/>
          <w:rFonts w:hint="eastAsia" w:ascii="仿宋_GB2312" w:eastAsia="仿宋_GB2312" w:cs="仿宋_GB2312"/>
          <w:sz w:val="32"/>
          <w:szCs w:val="32"/>
          <w:lang w:bidi="ar-SA"/>
        </w:rPr>
        <w:t>（款）</w:t>
      </w:r>
      <w:r>
        <w:rPr>
          <w:rStyle w:val="18"/>
          <w:rFonts w:hint="eastAsia" w:ascii="仿宋_GB2312" w:eastAsia="仿宋_GB2312" w:cs="仿宋_GB2312"/>
          <w:sz w:val="32"/>
          <w:szCs w:val="32"/>
          <w:lang w:val="en-US" w:eastAsia="zh-CN" w:bidi="ar-SA"/>
        </w:rPr>
        <w:t>其他教育支出</w:t>
      </w:r>
      <w:r>
        <w:rPr>
          <w:rStyle w:val="18"/>
          <w:rFonts w:hint="eastAsia" w:ascii="仿宋_GB2312" w:eastAsia="仿宋_GB2312" w:cs="仿宋_GB2312"/>
          <w:sz w:val="32"/>
          <w:szCs w:val="32"/>
          <w:lang w:bidi="ar-SA"/>
        </w:rPr>
        <w:t>（项）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Fonts w:hint="eastAsia" w:ascii="宋体" w:cs="宋体"/>
          <w:color w:val="000000"/>
          <w:sz w:val="28"/>
          <w:szCs w:val="28"/>
          <w:lang w:val="en-US" w:eastAsia="zh-CN"/>
        </w:rPr>
        <w:t>712.56</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，决算数等于预算数。</w:t>
      </w:r>
    </w:p>
    <w:p w14:paraId="2DDFC66F">
      <w:pPr>
        <w:spacing w:line="600" w:lineRule="exact"/>
        <w:ind w:firstLine="643" w:firstLineChars="200"/>
        <w:rPr>
          <w:rFonts w:ascii="仿宋" w:eastAsia="仿宋"/>
          <w:b/>
          <w:sz w:val="32"/>
          <w:szCs w:val="32"/>
        </w:rPr>
      </w:pPr>
      <w:r>
        <w:rPr>
          <w:rStyle w:val="18"/>
          <w:rFonts w:hint="eastAsia" w:ascii="仿宋" w:eastAsia="仿宋"/>
          <w:bCs/>
          <w:sz w:val="32"/>
          <w:szCs w:val="32"/>
          <w:lang w:val="en-US" w:eastAsia="zh-CN"/>
        </w:rPr>
        <w:t>2</w:t>
      </w:r>
      <w:r>
        <w:rPr>
          <w:rStyle w:val="18"/>
          <w:rFonts w:ascii="仿宋" w:eastAsia="仿宋"/>
          <w:bCs/>
          <w:sz w:val="32"/>
          <w:szCs w:val="32"/>
        </w:rPr>
        <w:t>.</w:t>
      </w:r>
      <w:r>
        <w:rPr>
          <w:rStyle w:val="18"/>
          <w:rFonts w:hint="eastAsia" w:ascii="仿宋_GB2312" w:eastAsia="仿宋_GB2312" w:cs="仿宋_GB2312"/>
          <w:bCs/>
          <w:color w:val="000000"/>
          <w:sz w:val="32"/>
          <w:szCs w:val="32"/>
          <w:lang w:bidi="ar-SA"/>
        </w:rPr>
        <w:t>社会保障和就业（类）</w:t>
      </w:r>
      <w:r>
        <w:rPr>
          <w:rStyle w:val="18"/>
          <w:rFonts w:hint="eastAsia" w:ascii="仿宋_GB2312" w:eastAsia="仿宋_GB2312" w:cs="仿宋_GB2312"/>
          <w:bCs/>
          <w:color w:val="000000"/>
          <w:sz w:val="32"/>
          <w:szCs w:val="32"/>
          <w:lang w:val="en-US" w:eastAsia="zh-CN" w:bidi="ar-SA"/>
        </w:rPr>
        <w:t>事业单位</w:t>
      </w:r>
      <w:r>
        <w:rPr>
          <w:rStyle w:val="18"/>
          <w:rFonts w:hint="eastAsia" w:ascii="仿宋_GB2312" w:eastAsia="仿宋_GB2312" w:cs="仿宋_GB2312"/>
          <w:bCs/>
          <w:color w:val="000000"/>
          <w:sz w:val="32"/>
          <w:szCs w:val="32"/>
          <w:lang w:bidi="ar-SA"/>
        </w:rPr>
        <w:t>（款）社会保障和就业（项）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163.32</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，决算数等于预算数主。</w:t>
      </w:r>
    </w:p>
    <w:p w14:paraId="51EE0BB0">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3" w:firstLineChars="200"/>
        <w:textAlignment w:val="auto"/>
        <w:rPr>
          <w:rStyle w:val="18"/>
          <w:rFonts w:hint="eastAsia" w:ascii="仿宋" w:eastAsia="仿宋"/>
          <w:b w:val="0"/>
          <w:bCs/>
          <w:sz w:val="32"/>
          <w:szCs w:val="32"/>
        </w:rPr>
      </w:pPr>
      <w:r>
        <w:rPr>
          <w:rStyle w:val="18"/>
          <w:rFonts w:hint="eastAsia" w:ascii="仿宋" w:eastAsia="仿宋"/>
          <w:bCs/>
          <w:sz w:val="32"/>
          <w:szCs w:val="32"/>
          <w:lang w:val="en-US" w:eastAsia="zh-CN"/>
        </w:rPr>
        <w:t>3</w:t>
      </w:r>
      <w:r>
        <w:rPr>
          <w:rStyle w:val="18"/>
          <w:rFonts w:ascii="仿宋" w:eastAsia="仿宋"/>
          <w:bCs/>
          <w:sz w:val="32"/>
          <w:szCs w:val="32"/>
        </w:rPr>
        <w:t>.</w:t>
      </w:r>
      <w:r>
        <w:rPr>
          <w:rFonts w:hint="eastAsia" w:ascii="仿宋" w:eastAsia="仿宋"/>
          <w:b/>
          <w:bCs/>
          <w:sz w:val="32"/>
          <w:szCs w:val="32"/>
        </w:rPr>
        <w:t>卫生健康</w:t>
      </w:r>
      <w:r>
        <w:rPr>
          <w:rStyle w:val="18"/>
          <w:rFonts w:hint="eastAsia" w:ascii="仿宋" w:eastAsia="仿宋"/>
          <w:bCs/>
          <w:sz w:val="32"/>
          <w:szCs w:val="32"/>
        </w:rPr>
        <w:t>（类）</w:t>
      </w:r>
      <w:r>
        <w:rPr>
          <w:rStyle w:val="18"/>
          <w:rFonts w:hint="eastAsia" w:ascii="仿宋" w:eastAsia="仿宋"/>
          <w:bCs/>
          <w:sz w:val="32"/>
          <w:szCs w:val="32"/>
          <w:lang w:val="en-US" w:eastAsia="zh-CN"/>
        </w:rPr>
        <w:t>事业单位</w:t>
      </w:r>
      <w:r>
        <w:rPr>
          <w:rStyle w:val="18"/>
          <w:rFonts w:hint="eastAsia" w:ascii="仿宋" w:eastAsia="仿宋"/>
          <w:bCs/>
          <w:sz w:val="32"/>
          <w:szCs w:val="32"/>
        </w:rPr>
        <w:t>（款）</w:t>
      </w:r>
      <w:r>
        <w:rPr>
          <w:rFonts w:hint="eastAsia" w:ascii="仿宋" w:eastAsia="仿宋"/>
          <w:b/>
          <w:bCs/>
          <w:sz w:val="32"/>
          <w:szCs w:val="32"/>
        </w:rPr>
        <w:t>卫生健康</w:t>
      </w:r>
      <w:r>
        <w:rPr>
          <w:rStyle w:val="18"/>
          <w:rFonts w:hint="eastAsia" w:ascii="仿宋" w:eastAsia="仿宋"/>
          <w:bCs/>
          <w:sz w:val="32"/>
          <w:szCs w:val="32"/>
        </w:rPr>
        <w:t>（项）</w:t>
      </w:r>
      <w:r>
        <w:rPr>
          <w:rStyle w:val="18"/>
          <w:rFonts w:ascii="仿宋" w:eastAsia="仿宋"/>
          <w:bCs/>
          <w:sz w:val="32"/>
          <w:szCs w:val="32"/>
        </w:rPr>
        <w:t>:</w:t>
      </w:r>
      <w:r>
        <w:rPr>
          <w:rStyle w:val="18"/>
          <w:rFonts w:hint="eastAsia" w:ascii="仿宋" w:eastAsia="仿宋"/>
          <w:b w:val="0"/>
          <w:bCs/>
          <w:sz w:val="32"/>
          <w:szCs w:val="32"/>
        </w:rPr>
        <w:t>支出决算为</w:t>
      </w:r>
      <w:r>
        <w:rPr>
          <w:rFonts w:hint="eastAsia" w:ascii="宋体" w:cs="宋体"/>
          <w:color w:val="000000"/>
          <w:sz w:val="28"/>
          <w:szCs w:val="28"/>
          <w:lang w:val="en-US" w:eastAsia="zh-CN"/>
        </w:rPr>
        <w:t>67.97</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，决算数等于预算数。</w:t>
      </w:r>
    </w:p>
    <w:p w14:paraId="134A3736">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Style w:val="18"/>
          <w:rFonts w:hint="eastAsia" w:ascii="仿宋_GB2312" w:eastAsia="仿宋_GB2312" w:cs="仿宋_GB2312"/>
          <w:b w:val="0"/>
          <w:bCs/>
          <w:color w:val="000000"/>
          <w:sz w:val="32"/>
          <w:szCs w:val="32"/>
          <w:lang w:bidi="ar-SA"/>
        </w:rPr>
      </w:pPr>
      <w:r>
        <w:rPr>
          <w:rStyle w:val="18"/>
          <w:rFonts w:hint="eastAsia" w:ascii="仿宋" w:eastAsia="仿宋"/>
          <w:b w:val="0"/>
          <w:bCs/>
          <w:sz w:val="32"/>
          <w:szCs w:val="32"/>
          <w:lang w:val="en-US" w:eastAsia="zh-CN"/>
        </w:rPr>
        <w:t>4.</w:t>
      </w:r>
      <w:r>
        <w:rPr>
          <w:rStyle w:val="18"/>
          <w:rFonts w:hint="eastAsia" w:ascii="仿宋_GB2312" w:eastAsia="仿宋_GB2312" w:cs="仿宋_GB2312"/>
          <w:bCs/>
          <w:color w:val="000000"/>
          <w:sz w:val="32"/>
          <w:szCs w:val="32"/>
          <w:lang w:val="en-US" w:eastAsia="zh-CN" w:bidi="ar-SA"/>
        </w:rPr>
        <w:t>住房保障（类）住房改革支出（款）住房公积金（项）：</w:t>
      </w:r>
      <w:r>
        <w:rPr>
          <w:rStyle w:val="18"/>
          <w:rFonts w:hint="eastAsia" w:ascii="仿宋_GB2312" w:eastAsia="仿宋_GB2312" w:cs="仿宋_GB2312"/>
          <w:b w:val="0"/>
          <w:bCs/>
          <w:color w:val="000000"/>
          <w:sz w:val="32"/>
          <w:szCs w:val="32"/>
          <w:lang w:bidi="ar-SA"/>
        </w:rPr>
        <w:t>支出决算为</w:t>
      </w:r>
      <w:r>
        <w:rPr>
          <w:rFonts w:hint="eastAsia" w:ascii="宋体" w:cs="宋体"/>
          <w:color w:val="000000"/>
          <w:sz w:val="28"/>
          <w:szCs w:val="28"/>
          <w:lang w:val="en-US" w:eastAsia="zh-CN"/>
        </w:rPr>
        <w:t>91.31</w:t>
      </w:r>
      <w:r>
        <w:rPr>
          <w:rStyle w:val="18"/>
          <w:rFonts w:hint="eastAsia" w:ascii="仿宋_GB2312" w:eastAsia="仿宋_GB2312" w:cs="仿宋_GB2312"/>
          <w:b w:val="0"/>
          <w:bCs/>
          <w:color w:val="000000"/>
          <w:sz w:val="32"/>
          <w:szCs w:val="32"/>
          <w:lang w:bidi="ar-SA"/>
        </w:rPr>
        <w:t>万元，完成预算</w:t>
      </w:r>
      <w:r>
        <w:rPr>
          <w:rStyle w:val="18"/>
          <w:rFonts w:hint="eastAsia" w:ascii="仿宋_GB2312" w:eastAsia="仿宋_GB2312" w:cs="仿宋_GB2312"/>
          <w:b w:val="0"/>
          <w:bCs/>
          <w:color w:val="000000"/>
          <w:sz w:val="32"/>
          <w:szCs w:val="32"/>
          <w:lang w:val="en-US" w:eastAsia="zh-CN" w:bidi="ar-SA"/>
        </w:rPr>
        <w:t>100</w:t>
      </w:r>
      <w:r>
        <w:rPr>
          <w:rStyle w:val="18"/>
          <w:rFonts w:hint="eastAsia" w:ascii="仿宋_GB2312" w:eastAsia="仿宋_GB2312" w:cs="仿宋_GB2312"/>
          <w:b w:val="0"/>
          <w:bCs/>
          <w:color w:val="000000"/>
          <w:sz w:val="32"/>
          <w:szCs w:val="32"/>
          <w:lang w:bidi="ar-SA"/>
        </w:rPr>
        <w:t>%，决算数等于预算数。</w:t>
      </w:r>
    </w:p>
    <w:p w14:paraId="7BA747B2">
      <w:pPr>
        <w:pStyle w:val="2"/>
      </w:pPr>
    </w:p>
    <w:p w14:paraId="1C00E1D1">
      <w:pPr>
        <w:tabs>
          <w:tab w:val="right" w:pos="8306"/>
        </w:tabs>
        <w:spacing w:line="600" w:lineRule="exact"/>
        <w:ind w:firstLine="640"/>
        <w:outlineLvl w:val="1"/>
        <w:rPr>
          <w:rStyle w:val="21"/>
        </w:rPr>
      </w:pPr>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r>
        <w:rPr>
          <w:rStyle w:val="21"/>
          <w:rFonts w:ascii="黑体" w:eastAsia="黑体"/>
          <w:b w:val="0"/>
        </w:rPr>
        <w:tab/>
      </w:r>
    </w:p>
    <w:p w14:paraId="206C6488">
      <w:pPr>
        <w:spacing w:line="600" w:lineRule="exact"/>
        <w:ind w:firstLine="645"/>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年度一般公共预算财政拨款基本支出</w:t>
      </w:r>
      <w:r>
        <w:rPr>
          <w:rFonts w:hint="eastAsia" w:eastAsia="仿宋"/>
          <w:sz w:val="32"/>
          <w:szCs w:val="32"/>
          <w:lang w:val="en-US" w:eastAsia="zh-CN"/>
        </w:rPr>
        <w:t>1126.44</w:t>
      </w:r>
      <w:r>
        <w:rPr>
          <w:rFonts w:hint="eastAsia" w:ascii="仿宋" w:eastAsia="仿宋"/>
          <w:sz w:val="32"/>
          <w:szCs w:val="32"/>
        </w:rPr>
        <w:t>万元，其中：</w:t>
      </w:r>
    </w:p>
    <w:p w14:paraId="40591F70">
      <w:pPr>
        <w:widowControl/>
        <w:adjustRightInd w:val="0"/>
        <w:snapToGrid w:val="0"/>
        <w:spacing w:line="600" w:lineRule="exact"/>
        <w:ind w:firstLine="720"/>
        <w:jc w:val="left"/>
        <w:rPr>
          <w:rFonts w:hint="eastAsia" w:ascii="宋体" w:cs="宋体"/>
          <w:color w:val="000000"/>
          <w:sz w:val="28"/>
          <w:szCs w:val="28"/>
        </w:rPr>
      </w:pPr>
      <w:r>
        <w:rPr>
          <w:rFonts w:hint="eastAsia" w:ascii="仿宋" w:eastAsia="仿宋"/>
          <w:sz w:val="32"/>
          <w:szCs w:val="32"/>
        </w:rPr>
        <w:t>人员经费</w:t>
      </w:r>
      <w:r>
        <w:rPr>
          <w:rFonts w:hint="eastAsia" w:eastAsia="仿宋"/>
          <w:sz w:val="32"/>
          <w:szCs w:val="32"/>
          <w:lang w:val="en-US" w:eastAsia="zh-CN"/>
        </w:rPr>
        <w:t>1020.99</w:t>
      </w:r>
      <w:r>
        <w:rPr>
          <w:rFonts w:hint="eastAsia" w:ascii="仿宋" w:eastAsia="仿宋"/>
          <w:sz w:val="32"/>
          <w:szCs w:val="32"/>
        </w:rPr>
        <w:t>万元，主要包括：</w:t>
      </w:r>
      <w:r>
        <w:rPr>
          <w:rFonts w:hint="eastAsia" w:ascii="宋体" w:cs="宋体"/>
          <w:kern w:val="0"/>
          <w:sz w:val="28"/>
          <w:szCs w:val="28"/>
          <w:shd w:val="clear" w:color="auto" w:fill="FFFFFF"/>
        </w:rPr>
        <w:t>教育支出</w:t>
      </w:r>
      <w:r>
        <w:rPr>
          <w:rFonts w:hint="eastAsia" w:ascii="宋体" w:cs="宋体"/>
          <w:kern w:val="0"/>
          <w:sz w:val="28"/>
          <w:szCs w:val="28"/>
          <w:shd w:val="clear" w:color="auto" w:fill="FFFFFF"/>
          <w:lang w:val="en-US" w:eastAsia="zh-CN"/>
        </w:rPr>
        <w:t>712.96</w:t>
      </w:r>
      <w:r>
        <w:rPr>
          <w:rFonts w:hint="eastAsia" w:ascii="宋体" w:cs="宋体"/>
          <w:kern w:val="0"/>
          <w:sz w:val="28"/>
          <w:szCs w:val="28"/>
          <w:shd w:val="clear" w:color="auto" w:fill="FFFFFF"/>
        </w:rPr>
        <w:t>万元、医疗卫生与计划生育支出</w:t>
      </w:r>
      <w:r>
        <w:rPr>
          <w:rFonts w:hint="eastAsia" w:ascii="宋体" w:cs="宋体"/>
          <w:kern w:val="0"/>
          <w:sz w:val="28"/>
          <w:szCs w:val="28"/>
          <w:shd w:val="clear" w:color="auto" w:fill="FFFFFF"/>
          <w:lang w:val="en-US" w:eastAsia="zh-CN"/>
        </w:rPr>
        <w:t>67.97</w:t>
      </w:r>
      <w:r>
        <w:rPr>
          <w:rFonts w:hint="eastAsia" w:ascii="宋体" w:cs="宋体"/>
          <w:kern w:val="0"/>
          <w:sz w:val="28"/>
          <w:szCs w:val="28"/>
          <w:shd w:val="clear" w:color="auto" w:fill="FFFFFF"/>
        </w:rPr>
        <w:t>万元，住房公积金</w:t>
      </w:r>
      <w:r>
        <w:rPr>
          <w:rFonts w:hint="eastAsia" w:ascii="宋体" w:cs="宋体"/>
          <w:kern w:val="0"/>
          <w:sz w:val="28"/>
          <w:szCs w:val="28"/>
          <w:shd w:val="clear" w:color="auto" w:fill="FFFFFF"/>
          <w:lang w:val="en-US" w:eastAsia="zh-CN"/>
        </w:rPr>
        <w:t>91.31</w:t>
      </w:r>
      <w:r>
        <w:rPr>
          <w:rFonts w:hint="eastAsia" w:ascii="宋体" w:cs="宋体"/>
          <w:kern w:val="0"/>
          <w:sz w:val="28"/>
          <w:szCs w:val="28"/>
          <w:shd w:val="clear" w:color="auto" w:fill="FFFFFF"/>
        </w:rPr>
        <w:t>万元，养老、职业年金保险</w:t>
      </w:r>
      <w:r>
        <w:rPr>
          <w:rFonts w:hint="eastAsia" w:ascii="宋体" w:cs="宋体"/>
          <w:kern w:val="0"/>
          <w:sz w:val="28"/>
          <w:szCs w:val="28"/>
          <w:shd w:val="clear" w:color="auto" w:fill="FFFFFF"/>
          <w:lang w:val="en-US" w:eastAsia="zh-CN"/>
        </w:rPr>
        <w:t>163.32</w:t>
      </w:r>
      <w:r>
        <w:rPr>
          <w:rFonts w:hint="eastAsia" w:ascii="宋体" w:cs="宋体"/>
          <w:kern w:val="0"/>
          <w:sz w:val="28"/>
          <w:szCs w:val="28"/>
          <w:shd w:val="clear" w:color="auto" w:fill="FFFFFF"/>
        </w:rPr>
        <w:t>万元。</w:t>
      </w:r>
      <w:r>
        <w:rPr>
          <w:rFonts w:hint="eastAsia" w:ascii="宋体" w:cs="宋体"/>
          <w:color w:val="000000"/>
          <w:sz w:val="28"/>
          <w:szCs w:val="28"/>
        </w:rPr>
        <w:t xml:space="preserve">   </w:t>
      </w:r>
    </w:p>
    <w:p w14:paraId="5DFB63D3">
      <w:pPr>
        <w:widowControl/>
        <w:adjustRightInd w:val="0"/>
        <w:snapToGrid w:val="0"/>
        <w:spacing w:line="600" w:lineRule="exact"/>
        <w:ind w:firstLine="640" w:firstLineChars="200"/>
        <w:jc w:val="left"/>
        <w:rPr>
          <w:rFonts w:hint="eastAsia" w:ascii="宋体" w:cs="宋体"/>
          <w:kern w:val="0"/>
          <w:sz w:val="28"/>
          <w:szCs w:val="28"/>
          <w:shd w:val="clear" w:color="auto" w:fill="FFFFFF"/>
        </w:rPr>
      </w:pPr>
      <w:r>
        <w:rPr>
          <w:rFonts w:hint="eastAsia" w:ascii="仿宋" w:eastAsia="仿宋"/>
          <w:sz w:val="32"/>
          <w:szCs w:val="32"/>
        </w:rPr>
        <w:t>公用经费</w:t>
      </w:r>
      <w:r>
        <w:rPr>
          <w:sz w:val="32"/>
          <w:szCs w:val="32"/>
        </w:rPr>
        <w:t>14.</w:t>
      </w:r>
      <w:r>
        <w:rPr>
          <w:rFonts w:hint="eastAsia"/>
          <w:sz w:val="32"/>
          <w:szCs w:val="32"/>
          <w:lang w:val="en-US" w:eastAsia="zh-CN"/>
        </w:rPr>
        <w:t>5</w:t>
      </w:r>
      <w:r>
        <w:rPr>
          <w:sz w:val="32"/>
          <w:szCs w:val="32"/>
        </w:rPr>
        <w:t>7</w:t>
      </w:r>
      <w:r>
        <w:rPr>
          <w:rFonts w:hint="eastAsia" w:ascii="仿宋" w:eastAsia="仿宋"/>
          <w:sz w:val="32"/>
          <w:szCs w:val="32"/>
        </w:rPr>
        <w:t>万元，主要包括：</w:t>
      </w:r>
      <w:r>
        <w:rPr>
          <w:rFonts w:hint="eastAsia" w:ascii="宋体" w:cs="宋体"/>
          <w:kern w:val="0"/>
          <w:sz w:val="28"/>
          <w:szCs w:val="28"/>
          <w:shd w:val="clear" w:color="auto" w:fill="FFFFFF"/>
          <w:lang w:val="en-US" w:eastAsia="zh-CN"/>
        </w:rPr>
        <w:t>办公费</w:t>
      </w:r>
      <w:r>
        <w:rPr>
          <w:rFonts w:hint="eastAsia" w:ascii="宋体" w:cs="宋体"/>
          <w:kern w:val="0"/>
          <w:sz w:val="28"/>
          <w:szCs w:val="28"/>
          <w:shd w:val="clear" w:color="auto" w:fill="FFFFFF"/>
          <w:lang w:eastAsia="zh-CN"/>
        </w:rPr>
        <w:t>、</w:t>
      </w:r>
      <w:r>
        <w:rPr>
          <w:rFonts w:hint="eastAsia" w:ascii="宋体" w:cs="宋体"/>
          <w:kern w:val="0"/>
          <w:sz w:val="28"/>
          <w:szCs w:val="28"/>
          <w:shd w:val="clear" w:color="auto" w:fill="FFFFFF"/>
        </w:rPr>
        <w:t>邮电费</w:t>
      </w:r>
      <w:r>
        <w:rPr>
          <w:rFonts w:hint="eastAsia" w:ascii="宋体" w:cs="宋体"/>
          <w:kern w:val="0"/>
          <w:sz w:val="28"/>
          <w:szCs w:val="28"/>
          <w:shd w:val="clear" w:color="auto" w:fill="FFFFFF"/>
          <w:lang w:eastAsia="zh-CN"/>
        </w:rPr>
        <w:t>、</w:t>
      </w:r>
      <w:r>
        <w:rPr>
          <w:rFonts w:hint="eastAsia" w:ascii="宋体" w:cs="宋体"/>
          <w:kern w:val="0"/>
          <w:sz w:val="28"/>
          <w:szCs w:val="28"/>
          <w:shd w:val="clear" w:color="auto" w:fill="FFFFFF"/>
        </w:rPr>
        <w:t>印刷费</w:t>
      </w:r>
      <w:r>
        <w:rPr>
          <w:rFonts w:hint="eastAsia" w:ascii="宋体" w:cs="宋体"/>
          <w:kern w:val="0"/>
          <w:sz w:val="28"/>
          <w:szCs w:val="28"/>
          <w:shd w:val="clear" w:color="auto" w:fill="FFFFFF"/>
          <w:lang w:eastAsia="zh-CN"/>
        </w:rPr>
        <w:t>、</w:t>
      </w:r>
      <w:r>
        <w:rPr>
          <w:rFonts w:hint="eastAsia" w:ascii="宋体" w:cs="宋体"/>
          <w:kern w:val="0"/>
          <w:sz w:val="28"/>
          <w:szCs w:val="28"/>
          <w:shd w:val="clear" w:color="auto" w:fill="FFFFFF"/>
        </w:rPr>
        <w:t>电费</w:t>
      </w:r>
      <w:r>
        <w:rPr>
          <w:rFonts w:hint="eastAsia" w:ascii="宋体" w:cs="宋体"/>
          <w:kern w:val="0"/>
          <w:sz w:val="28"/>
          <w:szCs w:val="28"/>
          <w:shd w:val="clear" w:color="auto" w:fill="FFFFFF"/>
          <w:lang w:eastAsia="zh-CN"/>
        </w:rPr>
        <w:t>、</w:t>
      </w:r>
      <w:r>
        <w:rPr>
          <w:rFonts w:hint="eastAsia" w:ascii="宋体" w:cs="宋体"/>
          <w:kern w:val="0"/>
          <w:sz w:val="28"/>
          <w:szCs w:val="28"/>
          <w:shd w:val="clear" w:color="auto" w:fill="FFFFFF"/>
        </w:rPr>
        <w:t>维修维护费</w:t>
      </w:r>
      <w:r>
        <w:rPr>
          <w:rFonts w:hint="eastAsia" w:ascii="宋体" w:cs="宋体"/>
          <w:kern w:val="0"/>
          <w:sz w:val="28"/>
          <w:szCs w:val="28"/>
          <w:shd w:val="clear" w:color="auto" w:fill="FFFFFF"/>
          <w:lang w:eastAsia="zh-CN"/>
        </w:rPr>
        <w:t>、</w:t>
      </w:r>
      <w:r>
        <w:rPr>
          <w:rFonts w:hint="eastAsia" w:ascii="宋体" w:cs="宋体"/>
          <w:kern w:val="0"/>
          <w:sz w:val="28"/>
          <w:szCs w:val="28"/>
          <w:shd w:val="clear" w:color="auto" w:fill="FFFFFF"/>
        </w:rPr>
        <w:t>差旅费</w:t>
      </w:r>
      <w:r>
        <w:rPr>
          <w:rFonts w:hint="eastAsia" w:ascii="宋体" w:cs="宋体"/>
          <w:kern w:val="0"/>
          <w:sz w:val="28"/>
          <w:szCs w:val="28"/>
          <w:shd w:val="clear" w:color="auto" w:fill="FFFFFF"/>
          <w:lang w:eastAsia="zh-CN"/>
        </w:rPr>
        <w:t>、</w:t>
      </w:r>
      <w:r>
        <w:rPr>
          <w:rFonts w:hint="eastAsia" w:ascii="宋体" w:cs="宋体"/>
          <w:kern w:val="0"/>
          <w:sz w:val="28"/>
          <w:szCs w:val="28"/>
          <w:shd w:val="clear" w:color="auto" w:fill="FFFFFF"/>
        </w:rPr>
        <w:t>水费。</w:t>
      </w:r>
    </w:p>
    <w:p w14:paraId="046087AC">
      <w:pPr>
        <w:spacing w:line="600" w:lineRule="exact"/>
        <w:ind w:firstLine="640"/>
        <w:outlineLvl w:val="1"/>
        <w:rPr>
          <w:rStyle w:val="21"/>
          <w:rFonts w:ascii="黑体" w:eastAsia="黑体"/>
          <w:b w:val="0"/>
        </w:rPr>
      </w:pPr>
      <w:r>
        <w:rPr>
          <w:rFonts w:hint="eastAsia" w:ascii="黑体" w:eastAsia="黑体"/>
          <w:sz w:val="32"/>
          <w:szCs w:val="32"/>
        </w:rPr>
        <w:t>七、</w:t>
      </w:r>
      <w:r>
        <w:rPr>
          <w:rStyle w:val="21"/>
          <w:rFonts w:hint="eastAsia" w:ascii="黑体" w:eastAsia="黑体"/>
          <w:b w:val="0"/>
        </w:rPr>
        <w:t>财政拨款</w:t>
      </w:r>
      <w:r>
        <w:rPr>
          <w:rStyle w:val="21"/>
          <w:rFonts w:hint="eastAsia" w:ascii="黑体" w:eastAsia="黑体"/>
        </w:rPr>
        <w:t>“</w:t>
      </w:r>
      <w:r>
        <w:rPr>
          <w:rStyle w:val="21"/>
          <w:rFonts w:hint="eastAsia" w:ascii="黑体" w:eastAsia="黑体"/>
          <w:b w:val="0"/>
        </w:rPr>
        <w:t>三公”经费支出决算情况说明</w:t>
      </w:r>
    </w:p>
    <w:p w14:paraId="08BC04F8">
      <w:pPr>
        <w:spacing w:line="600" w:lineRule="exact"/>
        <w:ind w:firstLine="640"/>
        <w:outlineLvl w:val="2"/>
        <w:rPr>
          <w:rFonts w:ascii="仿宋" w:eastAsia="仿宋"/>
          <w:b/>
          <w:sz w:val="32"/>
          <w:szCs w:val="32"/>
        </w:rPr>
      </w:pPr>
      <w:r>
        <w:rPr>
          <w:rFonts w:hint="eastAsia" w:ascii="仿宋" w:eastAsia="仿宋"/>
          <w:b/>
          <w:sz w:val="32"/>
          <w:szCs w:val="32"/>
        </w:rPr>
        <w:t>（一）“三公”经费财政拨款支出决算总体情况说明</w:t>
      </w:r>
    </w:p>
    <w:p w14:paraId="7C063E38">
      <w:pPr>
        <w:spacing w:line="600" w:lineRule="exact"/>
        <w:ind w:firstLine="640"/>
        <w:rPr>
          <w:rFonts w:hint="eastAsia" w:ascii="仿宋" w:eastAsia="仿宋"/>
          <w:sz w:val="32"/>
          <w:szCs w:val="32"/>
          <w:lang w:val="en-US" w:eastAsia="zh-CN"/>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年度“三公”经费财政拨款支出决算为</w:t>
      </w:r>
      <w:r>
        <w:rPr>
          <w:sz w:val="32"/>
          <w:szCs w:val="32"/>
        </w:rPr>
        <w:t>0</w:t>
      </w:r>
      <w:r>
        <w:rPr>
          <w:rFonts w:hint="eastAsia" w:ascii="仿宋" w:eastAsia="仿宋"/>
          <w:sz w:val="32"/>
          <w:szCs w:val="32"/>
        </w:rPr>
        <w:t>万元，完成预算</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lang w:val="en-US" w:eastAsia="zh-CN"/>
        </w:rPr>
        <w:t>.</w:t>
      </w:r>
    </w:p>
    <w:p w14:paraId="602A15E3">
      <w:pPr>
        <w:spacing w:line="600" w:lineRule="exact"/>
        <w:ind w:firstLine="640"/>
        <w:outlineLvl w:val="2"/>
        <w:rPr>
          <w:rFonts w:ascii="仿宋" w:eastAsia="仿宋"/>
          <w:b/>
          <w:sz w:val="32"/>
          <w:szCs w:val="32"/>
        </w:rPr>
      </w:pPr>
      <w:r>
        <w:rPr>
          <w:rFonts w:hint="eastAsia" w:ascii="仿宋" w:eastAsia="仿宋"/>
          <w:b/>
          <w:sz w:val="32"/>
          <w:szCs w:val="32"/>
        </w:rPr>
        <w:t>（二）“三公”经费财政拨款支出决算具体情况说明</w:t>
      </w:r>
    </w:p>
    <w:p w14:paraId="608B2E9F">
      <w:pPr>
        <w:spacing w:line="600" w:lineRule="exact"/>
        <w:ind w:firstLine="640"/>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年度“三公”经费财政拨款支出决算中，因公出国（境）费支出决算</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；公务用车购置及运行维护费支出决算</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；公务接待费支出决算</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。具体情况如下：</w:t>
      </w:r>
    </w:p>
    <w:p w14:paraId="2EECECD0">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8"/>
          <w:rFonts w:hint="eastAsia" w:ascii="仿宋" w:eastAsia="仿宋"/>
          <w:b w:val="0"/>
          <w:bCs/>
          <w:sz w:val="32"/>
          <w:szCs w:val="32"/>
        </w:rPr>
        <w:t>完成预算</w:t>
      </w:r>
      <w:r>
        <w:rPr>
          <w:sz w:val="32"/>
          <w:szCs w:val="32"/>
        </w:rPr>
        <w:t>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14:paraId="25F06A84">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0</w:t>
      </w:r>
      <w:r>
        <w:rPr>
          <w:rFonts w:hint="eastAsia" w:ascii="仿宋_GB2312" w:eastAsia="仿宋_GB2312"/>
          <w:sz w:val="32"/>
          <w:szCs w:val="32"/>
        </w:rPr>
        <w:t>万元,</w:t>
      </w:r>
      <w:r>
        <w:rPr>
          <w:rStyle w:val="18"/>
          <w:rFonts w:hint="eastAsia" w:ascii="仿宋" w:eastAsia="仿宋"/>
          <w:b w:val="0"/>
          <w:bCs/>
          <w:sz w:val="32"/>
          <w:szCs w:val="32"/>
        </w:rPr>
        <w:t>完成预算</w:t>
      </w:r>
      <w:r>
        <w:rPr>
          <w:sz w:val="32"/>
          <w:szCs w:val="32"/>
        </w:rPr>
        <w:t>0</w:t>
      </w:r>
      <w:r>
        <w:rPr>
          <w:rStyle w:val="18"/>
          <w:rFonts w:ascii="仿宋" w:eastAsia="仿宋"/>
          <w:b w:val="0"/>
          <w:bCs/>
          <w:sz w:val="32"/>
          <w:szCs w:val="32"/>
        </w:rPr>
        <w:t>%</w:t>
      </w:r>
      <w:r>
        <w:rPr>
          <w:rStyle w:val="18"/>
          <w:rFonts w:hint="eastAsia" w:ascii="仿宋" w:eastAsia="仿宋"/>
          <w:b w:val="0"/>
          <w:bCs/>
          <w:sz w:val="32"/>
          <w:szCs w:val="32"/>
        </w:rPr>
        <w:t>。</w:t>
      </w:r>
    </w:p>
    <w:p w14:paraId="32010589">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b/>
          <w:sz w:val="32"/>
          <w:szCs w:val="32"/>
        </w:rPr>
        <w:t>公务用车运行维护费支出</w:t>
      </w:r>
      <w:r>
        <w:rPr>
          <w:sz w:val="32"/>
          <w:szCs w:val="32"/>
        </w:rPr>
        <w:t>0</w:t>
      </w:r>
      <w:r>
        <w:rPr>
          <w:rFonts w:hint="eastAsia" w:ascii="仿宋_GB2312" w:eastAsia="仿宋_GB2312"/>
          <w:sz w:val="32"/>
          <w:szCs w:val="32"/>
        </w:rPr>
        <w:t>万元。</w:t>
      </w:r>
    </w:p>
    <w:p w14:paraId="2AD5446C">
      <w:pPr>
        <w:spacing w:line="600" w:lineRule="exact"/>
        <w:ind w:left="0" w:firstLine="643" w:firstLineChars="200"/>
        <w:rPr>
          <w:rStyle w:val="18"/>
          <w:rFonts w:hint="eastAsia" w:ascii="仿宋" w:eastAsia="仿宋"/>
          <w:b w:val="0"/>
          <w:bCs/>
          <w:sz w:val="32"/>
          <w:szCs w:val="32"/>
        </w:rPr>
      </w:pPr>
      <w:r>
        <w:rPr>
          <w:rFonts w:hint="eastAsia" w:ascii="仿宋_GB2312" w:eastAsia="仿宋_GB2312"/>
          <w:b/>
          <w:sz w:val="32"/>
          <w:szCs w:val="32"/>
          <w:lang w:val="en-US" w:eastAsia="zh-CN"/>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18"/>
          <w:rFonts w:hint="eastAsia" w:ascii="仿宋" w:eastAsia="仿宋"/>
          <w:b w:val="0"/>
          <w:bCs/>
          <w:sz w:val="32"/>
          <w:szCs w:val="32"/>
        </w:rPr>
        <w:t>完成预算</w:t>
      </w:r>
      <w:r>
        <w:rPr>
          <w:sz w:val="32"/>
          <w:szCs w:val="32"/>
        </w:rPr>
        <w:t>0%</w:t>
      </w:r>
      <w:r>
        <w:rPr>
          <w:rStyle w:val="18"/>
          <w:rFonts w:hint="eastAsia" w:ascii="仿宋" w:eastAsia="仿宋"/>
          <w:b w:val="0"/>
          <w:bCs/>
          <w:sz w:val="32"/>
          <w:szCs w:val="32"/>
        </w:rPr>
        <w:t>。</w:t>
      </w:r>
    </w:p>
    <w:p w14:paraId="4DF7F725">
      <w:pPr>
        <w:spacing w:line="600" w:lineRule="exact"/>
        <w:ind w:left="0" w:firstLine="643" w:firstLineChars="200"/>
        <w:rPr>
          <w:rFonts w:hint="eastAsia" w:ascii="仿宋_GB2312" w:eastAsia="仿宋_GB2312"/>
          <w:sz w:val="32"/>
          <w:szCs w:val="32"/>
        </w:rPr>
      </w:pPr>
      <w:r>
        <w:rPr>
          <w:rFonts w:hint="eastAsia" w:ascii="仿宋" w:eastAsia="仿宋"/>
          <w:b/>
          <w:sz w:val="32"/>
          <w:szCs w:val="32"/>
          <w:lang w:val="en-US" w:eastAsia="zh-CN"/>
        </w:rPr>
        <w:t>4.</w:t>
      </w:r>
      <w:r>
        <w:rPr>
          <w:rFonts w:hint="eastAsia" w:ascii="仿宋" w:eastAsia="仿宋"/>
          <w:b/>
          <w:sz w:val="32"/>
          <w:szCs w:val="32"/>
        </w:rPr>
        <w:t>国内公务接待支出</w:t>
      </w:r>
      <w:r>
        <w:rPr>
          <w:rFonts w:hint="eastAsia" w:ascii="仿宋" w:eastAsia="仿宋"/>
          <w:b/>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 w:eastAsia="仿宋"/>
          <w:b/>
          <w:sz w:val="32"/>
          <w:szCs w:val="32"/>
        </w:rPr>
        <w:t>外事接待支出</w:t>
      </w:r>
      <w:r>
        <w:rPr>
          <w:rFonts w:hint="eastAsia" w:ascii="仿宋" w:eastAsia="仿宋"/>
          <w:b/>
          <w:sz w:val="32"/>
          <w:szCs w:val="32"/>
          <w:lang w:val="en-US" w:eastAsia="zh-CN"/>
        </w:rPr>
        <w:t>0</w:t>
      </w:r>
      <w:r>
        <w:rPr>
          <w:rFonts w:hint="eastAsia" w:ascii="仿宋_GB2312" w:eastAsia="仿宋_GB2312"/>
          <w:sz w:val="32"/>
          <w:szCs w:val="32"/>
        </w:rPr>
        <w:t>万元，</w:t>
      </w:r>
    </w:p>
    <w:bookmarkEnd w:id="26"/>
    <w:bookmarkEnd w:id="27"/>
    <w:p w14:paraId="018B234F">
      <w:pPr>
        <w:spacing w:line="600" w:lineRule="exact"/>
        <w:ind w:firstLine="640"/>
        <w:outlineLvl w:val="1"/>
        <w:rPr>
          <w:rStyle w:val="21"/>
          <w:rFonts w:ascii="Times New Roman" w:hAnsi="Times New Roman" w:eastAsia="黑体"/>
          <w:color w:val="auto"/>
          <w:highlight w:val="none"/>
        </w:rPr>
      </w:pPr>
      <w:bookmarkStart w:id="28" w:name="_Toc15377218"/>
      <w:bookmarkStart w:id="29" w:name="_Toc15396610"/>
      <w:r>
        <w:rPr>
          <w:rFonts w:hint="eastAsia" w:ascii="Times New Roman" w:hAnsi="Times New Roman" w:eastAsia="黑体"/>
          <w:color w:val="auto"/>
          <w:sz w:val="32"/>
          <w:szCs w:val="32"/>
          <w:highlight w:val="none"/>
        </w:rPr>
        <w:t>八、</w:t>
      </w:r>
      <w:r>
        <w:rPr>
          <w:rStyle w:val="21"/>
          <w:rFonts w:hint="eastAsia" w:ascii="Times New Roman" w:hAnsi="Times New Roman" w:eastAsia="黑体"/>
          <w:b w:val="0"/>
          <w:color w:val="auto"/>
          <w:highlight w:val="none"/>
        </w:rPr>
        <w:t>政府性基金预算支出决算情况说明</w:t>
      </w:r>
      <w:bookmarkEnd w:id="28"/>
      <w:bookmarkEnd w:id="29"/>
    </w:p>
    <w:p w14:paraId="6110046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2024年度政府性基金预算财政拨款支出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无</w:t>
      </w:r>
      <w:r>
        <w:rPr>
          <w:rFonts w:hint="eastAsia" w:ascii="Times New Roman" w:hAnsi="Times New Roman" w:eastAsia="仿宋_GB2312" w:cs="仿宋_GB2312"/>
          <w:color w:val="auto"/>
          <w:kern w:val="2"/>
          <w:sz w:val="32"/>
          <w:szCs w:val="32"/>
          <w:highlight w:val="none"/>
          <w:lang w:val="en-US" w:eastAsia="zh-CN" w:bidi="ar-SA"/>
        </w:rPr>
        <w:t>政府性基金预算支出</w:t>
      </w:r>
    </w:p>
    <w:p w14:paraId="05EE7C4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DCBAEC6">
      <w:pPr>
        <w:spacing w:line="600" w:lineRule="exact"/>
        <w:ind w:left="630"/>
        <w:outlineLvl w:val="1"/>
        <w:rPr>
          <w:rStyle w:val="21"/>
          <w:rFonts w:ascii="Times New Roman" w:hAnsi="Times New Roman" w:eastAsia="黑体"/>
          <w:b w:val="0"/>
          <w:color w:val="auto"/>
          <w:highlight w:val="none"/>
        </w:rPr>
      </w:pPr>
      <w:bookmarkStart w:id="30" w:name="_Toc15396611"/>
      <w:bookmarkStart w:id="31" w:name="_Toc15377219"/>
      <w:r>
        <w:rPr>
          <w:rStyle w:val="21"/>
          <w:rFonts w:hint="eastAsia" w:ascii="Times New Roman" w:hAnsi="Times New Roman" w:eastAsia="黑体"/>
          <w:b w:val="0"/>
          <w:color w:val="auto"/>
          <w:highlight w:val="none"/>
          <w:lang w:eastAsia="zh-CN"/>
        </w:rPr>
        <w:t>九、</w:t>
      </w:r>
      <w:r>
        <w:rPr>
          <w:rStyle w:val="21"/>
          <w:rFonts w:hint="eastAsia" w:ascii="Times New Roman" w:hAnsi="Times New Roman" w:eastAsia="黑体"/>
          <w:b w:val="0"/>
          <w:color w:val="auto"/>
          <w:highlight w:val="none"/>
        </w:rPr>
        <w:t>国有资本经营预算支出决算情况说明</w:t>
      </w:r>
      <w:bookmarkEnd w:id="30"/>
      <w:bookmarkEnd w:id="31"/>
    </w:p>
    <w:p w14:paraId="579B60D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14:paraId="7F4CD082">
      <w:pPr>
        <w:spacing w:line="600" w:lineRule="exact"/>
        <w:ind w:left="630"/>
        <w:outlineLvl w:val="1"/>
        <w:rPr>
          <w:rStyle w:val="21"/>
          <w:rFonts w:hint="eastAsia" w:ascii="Times New Roman" w:hAnsi="Times New Roman" w:eastAsia="黑体"/>
          <w:b w:val="0"/>
          <w:color w:val="auto"/>
          <w:highlight w:val="none"/>
        </w:rPr>
      </w:pPr>
      <w:bookmarkStart w:id="32" w:name="_Toc15396612"/>
      <w:bookmarkStart w:id="33" w:name="_Toc15377221"/>
      <w:r>
        <w:rPr>
          <w:rStyle w:val="21"/>
          <w:rFonts w:hint="eastAsia" w:ascii="Times New Roman" w:hAnsi="Times New Roman" w:eastAsia="黑体"/>
          <w:b w:val="0"/>
          <w:color w:val="auto"/>
          <w:highlight w:val="none"/>
          <w:lang w:eastAsia="zh-CN"/>
        </w:rPr>
        <w:t>十、</w:t>
      </w:r>
      <w:r>
        <w:rPr>
          <w:rStyle w:val="21"/>
          <w:rFonts w:hint="eastAsia" w:ascii="Times New Roman" w:hAnsi="Times New Roman" w:eastAsia="黑体"/>
          <w:b w:val="0"/>
          <w:color w:val="auto"/>
          <w:highlight w:val="none"/>
        </w:rPr>
        <w:t>其他重要事项的情况说明</w:t>
      </w:r>
      <w:bookmarkEnd w:id="32"/>
      <w:bookmarkEnd w:id="33"/>
    </w:p>
    <w:p w14:paraId="60C266F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4" w:name="_Toc15377222"/>
      <w:r>
        <w:rPr>
          <w:rFonts w:hint="eastAsia" w:ascii="Times New Roman" w:hAnsi="Times New Roman" w:eastAsia="楷体_GB2312" w:cs="楷体_GB2312"/>
          <w:b/>
          <w:color w:val="auto"/>
          <w:sz w:val="32"/>
          <w:szCs w:val="32"/>
          <w:highlight w:val="none"/>
        </w:rPr>
        <w:t>（一）机关运行经费支出情况</w:t>
      </w:r>
      <w:bookmarkEnd w:id="34"/>
    </w:p>
    <w:p w14:paraId="0F59D9B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eastAsia="仿宋_GB2312" w:cs="仿宋_GB2312"/>
          <w:color w:val="auto"/>
          <w:kern w:val="2"/>
          <w:sz w:val="32"/>
          <w:szCs w:val="32"/>
          <w:highlight w:val="none"/>
          <w:lang w:val="en-US" w:eastAsia="zh-CN" w:bidi="ar-SA"/>
        </w:rPr>
        <w:t>，</w:t>
      </w:r>
      <w:r>
        <w:rPr>
          <w:rFonts w:hint="eastAsia" w:ascii="仿宋_GB2312" w:eastAsia="仿宋_GB2312" w:cs="仿宋_GB2312"/>
          <w:sz w:val="32"/>
          <w:szCs w:val="32"/>
        </w:rPr>
        <w:t>金川县机关幼儿园</w:t>
      </w:r>
      <w:r>
        <w:rPr>
          <w:rFonts w:hint="eastAsia" w:ascii="仿宋_GB2312" w:eastAsia="仿宋_GB2312" w:cs="仿宋_GB2312"/>
          <w:color w:val="auto"/>
          <w:kern w:val="2"/>
          <w:sz w:val="32"/>
          <w:szCs w:val="32"/>
          <w:highlight w:val="none"/>
          <w:lang w:val="en-US" w:eastAsia="zh-CN" w:bidi="ar-SA"/>
        </w:rPr>
        <w:t>机关运行经费支出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元，主要原因是</w:t>
      </w:r>
      <w:r>
        <w:rPr>
          <w:rFonts w:hint="eastAsia" w:eastAsia="仿宋_GB2312" w:cs="仿宋_GB2312"/>
          <w:color w:val="auto"/>
          <w:kern w:val="2"/>
          <w:sz w:val="32"/>
          <w:szCs w:val="32"/>
          <w:highlight w:val="none"/>
          <w:lang w:val="en-US" w:eastAsia="zh-CN" w:bidi="ar-SA"/>
        </w:rPr>
        <w:t>无</w:t>
      </w:r>
      <w:r>
        <w:rPr>
          <w:rFonts w:hint="eastAsia" w:ascii="Times New Roman" w:hAnsi="Times New Roman" w:eastAsia="仿宋_GB2312" w:cs="仿宋_GB2312"/>
          <w:color w:val="auto"/>
          <w:kern w:val="2"/>
          <w:sz w:val="32"/>
          <w:szCs w:val="32"/>
          <w:highlight w:val="none"/>
          <w:lang w:val="en-US" w:eastAsia="zh-CN" w:bidi="ar-SA"/>
        </w:rPr>
        <w:t>机关运行经费支出</w:t>
      </w:r>
      <w:r>
        <w:rPr>
          <w:rFonts w:hint="eastAsia" w:eastAsia="仿宋_GB2312" w:cs="仿宋_GB2312"/>
          <w:color w:val="auto"/>
          <w:kern w:val="2"/>
          <w:sz w:val="32"/>
          <w:szCs w:val="32"/>
          <w:highlight w:val="none"/>
          <w:lang w:val="en-US" w:eastAsia="zh-CN" w:bidi="ar-SA"/>
        </w:rPr>
        <w:t>。</w:t>
      </w:r>
    </w:p>
    <w:p w14:paraId="72DA1AF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5" w:name="_Toc15377223"/>
      <w:r>
        <w:rPr>
          <w:rFonts w:hint="eastAsia" w:ascii="Times New Roman" w:hAnsi="Times New Roman" w:eastAsia="楷体_GB2312" w:cs="楷体_GB2312"/>
          <w:b/>
          <w:color w:val="auto"/>
          <w:sz w:val="32"/>
          <w:szCs w:val="32"/>
          <w:highlight w:val="none"/>
        </w:rPr>
        <w:t>（二）政府采购支出情况</w:t>
      </w:r>
      <w:bookmarkEnd w:id="35"/>
    </w:p>
    <w:p w14:paraId="69BFAE7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w:t>
      </w:r>
      <w:r>
        <w:rPr>
          <w:rFonts w:hint="eastAsia" w:ascii="仿宋_GB2312" w:eastAsia="仿宋_GB2312" w:cs="仿宋_GB2312"/>
          <w:sz w:val="32"/>
          <w:szCs w:val="32"/>
        </w:rPr>
        <w:t>金川县机关幼儿园</w:t>
      </w:r>
      <w:r>
        <w:rPr>
          <w:rFonts w:hint="eastAsia" w:ascii="仿宋_GB2312" w:eastAsia="仿宋_GB2312" w:cs="仿宋_GB2312"/>
          <w:color w:val="auto"/>
          <w:kern w:val="2"/>
          <w:sz w:val="32"/>
          <w:szCs w:val="32"/>
          <w:highlight w:val="none"/>
          <w:lang w:val="en-US" w:eastAsia="zh-CN" w:bidi="ar-SA"/>
        </w:rPr>
        <w:t>政府采购支出总额</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万元，其中：政府采购货物支出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万元、政府采购工程支出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万元、政府采购服务支出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万元。授予中小企业合同金额</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%，其中：授予小微企业合同金额</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p>
    <w:p w14:paraId="6D0B82F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6" w:name="_Toc15377224"/>
      <w:r>
        <w:rPr>
          <w:rFonts w:hint="eastAsia" w:ascii="Times New Roman" w:hAnsi="Times New Roman" w:eastAsia="楷体_GB2312" w:cs="楷体_GB2312"/>
          <w:b/>
          <w:color w:val="auto"/>
          <w:sz w:val="32"/>
          <w:szCs w:val="32"/>
          <w:highlight w:val="none"/>
        </w:rPr>
        <w:t>（三）国有资产占有使用情况</w:t>
      </w:r>
      <w:bookmarkEnd w:id="36"/>
    </w:p>
    <w:p w14:paraId="06DAABB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截至2024年12月31日，</w:t>
      </w:r>
      <w:r>
        <w:rPr>
          <w:rFonts w:hint="eastAsia" w:ascii="仿宋_GB2312" w:eastAsia="仿宋_GB2312" w:cs="仿宋_GB2312"/>
          <w:sz w:val="32"/>
          <w:szCs w:val="32"/>
        </w:rPr>
        <w:t>金川县机关幼儿园</w:t>
      </w:r>
      <w:r>
        <w:rPr>
          <w:rFonts w:hint="eastAsia" w:ascii="仿宋_GB2312" w:eastAsia="仿宋_GB2312" w:cs="仿宋_GB2312"/>
          <w:color w:val="auto"/>
          <w:kern w:val="2"/>
          <w:sz w:val="32"/>
          <w:szCs w:val="32"/>
          <w:highlight w:val="none"/>
          <w:lang w:val="en-US" w:eastAsia="zh-CN" w:bidi="ar-SA"/>
        </w:rPr>
        <w:t>共有车辆</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辆，其中：主要负责人用车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辆、机要通信用车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辆、应急保障用车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辆、其他用车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辆，单价100万元（含）以上设备（不含车辆）</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3ABCEA6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41E1FEA9">
      <w:pPr>
        <w:ind w:left="0" w:firstLine="640" w:firstLineChars="200"/>
        <w:rPr>
          <w:rFonts w:hint="eastAsia" w:ascii="仿宋_GB2312" w:eastAsia="仿宋_GB2312" w:cs="仿宋_GB2312"/>
          <w:color w:val="auto"/>
          <w:sz w:val="32"/>
          <w:szCs w:val="32"/>
          <w:highlight w:val="none"/>
          <w:lang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金川县机关幼儿园</w:t>
      </w:r>
      <w:r>
        <w:rPr>
          <w:rFonts w:hint="eastAsia" w:ascii="Times New Roman" w:hAnsi="Times New Roman" w:eastAsia="仿宋_GB2312" w:cs="仿宋_GB2312"/>
          <w:color w:val="auto"/>
          <w:kern w:val="2"/>
          <w:sz w:val="32"/>
          <w:szCs w:val="32"/>
          <w:highlight w:val="none"/>
          <w:lang w:val="en-US" w:eastAsia="zh-CN" w:bidi="ar-SA"/>
        </w:rPr>
        <w:t>在2024年度预算编制阶段，</w:t>
      </w:r>
      <w:r>
        <w:rPr>
          <w:rFonts w:hint="eastAsia" w:ascii="仿宋_GB2312" w:eastAsia="仿宋_GB2312" w:cs="仿宋_GB2312"/>
          <w:color w:val="auto"/>
          <w:sz w:val="32"/>
          <w:szCs w:val="32"/>
          <w:highlight w:val="none"/>
          <w:lang w:bidi="ar-SA"/>
        </w:rPr>
        <w:t>根据预算绩效管理要求，本单位在202</w:t>
      </w:r>
      <w:r>
        <w:rPr>
          <w:rFonts w:hint="eastAsia" w:cs="仿宋_GB2312"/>
          <w:color w:val="auto"/>
          <w:sz w:val="32"/>
          <w:szCs w:val="32"/>
          <w:highlight w:val="none"/>
          <w:lang w:val="en-US" w:eastAsia="zh-CN" w:bidi="ar-SA"/>
        </w:rPr>
        <w:t>3</w:t>
      </w:r>
      <w:r>
        <w:rPr>
          <w:rFonts w:hint="eastAsia" w:ascii="仿宋_GB2312" w:eastAsia="仿宋_GB2312" w:cs="仿宋_GB2312"/>
          <w:color w:val="auto"/>
          <w:sz w:val="32"/>
          <w:szCs w:val="32"/>
          <w:highlight w:val="none"/>
          <w:lang w:bidi="ar-SA"/>
        </w:rPr>
        <w:t>年度预算编制阶段，组织对</w:t>
      </w:r>
      <w:r>
        <w:rPr>
          <w:rFonts w:hint="eastAsia" w:cs="仿宋_GB2312"/>
          <w:color w:val="auto"/>
          <w:sz w:val="32"/>
          <w:szCs w:val="32"/>
          <w:highlight w:val="none"/>
          <w:lang w:val="en-US" w:eastAsia="zh-CN" w:bidi="ar-SA"/>
        </w:rPr>
        <w:t>工资性支出</w:t>
      </w:r>
      <w:r>
        <w:rPr>
          <w:rFonts w:hint="eastAsia" w:ascii="仿宋_GB2312" w:eastAsia="仿宋_GB2312" w:cs="仿宋_GB2312"/>
          <w:color w:val="auto"/>
          <w:sz w:val="32"/>
          <w:szCs w:val="32"/>
          <w:highlight w:val="none"/>
          <w:lang w:bidi="ar-SA"/>
        </w:rPr>
        <w:t>等</w:t>
      </w:r>
      <w:r>
        <w:rPr>
          <w:rFonts w:hint="eastAsia" w:cs="仿宋_GB2312"/>
          <w:color w:val="auto"/>
          <w:sz w:val="32"/>
          <w:szCs w:val="32"/>
          <w:highlight w:val="none"/>
          <w:lang w:val="en-US" w:eastAsia="zh-CN" w:bidi="ar-SA"/>
        </w:rPr>
        <w:t>22</w:t>
      </w:r>
      <w:r>
        <w:rPr>
          <w:rFonts w:hint="eastAsia" w:ascii="仿宋_GB2312" w:eastAsia="仿宋_GB2312" w:cs="仿宋_GB2312"/>
          <w:color w:val="auto"/>
          <w:sz w:val="32"/>
          <w:szCs w:val="32"/>
          <w:highlight w:val="none"/>
          <w:lang w:bidi="ar-SA"/>
        </w:rPr>
        <w:t>个项目开展了预算事前绩效评估，对</w:t>
      </w:r>
      <w:r>
        <w:rPr>
          <w:rFonts w:hint="eastAsia" w:cs="仿宋_GB2312"/>
          <w:color w:val="auto"/>
          <w:sz w:val="32"/>
          <w:szCs w:val="32"/>
          <w:highlight w:val="none"/>
          <w:lang w:val="en-US" w:eastAsia="zh-CN" w:bidi="ar-SA"/>
        </w:rPr>
        <w:t>22</w:t>
      </w:r>
      <w:r>
        <w:rPr>
          <w:rFonts w:hint="eastAsia" w:ascii="仿宋_GB2312" w:eastAsia="仿宋_GB2312" w:cs="仿宋_GB2312"/>
          <w:color w:val="auto"/>
          <w:sz w:val="32"/>
          <w:szCs w:val="32"/>
          <w:highlight w:val="none"/>
          <w:lang w:bidi="ar-SA"/>
        </w:rPr>
        <w:t>个项目编制了绩效目标，预算执行过程中，选取</w:t>
      </w:r>
      <w:r>
        <w:rPr>
          <w:rFonts w:hint="eastAsia" w:cs="仿宋_GB2312"/>
          <w:color w:val="auto"/>
          <w:sz w:val="32"/>
          <w:szCs w:val="32"/>
          <w:highlight w:val="none"/>
          <w:lang w:val="en-US" w:eastAsia="zh-CN" w:bidi="ar-SA"/>
        </w:rPr>
        <w:t>22</w:t>
      </w:r>
      <w:r>
        <w:rPr>
          <w:rFonts w:hint="eastAsia" w:ascii="仿宋_GB2312" w:eastAsia="仿宋_GB2312" w:cs="仿宋_GB2312"/>
          <w:color w:val="auto"/>
          <w:sz w:val="32"/>
          <w:szCs w:val="32"/>
          <w:highlight w:val="none"/>
          <w:lang w:bidi="ar-SA"/>
        </w:rPr>
        <w:t>个项目开展绩效监控，组织对</w:t>
      </w:r>
      <w:r>
        <w:rPr>
          <w:rFonts w:hint="eastAsia" w:cs="仿宋_GB2312"/>
          <w:color w:val="auto"/>
          <w:sz w:val="32"/>
          <w:szCs w:val="32"/>
          <w:highlight w:val="none"/>
          <w:lang w:val="en-US" w:eastAsia="zh-CN" w:bidi="ar-SA"/>
        </w:rPr>
        <w:t>22</w:t>
      </w:r>
      <w:r>
        <w:rPr>
          <w:rFonts w:hint="eastAsia" w:ascii="仿宋_GB2312" w:eastAsia="仿宋_GB2312" w:cs="仿宋_GB2312"/>
          <w:color w:val="auto"/>
          <w:sz w:val="32"/>
          <w:szCs w:val="32"/>
          <w:highlight w:val="none"/>
          <w:lang w:bidi="ar-SA"/>
        </w:rPr>
        <w:t>个项目开展绩效自评，绩效自评表详见</w:t>
      </w:r>
      <w:r>
        <w:rPr>
          <w:rFonts w:hint="eastAsia" w:cs="仿宋_GB2312"/>
          <w:color w:val="auto"/>
          <w:sz w:val="32"/>
          <w:szCs w:val="32"/>
          <w:highlight w:val="none"/>
          <w:lang w:eastAsia="zh-CN" w:bidi="ar-SA"/>
        </w:rPr>
        <w:t>第四部分</w:t>
      </w:r>
      <w:r>
        <w:rPr>
          <w:rFonts w:hint="eastAsia" w:ascii="仿宋_GB2312" w:eastAsia="仿宋_GB2312" w:cs="仿宋_GB2312"/>
          <w:color w:val="auto"/>
          <w:sz w:val="32"/>
          <w:szCs w:val="32"/>
          <w:highlight w:val="none"/>
          <w:lang w:bidi="ar-SA"/>
        </w:rPr>
        <w:t>附件。</w:t>
      </w:r>
    </w:p>
    <w:p w14:paraId="5C1DA80D">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14:paraId="3774F477">
      <w:pPr>
        <w:spacing w:line="600" w:lineRule="exact"/>
        <w:ind w:left="0" w:firstLine="1760" w:firstLineChars="400"/>
        <w:jc w:val="both"/>
        <w:outlineLvl w:val="0"/>
        <w:rPr>
          <w:rFonts w:hint="eastAsia" w:ascii="Times New Roman" w:hAnsi="Times New Roman" w:eastAsia="黑体"/>
          <w:color w:val="auto"/>
          <w:sz w:val="44"/>
          <w:szCs w:val="44"/>
          <w:highlight w:val="none"/>
        </w:rPr>
      </w:pPr>
      <w:bookmarkStart w:id="37" w:name="_Toc15377225"/>
      <w:bookmarkStart w:id="38"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37"/>
      <w:bookmarkEnd w:id="38"/>
    </w:p>
    <w:p w14:paraId="66608631">
      <w:pPr>
        <w:pStyle w:val="26"/>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hint="eastAsia" w:ascii="仿宋_GB2312" w:eastAsia="仿宋_GB2312"/>
          <w:sz w:val="32"/>
          <w:szCs w:val="32"/>
        </w:rPr>
      </w:pPr>
      <w:bookmarkStart w:id="39" w:name="_Toc15377226"/>
      <w:r>
        <w:rPr>
          <w:rFonts w:hint="eastAsia" w:ascii="仿宋_GB2312" w:eastAsia="仿宋_GB2312" w:cs="仿宋_GB2312"/>
          <w:sz w:val="32"/>
          <w:szCs w:val="32"/>
          <w:lang w:bidi="ar-SA"/>
        </w:rPr>
        <w:t> </w:t>
      </w:r>
      <w:r>
        <w:rPr>
          <w:rFonts w:hint="eastAsia" w:ascii="仿宋_GB2312" w:eastAsia="仿宋_GB2312"/>
          <w:sz w:val="32"/>
          <w:szCs w:val="32"/>
        </w:rPr>
        <w:t>1.财政拨款收入：指单位从同级财政部门取得的财政预算资金。</w:t>
      </w:r>
    </w:p>
    <w:p w14:paraId="0F7A092D">
      <w:pPr>
        <w:pStyle w:val="26"/>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14:paraId="4A9B5CB7">
      <w:pPr>
        <w:pStyle w:val="26"/>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p>
    <w:p w14:paraId="7656EA21">
      <w:pPr>
        <w:pStyle w:val="26"/>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4. 年初结转和结余：指以前年度尚未完成、结转到本年按有关规定继续使用的资金。 </w:t>
      </w:r>
    </w:p>
    <w:p w14:paraId="14D71D02">
      <w:pPr>
        <w:pStyle w:val="26"/>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5. </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14:paraId="6D81BC57">
      <w:pPr>
        <w:pStyle w:val="26"/>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14:paraId="59DD2090">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sz w:val="32"/>
          <w:szCs w:val="32"/>
          <w:lang w:val="en-US" w:eastAsia="zh-CN"/>
        </w:rPr>
        <w:t>7.</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14:paraId="406E40EA">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14:paraId="3C3E9ADE">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14:paraId="3E500D04">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14:paraId="47BF6E88">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14:paraId="2A56DA42">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14:paraId="44C19E03">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.基本支出：指为保障机构正常运转、完成日常工作任务而发生的人员支出和公用支出。</w:t>
      </w:r>
    </w:p>
    <w:p w14:paraId="620D1479">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 xml:space="preserve">.项目支出：指在基本支出之外为完成特定行政任务和事业发展目标所发生的支出。 </w:t>
      </w:r>
    </w:p>
    <w:p w14:paraId="32EE0654">
      <w:pPr>
        <w:pStyle w:val="26"/>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hint="eastAsia" w:ascii="仿宋_GB2312" w:eastAsia="仿宋_GB2312"/>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EA5900D">
      <w:pPr>
        <w:pStyle w:val="26"/>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hint="eastAsia" w:ascii="仿宋_GB2312" w:eastAsia="仿宋_GB2312"/>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630FB1F">
      <w:pPr>
        <w:spacing w:line="600" w:lineRule="exact"/>
        <w:jc w:val="center"/>
        <w:rPr>
          <w:rStyle w:val="20"/>
          <w:rFonts w:hint="eastAsia" w:ascii="Times New Roman" w:hAnsi="Times New Roman" w:eastAsia="黑体"/>
          <w:b w:val="0"/>
          <w:color w:val="auto"/>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br w:type="page"/>
      </w:r>
      <w:bookmarkStart w:id="40"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0"/>
    </w:p>
    <w:p w14:paraId="41C7264E">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39CB9FDC">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012D1834">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p>
    <w:p w14:paraId="294FB878">
      <w:pPr>
        <w:widowControl/>
        <w:spacing w:line="600" w:lineRule="exact"/>
        <w:jc w:val="center"/>
        <w:rPr>
          <w:rFonts w:hint="eastAsia" w:ascii="宋体" w:cs="宋体"/>
          <w:b/>
          <w:sz w:val="44"/>
          <w:szCs w:val="44"/>
        </w:rPr>
      </w:pPr>
      <w:r>
        <w:rPr>
          <w:rFonts w:hint="eastAsia" w:ascii="宋体" w:cs="宋体"/>
          <w:b/>
          <w:sz w:val="44"/>
          <w:szCs w:val="44"/>
        </w:rPr>
        <w:t>金川县机关幼儿园2024年</w:t>
      </w:r>
    </w:p>
    <w:p w14:paraId="4920791F">
      <w:pPr>
        <w:widowControl/>
        <w:spacing w:line="600" w:lineRule="exact"/>
        <w:jc w:val="center"/>
        <w:rPr>
          <w:rFonts w:hint="eastAsia" w:ascii="宋体" w:cs="宋体"/>
          <w:b/>
          <w:sz w:val="44"/>
          <w:szCs w:val="44"/>
        </w:rPr>
      </w:pPr>
      <w:r>
        <w:rPr>
          <w:rFonts w:hint="eastAsia" w:ascii="宋体" w:cs="宋体"/>
          <w:b/>
          <w:sz w:val="44"/>
          <w:szCs w:val="44"/>
          <w:lang w:val="en-US" w:eastAsia="zh-CN"/>
        </w:rPr>
        <w:t>预算</w:t>
      </w:r>
      <w:r>
        <w:rPr>
          <w:rFonts w:hint="eastAsia" w:ascii="宋体" w:cs="宋体"/>
          <w:b/>
          <w:sz w:val="44"/>
          <w:szCs w:val="44"/>
        </w:rPr>
        <w:t>绩效自评报告</w:t>
      </w:r>
    </w:p>
    <w:p w14:paraId="42B62B06">
      <w:pPr>
        <w:widowControl/>
        <w:adjustRightInd w:val="0"/>
        <w:snapToGrid w:val="0"/>
        <w:spacing w:line="600" w:lineRule="exact"/>
        <w:ind w:firstLine="560" w:firstLineChars="200"/>
        <w:jc w:val="left"/>
        <w:rPr>
          <w:rFonts w:hint="eastAsia" w:ascii="宋体" w:cs="宋体"/>
          <w:bCs/>
          <w:sz w:val="28"/>
          <w:szCs w:val="28"/>
        </w:rPr>
      </w:pPr>
      <w:r>
        <w:rPr>
          <w:rFonts w:hint="eastAsia" w:ascii="宋体" w:cs="宋体"/>
          <w:bCs/>
          <w:sz w:val="28"/>
          <w:szCs w:val="28"/>
        </w:rPr>
        <w:t>根据金川县财政局关于开展2024年县级部门绩效自评工作的通知（金财监绩〔202</w:t>
      </w:r>
      <w:r>
        <w:rPr>
          <w:rFonts w:hint="eastAsia" w:ascii="宋体" w:cs="宋体"/>
          <w:bCs/>
          <w:sz w:val="28"/>
          <w:szCs w:val="28"/>
          <w:lang w:val="en-US" w:eastAsia="zh-CN"/>
        </w:rPr>
        <w:t>5</w:t>
      </w:r>
      <w:r>
        <w:rPr>
          <w:rFonts w:hint="eastAsia" w:ascii="宋体" w:cs="宋体"/>
          <w:bCs/>
          <w:sz w:val="28"/>
          <w:szCs w:val="28"/>
        </w:rPr>
        <w:t>〕35号），根据年度绩效评价工作安排，金川县机关幼儿园202</w:t>
      </w:r>
      <w:r>
        <w:rPr>
          <w:rFonts w:hint="eastAsia" w:ascii="宋体" w:cs="宋体"/>
          <w:bCs/>
          <w:sz w:val="28"/>
          <w:szCs w:val="28"/>
          <w:lang w:val="en-US" w:eastAsia="zh-CN"/>
        </w:rPr>
        <w:t>4</w:t>
      </w:r>
      <w:r>
        <w:rPr>
          <w:rFonts w:hint="eastAsia" w:ascii="宋体" w:cs="宋体"/>
          <w:bCs/>
          <w:sz w:val="28"/>
          <w:szCs w:val="28"/>
        </w:rPr>
        <w:t>年部门整体支出绩效进行了全面综合评价。经全面综合评价，现将202</w:t>
      </w:r>
      <w:r>
        <w:rPr>
          <w:rFonts w:hint="eastAsia" w:ascii="宋体" w:cs="宋体"/>
          <w:bCs/>
          <w:sz w:val="28"/>
          <w:szCs w:val="28"/>
          <w:lang w:val="en-US" w:eastAsia="zh-CN"/>
        </w:rPr>
        <w:t>4</w:t>
      </w:r>
      <w:r>
        <w:rPr>
          <w:rFonts w:hint="eastAsia" w:ascii="宋体" w:cs="宋体"/>
          <w:bCs/>
          <w:sz w:val="28"/>
          <w:szCs w:val="28"/>
        </w:rPr>
        <w:t>年部门支出绩效自评工作报告如下：</w:t>
      </w:r>
    </w:p>
    <w:p w14:paraId="3472EDA0">
      <w:pPr>
        <w:widowControl/>
        <w:adjustRightInd w:val="0"/>
        <w:snapToGrid w:val="0"/>
        <w:spacing w:line="600" w:lineRule="exact"/>
        <w:jc w:val="left"/>
        <w:rPr>
          <w:rFonts w:hint="eastAsia" w:ascii="宋体" w:cs="宋体"/>
          <w:b/>
          <w:sz w:val="28"/>
          <w:szCs w:val="28"/>
        </w:rPr>
      </w:pPr>
      <w:r>
        <w:rPr>
          <w:rFonts w:hint="eastAsia" w:ascii="宋体" w:cs="宋体"/>
          <w:b/>
          <w:sz w:val="28"/>
          <w:szCs w:val="28"/>
        </w:rPr>
        <w:t>一、单位概况</w:t>
      </w:r>
    </w:p>
    <w:p w14:paraId="69E74F2F">
      <w:pPr>
        <w:widowControl/>
        <w:adjustRightInd w:val="0"/>
        <w:snapToGrid w:val="0"/>
        <w:spacing w:line="600" w:lineRule="exact"/>
        <w:ind w:firstLine="281" w:firstLineChars="100"/>
        <w:jc w:val="left"/>
        <w:rPr>
          <w:rFonts w:hint="eastAsia" w:ascii="宋体" w:cs="宋体"/>
          <w:b/>
          <w:sz w:val="28"/>
          <w:szCs w:val="28"/>
        </w:rPr>
      </w:pPr>
      <w:r>
        <w:rPr>
          <w:rFonts w:hint="eastAsia" w:ascii="宋体" w:cs="宋体"/>
          <w:b/>
          <w:sz w:val="28"/>
          <w:szCs w:val="28"/>
        </w:rPr>
        <w:t>（一）机构组成</w:t>
      </w:r>
    </w:p>
    <w:p w14:paraId="02A1361F">
      <w:pPr>
        <w:widowControl/>
        <w:adjustRightInd w:val="0"/>
        <w:snapToGrid w:val="0"/>
        <w:spacing w:line="600" w:lineRule="exact"/>
        <w:ind w:firstLine="560" w:firstLineChars="200"/>
        <w:jc w:val="left"/>
        <w:rPr>
          <w:rFonts w:hint="eastAsia" w:ascii="宋体" w:cs="宋体"/>
          <w:bCs/>
          <w:sz w:val="28"/>
          <w:szCs w:val="28"/>
        </w:rPr>
      </w:pPr>
      <w:r>
        <w:rPr>
          <w:rFonts w:hint="eastAsia" w:ascii="宋体" w:cs="宋体"/>
          <w:bCs/>
          <w:sz w:val="28"/>
          <w:szCs w:val="28"/>
        </w:rPr>
        <w:t>金川县机关幼儿园属事业单位1个，独立编制机构数1个，独立核算机构数1个。</w:t>
      </w:r>
    </w:p>
    <w:p w14:paraId="4FFC66A9">
      <w:pPr>
        <w:widowControl/>
        <w:adjustRightInd w:val="0"/>
        <w:snapToGrid w:val="0"/>
        <w:spacing w:line="600" w:lineRule="exact"/>
        <w:ind w:firstLine="281" w:firstLineChars="100"/>
        <w:jc w:val="left"/>
        <w:rPr>
          <w:rFonts w:hint="eastAsia" w:ascii="宋体" w:cs="宋体"/>
          <w:b/>
          <w:sz w:val="28"/>
          <w:szCs w:val="28"/>
        </w:rPr>
      </w:pPr>
      <w:r>
        <w:rPr>
          <w:rFonts w:hint="eastAsia" w:ascii="宋体" w:cs="宋体"/>
          <w:b/>
          <w:sz w:val="28"/>
          <w:szCs w:val="28"/>
        </w:rPr>
        <w:t>（二）机构职能</w:t>
      </w:r>
    </w:p>
    <w:p w14:paraId="7486FA58">
      <w:pPr>
        <w:widowControl/>
        <w:adjustRightInd w:val="0"/>
        <w:snapToGrid w:val="0"/>
        <w:spacing w:line="600" w:lineRule="exact"/>
        <w:ind w:firstLine="560" w:firstLineChars="200"/>
        <w:jc w:val="left"/>
        <w:rPr>
          <w:rFonts w:hint="eastAsia" w:ascii="宋体" w:cs="宋体"/>
          <w:sz w:val="28"/>
          <w:szCs w:val="28"/>
        </w:rPr>
      </w:pPr>
      <w:r>
        <w:rPr>
          <w:rFonts w:hint="eastAsia" w:ascii="宋体" w:cs="宋体"/>
          <w:bCs/>
          <w:sz w:val="28"/>
          <w:szCs w:val="28"/>
        </w:rPr>
        <w:t>贯彻执行党和国家关于预算、税收、行政事业单位国有资产、财务、会计等法律、法规、规章和方针、政策。根据本单位实际情况，编制财务计划；研究制定本单位财务制度，推进本单位财务工作顺利进行，编制年度本单位预决算方案，经批准后组织执行。管理各项财政收入；管理本单位各项支出，指导和监管各项财务活动，指导和监督收支活动。认真贯彻执行党和国家的有关法律法规、方针、政策，坚持民主管理，依法办园，执行上级主管部门的指示和决定。为实行3--6岁幼儿保育和教育提供有力的经费保障，促进幼儿实施体、智、德、美诸方面全面和谐发展。面向家长开展多种形式的早期教育宣传、指导等服务，促进家庭教育质量的不断提高。贯彻幼儿教育法规、传播科</w:t>
      </w:r>
      <w:r>
        <w:rPr>
          <w:rFonts w:hint="eastAsia" w:ascii="宋体" w:cs="宋体"/>
          <w:sz w:val="28"/>
          <w:szCs w:val="28"/>
        </w:rPr>
        <w:t>学教育理念、开展教育科学研究、培训师资，发挥县示范性幼儿园的示范、辐射作用。</w:t>
      </w:r>
    </w:p>
    <w:p w14:paraId="6541081C">
      <w:pPr>
        <w:pStyle w:val="6"/>
        <w:adjustRightInd w:val="0"/>
        <w:snapToGrid w:val="0"/>
        <w:spacing w:line="600" w:lineRule="exact"/>
        <w:ind w:firstLine="562" w:firstLineChars="200"/>
        <w:rPr>
          <w:rFonts w:hint="eastAsia" w:ascii="宋体" w:hAnsi="宋体" w:cs="宋体"/>
          <w:sz w:val="28"/>
          <w:szCs w:val="28"/>
        </w:rPr>
      </w:pPr>
      <w:r>
        <w:rPr>
          <w:rFonts w:hint="eastAsia" w:ascii="宋体" w:hAnsi="宋体" w:cs="宋体"/>
          <w:b/>
          <w:bCs/>
          <w:sz w:val="28"/>
          <w:szCs w:val="28"/>
        </w:rPr>
        <w:t>（三）人员概况</w:t>
      </w:r>
      <w:r>
        <w:rPr>
          <w:rFonts w:hint="eastAsia" w:ascii="宋体" w:hAnsi="宋体" w:cs="宋体"/>
          <w:sz w:val="28"/>
          <w:szCs w:val="28"/>
        </w:rPr>
        <w:t>。</w:t>
      </w:r>
    </w:p>
    <w:p w14:paraId="562EFCBD">
      <w:pPr>
        <w:pStyle w:val="6"/>
        <w:adjustRightInd w:val="0"/>
        <w:snapToGrid w:val="0"/>
        <w:spacing w:line="600" w:lineRule="exact"/>
        <w:ind w:firstLine="560" w:firstLineChars="200"/>
        <w:rPr>
          <w:rFonts w:hint="eastAsia" w:ascii="宋体" w:hAnsi="宋体" w:cs="宋体"/>
          <w:color w:val="000000"/>
          <w:sz w:val="28"/>
          <w:szCs w:val="28"/>
          <w:shd w:val="clear" w:color="auto" w:fill="FFFFFF"/>
        </w:rPr>
      </w:pPr>
      <w:r>
        <w:rPr>
          <w:rFonts w:hint="eastAsia" w:ascii="宋体" w:hAnsi="宋体" w:cs="宋体"/>
          <w:sz w:val="28"/>
          <w:szCs w:val="28"/>
          <w:lang w:val="en-US" w:eastAsia="zh-CN"/>
        </w:rPr>
        <w:t>截至</w:t>
      </w:r>
      <w:r>
        <w:rPr>
          <w:rFonts w:hint="eastAsia" w:ascii="宋体" w:hAnsi="宋体" w:cs="宋体"/>
          <w:sz w:val="28"/>
          <w:szCs w:val="28"/>
        </w:rPr>
        <w:t>202</w:t>
      </w:r>
      <w:r>
        <w:rPr>
          <w:rFonts w:hint="eastAsia" w:ascii="宋体" w:hAnsi="宋体" w:cs="宋体"/>
          <w:sz w:val="28"/>
          <w:szCs w:val="28"/>
          <w:lang w:val="en-US" w:eastAsia="zh-CN"/>
        </w:rPr>
        <w:t>4</w:t>
      </w:r>
      <w:r>
        <w:rPr>
          <w:rFonts w:hint="eastAsia" w:ascii="宋体" w:hAnsi="宋体" w:cs="宋体"/>
          <w:sz w:val="28"/>
          <w:szCs w:val="28"/>
        </w:rPr>
        <w:t>年</w:t>
      </w:r>
      <w:r>
        <w:rPr>
          <w:rFonts w:hint="eastAsia" w:ascii="宋体" w:hAnsi="宋体" w:cs="宋体"/>
          <w:sz w:val="28"/>
          <w:szCs w:val="28"/>
          <w:lang w:val="en-US" w:eastAsia="zh-CN"/>
        </w:rPr>
        <w:t>末，金川县机关幼儿园</w:t>
      </w:r>
      <w:r>
        <w:rPr>
          <w:rFonts w:hint="eastAsia" w:ascii="宋体" w:hAnsi="宋体" w:cs="宋体"/>
          <w:sz w:val="28"/>
          <w:szCs w:val="28"/>
        </w:rPr>
        <w:t>实有人数</w:t>
      </w:r>
      <w:r>
        <w:rPr>
          <w:rFonts w:hint="eastAsia" w:ascii="宋体" w:hAnsi="宋体" w:cs="宋体"/>
          <w:sz w:val="28"/>
          <w:szCs w:val="28"/>
          <w:lang w:val="en-US" w:eastAsia="zh-CN"/>
        </w:rPr>
        <w:t>46</w:t>
      </w:r>
      <w:r>
        <w:rPr>
          <w:rFonts w:hint="eastAsia" w:ascii="宋体" w:hAnsi="宋体" w:cs="宋体"/>
          <w:sz w:val="28"/>
          <w:szCs w:val="28"/>
        </w:rPr>
        <w:t>人。退休1</w:t>
      </w:r>
      <w:r>
        <w:rPr>
          <w:rFonts w:hint="eastAsia" w:ascii="宋体" w:hAnsi="宋体" w:cs="宋体"/>
          <w:sz w:val="28"/>
          <w:szCs w:val="28"/>
          <w:lang w:val="en-US" w:eastAsia="zh-CN"/>
        </w:rPr>
        <w:t>6</w:t>
      </w:r>
      <w:r>
        <w:rPr>
          <w:rFonts w:hint="eastAsia" w:ascii="宋体" w:hAnsi="宋体" w:cs="宋体"/>
          <w:sz w:val="28"/>
          <w:szCs w:val="28"/>
        </w:rPr>
        <w:t>人，遗属1人，工资由社保部门发放</w:t>
      </w:r>
      <w:r>
        <w:rPr>
          <w:rFonts w:hint="eastAsia" w:ascii="宋体" w:hAnsi="宋体" w:cs="宋体"/>
          <w:color w:val="000000"/>
          <w:sz w:val="28"/>
          <w:szCs w:val="28"/>
          <w:shd w:val="clear" w:color="auto" w:fill="FFFFFF"/>
        </w:rPr>
        <w:t>。</w:t>
      </w:r>
    </w:p>
    <w:p w14:paraId="75ADD456">
      <w:pPr>
        <w:widowControl/>
        <w:adjustRightInd w:val="0"/>
        <w:snapToGrid w:val="0"/>
        <w:spacing w:line="600" w:lineRule="exact"/>
        <w:jc w:val="left"/>
        <w:rPr>
          <w:rFonts w:hint="eastAsia" w:ascii="宋体" w:cs="宋体"/>
          <w:b/>
          <w:color w:val="000000"/>
          <w:kern w:val="0"/>
          <w:sz w:val="28"/>
          <w:szCs w:val="28"/>
          <w:shd w:val="clear" w:color="auto" w:fill="FFFFFF"/>
        </w:rPr>
      </w:pPr>
      <w:r>
        <w:rPr>
          <w:rFonts w:hint="eastAsia" w:ascii="宋体" w:cs="宋体"/>
          <w:b/>
          <w:color w:val="000000"/>
          <w:kern w:val="0"/>
          <w:sz w:val="28"/>
          <w:szCs w:val="28"/>
          <w:shd w:val="clear" w:color="auto" w:fill="FFFFFF"/>
        </w:rPr>
        <w:t>二、部门财政资金收支情况</w:t>
      </w:r>
    </w:p>
    <w:p w14:paraId="33E0DE94">
      <w:pPr>
        <w:widowControl/>
        <w:adjustRightInd w:val="0"/>
        <w:snapToGrid w:val="0"/>
        <w:spacing w:line="600" w:lineRule="exact"/>
        <w:ind w:firstLine="720"/>
        <w:jc w:val="left"/>
        <w:rPr>
          <w:rFonts w:hint="eastAsia" w:ascii="宋体" w:cs="宋体"/>
          <w:b/>
          <w:bCs/>
          <w:color w:val="000000"/>
          <w:kern w:val="0"/>
          <w:sz w:val="28"/>
          <w:szCs w:val="28"/>
          <w:shd w:val="clear" w:color="auto" w:fill="FFFFFF"/>
        </w:rPr>
      </w:pPr>
      <w:r>
        <w:rPr>
          <w:rFonts w:hint="eastAsia" w:ascii="宋体" w:cs="宋体"/>
          <w:b/>
          <w:bCs/>
          <w:color w:val="000000"/>
          <w:kern w:val="0"/>
          <w:sz w:val="28"/>
          <w:szCs w:val="28"/>
          <w:shd w:val="clear" w:color="auto" w:fill="FFFFFF"/>
        </w:rPr>
        <w:t xml:space="preserve">（一）部门财政资金收入: </w:t>
      </w:r>
    </w:p>
    <w:p w14:paraId="6C277FD8">
      <w:pPr>
        <w:widowControl/>
        <w:adjustRightInd w:val="0"/>
        <w:snapToGrid w:val="0"/>
        <w:spacing w:line="600" w:lineRule="exact"/>
        <w:ind w:firstLine="720"/>
        <w:jc w:val="left"/>
        <w:rPr>
          <w:rFonts w:ascii="宋体" w:cs="宋体"/>
          <w:kern w:val="0"/>
          <w:sz w:val="28"/>
          <w:szCs w:val="28"/>
          <w:shd w:val="clear" w:color="auto" w:fill="FFFFFF"/>
          <w:lang w:val="en-US" w:eastAsia="zh-CN"/>
        </w:rPr>
      </w:pPr>
      <w:r>
        <w:rPr>
          <w:rFonts w:hint="eastAsia" w:ascii="宋体" w:cs="宋体"/>
          <w:kern w:val="0"/>
          <w:sz w:val="28"/>
          <w:szCs w:val="28"/>
          <w:shd w:val="clear" w:color="auto" w:fill="FFFFFF"/>
        </w:rPr>
        <w:t>1、202</w:t>
      </w:r>
      <w:r>
        <w:rPr>
          <w:rFonts w:hint="eastAsia" w:ascii="宋体" w:cs="宋体"/>
          <w:kern w:val="0"/>
          <w:sz w:val="28"/>
          <w:szCs w:val="28"/>
          <w:shd w:val="clear" w:color="auto" w:fill="FFFFFF"/>
          <w:lang w:val="en-US" w:eastAsia="zh-CN"/>
        </w:rPr>
        <w:t>4</w:t>
      </w:r>
      <w:r>
        <w:rPr>
          <w:rFonts w:hint="eastAsia" w:ascii="宋体" w:cs="宋体"/>
          <w:kern w:val="0"/>
          <w:sz w:val="28"/>
          <w:szCs w:val="28"/>
          <w:shd w:val="clear" w:color="auto" w:fill="FFFFFF"/>
        </w:rPr>
        <w:t>年我单位一般公共预算财政拨款收总收入合计</w:t>
      </w:r>
      <w:r>
        <w:rPr>
          <w:rFonts w:hint="eastAsia" w:ascii="宋体" w:cs="宋体"/>
          <w:kern w:val="0"/>
          <w:sz w:val="28"/>
          <w:szCs w:val="28"/>
          <w:shd w:val="clear" w:color="auto" w:fill="FFFFFF"/>
          <w:lang w:val="en-US" w:eastAsia="zh-CN"/>
        </w:rPr>
        <w:t>1126.44</w:t>
      </w:r>
      <w:r>
        <w:rPr>
          <w:rFonts w:hint="eastAsia" w:ascii="宋体" w:cs="宋体"/>
          <w:kern w:val="0"/>
          <w:sz w:val="28"/>
          <w:szCs w:val="28"/>
          <w:shd w:val="clear" w:color="auto" w:fill="FFFFFF"/>
        </w:rPr>
        <w:t>万元，其中：财政拨款收入</w:t>
      </w:r>
      <w:r>
        <w:rPr>
          <w:rFonts w:hint="eastAsia" w:ascii="宋体" w:cs="宋体"/>
          <w:kern w:val="0"/>
          <w:sz w:val="28"/>
          <w:szCs w:val="28"/>
          <w:shd w:val="clear" w:color="auto" w:fill="FFFFFF"/>
          <w:lang w:val="en-US" w:eastAsia="zh-CN"/>
        </w:rPr>
        <w:t>1126.44</w:t>
      </w:r>
      <w:r>
        <w:rPr>
          <w:rFonts w:hint="eastAsia" w:ascii="宋体" w:cs="宋体"/>
          <w:kern w:val="0"/>
          <w:sz w:val="28"/>
          <w:szCs w:val="28"/>
          <w:shd w:val="clear" w:color="auto" w:fill="FFFFFF"/>
        </w:rPr>
        <w:t>万元。收入预算数总计为</w:t>
      </w:r>
      <w:r>
        <w:rPr>
          <w:rFonts w:hint="eastAsia" w:ascii="宋体" w:cs="宋体"/>
          <w:kern w:val="0"/>
          <w:sz w:val="28"/>
          <w:szCs w:val="28"/>
          <w:shd w:val="clear" w:color="auto" w:fill="FFFFFF"/>
          <w:lang w:val="en-US" w:eastAsia="zh-CN"/>
        </w:rPr>
        <w:t>1126.44</w:t>
      </w:r>
      <w:r>
        <w:rPr>
          <w:rFonts w:hint="eastAsia" w:ascii="宋体" w:cs="宋体"/>
          <w:kern w:val="0"/>
          <w:sz w:val="28"/>
          <w:szCs w:val="28"/>
          <w:shd w:val="clear" w:color="auto" w:fill="FFFFFF"/>
        </w:rPr>
        <w:t>万元，分别是工资</w:t>
      </w:r>
      <w:r>
        <w:rPr>
          <w:rFonts w:hint="eastAsia" w:ascii="宋体" w:cs="宋体"/>
          <w:kern w:val="0"/>
          <w:sz w:val="28"/>
          <w:szCs w:val="28"/>
          <w:shd w:val="clear" w:color="auto" w:fill="FFFFFF"/>
          <w:lang w:val="en-US" w:eastAsia="zh-CN"/>
        </w:rPr>
        <w:t>福利收入1088.45</w:t>
      </w:r>
      <w:r>
        <w:rPr>
          <w:rFonts w:hint="eastAsia" w:ascii="宋体" w:cs="宋体"/>
          <w:kern w:val="0"/>
          <w:sz w:val="28"/>
          <w:szCs w:val="28"/>
          <w:shd w:val="clear" w:color="auto" w:fill="FFFFFF"/>
        </w:rPr>
        <w:t>万元、</w:t>
      </w:r>
      <w:r>
        <w:rPr>
          <w:rFonts w:hint="eastAsia" w:ascii="宋体" w:cs="宋体"/>
          <w:kern w:val="0"/>
          <w:sz w:val="28"/>
          <w:szCs w:val="28"/>
          <w:shd w:val="clear" w:color="auto" w:fill="FFFFFF"/>
          <w:lang w:val="en-US" w:eastAsia="zh-CN"/>
        </w:rPr>
        <w:t>商品和服务收入</w:t>
      </w:r>
      <w:r>
        <w:rPr>
          <w:rFonts w:hint="eastAsia" w:ascii="宋体" w:cs="宋体"/>
          <w:kern w:val="0"/>
          <w:sz w:val="28"/>
          <w:szCs w:val="28"/>
          <w:shd w:val="clear" w:color="auto" w:fill="FFFFFF"/>
        </w:rPr>
        <w:t>14.</w:t>
      </w:r>
      <w:r>
        <w:rPr>
          <w:rFonts w:hint="eastAsia" w:ascii="宋体" w:cs="宋体"/>
          <w:kern w:val="0"/>
          <w:sz w:val="28"/>
          <w:szCs w:val="28"/>
          <w:shd w:val="clear" w:color="auto" w:fill="FFFFFF"/>
          <w:lang w:val="en-US" w:eastAsia="zh-CN"/>
        </w:rPr>
        <w:t>57</w:t>
      </w:r>
      <w:r>
        <w:rPr>
          <w:rFonts w:hint="eastAsia" w:ascii="宋体" w:cs="宋体"/>
          <w:kern w:val="0"/>
          <w:sz w:val="28"/>
          <w:szCs w:val="28"/>
          <w:shd w:val="clear" w:color="auto" w:fill="FFFFFF"/>
        </w:rPr>
        <w:t>万元，</w:t>
      </w:r>
      <w:r>
        <w:rPr>
          <w:rFonts w:hint="eastAsia" w:ascii="宋体" w:cs="宋体"/>
          <w:kern w:val="0"/>
          <w:sz w:val="28"/>
          <w:szCs w:val="28"/>
          <w:shd w:val="clear" w:color="auto" w:fill="FFFFFF"/>
          <w:lang w:val="en-US" w:eastAsia="zh-CN"/>
        </w:rPr>
        <w:t>对个人和家庭补助23.42万元。其中：教育收入：805.23万元，社会保障收入168.24万元，住房保障收入86.3万元。</w:t>
      </w:r>
    </w:p>
    <w:p w14:paraId="6817EACA">
      <w:pPr>
        <w:widowControl/>
        <w:adjustRightInd w:val="0"/>
        <w:snapToGrid w:val="0"/>
        <w:spacing w:line="600" w:lineRule="exact"/>
        <w:ind w:firstLine="720"/>
        <w:jc w:val="left"/>
        <w:rPr>
          <w:rFonts w:hint="eastAsia" w:ascii="宋体" w:cs="宋体"/>
          <w:b/>
          <w:bCs/>
          <w:color w:val="000000"/>
          <w:kern w:val="0"/>
          <w:sz w:val="28"/>
          <w:szCs w:val="28"/>
          <w:shd w:val="clear" w:color="auto" w:fill="FFFFFF"/>
        </w:rPr>
      </w:pPr>
      <w:r>
        <w:rPr>
          <w:rFonts w:hint="eastAsia" w:ascii="宋体" w:cs="宋体"/>
          <w:b/>
          <w:bCs/>
          <w:color w:val="000000"/>
          <w:kern w:val="0"/>
          <w:sz w:val="28"/>
          <w:szCs w:val="28"/>
          <w:shd w:val="clear" w:color="auto" w:fill="FFFFFF"/>
        </w:rPr>
        <w:t>（二）部门财政资金支出情况:</w:t>
      </w:r>
    </w:p>
    <w:p w14:paraId="58E85968">
      <w:pPr>
        <w:widowControl/>
        <w:adjustRightInd w:val="0"/>
        <w:snapToGrid w:val="0"/>
        <w:spacing w:line="600" w:lineRule="exact"/>
        <w:ind w:firstLine="560" w:firstLineChars="200"/>
        <w:jc w:val="left"/>
        <w:rPr>
          <w:rFonts w:hint="eastAsia" w:ascii="宋体" w:cs="宋体"/>
          <w:kern w:val="0"/>
          <w:sz w:val="28"/>
          <w:szCs w:val="28"/>
          <w:shd w:val="clear" w:color="auto" w:fill="FFFFFF"/>
        </w:rPr>
      </w:pPr>
      <w:r>
        <w:rPr>
          <w:rFonts w:hint="eastAsia" w:ascii="宋体" w:cs="宋体"/>
          <w:color w:val="000000"/>
          <w:sz w:val="28"/>
          <w:szCs w:val="28"/>
        </w:rPr>
        <w:t>202</w:t>
      </w:r>
      <w:r>
        <w:rPr>
          <w:rFonts w:hint="eastAsia" w:ascii="宋体" w:cs="宋体"/>
          <w:color w:val="000000"/>
          <w:sz w:val="28"/>
          <w:szCs w:val="28"/>
          <w:lang w:val="en-US" w:eastAsia="zh-CN"/>
        </w:rPr>
        <w:t>4</w:t>
      </w:r>
      <w:r>
        <w:rPr>
          <w:rFonts w:hint="eastAsia" w:ascii="宋体" w:cs="宋体"/>
          <w:color w:val="000000"/>
          <w:sz w:val="28"/>
          <w:szCs w:val="28"/>
        </w:rPr>
        <w:t>年本单位全年支出合计</w:t>
      </w:r>
      <w:r>
        <w:rPr>
          <w:rFonts w:hint="eastAsia" w:ascii="宋体" w:cs="宋体"/>
          <w:kern w:val="0"/>
          <w:sz w:val="28"/>
          <w:szCs w:val="28"/>
          <w:shd w:val="clear" w:color="auto" w:fill="FFFFFF"/>
          <w:lang w:val="en-US" w:eastAsia="zh-CN"/>
        </w:rPr>
        <w:t>1126.44</w:t>
      </w:r>
      <w:r>
        <w:rPr>
          <w:rFonts w:hint="eastAsia" w:ascii="宋体" w:cs="宋体"/>
          <w:color w:val="000000"/>
          <w:sz w:val="28"/>
          <w:szCs w:val="28"/>
        </w:rPr>
        <w:t>万元，</w:t>
      </w:r>
      <w:r>
        <w:rPr>
          <w:rFonts w:hint="eastAsia" w:ascii="宋体" w:cs="宋体"/>
          <w:color w:val="000000"/>
          <w:sz w:val="28"/>
          <w:szCs w:val="28"/>
          <w:lang w:val="en-US" w:eastAsia="zh-CN"/>
        </w:rPr>
        <w:t>其中基本支出：1119.54万元，人员经费：1104.97万元，</w:t>
      </w:r>
      <w:r>
        <w:rPr>
          <w:rFonts w:hint="eastAsia" w:ascii="宋体" w:cs="宋体"/>
          <w:kern w:val="0"/>
          <w:sz w:val="28"/>
          <w:szCs w:val="28"/>
          <w:shd w:val="clear" w:color="auto" w:fill="FFFFFF"/>
        </w:rPr>
        <w:t>分别是教育支出</w:t>
      </w:r>
      <w:r>
        <w:rPr>
          <w:rFonts w:hint="eastAsia" w:ascii="宋体" w:cs="宋体"/>
          <w:kern w:val="0"/>
          <w:sz w:val="28"/>
          <w:szCs w:val="28"/>
          <w:shd w:val="clear" w:color="auto" w:fill="FFFFFF"/>
          <w:lang w:val="en-US" w:eastAsia="zh-CN"/>
        </w:rPr>
        <w:t>805.23</w:t>
      </w:r>
      <w:r>
        <w:rPr>
          <w:rFonts w:hint="eastAsia" w:ascii="宋体" w:cs="宋体"/>
          <w:kern w:val="0"/>
          <w:sz w:val="28"/>
          <w:szCs w:val="28"/>
          <w:shd w:val="clear" w:color="auto" w:fill="FFFFFF"/>
        </w:rPr>
        <w:t>万元</w:t>
      </w:r>
      <w:r>
        <w:rPr>
          <w:rFonts w:hint="eastAsia" w:ascii="宋体" w:cs="宋体"/>
          <w:kern w:val="0"/>
          <w:sz w:val="28"/>
          <w:szCs w:val="28"/>
          <w:shd w:val="clear" w:color="auto" w:fill="FFFFFF"/>
          <w:lang w:val="en-US" w:eastAsia="zh-CN"/>
        </w:rPr>
        <w:t>社会保障收入168.24万元，住房保障收入86.3万元。</w:t>
      </w:r>
      <w:r>
        <w:rPr>
          <w:rFonts w:hint="eastAsia" w:ascii="宋体" w:cs="宋体"/>
          <w:color w:val="000000"/>
          <w:sz w:val="28"/>
          <w:szCs w:val="28"/>
          <w:lang w:val="en-US" w:eastAsia="zh-CN"/>
        </w:rPr>
        <w:t>公用经费：14.57万元。</w:t>
      </w:r>
      <w:r>
        <w:rPr>
          <w:rFonts w:hint="eastAsia" w:ascii="宋体" w:cs="宋体"/>
          <w:color w:val="000000"/>
          <w:sz w:val="28"/>
          <w:szCs w:val="28"/>
        </w:rPr>
        <w:t xml:space="preserve">   </w:t>
      </w:r>
    </w:p>
    <w:p w14:paraId="0B75674F">
      <w:pPr>
        <w:ind w:firstLine="560" w:firstLineChars="200"/>
        <w:rPr>
          <w:rFonts w:hint="eastAsia" w:ascii="宋体" w:cs="宋体"/>
          <w:color w:val="000000"/>
          <w:kern w:val="0"/>
          <w:sz w:val="28"/>
          <w:szCs w:val="28"/>
        </w:rPr>
      </w:pPr>
      <w:r>
        <w:rPr>
          <w:rFonts w:hint="eastAsia" w:ascii="宋体" w:cs="宋体"/>
          <w:color w:val="000000"/>
          <w:kern w:val="0"/>
          <w:sz w:val="28"/>
          <w:szCs w:val="28"/>
          <w:shd w:val="clear" w:color="auto" w:fill="FFFFFF"/>
        </w:rPr>
        <w:t>财政拨款支出主要用于保障本部门机构正常运转、完成日常工作任务。基本人员支出，是用于本单位人员工资和社保就业保障经费。日常公用支出包括办公费、印刷费、电费、等日常公用经费。</w:t>
      </w:r>
    </w:p>
    <w:p w14:paraId="45C13923">
      <w:pPr>
        <w:widowControl/>
        <w:adjustRightInd w:val="0"/>
        <w:snapToGrid w:val="0"/>
        <w:spacing w:line="600" w:lineRule="exact"/>
        <w:ind w:firstLine="720"/>
        <w:jc w:val="left"/>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财政拨款支出主要用于保障本单位机构正常运转、完成日常工作任务。是用于本单位人员工资和社保就业保障经费。日常公用支出包括办公费、印刷费、水电费、等日常公用经费。</w:t>
      </w:r>
    </w:p>
    <w:p w14:paraId="4D21B5BC">
      <w:pPr>
        <w:widowControl/>
        <w:adjustRightInd w:val="0"/>
        <w:snapToGrid w:val="0"/>
        <w:spacing w:line="600" w:lineRule="exact"/>
        <w:jc w:val="left"/>
        <w:rPr>
          <w:rFonts w:hint="eastAsia" w:ascii="宋体" w:cs="宋体"/>
          <w:b/>
          <w:bCs w:val="0"/>
          <w:color w:val="000000"/>
          <w:kern w:val="0"/>
          <w:sz w:val="28"/>
          <w:szCs w:val="28"/>
          <w:shd w:val="clear" w:color="auto" w:fill="FFFFFF"/>
          <w:lang w:val="en-US" w:eastAsia="zh-CN"/>
        </w:rPr>
      </w:pPr>
      <w:r>
        <w:rPr>
          <w:rFonts w:hint="eastAsia" w:ascii="宋体" w:cs="宋体"/>
          <w:b/>
          <w:bCs w:val="0"/>
          <w:color w:val="000000"/>
          <w:kern w:val="0"/>
          <w:sz w:val="28"/>
          <w:szCs w:val="28"/>
          <w:shd w:val="clear" w:color="auto" w:fill="FFFFFF"/>
          <w:lang w:val="en-US" w:eastAsia="zh-CN"/>
        </w:rPr>
        <w:t>三、</w:t>
      </w:r>
      <w:r>
        <w:rPr>
          <w:rFonts w:hint="eastAsia" w:ascii="宋体" w:cs="宋体"/>
          <w:b/>
          <w:bCs w:val="0"/>
          <w:color w:val="000000"/>
          <w:kern w:val="0"/>
          <w:sz w:val="28"/>
          <w:szCs w:val="28"/>
          <w:shd w:val="clear" w:color="auto" w:fill="FFFFFF"/>
        </w:rPr>
        <w:t>部门</w:t>
      </w:r>
      <w:r>
        <w:rPr>
          <w:rFonts w:hint="eastAsia" w:ascii="宋体" w:cs="宋体"/>
          <w:b/>
          <w:bCs w:val="0"/>
          <w:color w:val="000000"/>
          <w:kern w:val="0"/>
          <w:sz w:val="28"/>
          <w:szCs w:val="28"/>
          <w:shd w:val="clear" w:color="auto" w:fill="FFFFFF"/>
          <w:lang w:val="en-US" w:eastAsia="zh-CN"/>
        </w:rPr>
        <w:t>预算绩效分析</w:t>
      </w:r>
    </w:p>
    <w:p w14:paraId="46504B83">
      <w:pPr>
        <w:widowControl/>
        <w:adjustRightInd w:val="0"/>
        <w:snapToGrid w:val="0"/>
        <w:spacing w:line="600" w:lineRule="exact"/>
        <w:ind w:left="0" w:firstLine="281" w:firstLineChars="100"/>
        <w:jc w:val="left"/>
        <w:rPr>
          <w:rFonts w:hint="eastAsia" w:ascii="宋体" w:cs="宋体"/>
          <w:b/>
          <w:bCs/>
          <w:color w:val="000000"/>
          <w:kern w:val="0"/>
          <w:sz w:val="28"/>
          <w:szCs w:val="28"/>
          <w:shd w:val="clear" w:color="auto" w:fill="FFFFFF"/>
        </w:rPr>
      </w:pPr>
      <w:r>
        <w:rPr>
          <w:rFonts w:hint="eastAsia" w:ascii="宋体" w:cs="宋体"/>
          <w:b/>
          <w:bCs/>
          <w:color w:val="000000"/>
          <w:kern w:val="0"/>
          <w:sz w:val="28"/>
          <w:szCs w:val="28"/>
          <w:shd w:val="clear" w:color="auto" w:fill="FFFFFF"/>
        </w:rPr>
        <w:t>（一）部门</w:t>
      </w:r>
      <w:r>
        <w:rPr>
          <w:rFonts w:hint="eastAsia" w:ascii="宋体" w:cs="宋体"/>
          <w:b/>
          <w:bCs/>
          <w:color w:val="000000"/>
          <w:kern w:val="0"/>
          <w:sz w:val="28"/>
          <w:szCs w:val="28"/>
          <w:shd w:val="clear" w:color="auto" w:fill="FFFFFF"/>
          <w:lang w:val="en-US" w:eastAsia="zh-CN"/>
        </w:rPr>
        <w:t>预算总体绩效分析</w:t>
      </w:r>
    </w:p>
    <w:p w14:paraId="62436CC6">
      <w:pPr>
        <w:widowControl/>
        <w:adjustRightInd w:val="0"/>
        <w:snapToGrid w:val="0"/>
        <w:spacing w:line="600" w:lineRule="exact"/>
        <w:ind w:firstLine="560" w:firstLineChars="200"/>
        <w:jc w:val="left"/>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严格按照县级部门预算编制通知和有关要求，按时完成各项报送工作，预算编制中，特别注意对预算编制准确性的把握，并严格按照要求进行预算执行调整。按时完成待批复提前细化。202</w:t>
      </w:r>
      <w:r>
        <w:rPr>
          <w:rFonts w:hint="eastAsia" w:ascii="宋体" w:cs="宋体"/>
          <w:color w:val="000000"/>
          <w:kern w:val="0"/>
          <w:sz w:val="28"/>
          <w:szCs w:val="28"/>
          <w:shd w:val="clear" w:color="auto" w:fill="FFFFFF"/>
          <w:lang w:val="en-US" w:eastAsia="zh-CN"/>
        </w:rPr>
        <w:t>4</w:t>
      </w:r>
      <w:r>
        <w:rPr>
          <w:rFonts w:hint="eastAsia" w:ascii="宋体" w:cs="宋体"/>
          <w:color w:val="000000"/>
          <w:kern w:val="0"/>
          <w:sz w:val="28"/>
          <w:szCs w:val="28"/>
          <w:shd w:val="clear" w:color="auto" w:fill="FFFFFF"/>
        </w:rPr>
        <w:t>年按编制标准我单位</w:t>
      </w:r>
      <w:r>
        <w:rPr>
          <w:rFonts w:hint="eastAsia" w:ascii="宋体" w:cs="宋体"/>
          <w:color w:val="000000"/>
          <w:sz w:val="28"/>
          <w:szCs w:val="28"/>
        </w:rPr>
        <w:t>在职职工</w:t>
      </w:r>
      <w:r>
        <w:rPr>
          <w:rFonts w:hint="eastAsia" w:ascii="宋体" w:cs="宋体"/>
          <w:color w:val="000000"/>
          <w:sz w:val="28"/>
          <w:szCs w:val="28"/>
          <w:lang w:val="en-US" w:eastAsia="zh-CN"/>
        </w:rPr>
        <w:t>46</w:t>
      </w:r>
      <w:r>
        <w:rPr>
          <w:rFonts w:hint="eastAsia" w:ascii="宋体" w:cs="宋体"/>
          <w:color w:val="000000"/>
          <w:sz w:val="28"/>
          <w:szCs w:val="28"/>
        </w:rPr>
        <w:t>人，人均公务经费加财政局额外增加的公务经费，合计14.</w:t>
      </w:r>
      <w:r>
        <w:rPr>
          <w:rFonts w:hint="eastAsia" w:ascii="宋体" w:cs="宋体"/>
          <w:color w:val="000000"/>
          <w:sz w:val="28"/>
          <w:szCs w:val="28"/>
          <w:lang w:val="en-US" w:eastAsia="zh-CN"/>
        </w:rPr>
        <w:t>5</w:t>
      </w:r>
      <w:r>
        <w:rPr>
          <w:rFonts w:hint="eastAsia" w:ascii="宋体" w:cs="宋体"/>
          <w:color w:val="000000"/>
          <w:sz w:val="28"/>
          <w:szCs w:val="28"/>
        </w:rPr>
        <w:t>7万元</w:t>
      </w:r>
      <w:r>
        <w:rPr>
          <w:rFonts w:hint="eastAsia" w:ascii="宋体" w:cs="宋体"/>
          <w:color w:val="000000"/>
          <w:kern w:val="0"/>
          <w:sz w:val="28"/>
          <w:szCs w:val="28"/>
          <w:shd w:val="clear" w:color="auto" w:fill="FFFFFF"/>
        </w:rPr>
        <w:t>，本单位预算在财政部门批复后及时填报预算公示报表报财政审核在政府信息公开网上公示。</w:t>
      </w:r>
    </w:p>
    <w:p w14:paraId="58FE5906">
      <w:pPr>
        <w:widowControl/>
        <w:adjustRightInd w:val="0"/>
        <w:snapToGrid w:val="0"/>
        <w:spacing w:line="600" w:lineRule="exact"/>
        <w:ind w:left="0" w:firstLine="281" w:firstLineChars="100"/>
        <w:jc w:val="left"/>
        <w:rPr>
          <w:rFonts w:ascii="宋体" w:eastAsia="宋体" w:cs="宋体"/>
          <w:b/>
          <w:bCs/>
          <w:color w:val="000000"/>
          <w:kern w:val="0"/>
          <w:sz w:val="28"/>
          <w:szCs w:val="28"/>
          <w:shd w:val="clear" w:color="auto" w:fill="FFFFFF"/>
          <w:lang w:val="en-US" w:eastAsia="zh-CN"/>
        </w:rPr>
      </w:pPr>
      <w:r>
        <w:rPr>
          <w:rFonts w:hint="eastAsia" w:ascii="宋体" w:eastAsia="宋体" w:cs="宋体"/>
          <w:b/>
          <w:bCs/>
          <w:color w:val="000000"/>
          <w:kern w:val="0"/>
          <w:sz w:val="28"/>
          <w:szCs w:val="28"/>
          <w:shd w:val="clear" w:color="auto" w:fill="FFFFFF"/>
          <w:lang w:val="en-US" w:eastAsia="zh-CN"/>
        </w:rPr>
        <w:t>（二）部门预算项目绩效分析</w:t>
      </w:r>
    </w:p>
    <w:p w14:paraId="18767BCB">
      <w:pPr>
        <w:widowControl/>
        <w:adjustRightInd w:val="0"/>
        <w:snapToGrid w:val="0"/>
        <w:spacing w:line="600" w:lineRule="exact"/>
        <w:ind w:firstLine="560" w:firstLineChars="200"/>
        <w:jc w:val="left"/>
        <w:rPr>
          <w:rFonts w:ascii="宋体" w:eastAsia="宋体" w:cs="宋体"/>
          <w:color w:val="000000"/>
          <w:kern w:val="0"/>
          <w:sz w:val="28"/>
          <w:szCs w:val="28"/>
          <w:shd w:val="clear" w:color="auto" w:fill="FFFFFF"/>
          <w:lang w:val="en-US" w:eastAsia="zh-CN"/>
        </w:rPr>
      </w:pPr>
      <w:r>
        <w:rPr>
          <w:rFonts w:hint="eastAsia" w:ascii="宋体" w:eastAsia="宋体" w:cs="宋体"/>
          <w:color w:val="000000"/>
          <w:kern w:val="0"/>
          <w:sz w:val="28"/>
          <w:szCs w:val="28"/>
          <w:shd w:val="clear" w:color="auto" w:fill="FFFFFF"/>
          <w:lang w:val="en-US" w:eastAsia="zh-CN"/>
        </w:rPr>
        <w:t>我单位无项目</w:t>
      </w:r>
    </w:p>
    <w:p w14:paraId="1C24EE9A">
      <w:pPr>
        <w:widowControl/>
        <w:adjustRightInd w:val="0"/>
        <w:snapToGrid w:val="0"/>
        <w:spacing w:line="600" w:lineRule="exact"/>
        <w:jc w:val="left"/>
        <w:rPr>
          <w:rFonts w:hint="eastAsia" w:ascii="宋体" w:cs="宋体"/>
          <w:b/>
          <w:bCs/>
          <w:color w:val="000000"/>
          <w:kern w:val="0"/>
          <w:sz w:val="28"/>
          <w:szCs w:val="28"/>
          <w:shd w:val="clear" w:color="auto" w:fill="FFFFFF"/>
        </w:rPr>
      </w:pPr>
      <w:r>
        <w:rPr>
          <w:rFonts w:hint="eastAsia" w:ascii="宋体" w:cs="宋体"/>
          <w:b/>
          <w:bCs/>
          <w:color w:val="000000"/>
          <w:kern w:val="0"/>
          <w:sz w:val="28"/>
          <w:szCs w:val="28"/>
          <w:shd w:val="clear" w:color="auto" w:fill="FFFFFF"/>
        </w:rPr>
        <w:t>（</w:t>
      </w:r>
      <w:r>
        <w:rPr>
          <w:rFonts w:hint="eastAsia" w:ascii="宋体" w:cs="宋体"/>
          <w:b/>
          <w:bCs/>
          <w:color w:val="000000"/>
          <w:kern w:val="0"/>
          <w:sz w:val="28"/>
          <w:szCs w:val="28"/>
          <w:shd w:val="clear" w:color="auto" w:fill="FFFFFF"/>
          <w:lang w:val="en-US" w:eastAsia="zh-CN"/>
        </w:rPr>
        <w:t>三</w:t>
      </w:r>
      <w:r>
        <w:rPr>
          <w:rFonts w:hint="eastAsia" w:ascii="宋体" w:cs="宋体"/>
          <w:b/>
          <w:bCs/>
          <w:color w:val="000000"/>
          <w:kern w:val="0"/>
          <w:sz w:val="28"/>
          <w:szCs w:val="28"/>
          <w:shd w:val="clear" w:color="auto" w:fill="FFFFFF"/>
        </w:rPr>
        <w:t>）</w:t>
      </w:r>
      <w:r>
        <w:rPr>
          <w:rFonts w:hint="eastAsia" w:ascii="宋体" w:cs="宋体"/>
          <w:b/>
          <w:bCs/>
          <w:color w:val="000000"/>
          <w:kern w:val="0"/>
          <w:sz w:val="28"/>
          <w:szCs w:val="28"/>
          <w:shd w:val="clear" w:color="auto" w:fill="FFFFFF"/>
          <w:lang w:val="en-US" w:eastAsia="zh-CN"/>
        </w:rPr>
        <w:t>绩效</w:t>
      </w:r>
      <w:r>
        <w:rPr>
          <w:rFonts w:hint="eastAsia" w:ascii="宋体" w:cs="宋体"/>
          <w:b/>
          <w:bCs/>
          <w:color w:val="000000"/>
          <w:kern w:val="0"/>
          <w:sz w:val="28"/>
          <w:szCs w:val="28"/>
          <w:shd w:val="clear" w:color="auto" w:fill="FFFFFF"/>
        </w:rPr>
        <w:t>结果应用情况。</w:t>
      </w:r>
    </w:p>
    <w:p w14:paraId="3C63060F">
      <w:pPr>
        <w:spacing w:line="560" w:lineRule="exact"/>
        <w:ind w:firstLine="560" w:firstLineChars="200"/>
        <w:rPr>
          <w:rFonts w:hint="eastAsia" w:ascii="宋体" w:cs="宋体"/>
          <w:color w:val="000000"/>
          <w:kern w:val="0"/>
          <w:sz w:val="28"/>
          <w:szCs w:val="28"/>
          <w:lang w:val="zh-CN"/>
        </w:rPr>
      </w:pPr>
      <w:r>
        <w:rPr>
          <w:rFonts w:hint="eastAsia" w:ascii="宋体" w:cs="宋体"/>
          <w:sz w:val="28"/>
          <w:szCs w:val="28"/>
        </w:rPr>
        <w:t>我园对资金进行严格的管理，特别对上级拨付的专项资金做到专款专用，“三公”经费严格按照</w:t>
      </w:r>
      <w:r>
        <w:rPr>
          <w:rFonts w:hint="eastAsia" w:ascii="宋体" w:cs="宋体"/>
          <w:sz w:val="28"/>
          <w:szCs w:val="28"/>
          <w:lang w:eastAsia="zh-CN"/>
        </w:rPr>
        <w:t>中央八项规定</w:t>
      </w:r>
      <w:r>
        <w:rPr>
          <w:rFonts w:hint="eastAsia" w:ascii="宋体" w:cs="宋体"/>
          <w:sz w:val="28"/>
          <w:szCs w:val="28"/>
        </w:rPr>
        <w:t>执行。</w:t>
      </w:r>
    </w:p>
    <w:p w14:paraId="47DE9275">
      <w:pPr>
        <w:widowControl/>
        <w:spacing w:line="560" w:lineRule="exact"/>
        <w:ind w:firstLine="560" w:firstLineChars="200"/>
        <w:jc w:val="left"/>
        <w:rPr>
          <w:rFonts w:hint="eastAsia" w:ascii="宋体" w:cs="宋体"/>
          <w:sz w:val="28"/>
          <w:szCs w:val="28"/>
        </w:rPr>
      </w:pPr>
      <w:r>
        <w:rPr>
          <w:rFonts w:hint="eastAsia" w:ascii="宋体" w:cs="宋体"/>
          <w:color w:val="000000"/>
          <w:kern w:val="0"/>
          <w:sz w:val="28"/>
          <w:szCs w:val="28"/>
          <w:shd w:val="clear" w:color="auto" w:fill="FFFFFF"/>
        </w:rPr>
        <w:t>1、执行管理情况：我单位202</w:t>
      </w:r>
      <w:r>
        <w:rPr>
          <w:rFonts w:hint="eastAsia" w:ascii="宋体" w:cs="宋体"/>
          <w:color w:val="000000"/>
          <w:kern w:val="0"/>
          <w:sz w:val="28"/>
          <w:szCs w:val="28"/>
          <w:shd w:val="clear" w:color="auto" w:fill="FFFFFF"/>
          <w:lang w:val="en-US" w:eastAsia="zh-CN"/>
        </w:rPr>
        <w:t>4</w:t>
      </w:r>
      <w:r>
        <w:rPr>
          <w:rFonts w:hint="eastAsia" w:ascii="宋体" w:cs="宋体"/>
          <w:color w:val="000000"/>
          <w:kern w:val="0"/>
          <w:sz w:val="28"/>
          <w:szCs w:val="28"/>
          <w:shd w:val="clear" w:color="auto" w:fill="FFFFFF"/>
        </w:rPr>
        <w:t>年执行进度均达到本部门执行进度。</w:t>
      </w:r>
      <w:r>
        <w:rPr>
          <w:rFonts w:hint="eastAsia" w:ascii="宋体" w:cs="宋体"/>
          <w:sz w:val="28"/>
          <w:szCs w:val="28"/>
        </w:rPr>
        <w:t>预算经费中人员经费是按月拔付，公用经费是按季进行拔付。</w:t>
      </w:r>
    </w:p>
    <w:p w14:paraId="0F1D9D83">
      <w:pPr>
        <w:widowControl/>
        <w:adjustRightInd w:val="0"/>
        <w:snapToGrid w:val="0"/>
        <w:spacing w:line="600" w:lineRule="exact"/>
        <w:ind w:firstLine="560" w:firstLineChars="200"/>
        <w:jc w:val="left"/>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 xml:space="preserve">2、厉行节约方面。 </w:t>
      </w:r>
    </w:p>
    <w:p w14:paraId="365BC5DE">
      <w:pPr>
        <w:widowControl/>
        <w:adjustRightInd w:val="0"/>
        <w:snapToGrid w:val="0"/>
        <w:spacing w:line="600" w:lineRule="exact"/>
        <w:ind w:firstLine="560" w:firstLineChars="200"/>
        <w:jc w:val="left"/>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我单位认真贯彻落实中央和省委省政府相关规定，厉行节约，严格控制因公出国（境）费用、会议费、车辆购置及运行费用和公务接待经费。我单位2023年因公出国（境）费用0元、会议费0元、公务用车运行维护费0元、公务接待费0元。</w:t>
      </w:r>
    </w:p>
    <w:p w14:paraId="66334DC3">
      <w:pPr>
        <w:widowControl/>
        <w:adjustRightInd w:val="0"/>
        <w:snapToGrid w:val="0"/>
        <w:spacing w:line="600" w:lineRule="exact"/>
        <w:ind w:firstLine="562" w:firstLineChars="200"/>
        <w:jc w:val="left"/>
        <w:rPr>
          <w:rFonts w:hint="eastAsia" w:ascii="宋体" w:cs="宋体"/>
          <w:b/>
          <w:bCs/>
          <w:color w:val="000000"/>
          <w:kern w:val="0"/>
          <w:sz w:val="28"/>
          <w:szCs w:val="28"/>
          <w:shd w:val="clear" w:color="auto" w:fill="FFFFFF"/>
        </w:rPr>
      </w:pPr>
      <w:r>
        <w:rPr>
          <w:rFonts w:hint="eastAsia" w:ascii="宋体" w:cs="宋体"/>
          <w:b/>
          <w:bCs/>
          <w:color w:val="000000"/>
          <w:kern w:val="0"/>
          <w:sz w:val="28"/>
          <w:szCs w:val="28"/>
          <w:shd w:val="clear" w:color="auto" w:fill="FFFFFF"/>
        </w:rPr>
        <w:t>（</w:t>
      </w:r>
      <w:r>
        <w:rPr>
          <w:rFonts w:hint="eastAsia" w:ascii="宋体" w:cs="宋体"/>
          <w:b/>
          <w:bCs/>
          <w:color w:val="000000"/>
          <w:kern w:val="0"/>
          <w:sz w:val="28"/>
          <w:szCs w:val="28"/>
          <w:shd w:val="clear" w:color="auto" w:fill="FFFFFF"/>
          <w:lang w:val="en-US" w:eastAsia="zh-CN"/>
        </w:rPr>
        <w:t>四</w:t>
      </w:r>
      <w:r>
        <w:rPr>
          <w:rFonts w:hint="eastAsia" w:ascii="宋体" w:cs="宋体"/>
          <w:b/>
          <w:bCs/>
          <w:color w:val="000000"/>
          <w:kern w:val="0"/>
          <w:sz w:val="28"/>
          <w:szCs w:val="28"/>
          <w:shd w:val="clear" w:color="auto" w:fill="FFFFFF"/>
        </w:rPr>
        <w:t xml:space="preserve">）综合管理情况 </w:t>
      </w:r>
    </w:p>
    <w:p w14:paraId="07A56395">
      <w:pPr>
        <w:spacing w:line="560" w:lineRule="exact"/>
        <w:ind w:firstLine="560" w:firstLineChars="200"/>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在财政监督下，我单位严格按照相关政策及文件精神执行政府采购、资产管理、内控制度管理、信息公开、绩效评价等工作。</w:t>
      </w:r>
    </w:p>
    <w:p w14:paraId="5DDAC1BA">
      <w:pPr>
        <w:spacing w:line="560" w:lineRule="exact"/>
        <w:ind w:firstLine="560" w:firstLineChars="200"/>
        <w:rPr>
          <w:rFonts w:hint="eastAsia" w:ascii="宋体" w:cs="宋体"/>
          <w:sz w:val="28"/>
          <w:szCs w:val="28"/>
        </w:rPr>
      </w:pPr>
      <w:r>
        <w:rPr>
          <w:rFonts w:hint="eastAsia" w:ascii="宋体" w:cs="宋体"/>
          <w:sz w:val="28"/>
          <w:szCs w:val="28"/>
        </w:rPr>
        <w:t>1.政府采购方面：202</w:t>
      </w:r>
      <w:r>
        <w:rPr>
          <w:rFonts w:hint="eastAsia" w:ascii="宋体" w:cs="宋体"/>
          <w:sz w:val="28"/>
          <w:szCs w:val="28"/>
          <w:lang w:val="en-US" w:eastAsia="zh-CN"/>
        </w:rPr>
        <w:t>4</w:t>
      </w:r>
      <w:r>
        <w:rPr>
          <w:rFonts w:hint="eastAsia" w:ascii="宋体" w:cs="宋体"/>
          <w:sz w:val="28"/>
          <w:szCs w:val="28"/>
        </w:rPr>
        <w:t>我单位无政府采购，零星采购严格按固定资产管理办法进行登记入账。</w:t>
      </w:r>
    </w:p>
    <w:p w14:paraId="2B0230E2">
      <w:pPr>
        <w:spacing w:line="560" w:lineRule="exact"/>
        <w:ind w:firstLine="560" w:firstLineChars="200"/>
        <w:rPr>
          <w:rFonts w:hint="eastAsia" w:ascii="宋体" w:cs="宋体"/>
          <w:sz w:val="28"/>
          <w:szCs w:val="28"/>
        </w:rPr>
      </w:pPr>
      <w:r>
        <w:rPr>
          <w:rFonts w:hint="eastAsia" w:ascii="宋体" w:cs="宋体"/>
          <w:sz w:val="28"/>
          <w:szCs w:val="28"/>
        </w:rPr>
        <w:t>2.内控制度方面:为进一步做好行政事业单位内部控制基础性工作，贯彻执行县财政局《关于开展行政事业单位内部控制报告编报工作的通知》和相关文件要求，结合我单位实际，特制订以下制度草案：《金川县机关幼儿园预算管理制度》、《金川县机关幼儿园财务收支管理制度》、《金川县机关幼儿园采购及管理制度》、《金川县机关幼儿园资产管理制度》、《金川县机关幼儿园基本建设项目管理制度》、《金川县机关幼儿园合同管理制度》、《金川县机关幼儿园差旅费报销制度》、《金川县机关幼儿园考勤制度、请销假制度》等。</w:t>
      </w:r>
    </w:p>
    <w:p w14:paraId="1636554C">
      <w:pPr>
        <w:spacing w:line="560" w:lineRule="exact"/>
        <w:ind w:firstLine="560" w:firstLineChars="200"/>
        <w:rPr>
          <w:rFonts w:hint="eastAsia" w:ascii="宋体" w:cs="宋体"/>
          <w:sz w:val="28"/>
          <w:szCs w:val="28"/>
        </w:rPr>
      </w:pPr>
      <w:r>
        <w:rPr>
          <w:rFonts w:hint="eastAsia" w:ascii="宋体" w:cs="宋体"/>
          <w:sz w:val="28"/>
          <w:szCs w:val="28"/>
        </w:rPr>
        <w:t>3.信息公开方面：预算决算公开按财政局的要求在收到财政批复后20个工作日在金川县政府中心的信息网站进行公开。</w:t>
      </w:r>
    </w:p>
    <w:p w14:paraId="7631904C">
      <w:pPr>
        <w:spacing w:line="560" w:lineRule="exact"/>
        <w:ind w:firstLine="560" w:firstLineChars="200"/>
        <w:rPr>
          <w:rFonts w:hint="eastAsia" w:ascii="宋体" w:cs="宋体"/>
          <w:sz w:val="28"/>
          <w:szCs w:val="28"/>
        </w:rPr>
      </w:pPr>
      <w:r>
        <w:rPr>
          <w:rFonts w:hint="eastAsia" w:ascii="宋体" w:cs="宋体"/>
          <w:sz w:val="28"/>
          <w:szCs w:val="28"/>
        </w:rPr>
        <w:t>4.绩效评价及财政监督情况:按财政局文件的部门支出绩效评价指标体系进行单位自评，按财政要求收支并接受财政的监督管理。</w:t>
      </w:r>
    </w:p>
    <w:p w14:paraId="53A035DF">
      <w:pPr>
        <w:spacing w:line="560" w:lineRule="exact"/>
        <w:ind w:firstLine="562" w:firstLineChars="200"/>
        <w:rPr>
          <w:rFonts w:hint="eastAsia" w:ascii="宋体" w:cs="宋体"/>
          <w:b/>
          <w:bCs/>
          <w:color w:val="000000"/>
          <w:kern w:val="0"/>
          <w:sz w:val="28"/>
          <w:szCs w:val="28"/>
          <w:shd w:val="clear" w:color="auto" w:fill="FFFFFF"/>
        </w:rPr>
      </w:pPr>
      <w:r>
        <w:rPr>
          <w:rFonts w:hint="eastAsia" w:ascii="宋体" w:cs="宋体"/>
          <w:b/>
          <w:bCs/>
          <w:color w:val="000000"/>
          <w:kern w:val="0"/>
          <w:sz w:val="28"/>
          <w:szCs w:val="28"/>
          <w:shd w:val="clear" w:color="auto" w:fill="FFFFFF"/>
        </w:rPr>
        <w:t>（</w:t>
      </w:r>
      <w:r>
        <w:rPr>
          <w:rFonts w:hint="eastAsia" w:ascii="宋体" w:cs="宋体"/>
          <w:b/>
          <w:bCs/>
          <w:color w:val="000000"/>
          <w:kern w:val="0"/>
          <w:sz w:val="28"/>
          <w:szCs w:val="28"/>
          <w:shd w:val="clear" w:color="auto" w:fill="FFFFFF"/>
          <w:lang w:val="en-US" w:eastAsia="zh-CN"/>
        </w:rPr>
        <w:t>五</w:t>
      </w:r>
      <w:r>
        <w:rPr>
          <w:rFonts w:hint="eastAsia" w:ascii="宋体" w:cs="宋体"/>
          <w:b/>
          <w:bCs/>
          <w:color w:val="000000"/>
          <w:kern w:val="0"/>
          <w:sz w:val="28"/>
          <w:szCs w:val="28"/>
          <w:shd w:val="clear" w:color="auto" w:fill="FFFFFF"/>
        </w:rPr>
        <w:t>）整体绩效情况。</w:t>
      </w:r>
    </w:p>
    <w:p w14:paraId="5A96FC8E">
      <w:pPr>
        <w:spacing w:line="560" w:lineRule="exact"/>
        <w:ind w:firstLine="560" w:firstLineChars="200"/>
        <w:rPr>
          <w:rFonts w:hint="eastAsia" w:ascii="宋体" w:cs="宋体"/>
          <w:sz w:val="28"/>
          <w:szCs w:val="28"/>
        </w:rPr>
      </w:pPr>
      <w:r>
        <w:rPr>
          <w:rFonts w:hint="eastAsia" w:ascii="宋体" w:cs="宋体"/>
          <w:sz w:val="28"/>
          <w:szCs w:val="28"/>
        </w:rPr>
        <w:t>根据财政文件的附件部门支出绩效评价指标体系进行单位自评。</w:t>
      </w:r>
    </w:p>
    <w:p w14:paraId="0FAA3544">
      <w:pPr>
        <w:widowControl/>
        <w:adjustRightInd w:val="0"/>
        <w:snapToGrid w:val="0"/>
        <w:spacing w:line="600" w:lineRule="exact"/>
        <w:ind w:firstLine="720"/>
        <w:jc w:val="left"/>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 xml:space="preserve">1、部门支出绩效。 </w:t>
      </w:r>
    </w:p>
    <w:p w14:paraId="07EDC03C">
      <w:pPr>
        <w:widowControl/>
        <w:adjustRightInd w:val="0"/>
        <w:snapToGrid w:val="0"/>
        <w:spacing w:line="600" w:lineRule="exact"/>
        <w:ind w:firstLine="560" w:firstLineChars="200"/>
        <w:jc w:val="left"/>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日常运转保障方面：财政拨款安排支出主要用于保障单位正常运转、完成日常工作任务以及住房保障等相关工作；</w:t>
      </w:r>
    </w:p>
    <w:p w14:paraId="679321B9">
      <w:pPr>
        <w:widowControl/>
        <w:adjustRightInd w:val="0"/>
        <w:snapToGrid w:val="0"/>
        <w:spacing w:line="600" w:lineRule="exact"/>
        <w:jc w:val="left"/>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 xml:space="preserve">基本支出用于保障单位正常运转的日常支出，包括基本工资、津贴补贴等人员经费以及办公费、印刷费、水电费、办公设备购置等日常公用经费； </w:t>
      </w:r>
    </w:p>
    <w:p w14:paraId="42137AD1">
      <w:pPr>
        <w:widowControl/>
        <w:adjustRightInd w:val="0"/>
        <w:snapToGrid w:val="0"/>
        <w:spacing w:line="600" w:lineRule="exact"/>
        <w:ind w:firstLine="720"/>
        <w:jc w:val="left"/>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2、财务管理情况： 我单位财务管理制度健全，执行制度严格合规，会计核算符合相关规定，资金专款专用，资金支付依据和开支标准合法合规，严格执行政府采购。</w:t>
      </w:r>
    </w:p>
    <w:p w14:paraId="209D2C8A">
      <w:pPr>
        <w:widowControl/>
        <w:adjustRightInd w:val="0"/>
        <w:snapToGrid w:val="0"/>
        <w:spacing w:line="600" w:lineRule="exact"/>
        <w:ind w:firstLine="420" w:firstLineChars="150"/>
        <w:jc w:val="left"/>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3、绩效管理工作开展情况：根据县财政有关文件要求，我单位对财政资金使用管理情况，按照《202</w:t>
      </w:r>
      <w:r>
        <w:rPr>
          <w:rFonts w:hint="eastAsia" w:ascii="宋体" w:cs="宋体"/>
          <w:color w:val="000000"/>
          <w:kern w:val="0"/>
          <w:sz w:val="28"/>
          <w:szCs w:val="28"/>
          <w:shd w:val="clear" w:color="auto" w:fill="FFFFFF"/>
          <w:lang w:val="en-US" w:eastAsia="zh-CN"/>
        </w:rPr>
        <w:t>4</w:t>
      </w:r>
      <w:r>
        <w:rPr>
          <w:rFonts w:hint="eastAsia" w:ascii="宋体" w:cs="宋体"/>
          <w:color w:val="000000"/>
          <w:kern w:val="0"/>
          <w:sz w:val="28"/>
          <w:szCs w:val="28"/>
          <w:shd w:val="clear" w:color="auto" w:fill="FFFFFF"/>
        </w:rPr>
        <w:t>年部门支出绩效评价指标体系》认真开展自评工作，撰写部门自评报告。预算支出在保障本办工作运转、履行职能职责上整体情况良好。具体有：202</w:t>
      </w:r>
      <w:r>
        <w:rPr>
          <w:rFonts w:hint="eastAsia" w:ascii="宋体" w:cs="宋体"/>
          <w:color w:val="000000"/>
          <w:kern w:val="0"/>
          <w:sz w:val="28"/>
          <w:szCs w:val="28"/>
          <w:shd w:val="clear" w:color="auto" w:fill="FFFFFF"/>
          <w:lang w:val="en-US" w:eastAsia="zh-CN"/>
        </w:rPr>
        <w:t>4</w:t>
      </w:r>
      <w:r>
        <w:rPr>
          <w:rFonts w:hint="eastAsia" w:ascii="宋体" w:cs="宋体"/>
          <w:color w:val="000000"/>
          <w:kern w:val="0"/>
          <w:sz w:val="28"/>
          <w:szCs w:val="28"/>
          <w:shd w:val="clear" w:color="auto" w:fill="FFFFFF"/>
        </w:rPr>
        <w:t>度支出绩效较好，预算编制比较精确、合理;为认真落实</w:t>
      </w:r>
      <w:r>
        <w:rPr>
          <w:rFonts w:hint="eastAsia" w:ascii="宋体" w:cs="宋体"/>
          <w:color w:val="000000"/>
          <w:kern w:val="0"/>
          <w:sz w:val="28"/>
          <w:szCs w:val="28"/>
          <w:shd w:val="clear" w:color="auto" w:fill="FFFFFF"/>
          <w:lang w:eastAsia="zh-CN"/>
        </w:rPr>
        <w:t>中央八项规定</w:t>
      </w:r>
      <w:r>
        <w:rPr>
          <w:rFonts w:hint="eastAsia" w:ascii="宋体" w:cs="宋体"/>
          <w:color w:val="000000"/>
          <w:kern w:val="0"/>
          <w:sz w:val="28"/>
          <w:szCs w:val="28"/>
          <w:shd w:val="clear" w:color="auto" w:fill="FFFFFF"/>
        </w:rPr>
        <w:t>等厉行节约，反对浪费规定要求，压缩了部分一般性支出;动态优化了年度预算安排，保障了在经费压缩情况下的高效运转;提高了管理工作的规范化、信息化水平。强化日常运行经费管理，对于本单位日常公用经费按照相关政策进行管理，对于办公日常运行维护费用加强审核力度，公用经费及水、电等日常运行经费均有下降。</w:t>
      </w:r>
    </w:p>
    <w:p w14:paraId="0BD7F375">
      <w:pPr>
        <w:widowControl/>
        <w:adjustRightInd w:val="0"/>
        <w:snapToGrid w:val="0"/>
        <w:spacing w:line="600" w:lineRule="exact"/>
        <w:ind w:firstLine="720"/>
        <w:jc w:val="left"/>
        <w:rPr>
          <w:rFonts w:hint="eastAsia" w:ascii="宋体" w:cs="宋体"/>
          <w:bCs/>
          <w:color w:val="000000"/>
          <w:kern w:val="0"/>
          <w:sz w:val="28"/>
          <w:szCs w:val="28"/>
          <w:shd w:val="clear" w:color="auto" w:fill="FFFFFF"/>
        </w:rPr>
      </w:pPr>
      <w:r>
        <w:rPr>
          <w:rFonts w:hint="eastAsia" w:ascii="宋体" w:cs="宋体"/>
          <w:bCs/>
          <w:color w:val="000000"/>
          <w:kern w:val="0"/>
          <w:sz w:val="28"/>
          <w:szCs w:val="28"/>
          <w:shd w:val="clear" w:color="auto" w:fill="FFFFFF"/>
        </w:rPr>
        <w:t>四、评价结论及建议</w:t>
      </w:r>
    </w:p>
    <w:p w14:paraId="6857B15B">
      <w:pPr>
        <w:widowControl/>
        <w:adjustRightInd w:val="0"/>
        <w:snapToGrid w:val="0"/>
        <w:spacing w:line="600" w:lineRule="exact"/>
        <w:ind w:firstLine="720"/>
        <w:jc w:val="left"/>
        <w:rPr>
          <w:rFonts w:hint="eastAsia" w:ascii="宋体" w:cs="宋体"/>
          <w:b/>
          <w:bCs/>
          <w:color w:val="000000"/>
          <w:kern w:val="0"/>
          <w:sz w:val="28"/>
          <w:szCs w:val="28"/>
          <w:shd w:val="clear" w:color="auto" w:fill="FFFFFF"/>
        </w:rPr>
      </w:pPr>
      <w:r>
        <w:rPr>
          <w:rFonts w:hint="eastAsia" w:ascii="宋体" w:cs="宋体"/>
          <w:b/>
          <w:bCs/>
          <w:color w:val="000000"/>
          <w:kern w:val="0"/>
          <w:sz w:val="28"/>
          <w:szCs w:val="28"/>
          <w:shd w:val="clear" w:color="auto" w:fill="FFFFFF"/>
        </w:rPr>
        <w:t>（一）评价结论。</w:t>
      </w:r>
    </w:p>
    <w:p w14:paraId="10E470D6">
      <w:pPr>
        <w:widowControl/>
        <w:adjustRightInd w:val="0"/>
        <w:snapToGrid w:val="0"/>
        <w:spacing w:line="560" w:lineRule="exact"/>
        <w:ind w:firstLine="560" w:firstLineChars="200"/>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按照国家政策法规规定，结合本部门的实际情况，建立健全了财务管理制度和约束机制，依法、有效地使用财政资金，提高财政资金使用效率，合理分配人、财、物，完成了部门职能目标，实现了较高的工作效率和支出绩效。</w:t>
      </w:r>
    </w:p>
    <w:p w14:paraId="06256771">
      <w:pPr>
        <w:widowControl/>
        <w:adjustRightInd w:val="0"/>
        <w:snapToGrid w:val="0"/>
        <w:spacing w:line="600" w:lineRule="exact"/>
        <w:ind w:firstLine="720"/>
        <w:jc w:val="left"/>
        <w:rPr>
          <w:rFonts w:hint="eastAsia" w:ascii="宋体" w:cs="宋体"/>
          <w:b/>
          <w:bCs/>
          <w:color w:val="000000"/>
          <w:kern w:val="0"/>
          <w:sz w:val="28"/>
          <w:szCs w:val="28"/>
          <w:shd w:val="clear" w:color="auto" w:fill="FFFFFF"/>
        </w:rPr>
      </w:pPr>
      <w:r>
        <w:rPr>
          <w:rFonts w:hint="eastAsia" w:ascii="宋体" w:cs="宋体"/>
          <w:b/>
          <w:bCs/>
          <w:color w:val="000000"/>
          <w:kern w:val="0"/>
          <w:sz w:val="28"/>
          <w:szCs w:val="28"/>
          <w:shd w:val="clear" w:color="auto" w:fill="FFFFFF"/>
        </w:rPr>
        <w:t>（二）存在问题。</w:t>
      </w:r>
    </w:p>
    <w:p w14:paraId="5E875E4A">
      <w:pPr>
        <w:widowControl/>
        <w:adjustRightInd w:val="0"/>
        <w:snapToGrid w:val="0"/>
        <w:spacing w:line="600" w:lineRule="exact"/>
        <w:ind w:firstLine="720"/>
        <w:jc w:val="left"/>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我单位有人员增减不定，存在预算不精准，调整追加（减）预算情况;</w:t>
      </w:r>
    </w:p>
    <w:p w14:paraId="649297C0">
      <w:pPr>
        <w:widowControl/>
        <w:adjustRightInd w:val="0"/>
        <w:snapToGrid w:val="0"/>
        <w:spacing w:line="600" w:lineRule="exact"/>
        <w:ind w:firstLine="720"/>
        <w:jc w:val="left"/>
        <w:rPr>
          <w:rFonts w:hint="eastAsia" w:ascii="宋体" w:cs="宋体"/>
          <w:b/>
          <w:bCs/>
          <w:color w:val="000000"/>
          <w:kern w:val="0"/>
          <w:sz w:val="28"/>
          <w:szCs w:val="28"/>
          <w:shd w:val="clear" w:color="auto" w:fill="FFFFFF"/>
        </w:rPr>
      </w:pPr>
      <w:r>
        <w:rPr>
          <w:rFonts w:hint="eastAsia" w:ascii="宋体" w:cs="宋体"/>
          <w:b/>
          <w:bCs/>
          <w:color w:val="000000"/>
          <w:kern w:val="0"/>
          <w:sz w:val="28"/>
          <w:szCs w:val="28"/>
          <w:shd w:val="clear" w:color="auto" w:fill="FFFFFF"/>
        </w:rPr>
        <w:t>（三）改进建议。</w:t>
      </w:r>
    </w:p>
    <w:p w14:paraId="57437605">
      <w:pPr>
        <w:spacing w:line="560" w:lineRule="exact"/>
        <w:ind w:firstLine="560" w:firstLineChars="200"/>
        <w:rPr>
          <w:rFonts w:hint="eastAsia" w:ascii="宋体" w:cs="宋体"/>
          <w:sz w:val="28"/>
          <w:szCs w:val="28"/>
        </w:rPr>
      </w:pPr>
      <w:r>
        <w:rPr>
          <w:rFonts w:hint="eastAsia" w:ascii="宋体" w:cs="宋体"/>
          <w:color w:val="000000"/>
          <w:kern w:val="0"/>
          <w:sz w:val="28"/>
          <w:szCs w:val="28"/>
          <w:shd w:val="clear" w:color="auto" w:fill="FFFFFF"/>
        </w:rPr>
        <w:t>我单位将进一步重视预算的编制工作，提高预算编制的精确度，提高财政资金使用效率，尽量减少预算执行调整、结余追减的情形；</w:t>
      </w:r>
      <w:r>
        <w:rPr>
          <w:rFonts w:hint="eastAsia" w:ascii="宋体" w:cs="宋体"/>
          <w:sz w:val="28"/>
          <w:szCs w:val="28"/>
        </w:rPr>
        <w:t>加快完成财务管理规章制度建设、加强会计核算和财务管理能力，及时与县财政局相关科室对接工作，提升工作效率。</w:t>
      </w:r>
    </w:p>
    <w:p w14:paraId="38789418">
      <w:pPr>
        <w:spacing w:line="560" w:lineRule="exact"/>
        <w:ind w:firstLine="560" w:firstLineChars="200"/>
        <w:rPr>
          <w:rFonts w:hint="eastAsia" w:ascii="宋体" w:eastAsia="宋体" w:cs="宋体"/>
          <w:sz w:val="28"/>
          <w:szCs w:val="28"/>
        </w:rPr>
      </w:pPr>
      <w:r>
        <w:rPr>
          <w:rFonts w:hint="eastAsia" w:ascii="宋体" w:eastAsia="宋体" w:cs="宋体"/>
          <w:sz w:val="28"/>
          <w:szCs w:val="28"/>
          <w:lang w:val="en-US" w:eastAsia="zh-CN"/>
        </w:rPr>
        <w:t>附表：部门整体支出绩效目标完成情况自评表</w:t>
      </w:r>
      <w:r>
        <w:rPr>
          <w:rFonts w:hint="eastAsia" w:ascii="宋体" w:eastAsia="宋体" w:cs="宋体"/>
          <w:sz w:val="28"/>
          <w:szCs w:val="28"/>
        </w:rPr>
        <w:t xml:space="preserve">                       </w:t>
      </w:r>
    </w:p>
    <w:p w14:paraId="75360583">
      <w:pPr>
        <w:spacing w:line="600" w:lineRule="exact"/>
        <w:jc w:val="center"/>
        <w:rPr>
          <w:rFonts w:hint="eastAsia" w:ascii="宋体" w:cs="宋体"/>
          <w:color w:val="000000"/>
          <w:kern w:val="0"/>
          <w:sz w:val="28"/>
          <w:szCs w:val="28"/>
          <w:shd w:val="clear" w:color="auto" w:fill="FFFFFF"/>
        </w:rPr>
      </w:pPr>
    </w:p>
    <w:p w14:paraId="567AB401">
      <w:pPr>
        <w:spacing w:line="600" w:lineRule="exact"/>
        <w:jc w:val="center"/>
        <w:rPr>
          <w:rFonts w:hint="eastAsia" w:ascii="宋体" w:cs="宋体"/>
          <w:color w:val="000000"/>
          <w:kern w:val="0"/>
          <w:sz w:val="28"/>
          <w:szCs w:val="28"/>
          <w:shd w:val="clear" w:color="auto" w:fill="FFFFFF"/>
        </w:rPr>
      </w:pPr>
      <w:r>
        <w:rPr>
          <w:rFonts w:hint="eastAsia" w:ascii="宋体" w:cs="宋体"/>
          <w:color w:val="000000"/>
          <w:kern w:val="0"/>
          <w:sz w:val="28"/>
          <w:szCs w:val="28"/>
          <w:shd w:val="clear" w:color="auto" w:fill="FFFFFF"/>
        </w:rPr>
        <w:t xml:space="preserve">                               </w:t>
      </w:r>
      <w:r>
        <w:rPr>
          <w:rFonts w:hint="eastAsia" w:ascii="宋体" w:cs="宋体"/>
          <w:color w:val="000000"/>
          <w:kern w:val="0"/>
          <w:sz w:val="28"/>
          <w:szCs w:val="28"/>
          <w:shd w:val="clear" w:color="auto" w:fill="FFFFFF"/>
          <w:lang w:val="en-US" w:eastAsia="zh-CN"/>
        </w:rPr>
        <w:t xml:space="preserve">    </w:t>
      </w:r>
      <w:r>
        <w:rPr>
          <w:rFonts w:hint="eastAsia" w:ascii="宋体" w:cs="宋体"/>
          <w:color w:val="000000"/>
          <w:kern w:val="0"/>
          <w:sz w:val="28"/>
          <w:szCs w:val="28"/>
          <w:shd w:val="clear" w:color="auto" w:fill="FFFFFF"/>
        </w:rPr>
        <w:t>金川县机关幼儿园</w:t>
      </w:r>
    </w:p>
    <w:p w14:paraId="44BE37BB">
      <w:pPr>
        <w:ind w:firstLine="5600" w:firstLineChars="2000"/>
        <w:rPr>
          <w:rFonts w:hint="eastAsia" w:ascii="宋体" w:cs="宋体"/>
          <w:sz w:val="28"/>
          <w:szCs w:val="28"/>
        </w:rPr>
      </w:pPr>
      <w:r>
        <w:rPr>
          <w:rFonts w:hint="eastAsia" w:ascii="宋体" w:cs="宋体"/>
          <w:color w:val="000000"/>
          <w:kern w:val="0"/>
          <w:sz w:val="28"/>
          <w:szCs w:val="28"/>
          <w:shd w:val="clear" w:color="auto" w:fill="FFFFFF"/>
        </w:rPr>
        <w:t>202</w:t>
      </w:r>
      <w:r>
        <w:rPr>
          <w:rFonts w:hint="eastAsia" w:ascii="宋体" w:cs="宋体"/>
          <w:color w:val="000000"/>
          <w:kern w:val="0"/>
          <w:sz w:val="28"/>
          <w:szCs w:val="28"/>
          <w:shd w:val="clear" w:color="auto" w:fill="FFFFFF"/>
          <w:lang w:val="en-US" w:eastAsia="zh-CN"/>
        </w:rPr>
        <w:t>5</w:t>
      </w:r>
      <w:r>
        <w:rPr>
          <w:rFonts w:hint="eastAsia" w:ascii="宋体" w:cs="宋体"/>
          <w:color w:val="000000"/>
          <w:kern w:val="0"/>
          <w:sz w:val="28"/>
          <w:szCs w:val="28"/>
          <w:shd w:val="clear" w:color="auto" w:fill="FFFFFF"/>
        </w:rPr>
        <w:t>年</w:t>
      </w:r>
      <w:r>
        <w:rPr>
          <w:rFonts w:hint="eastAsia" w:ascii="宋体" w:cs="宋体"/>
          <w:color w:val="000000"/>
          <w:kern w:val="0"/>
          <w:sz w:val="28"/>
          <w:szCs w:val="28"/>
          <w:shd w:val="clear" w:color="auto" w:fill="FFFFFF"/>
          <w:lang w:val="en-US" w:eastAsia="zh-CN"/>
        </w:rPr>
        <w:t>4</w:t>
      </w:r>
      <w:r>
        <w:rPr>
          <w:rFonts w:hint="eastAsia" w:ascii="宋体" w:cs="宋体"/>
          <w:color w:val="000000"/>
          <w:kern w:val="0"/>
          <w:sz w:val="28"/>
          <w:szCs w:val="28"/>
          <w:shd w:val="clear" w:color="auto" w:fill="FFFFFF"/>
        </w:rPr>
        <w:t>月</w:t>
      </w:r>
      <w:r>
        <w:rPr>
          <w:rFonts w:hint="eastAsia" w:ascii="宋体" w:cs="宋体"/>
          <w:color w:val="000000"/>
          <w:kern w:val="0"/>
          <w:sz w:val="28"/>
          <w:szCs w:val="28"/>
          <w:shd w:val="clear" w:color="auto" w:fill="FFFFFF"/>
          <w:lang w:val="en-US" w:eastAsia="zh-CN"/>
        </w:rPr>
        <w:t>18</w:t>
      </w:r>
      <w:r>
        <w:rPr>
          <w:rFonts w:hint="eastAsia" w:ascii="宋体" w:cs="宋体"/>
          <w:color w:val="000000"/>
          <w:kern w:val="0"/>
          <w:sz w:val="28"/>
          <w:szCs w:val="28"/>
          <w:shd w:val="clear" w:color="auto" w:fill="FFFFFF"/>
        </w:rPr>
        <w:t>日</w:t>
      </w:r>
    </w:p>
    <w:p w14:paraId="3EE7251F">
      <w:pPr>
        <w:spacing w:line="576" w:lineRule="exact"/>
        <w:ind w:firstLine="4760" w:firstLineChars="1700"/>
        <w:rPr>
          <w:rFonts w:hint="eastAsia" w:ascii="宋体" w:cs="宋体"/>
          <w:sz w:val="28"/>
          <w:szCs w:val="28"/>
        </w:rPr>
      </w:pPr>
    </w:p>
    <w:p w14:paraId="5C1E0C54">
      <w:pPr>
        <w:rPr>
          <w:rFonts w:hint="eastAsia" w:ascii="宋体" w:cs="宋体"/>
          <w:sz w:val="28"/>
          <w:szCs w:val="28"/>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6"/>
        <w:gridCol w:w="411"/>
        <w:gridCol w:w="567"/>
        <w:gridCol w:w="2327"/>
        <w:gridCol w:w="1287"/>
        <w:gridCol w:w="1482"/>
        <w:gridCol w:w="1013"/>
        <w:gridCol w:w="829"/>
      </w:tblGrid>
      <w:tr w14:paraId="24EE2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8"/>
            <w:tcBorders>
              <w:top w:val="nil"/>
              <w:left w:val="nil"/>
              <w:bottom w:val="nil"/>
              <w:right w:val="nil"/>
            </w:tcBorders>
            <w:noWrap/>
            <w:vAlign w:val="center"/>
          </w:tcPr>
          <w:p w14:paraId="77C0A7C1">
            <w:pPr>
              <w:keepNext w:val="0"/>
              <w:keepLines w:val="0"/>
              <w:widowControl/>
              <w:suppressLineNumbers w:val="0"/>
              <w:jc w:val="center"/>
              <w:textAlignment w:val="center"/>
              <w:rPr>
                <w:rFonts w:ascii="黑体" w:eastAsia="黑体" w:cs="黑体"/>
                <w:i w:val="0"/>
                <w:iCs w:val="0"/>
                <w:color w:val="000000"/>
                <w:sz w:val="30"/>
                <w:szCs w:val="30"/>
                <w:u w:val="none"/>
                <w:lang w:val="en-US"/>
              </w:rPr>
            </w:pPr>
            <w:r>
              <w:rPr>
                <w:rFonts w:hint="eastAsia" w:ascii="黑体" w:eastAsia="黑体" w:cs="黑体"/>
                <w:i w:val="0"/>
                <w:iCs w:val="0"/>
                <w:color w:val="000000"/>
                <w:kern w:val="0"/>
                <w:sz w:val="30"/>
                <w:szCs w:val="30"/>
                <w:u w:val="none"/>
                <w:lang w:val="en-US" w:eastAsia="zh-CN"/>
              </w:rPr>
              <w:t>部门整体支出绩效目标完成情况自评表</w:t>
            </w:r>
          </w:p>
        </w:tc>
      </w:tr>
      <w:tr w14:paraId="0F8FC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8"/>
            <w:tcBorders>
              <w:top w:val="nil"/>
              <w:left w:val="nil"/>
              <w:bottom w:val="nil"/>
              <w:right w:val="nil"/>
            </w:tcBorders>
            <w:noWrap/>
            <w:vAlign w:val="center"/>
          </w:tcPr>
          <w:p w14:paraId="408603F7">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（2024年度）</w:t>
            </w:r>
          </w:p>
        </w:tc>
      </w:tr>
      <w:tr w14:paraId="41B47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8"/>
            <w:tcBorders>
              <w:top w:val="nil"/>
              <w:left w:val="nil"/>
              <w:bottom w:val="single" w:color="000000" w:sz="4" w:space="0"/>
              <w:right w:val="nil"/>
            </w:tcBorders>
            <w:noWrap/>
            <w:vAlign w:val="center"/>
          </w:tcPr>
          <w:p w14:paraId="74D57770">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金额单位：万元</w:t>
            </w:r>
          </w:p>
        </w:tc>
      </w:tr>
      <w:tr w14:paraId="3F86B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960" w:type="pct"/>
            <w:gridSpan w:val="3"/>
            <w:tcBorders>
              <w:top w:val="single" w:color="000000" w:sz="4" w:space="0"/>
              <w:left w:val="single" w:color="000000" w:sz="4" w:space="0"/>
              <w:bottom w:val="single" w:color="000000" w:sz="4" w:space="0"/>
              <w:right w:val="single" w:color="000000" w:sz="4" w:space="0"/>
            </w:tcBorders>
            <w:noWrap/>
            <w:vAlign w:val="center"/>
          </w:tcPr>
          <w:p w14:paraId="43E43FA8">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部门名称</w:t>
            </w:r>
          </w:p>
        </w:tc>
        <w:tc>
          <w:tcPr>
            <w:tcW w:w="3039" w:type="pct"/>
            <w:gridSpan w:val="5"/>
            <w:tcBorders>
              <w:top w:val="single" w:color="000000" w:sz="4" w:space="0"/>
              <w:left w:val="single" w:color="000000" w:sz="4" w:space="0"/>
              <w:bottom w:val="single" w:color="000000" w:sz="4" w:space="0"/>
              <w:right w:val="single" w:color="000000" w:sz="4" w:space="0"/>
            </w:tcBorders>
            <w:noWrap/>
            <w:vAlign w:val="center"/>
          </w:tcPr>
          <w:p w14:paraId="7F237234">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金川县机关幼儿园本级</w:t>
            </w:r>
          </w:p>
        </w:tc>
      </w:tr>
      <w:tr w14:paraId="21C4D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58" w:type="pct"/>
            <w:vMerge w:val="restart"/>
            <w:tcBorders>
              <w:top w:val="single" w:color="000000" w:sz="4" w:space="0"/>
              <w:left w:val="single" w:color="000000" w:sz="4" w:space="0"/>
              <w:bottom w:val="single" w:color="000000" w:sz="4" w:space="0"/>
              <w:right w:val="single" w:color="000000" w:sz="4" w:space="0"/>
            </w:tcBorders>
            <w:noWrap/>
            <w:vAlign w:val="center"/>
          </w:tcPr>
          <w:p w14:paraId="462784CD">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年度部门整体支出预算</w:t>
            </w:r>
          </w:p>
        </w:tc>
        <w:tc>
          <w:tcPr>
            <w:tcW w:w="1402" w:type="pct"/>
            <w:gridSpan w:val="2"/>
            <w:tcBorders>
              <w:top w:val="single" w:color="000000" w:sz="4" w:space="0"/>
              <w:left w:val="single" w:color="000000" w:sz="4" w:space="0"/>
              <w:bottom w:val="single" w:color="000000" w:sz="4" w:space="0"/>
              <w:right w:val="single" w:color="000000" w:sz="4" w:space="0"/>
            </w:tcBorders>
            <w:noWrap/>
            <w:vAlign w:val="center"/>
          </w:tcPr>
          <w:p w14:paraId="0EBB7CC3">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资金总额</w:t>
            </w:r>
          </w:p>
        </w:tc>
        <w:tc>
          <w:tcPr>
            <w:tcW w:w="1635" w:type="pct"/>
            <w:gridSpan w:val="2"/>
            <w:tcBorders>
              <w:top w:val="single" w:color="000000" w:sz="4" w:space="0"/>
              <w:left w:val="single" w:color="000000" w:sz="4" w:space="0"/>
              <w:bottom w:val="single" w:color="000000" w:sz="4" w:space="0"/>
              <w:right w:val="single" w:color="000000" w:sz="4" w:space="0"/>
            </w:tcBorders>
            <w:noWrap/>
            <w:vAlign w:val="center"/>
          </w:tcPr>
          <w:p w14:paraId="74E1A6EF">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财政拨款</w:t>
            </w:r>
          </w:p>
        </w:tc>
        <w:tc>
          <w:tcPr>
            <w:tcW w:w="1403" w:type="pct"/>
            <w:gridSpan w:val="3"/>
            <w:tcBorders>
              <w:top w:val="single" w:color="000000" w:sz="4" w:space="0"/>
              <w:left w:val="single" w:color="000000" w:sz="4" w:space="0"/>
              <w:bottom w:val="single" w:color="000000" w:sz="4" w:space="0"/>
              <w:right w:val="single" w:color="000000" w:sz="4" w:space="0"/>
            </w:tcBorders>
            <w:noWrap/>
            <w:vAlign w:val="center"/>
          </w:tcPr>
          <w:p w14:paraId="6F46FA3C">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r>
      <w:tr w14:paraId="20EE7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75EF5BE7"/>
        </w:tc>
        <w:tc>
          <w:tcPr>
            <w:tcW w:w="1402" w:type="pct"/>
            <w:gridSpan w:val="2"/>
            <w:tcBorders>
              <w:top w:val="single" w:color="000000" w:sz="4" w:space="0"/>
              <w:left w:val="single" w:color="000000" w:sz="4" w:space="0"/>
              <w:bottom w:val="single" w:color="000000" w:sz="4" w:space="0"/>
              <w:right w:val="single" w:color="000000" w:sz="4" w:space="0"/>
            </w:tcBorders>
            <w:noWrap/>
            <w:vAlign w:val="center"/>
          </w:tcPr>
          <w:p w14:paraId="034ED4F8">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1,035.56</w:t>
            </w:r>
          </w:p>
        </w:tc>
        <w:tc>
          <w:tcPr>
            <w:tcW w:w="1635" w:type="pct"/>
            <w:gridSpan w:val="2"/>
            <w:tcBorders>
              <w:top w:val="single" w:color="000000" w:sz="4" w:space="0"/>
              <w:left w:val="single" w:color="000000" w:sz="4" w:space="0"/>
              <w:bottom w:val="single" w:color="000000" w:sz="4" w:space="0"/>
              <w:right w:val="single" w:color="000000" w:sz="4" w:space="0"/>
            </w:tcBorders>
            <w:noWrap/>
            <w:vAlign w:val="center"/>
          </w:tcPr>
          <w:p w14:paraId="5B76F76C">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1,035.56</w:t>
            </w:r>
          </w:p>
        </w:tc>
        <w:tc>
          <w:tcPr>
            <w:tcW w:w="1403" w:type="pct"/>
            <w:gridSpan w:val="3"/>
            <w:tcBorders>
              <w:top w:val="single" w:color="000000" w:sz="4" w:space="0"/>
              <w:left w:val="single" w:color="000000" w:sz="4" w:space="0"/>
              <w:bottom w:val="single" w:color="000000" w:sz="4" w:space="0"/>
              <w:right w:val="single" w:color="000000" w:sz="4" w:space="0"/>
            </w:tcBorders>
            <w:noWrap/>
            <w:vAlign w:val="center"/>
          </w:tcPr>
          <w:p w14:paraId="015ACDF7">
            <w:pPr>
              <w:jc w:val="right"/>
              <w:rPr>
                <w:rFonts w:hint="eastAsia" w:ascii="宋体" w:eastAsia="宋体" w:cs="宋体"/>
                <w:i w:val="0"/>
                <w:iCs w:val="0"/>
                <w:color w:val="000000"/>
                <w:sz w:val="18"/>
                <w:szCs w:val="18"/>
                <w:u w:val="none"/>
              </w:rPr>
            </w:pPr>
          </w:p>
        </w:tc>
      </w:tr>
      <w:tr w14:paraId="32B79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4" w:hRule="atLeast"/>
        </w:trPr>
        <w:tc>
          <w:tcPr>
            <w:tcW w:w="558" w:type="pct"/>
            <w:tcBorders>
              <w:top w:val="single" w:color="000000" w:sz="4" w:space="0"/>
              <w:left w:val="single" w:color="000000" w:sz="4" w:space="0"/>
              <w:bottom w:val="single" w:color="000000" w:sz="4" w:space="0"/>
              <w:right w:val="single" w:color="000000" w:sz="4" w:space="0"/>
            </w:tcBorders>
            <w:noWrap/>
            <w:vAlign w:val="center"/>
          </w:tcPr>
          <w:p w14:paraId="40E034DD">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年度总体目标</w:t>
            </w:r>
          </w:p>
        </w:tc>
        <w:tc>
          <w:tcPr>
            <w:tcW w:w="4441" w:type="pct"/>
            <w:gridSpan w:val="7"/>
            <w:tcBorders>
              <w:top w:val="single" w:color="000000" w:sz="4" w:space="0"/>
              <w:left w:val="single" w:color="000000" w:sz="4" w:space="0"/>
              <w:bottom w:val="single" w:color="000000" w:sz="4" w:space="0"/>
              <w:right w:val="single" w:color="000000" w:sz="4" w:space="0"/>
            </w:tcBorders>
            <w:noWrap/>
            <w:vAlign w:val="center"/>
          </w:tcPr>
          <w:p w14:paraId="43EBE8BB">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1.保障单位正常运转，为学前儿童教育提供优质教育服务。</w:t>
            </w:r>
            <w:r>
              <w:rPr>
                <w:rFonts w:ascii="宋体" w:eastAsia="宋体" w:cs="宋体"/>
                <w:i w:val="0"/>
                <w:iCs w:val="0"/>
                <w:color w:val="000000"/>
                <w:kern w:val="0"/>
                <w:sz w:val="18"/>
                <w:szCs w:val="18"/>
                <w:u w:val="none"/>
                <w:lang w:val="en-US" w:eastAsia="zh-CN"/>
              </w:rPr>
              <w:br w:type="textWrapping"/>
            </w:r>
            <w:r>
              <w:rPr>
                <w:rFonts w:ascii="宋体" w:eastAsia="宋体" w:cs="宋体"/>
                <w:i w:val="0"/>
                <w:iCs w:val="0"/>
                <w:color w:val="000000"/>
                <w:kern w:val="0"/>
                <w:sz w:val="18"/>
                <w:szCs w:val="18"/>
                <w:u w:val="none"/>
                <w:lang w:val="en-US" w:eastAsia="zh-CN"/>
              </w:rPr>
              <w:t>2.保障单位全体在编教职工工资发放、社会保障、基本医疗及住房公积金补助等，准时发放，提高工作效率。</w:t>
            </w:r>
            <w:r>
              <w:rPr>
                <w:rFonts w:ascii="宋体" w:eastAsia="宋体" w:cs="宋体"/>
                <w:i w:val="0"/>
                <w:iCs w:val="0"/>
                <w:color w:val="000000"/>
                <w:kern w:val="0"/>
                <w:sz w:val="18"/>
                <w:szCs w:val="18"/>
                <w:u w:val="none"/>
                <w:lang w:val="en-US" w:eastAsia="zh-CN"/>
              </w:rPr>
              <w:br w:type="textWrapping"/>
            </w:r>
            <w:r>
              <w:rPr>
                <w:rFonts w:ascii="宋体" w:eastAsia="宋体" w:cs="宋体"/>
                <w:i w:val="0"/>
                <w:iCs w:val="0"/>
                <w:color w:val="000000"/>
                <w:kern w:val="0"/>
                <w:sz w:val="18"/>
                <w:szCs w:val="18"/>
                <w:u w:val="none"/>
                <w:lang w:val="en-US" w:eastAsia="zh-CN"/>
              </w:rPr>
              <w:t>3.保障退休人员、遗属人员等补助及时发放。</w:t>
            </w:r>
          </w:p>
        </w:tc>
      </w:tr>
      <w:tr w14:paraId="180A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restart"/>
            <w:tcBorders>
              <w:top w:val="single" w:color="000000" w:sz="4" w:space="0"/>
              <w:left w:val="single" w:color="000000" w:sz="4" w:space="0"/>
              <w:bottom w:val="single" w:color="000000" w:sz="4" w:space="0"/>
              <w:right w:val="single" w:color="000000" w:sz="4" w:space="0"/>
            </w:tcBorders>
            <w:noWrap/>
            <w:vAlign w:val="center"/>
          </w:tcPr>
          <w:p w14:paraId="05FE5D2C">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年度主要任务</w:t>
            </w:r>
          </w:p>
        </w:tc>
        <w:tc>
          <w:tcPr>
            <w:tcW w:w="1402" w:type="pct"/>
            <w:gridSpan w:val="2"/>
            <w:tcBorders>
              <w:top w:val="single" w:color="000000" w:sz="4" w:space="0"/>
              <w:left w:val="single" w:color="000000" w:sz="4" w:space="0"/>
              <w:bottom w:val="single" w:color="000000" w:sz="4" w:space="0"/>
              <w:right w:val="single" w:color="000000" w:sz="4" w:space="0"/>
            </w:tcBorders>
            <w:noWrap/>
            <w:vAlign w:val="center"/>
          </w:tcPr>
          <w:p w14:paraId="14FB8FBD">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任务名称</w:t>
            </w:r>
          </w:p>
        </w:tc>
        <w:tc>
          <w:tcPr>
            <w:tcW w:w="3039" w:type="pct"/>
            <w:gridSpan w:val="5"/>
            <w:tcBorders>
              <w:top w:val="single" w:color="000000" w:sz="4" w:space="0"/>
              <w:left w:val="single" w:color="000000" w:sz="4" w:space="0"/>
              <w:bottom w:val="single" w:color="000000" w:sz="4" w:space="0"/>
              <w:right w:val="single" w:color="000000" w:sz="4" w:space="0"/>
            </w:tcBorders>
            <w:noWrap/>
            <w:vAlign w:val="center"/>
          </w:tcPr>
          <w:p w14:paraId="0CF3FC6C">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主要内容</w:t>
            </w:r>
          </w:p>
        </w:tc>
      </w:tr>
      <w:tr w14:paraId="04BEF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5BCE5B7C"/>
        </w:tc>
        <w:tc>
          <w:tcPr>
            <w:tcW w:w="1402" w:type="pct"/>
            <w:gridSpan w:val="2"/>
            <w:tcBorders>
              <w:top w:val="single" w:color="000000" w:sz="4" w:space="0"/>
              <w:left w:val="single" w:color="000000" w:sz="4" w:space="0"/>
              <w:bottom w:val="single" w:color="000000" w:sz="4" w:space="0"/>
              <w:right w:val="single" w:color="000000" w:sz="4" w:space="0"/>
            </w:tcBorders>
            <w:noWrap/>
            <w:vAlign w:val="center"/>
          </w:tcPr>
          <w:p w14:paraId="1ED487F8">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办公室</w:t>
            </w:r>
          </w:p>
        </w:tc>
        <w:tc>
          <w:tcPr>
            <w:tcW w:w="3039" w:type="pct"/>
            <w:gridSpan w:val="5"/>
            <w:tcBorders>
              <w:top w:val="single" w:color="000000" w:sz="4" w:space="0"/>
              <w:left w:val="single" w:color="000000" w:sz="4" w:space="0"/>
              <w:bottom w:val="single" w:color="000000" w:sz="4" w:space="0"/>
              <w:right w:val="single" w:color="000000" w:sz="4" w:space="0"/>
            </w:tcBorders>
            <w:noWrap/>
            <w:vAlign w:val="center"/>
          </w:tcPr>
          <w:p w14:paraId="0A34263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贯彻国家教育方针政策，对3-6岁儿童实行科学合理的教育教学工作，促进幼儿德智体美等全面发展。负责幼儿园机构年检，档案，人员关系等人事工作，负责领导和有关人员外出学习，考察的服务工作，配合做好全员的重要会议，大型活动，和各项活动的组织协调工作。负责办公室的日常工作，负责印鉴的管理与使用。完成园领导交办的其他工作。    </w:t>
            </w:r>
          </w:p>
        </w:tc>
      </w:tr>
      <w:tr w14:paraId="0DEB1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55E941AA"/>
        </w:tc>
        <w:tc>
          <w:tcPr>
            <w:tcW w:w="1402" w:type="pct"/>
            <w:gridSpan w:val="2"/>
            <w:tcBorders>
              <w:top w:val="single" w:color="000000" w:sz="4" w:space="0"/>
              <w:left w:val="single" w:color="000000" w:sz="4" w:space="0"/>
              <w:bottom w:val="single" w:color="000000" w:sz="4" w:space="0"/>
              <w:right w:val="single" w:color="000000" w:sz="4" w:space="0"/>
            </w:tcBorders>
            <w:noWrap/>
            <w:vAlign w:val="center"/>
          </w:tcPr>
          <w:p w14:paraId="187B0410">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后勤</w:t>
            </w:r>
          </w:p>
        </w:tc>
        <w:tc>
          <w:tcPr>
            <w:tcW w:w="3039" w:type="pct"/>
            <w:gridSpan w:val="5"/>
            <w:tcBorders>
              <w:top w:val="single" w:color="000000" w:sz="4" w:space="0"/>
              <w:left w:val="single" w:color="000000" w:sz="4" w:space="0"/>
              <w:bottom w:val="single" w:color="000000" w:sz="4" w:space="0"/>
              <w:right w:val="single" w:color="000000" w:sz="4" w:space="0"/>
            </w:tcBorders>
            <w:noWrap/>
            <w:vAlign w:val="center"/>
          </w:tcPr>
          <w:p w14:paraId="21C084A9">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制定后勤部门工作计划，安排后勤人员政治、业务学习，开展各种活动等，协助园领导进行后勤工作管理，负责抓好后勤人员的思想和业务工作。勤俭办园，督促后勤人员做好本职工作，做好总结工作。遵守教职工道德规范和园内各项制度。    </w:t>
            </w:r>
          </w:p>
        </w:tc>
      </w:tr>
      <w:tr w14:paraId="1EE30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73EBEB4B"/>
        </w:tc>
        <w:tc>
          <w:tcPr>
            <w:tcW w:w="1402" w:type="pct"/>
            <w:gridSpan w:val="2"/>
            <w:tcBorders>
              <w:top w:val="single" w:color="000000" w:sz="4" w:space="0"/>
              <w:left w:val="single" w:color="000000" w:sz="4" w:space="0"/>
              <w:bottom w:val="single" w:color="000000" w:sz="4" w:space="0"/>
              <w:right w:val="single" w:color="000000" w:sz="4" w:space="0"/>
            </w:tcBorders>
            <w:noWrap/>
            <w:vAlign w:val="center"/>
          </w:tcPr>
          <w:p w14:paraId="267C2DD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财务</w:t>
            </w:r>
          </w:p>
        </w:tc>
        <w:tc>
          <w:tcPr>
            <w:tcW w:w="3039" w:type="pct"/>
            <w:gridSpan w:val="5"/>
            <w:tcBorders>
              <w:top w:val="single" w:color="000000" w:sz="4" w:space="0"/>
              <w:left w:val="single" w:color="000000" w:sz="4" w:space="0"/>
              <w:bottom w:val="single" w:color="000000" w:sz="4" w:space="0"/>
              <w:right w:val="single" w:color="000000" w:sz="4" w:space="0"/>
            </w:tcBorders>
            <w:noWrap/>
            <w:vAlign w:val="center"/>
          </w:tcPr>
          <w:p w14:paraId="35C8B01E">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保障单位的正常运转，做好预算工作，及时发放资金</w:t>
            </w:r>
          </w:p>
        </w:tc>
      </w:tr>
      <w:tr w14:paraId="163C3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1FE5052E"/>
        </w:tc>
        <w:tc>
          <w:tcPr>
            <w:tcW w:w="1402" w:type="pct"/>
            <w:gridSpan w:val="2"/>
            <w:tcBorders>
              <w:top w:val="single" w:color="000000" w:sz="4" w:space="0"/>
              <w:left w:val="single" w:color="000000" w:sz="4" w:space="0"/>
              <w:bottom w:val="single" w:color="000000" w:sz="4" w:space="0"/>
              <w:right w:val="single" w:color="000000" w:sz="4" w:space="0"/>
            </w:tcBorders>
            <w:noWrap/>
            <w:vAlign w:val="center"/>
          </w:tcPr>
          <w:p w14:paraId="4187BBC3">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保育教育</w:t>
            </w:r>
          </w:p>
        </w:tc>
        <w:tc>
          <w:tcPr>
            <w:tcW w:w="3039" w:type="pct"/>
            <w:gridSpan w:val="5"/>
            <w:tcBorders>
              <w:top w:val="single" w:color="000000" w:sz="4" w:space="0"/>
              <w:left w:val="single" w:color="000000" w:sz="4" w:space="0"/>
              <w:bottom w:val="single" w:color="000000" w:sz="4" w:space="0"/>
              <w:right w:val="single" w:color="000000" w:sz="4" w:space="0"/>
            </w:tcBorders>
            <w:noWrap/>
            <w:vAlign w:val="center"/>
          </w:tcPr>
          <w:p w14:paraId="1AB0DFDF">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创设适合幼儿健康发展的保育教育活动环境，加强教师专业技能的学习培养，促进幼儿实施体、智、德、美诸方面全面和谐发展</w:t>
            </w:r>
          </w:p>
        </w:tc>
      </w:tr>
      <w:tr w14:paraId="61792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3D41FF51"/>
        </w:tc>
        <w:tc>
          <w:tcPr>
            <w:tcW w:w="1402" w:type="pct"/>
            <w:gridSpan w:val="2"/>
            <w:tcBorders>
              <w:top w:val="single" w:color="000000" w:sz="4" w:space="0"/>
              <w:left w:val="single" w:color="000000" w:sz="4" w:space="0"/>
              <w:bottom w:val="single" w:color="000000" w:sz="4" w:space="0"/>
              <w:right w:val="single" w:color="000000" w:sz="4" w:space="0"/>
            </w:tcBorders>
            <w:noWrap/>
            <w:vAlign w:val="center"/>
          </w:tcPr>
          <w:p w14:paraId="1497AFFD">
            <w:pPr>
              <w:jc w:val="left"/>
              <w:rPr>
                <w:rFonts w:hint="eastAsia" w:ascii="宋体" w:eastAsia="宋体" w:cs="宋体"/>
                <w:i w:val="0"/>
                <w:iCs w:val="0"/>
                <w:color w:val="000000"/>
                <w:sz w:val="18"/>
                <w:szCs w:val="18"/>
                <w:u w:val="none"/>
              </w:rPr>
            </w:pPr>
          </w:p>
        </w:tc>
        <w:tc>
          <w:tcPr>
            <w:tcW w:w="3039" w:type="pct"/>
            <w:gridSpan w:val="5"/>
            <w:tcBorders>
              <w:top w:val="single" w:color="000000" w:sz="4" w:space="0"/>
              <w:left w:val="single" w:color="000000" w:sz="4" w:space="0"/>
              <w:bottom w:val="single" w:color="000000" w:sz="4" w:space="0"/>
              <w:right w:val="single" w:color="000000" w:sz="4" w:space="0"/>
            </w:tcBorders>
            <w:noWrap/>
            <w:vAlign w:val="center"/>
          </w:tcPr>
          <w:p w14:paraId="28C236B8">
            <w:pPr>
              <w:jc w:val="left"/>
              <w:rPr>
                <w:rFonts w:hint="eastAsia" w:ascii="宋体" w:eastAsia="宋体" w:cs="宋体"/>
                <w:i w:val="0"/>
                <w:iCs w:val="0"/>
                <w:color w:val="000000"/>
                <w:sz w:val="18"/>
                <w:szCs w:val="18"/>
                <w:u w:val="none"/>
              </w:rPr>
            </w:pPr>
          </w:p>
        </w:tc>
      </w:tr>
      <w:tr w14:paraId="3E205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restart"/>
            <w:tcBorders>
              <w:top w:val="single" w:color="000000" w:sz="4" w:space="0"/>
              <w:left w:val="single" w:color="000000" w:sz="4" w:space="0"/>
              <w:bottom w:val="single" w:color="000000" w:sz="4" w:space="0"/>
              <w:right w:val="single" w:color="000000" w:sz="4" w:space="0"/>
            </w:tcBorders>
            <w:noWrap/>
            <w:vAlign w:val="center"/>
          </w:tcPr>
          <w:p w14:paraId="706CEFC2">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年度绩效指标</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238D5024">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13CBDDC">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077" w:type="pct"/>
            <w:tcBorders>
              <w:top w:val="single" w:color="000000" w:sz="4" w:space="0"/>
              <w:left w:val="single" w:color="000000" w:sz="4" w:space="0"/>
              <w:bottom w:val="single" w:color="000000" w:sz="4" w:space="0"/>
              <w:right w:val="single" w:color="000000" w:sz="4" w:space="0"/>
            </w:tcBorders>
            <w:noWrap/>
            <w:vAlign w:val="center"/>
          </w:tcPr>
          <w:p w14:paraId="4C7B1563">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607EE184">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绩效指标性质</w:t>
            </w:r>
          </w:p>
        </w:tc>
        <w:tc>
          <w:tcPr>
            <w:tcW w:w="655" w:type="pct"/>
            <w:tcBorders>
              <w:top w:val="single" w:color="000000" w:sz="4" w:space="0"/>
              <w:left w:val="single" w:color="000000" w:sz="4" w:space="0"/>
              <w:bottom w:val="single" w:color="000000" w:sz="4" w:space="0"/>
              <w:right w:val="single" w:color="000000" w:sz="4" w:space="0"/>
            </w:tcBorders>
            <w:noWrap/>
            <w:vAlign w:val="center"/>
          </w:tcPr>
          <w:p w14:paraId="6EC9328C">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绩效指标值</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A09A7AE">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绩效度量单位</w:t>
            </w:r>
          </w:p>
        </w:tc>
        <w:tc>
          <w:tcPr>
            <w:tcW w:w="326" w:type="pct"/>
            <w:tcBorders>
              <w:top w:val="single" w:color="000000" w:sz="4" w:space="0"/>
              <w:left w:val="single" w:color="000000" w:sz="4" w:space="0"/>
              <w:bottom w:val="single" w:color="000000" w:sz="4" w:space="0"/>
              <w:right w:val="single" w:color="000000" w:sz="4" w:space="0"/>
            </w:tcBorders>
            <w:noWrap/>
            <w:vAlign w:val="center"/>
          </w:tcPr>
          <w:p w14:paraId="79DFD2FC">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r>
      <w:tr w14:paraId="762FD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43B3A2A4"/>
        </w:tc>
        <w:tc>
          <w:tcPr>
            <w:tcW w:w="700" w:type="pct"/>
            <w:vMerge w:val="restart"/>
            <w:tcBorders>
              <w:top w:val="single" w:color="000000" w:sz="4" w:space="0"/>
              <w:left w:val="single" w:color="000000" w:sz="4" w:space="0"/>
              <w:bottom w:val="single" w:color="000000" w:sz="4" w:space="0"/>
              <w:right w:val="single" w:color="000000" w:sz="4" w:space="0"/>
            </w:tcBorders>
            <w:noWrap/>
            <w:vAlign w:val="center"/>
          </w:tcPr>
          <w:p w14:paraId="56E3BDC9">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701" w:type="pct"/>
            <w:vMerge w:val="restart"/>
            <w:tcBorders>
              <w:top w:val="single" w:color="000000" w:sz="4" w:space="0"/>
              <w:left w:val="single" w:color="000000" w:sz="4" w:space="0"/>
              <w:bottom w:val="single" w:color="000000" w:sz="4" w:space="0"/>
              <w:right w:val="single" w:color="000000" w:sz="4" w:space="0"/>
            </w:tcBorders>
            <w:noWrap/>
            <w:vAlign w:val="center"/>
          </w:tcPr>
          <w:p w14:paraId="4BC8E0AF">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077" w:type="pct"/>
            <w:tcBorders>
              <w:top w:val="single" w:color="000000" w:sz="4" w:space="0"/>
              <w:left w:val="single" w:color="000000" w:sz="4" w:space="0"/>
              <w:bottom w:val="single" w:color="000000" w:sz="4" w:space="0"/>
              <w:right w:val="single" w:color="000000" w:sz="4" w:space="0"/>
            </w:tcBorders>
            <w:noWrap/>
            <w:vAlign w:val="center"/>
          </w:tcPr>
          <w:p w14:paraId="534D3563">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基本工资和绩效工资支出、社会保障性支出、用于日常公用经费支出，用于退休人员遗属人员的补助支出</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44D4138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color="000000" w:sz="4" w:space="0"/>
              <w:left w:val="single" w:color="000000" w:sz="4" w:space="0"/>
              <w:bottom w:val="single" w:color="000000" w:sz="4" w:space="0"/>
              <w:right w:val="single" w:color="000000" w:sz="4" w:space="0"/>
            </w:tcBorders>
            <w:noWrap/>
            <w:vAlign w:val="center"/>
          </w:tcPr>
          <w:p w14:paraId="37E95AB0">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A7CEAA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noWrap/>
            <w:vAlign w:val="center"/>
          </w:tcPr>
          <w:p w14:paraId="11730589">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14:paraId="14129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3B2B57BC"/>
        </w:tc>
        <w:tc>
          <w:tcPr>
            <w:tcW w:w="700" w:type="pct"/>
            <w:vMerge w:val="continue"/>
            <w:tcBorders>
              <w:top w:val="single" w:color="000000" w:sz="4" w:space="0"/>
              <w:left w:val="single" w:color="000000" w:sz="4" w:space="0"/>
              <w:bottom w:val="single" w:color="000000" w:sz="4" w:space="0"/>
              <w:right w:val="single" w:color="000000" w:sz="4" w:space="0"/>
            </w:tcBorders>
            <w:noWrap/>
            <w:vAlign w:val="center"/>
          </w:tcPr>
          <w:p w14:paraId="2C274557"/>
        </w:tc>
        <w:tc>
          <w:tcPr>
            <w:tcW w:w="701" w:type="pct"/>
            <w:vMerge w:val="continue"/>
            <w:tcBorders>
              <w:top w:val="single" w:color="000000" w:sz="4" w:space="0"/>
              <w:left w:val="single" w:color="000000" w:sz="4" w:space="0"/>
              <w:bottom w:val="single" w:color="000000" w:sz="4" w:space="0"/>
              <w:right w:val="single" w:color="000000" w:sz="4" w:space="0"/>
            </w:tcBorders>
            <w:noWrap/>
            <w:vAlign w:val="center"/>
          </w:tcPr>
          <w:p w14:paraId="44D18788"/>
        </w:tc>
        <w:tc>
          <w:tcPr>
            <w:tcW w:w="1077" w:type="pct"/>
            <w:tcBorders>
              <w:top w:val="single" w:color="000000" w:sz="4" w:space="0"/>
              <w:left w:val="single" w:color="000000" w:sz="4" w:space="0"/>
              <w:bottom w:val="single" w:color="000000" w:sz="4" w:space="0"/>
              <w:right w:val="single" w:color="000000" w:sz="4" w:space="0"/>
            </w:tcBorders>
            <w:noWrap/>
            <w:vAlign w:val="center"/>
          </w:tcPr>
          <w:p w14:paraId="61F85E8E">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发生食品安全事故</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0BE460FB">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color="000000" w:sz="4" w:space="0"/>
              <w:left w:val="single" w:color="000000" w:sz="4" w:space="0"/>
              <w:bottom w:val="single" w:color="000000" w:sz="4" w:space="0"/>
              <w:right w:val="single" w:color="000000" w:sz="4" w:space="0"/>
            </w:tcBorders>
            <w:noWrap/>
            <w:vAlign w:val="center"/>
          </w:tcPr>
          <w:p w14:paraId="4F49289E">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D1033B9">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326" w:type="pct"/>
            <w:tcBorders>
              <w:top w:val="single" w:color="000000" w:sz="4" w:space="0"/>
              <w:left w:val="single" w:color="000000" w:sz="4" w:space="0"/>
              <w:bottom w:val="single" w:color="000000" w:sz="4" w:space="0"/>
              <w:right w:val="single" w:color="000000" w:sz="4" w:space="0"/>
            </w:tcBorders>
            <w:noWrap/>
            <w:vAlign w:val="center"/>
          </w:tcPr>
          <w:p w14:paraId="10F4309D">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14:paraId="3C392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4BA9CFD2"/>
        </w:tc>
        <w:tc>
          <w:tcPr>
            <w:tcW w:w="700" w:type="pct"/>
            <w:vMerge w:val="continue"/>
            <w:tcBorders>
              <w:top w:val="single" w:color="000000" w:sz="4" w:space="0"/>
              <w:left w:val="single" w:color="000000" w:sz="4" w:space="0"/>
              <w:bottom w:val="single" w:color="000000" w:sz="4" w:space="0"/>
              <w:right w:val="single" w:color="000000" w:sz="4" w:space="0"/>
            </w:tcBorders>
            <w:noWrap/>
            <w:vAlign w:val="center"/>
          </w:tcPr>
          <w:p w14:paraId="5DC43A14"/>
        </w:tc>
        <w:tc>
          <w:tcPr>
            <w:tcW w:w="701" w:type="pct"/>
            <w:vMerge w:val="restart"/>
            <w:tcBorders>
              <w:top w:val="single" w:color="000000" w:sz="4" w:space="0"/>
              <w:left w:val="single" w:color="000000" w:sz="4" w:space="0"/>
              <w:bottom w:val="single" w:color="000000" w:sz="4" w:space="0"/>
              <w:right w:val="single" w:color="000000" w:sz="4" w:space="0"/>
            </w:tcBorders>
            <w:noWrap/>
            <w:vAlign w:val="center"/>
          </w:tcPr>
          <w:p w14:paraId="643EDC0F">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077" w:type="pct"/>
            <w:tcBorders>
              <w:top w:val="single" w:color="000000" w:sz="4" w:space="0"/>
              <w:left w:val="single" w:color="000000" w:sz="4" w:space="0"/>
              <w:bottom w:val="single" w:color="000000" w:sz="4" w:space="0"/>
              <w:right w:val="single" w:color="000000" w:sz="4" w:space="0"/>
            </w:tcBorders>
            <w:noWrap/>
            <w:vAlign w:val="center"/>
          </w:tcPr>
          <w:p w14:paraId="1BE9C6D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预算编制准确率</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009C5222">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color="000000" w:sz="4" w:space="0"/>
              <w:left w:val="single" w:color="000000" w:sz="4" w:space="0"/>
              <w:bottom w:val="single" w:color="000000" w:sz="4" w:space="0"/>
              <w:right w:val="single" w:color="000000" w:sz="4" w:space="0"/>
            </w:tcBorders>
            <w:noWrap/>
            <w:vAlign w:val="center"/>
          </w:tcPr>
          <w:p w14:paraId="7998A560">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D8E88A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noWrap/>
            <w:vAlign w:val="center"/>
          </w:tcPr>
          <w:p w14:paraId="41C05A4B">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14:paraId="6263E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40625AC3"/>
        </w:tc>
        <w:tc>
          <w:tcPr>
            <w:tcW w:w="700" w:type="pct"/>
            <w:vMerge w:val="continue"/>
            <w:tcBorders>
              <w:top w:val="single" w:color="000000" w:sz="4" w:space="0"/>
              <w:left w:val="single" w:color="000000" w:sz="4" w:space="0"/>
              <w:bottom w:val="single" w:color="000000" w:sz="4" w:space="0"/>
              <w:right w:val="single" w:color="000000" w:sz="4" w:space="0"/>
            </w:tcBorders>
            <w:noWrap/>
            <w:vAlign w:val="center"/>
          </w:tcPr>
          <w:p w14:paraId="2C1092CD"/>
        </w:tc>
        <w:tc>
          <w:tcPr>
            <w:tcW w:w="701" w:type="pct"/>
            <w:vMerge w:val="continue"/>
            <w:tcBorders>
              <w:top w:val="single" w:color="000000" w:sz="4" w:space="0"/>
              <w:left w:val="single" w:color="000000" w:sz="4" w:space="0"/>
              <w:bottom w:val="single" w:color="000000" w:sz="4" w:space="0"/>
              <w:right w:val="single" w:color="000000" w:sz="4" w:space="0"/>
            </w:tcBorders>
            <w:noWrap/>
            <w:vAlign w:val="center"/>
          </w:tcPr>
          <w:p w14:paraId="69E9FC90"/>
        </w:tc>
        <w:tc>
          <w:tcPr>
            <w:tcW w:w="1077" w:type="pct"/>
            <w:tcBorders>
              <w:top w:val="single" w:color="000000" w:sz="4" w:space="0"/>
              <w:left w:val="single" w:color="000000" w:sz="4" w:space="0"/>
              <w:bottom w:val="single" w:color="000000" w:sz="4" w:space="0"/>
              <w:right w:val="single" w:color="000000" w:sz="4" w:space="0"/>
            </w:tcBorders>
            <w:noWrap/>
            <w:vAlign w:val="center"/>
          </w:tcPr>
          <w:p w14:paraId="43D47E4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学前教育入园率</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57E5D0F7">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color="000000" w:sz="4" w:space="0"/>
              <w:left w:val="single" w:color="000000" w:sz="4" w:space="0"/>
              <w:bottom w:val="single" w:color="000000" w:sz="4" w:space="0"/>
              <w:right w:val="single" w:color="000000" w:sz="4" w:space="0"/>
            </w:tcBorders>
            <w:noWrap/>
            <w:vAlign w:val="center"/>
          </w:tcPr>
          <w:p w14:paraId="4FB7845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088697E">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noWrap/>
            <w:vAlign w:val="center"/>
          </w:tcPr>
          <w:p w14:paraId="2E542932">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14:paraId="057F3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740E7431"/>
        </w:tc>
        <w:tc>
          <w:tcPr>
            <w:tcW w:w="700" w:type="pct"/>
            <w:vMerge w:val="continue"/>
            <w:tcBorders>
              <w:top w:val="single" w:color="000000" w:sz="4" w:space="0"/>
              <w:left w:val="single" w:color="000000" w:sz="4" w:space="0"/>
              <w:bottom w:val="single" w:color="000000" w:sz="4" w:space="0"/>
              <w:right w:val="single" w:color="000000" w:sz="4" w:space="0"/>
            </w:tcBorders>
            <w:noWrap/>
            <w:vAlign w:val="center"/>
          </w:tcPr>
          <w:p w14:paraId="6F6344E2"/>
        </w:tc>
        <w:tc>
          <w:tcPr>
            <w:tcW w:w="701" w:type="pct"/>
            <w:tcBorders>
              <w:top w:val="single" w:color="000000" w:sz="4" w:space="0"/>
              <w:left w:val="single" w:color="000000" w:sz="4" w:space="0"/>
              <w:bottom w:val="single" w:color="000000" w:sz="4" w:space="0"/>
              <w:right w:val="single" w:color="000000" w:sz="4" w:space="0"/>
            </w:tcBorders>
            <w:noWrap/>
            <w:vAlign w:val="center"/>
          </w:tcPr>
          <w:p w14:paraId="652BFA6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077" w:type="pct"/>
            <w:tcBorders>
              <w:top w:val="single" w:color="000000" w:sz="4" w:space="0"/>
              <w:left w:val="single" w:color="000000" w:sz="4" w:space="0"/>
              <w:bottom w:val="single" w:color="000000" w:sz="4" w:space="0"/>
              <w:right w:val="single" w:color="000000" w:sz="4" w:space="0"/>
            </w:tcBorders>
            <w:noWrap/>
            <w:vAlign w:val="center"/>
          </w:tcPr>
          <w:p w14:paraId="51136F12">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资金到位率</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5C6DC013">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color="000000" w:sz="4" w:space="0"/>
              <w:left w:val="single" w:color="000000" w:sz="4" w:space="0"/>
              <w:bottom w:val="single" w:color="000000" w:sz="4" w:space="0"/>
              <w:right w:val="single" w:color="000000" w:sz="4" w:space="0"/>
            </w:tcBorders>
            <w:noWrap/>
            <w:vAlign w:val="center"/>
          </w:tcPr>
          <w:p w14:paraId="22E7C419">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9A2E9FF">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noWrap/>
            <w:vAlign w:val="center"/>
          </w:tcPr>
          <w:p w14:paraId="29D90DA7">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14:paraId="270C6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7D61A2BC"/>
        </w:tc>
        <w:tc>
          <w:tcPr>
            <w:tcW w:w="700" w:type="pct"/>
            <w:tcBorders>
              <w:top w:val="single" w:color="000000" w:sz="4" w:space="0"/>
              <w:left w:val="single" w:color="000000" w:sz="4" w:space="0"/>
              <w:bottom w:val="single" w:color="000000" w:sz="4" w:space="0"/>
              <w:right w:val="single" w:color="000000" w:sz="4" w:space="0"/>
            </w:tcBorders>
            <w:noWrap/>
            <w:vAlign w:val="center"/>
          </w:tcPr>
          <w:p w14:paraId="6808DBE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C7F958D">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077" w:type="pct"/>
            <w:tcBorders>
              <w:top w:val="single" w:color="000000" w:sz="4" w:space="0"/>
              <w:left w:val="single" w:color="000000" w:sz="4" w:space="0"/>
              <w:bottom w:val="single" w:color="000000" w:sz="4" w:space="0"/>
              <w:right w:val="single" w:color="000000" w:sz="4" w:space="0"/>
            </w:tcBorders>
            <w:noWrap/>
            <w:vAlign w:val="center"/>
          </w:tcPr>
          <w:p w14:paraId="346BE3F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为幼儿提供保育和教育服务</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7A81DBC9">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color="000000" w:sz="4" w:space="0"/>
              <w:left w:val="single" w:color="000000" w:sz="4" w:space="0"/>
              <w:bottom w:val="single" w:color="000000" w:sz="4" w:space="0"/>
              <w:right w:val="single" w:color="000000" w:sz="4" w:space="0"/>
            </w:tcBorders>
            <w:noWrap/>
            <w:vAlign w:val="center"/>
          </w:tcPr>
          <w:p w14:paraId="6603F9DE">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98511A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noWrap/>
            <w:vAlign w:val="center"/>
          </w:tcPr>
          <w:p w14:paraId="52F81C4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14:paraId="03E51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58" w:type="pct"/>
            <w:vMerge w:val="continue"/>
            <w:tcBorders>
              <w:top w:val="single" w:color="000000" w:sz="4" w:space="0"/>
              <w:left w:val="single" w:color="000000" w:sz="4" w:space="0"/>
              <w:bottom w:val="single" w:color="000000" w:sz="4" w:space="0"/>
              <w:right w:val="single" w:color="000000" w:sz="4" w:space="0"/>
            </w:tcBorders>
            <w:noWrap/>
            <w:vAlign w:val="center"/>
          </w:tcPr>
          <w:p w14:paraId="0378ACAC"/>
        </w:tc>
        <w:tc>
          <w:tcPr>
            <w:tcW w:w="700" w:type="pct"/>
            <w:tcBorders>
              <w:top w:val="single" w:color="000000" w:sz="4" w:space="0"/>
              <w:left w:val="single" w:color="000000" w:sz="4" w:space="0"/>
              <w:bottom w:val="single" w:color="000000" w:sz="4" w:space="0"/>
              <w:right w:val="single" w:color="000000" w:sz="4" w:space="0"/>
            </w:tcBorders>
            <w:noWrap/>
            <w:vAlign w:val="center"/>
          </w:tcPr>
          <w:p w14:paraId="47BA857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039283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077" w:type="pct"/>
            <w:tcBorders>
              <w:top w:val="single" w:color="000000" w:sz="4" w:space="0"/>
              <w:left w:val="single" w:color="000000" w:sz="4" w:space="0"/>
              <w:bottom w:val="single" w:color="000000" w:sz="4" w:space="0"/>
              <w:right w:val="single" w:color="000000" w:sz="4" w:space="0"/>
            </w:tcBorders>
            <w:noWrap/>
            <w:vAlign w:val="center"/>
          </w:tcPr>
          <w:p w14:paraId="1D5701CD">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受服务对象满意度</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30E5EF0C">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color="000000" w:sz="4" w:space="0"/>
              <w:left w:val="single" w:color="000000" w:sz="4" w:space="0"/>
              <w:bottom w:val="single" w:color="000000" w:sz="4" w:space="0"/>
              <w:right w:val="single" w:color="000000" w:sz="4" w:space="0"/>
            </w:tcBorders>
            <w:noWrap/>
            <w:vAlign w:val="center"/>
          </w:tcPr>
          <w:p w14:paraId="55347F87">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B567C6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noWrap/>
            <w:vAlign w:val="center"/>
          </w:tcPr>
          <w:p w14:paraId="2B0FE73B">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bl>
    <w:p w14:paraId="31929D35">
      <w:pPr>
        <w:pStyle w:val="2"/>
      </w:pPr>
    </w:p>
    <w:p w14:paraId="04969079">
      <w:pPr>
        <w:widowControl/>
        <w:jc w:val="center"/>
        <w:rPr>
          <w:rFonts w:hint="eastAsia" w:ascii="Times New Roman" w:hAnsi="Times New Roman" w:eastAsia="黑体"/>
          <w:color w:val="auto"/>
          <w:sz w:val="44"/>
          <w:szCs w:val="44"/>
          <w:highlight w:val="none"/>
        </w:rPr>
      </w:pPr>
      <w:bookmarkStart w:id="41" w:name="_Toc15396618"/>
    </w:p>
    <w:p w14:paraId="72943640">
      <w:pPr>
        <w:widowControl/>
        <w:jc w:val="center"/>
        <w:rPr>
          <w:rFonts w:hint="eastAsia" w:ascii="Times New Roman" w:hAnsi="Times New Roman" w:eastAsia="黑体"/>
          <w:color w:val="auto"/>
          <w:sz w:val="44"/>
          <w:szCs w:val="44"/>
          <w:highlight w:val="none"/>
        </w:rPr>
      </w:pPr>
    </w:p>
    <w:p w14:paraId="6A4A5DE9">
      <w:pPr>
        <w:pStyle w:val="2"/>
        <w:rPr>
          <w:rFonts w:hint="eastAsia" w:ascii="Times New Roman" w:hAnsi="Times New Roman" w:eastAsia="黑体"/>
          <w:color w:val="auto"/>
          <w:sz w:val="44"/>
          <w:szCs w:val="44"/>
          <w:highlight w:val="none"/>
        </w:rPr>
      </w:pPr>
    </w:p>
    <w:p w14:paraId="54F5020B">
      <w:pPr>
        <w:pStyle w:val="12"/>
        <w:bidi w:val="0"/>
        <w:rPr>
          <w:rFonts w:hint="eastAsia"/>
        </w:rPr>
      </w:pPr>
    </w:p>
    <w:p w14:paraId="56EFC29C">
      <w:pPr>
        <w:widowControl/>
        <w:jc w:val="center"/>
        <w:rPr>
          <w:rFonts w:hint="eastAsia" w:ascii="Times New Roman" w:hAnsi="Times New Roman" w:eastAsia="黑体"/>
          <w:color w:val="auto"/>
          <w:sz w:val="44"/>
          <w:szCs w:val="44"/>
          <w:highlight w:val="none"/>
        </w:rPr>
      </w:pPr>
    </w:p>
    <w:p w14:paraId="6A4654E7">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0"/>
          <w:rFonts w:hint="eastAsia" w:ascii="Times New Roman" w:hAnsi="Times New Roman" w:eastAsia="黑体"/>
          <w:b w:val="0"/>
          <w:color w:val="auto"/>
          <w:highlight w:val="none"/>
        </w:rPr>
        <w:t>五部分 附表</w:t>
      </w:r>
      <w:bookmarkEnd w:id="39"/>
      <w:bookmarkEnd w:id="41"/>
      <w:bookmarkStart w:id="42" w:name="_Toc15396619"/>
    </w:p>
    <w:p w14:paraId="09B5A54D">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36F54B82">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2"/>
    </w:p>
    <w:p w14:paraId="3F9AB0E8">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3" w:name="_Toc15396620"/>
      <w:r>
        <w:rPr>
          <w:rFonts w:hint="eastAsia" w:ascii="Times New Roman" w:hAnsi="Times New Roman" w:eastAsia="仿宋_GB2312" w:cs="仿宋_GB2312"/>
          <w:color w:val="auto"/>
          <w:sz w:val="32"/>
          <w:szCs w:val="32"/>
          <w:highlight w:val="none"/>
        </w:rPr>
        <w:t>二、收入决算表</w:t>
      </w:r>
      <w:bookmarkEnd w:id="43"/>
    </w:p>
    <w:p w14:paraId="15A5FF87">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4" w:name="_Toc15396621"/>
      <w:r>
        <w:rPr>
          <w:rFonts w:hint="eastAsia" w:ascii="Times New Roman" w:hAnsi="Times New Roman" w:eastAsia="仿宋_GB2312" w:cs="仿宋_GB2312"/>
          <w:color w:val="auto"/>
          <w:sz w:val="32"/>
          <w:szCs w:val="32"/>
          <w:highlight w:val="none"/>
        </w:rPr>
        <w:t>三、支出决算表</w:t>
      </w:r>
      <w:bookmarkEnd w:id="44"/>
    </w:p>
    <w:p w14:paraId="65E2F91D">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5" w:name="_Toc15396622"/>
      <w:r>
        <w:rPr>
          <w:rFonts w:hint="eastAsia" w:ascii="Times New Roman" w:hAnsi="Times New Roman" w:eastAsia="仿宋_GB2312" w:cs="仿宋_GB2312"/>
          <w:color w:val="auto"/>
          <w:sz w:val="32"/>
          <w:szCs w:val="32"/>
          <w:highlight w:val="none"/>
        </w:rPr>
        <w:t>四、财政拨款收入支出决算总表</w:t>
      </w:r>
      <w:bookmarkEnd w:id="45"/>
    </w:p>
    <w:p w14:paraId="49C9F69A">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6" w:name="_Toc15396623"/>
      <w:r>
        <w:rPr>
          <w:rFonts w:hint="eastAsia" w:ascii="Times New Roman" w:hAnsi="Times New Roman" w:eastAsia="仿宋_GB2312" w:cs="仿宋_GB2312"/>
          <w:color w:val="auto"/>
          <w:sz w:val="32"/>
          <w:szCs w:val="32"/>
          <w:highlight w:val="none"/>
        </w:rPr>
        <w:t>五、财政拨款支出决算明细表</w:t>
      </w:r>
      <w:bookmarkEnd w:id="46"/>
      <w:bookmarkStart w:id="47" w:name="_Toc15396624"/>
    </w:p>
    <w:p w14:paraId="6383C4B4">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47"/>
    </w:p>
    <w:p w14:paraId="26F8362B">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8" w:name="_Toc15396625"/>
      <w:r>
        <w:rPr>
          <w:rFonts w:hint="eastAsia" w:ascii="Times New Roman" w:hAnsi="Times New Roman" w:eastAsia="仿宋_GB2312" w:cs="仿宋_GB2312"/>
          <w:color w:val="auto"/>
          <w:sz w:val="32"/>
          <w:szCs w:val="32"/>
          <w:highlight w:val="none"/>
        </w:rPr>
        <w:t>七、一般公共预算财政拨款支出决算明细表</w:t>
      </w:r>
      <w:bookmarkEnd w:id="48"/>
    </w:p>
    <w:p w14:paraId="6E43E39A">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9" w:name="_Toc15396626"/>
      <w:r>
        <w:rPr>
          <w:rFonts w:hint="eastAsia" w:ascii="Times New Roman" w:hAnsi="Times New Roman" w:eastAsia="仿宋_GB2312" w:cs="仿宋_GB2312"/>
          <w:color w:val="auto"/>
          <w:sz w:val="32"/>
          <w:szCs w:val="32"/>
          <w:highlight w:val="none"/>
        </w:rPr>
        <w:t>八、一般公共预算财政拨款基本支出决算表</w:t>
      </w:r>
      <w:bookmarkEnd w:id="49"/>
    </w:p>
    <w:p w14:paraId="1E58DA66">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7"/>
      <w:r>
        <w:rPr>
          <w:rFonts w:hint="eastAsia" w:ascii="Times New Roman" w:hAnsi="Times New Roman" w:eastAsia="仿宋_GB2312" w:cs="仿宋_GB2312"/>
          <w:color w:val="auto"/>
          <w:sz w:val="32"/>
          <w:szCs w:val="32"/>
          <w:highlight w:val="none"/>
        </w:rPr>
        <w:t>九、一般公共预算财政拨款项目支出决算表</w:t>
      </w:r>
      <w:bookmarkEnd w:id="50"/>
    </w:p>
    <w:p w14:paraId="25F058EE">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8"/>
      <w:r>
        <w:rPr>
          <w:rFonts w:hint="eastAsia" w:ascii="Times New Roman" w:hAnsi="Times New Roman" w:eastAsia="仿宋_GB2312" w:cs="仿宋_GB2312"/>
          <w:color w:val="auto"/>
          <w:sz w:val="32"/>
          <w:szCs w:val="32"/>
          <w:highlight w:val="none"/>
        </w:rPr>
        <w:t>十、</w:t>
      </w:r>
      <w:bookmarkEnd w:id="51"/>
      <w:r>
        <w:rPr>
          <w:rFonts w:hint="eastAsia" w:ascii="Times New Roman" w:hAnsi="Times New Roman" w:eastAsia="仿宋_GB2312" w:cs="仿宋_GB2312"/>
          <w:color w:val="auto"/>
          <w:sz w:val="32"/>
          <w:szCs w:val="32"/>
          <w:highlight w:val="none"/>
        </w:rPr>
        <w:t>政府性基金预算财政拨款收入支出决算表</w:t>
      </w:r>
    </w:p>
    <w:p w14:paraId="18F8DCE9">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9"/>
      <w:r>
        <w:rPr>
          <w:rFonts w:hint="eastAsia" w:ascii="Times New Roman" w:hAnsi="Times New Roman" w:eastAsia="仿宋_GB2312" w:cs="仿宋_GB2312"/>
          <w:color w:val="auto"/>
          <w:sz w:val="32"/>
          <w:szCs w:val="32"/>
          <w:highlight w:val="none"/>
        </w:rPr>
        <w:t>十一、</w:t>
      </w:r>
      <w:bookmarkEnd w:id="52"/>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582AA0E4">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30"/>
      <w:r>
        <w:rPr>
          <w:rFonts w:hint="eastAsia" w:ascii="Times New Roman" w:hAnsi="Times New Roman" w:eastAsia="仿宋_GB2312" w:cs="仿宋_GB2312"/>
          <w:color w:val="auto"/>
          <w:sz w:val="32"/>
          <w:szCs w:val="32"/>
          <w:highlight w:val="none"/>
        </w:rPr>
        <w:t>十二、</w:t>
      </w:r>
      <w:bookmarkEnd w:id="53"/>
      <w:r>
        <w:rPr>
          <w:rFonts w:hint="eastAsia" w:ascii="Times New Roman" w:hAnsi="Times New Roman" w:eastAsia="仿宋_GB2312" w:cs="仿宋_GB2312"/>
          <w:color w:val="auto"/>
          <w:sz w:val="32"/>
          <w:szCs w:val="32"/>
          <w:highlight w:val="none"/>
          <w:lang w:eastAsia="zh-CN"/>
        </w:rPr>
        <w:t>国有资本经营预算财政拨款支出决算表</w:t>
      </w:r>
    </w:p>
    <w:p w14:paraId="5F70BF92">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54" w:name="_Toc15396631"/>
      <w:r>
        <w:rPr>
          <w:rFonts w:hint="eastAsia" w:ascii="Times New Roman" w:hAnsi="Times New Roman" w:eastAsia="仿宋_GB2312" w:cs="仿宋_GB2312"/>
          <w:color w:val="auto"/>
          <w:sz w:val="32"/>
          <w:szCs w:val="32"/>
          <w:highlight w:val="none"/>
        </w:rPr>
        <w:t>十三、</w:t>
      </w:r>
      <w:bookmarkEnd w:id="54"/>
      <w:r>
        <w:rPr>
          <w:rFonts w:hint="eastAsia" w:ascii="Times New Roman" w:hAnsi="Times New Roman" w:eastAsia="仿宋_GB2312" w:cs="仿宋_GB2312"/>
          <w:color w:val="auto"/>
          <w:sz w:val="32"/>
          <w:szCs w:val="32"/>
          <w:highlight w:val="none"/>
          <w:lang w:eastAsia="zh-CN"/>
        </w:rPr>
        <w:t>财政拨款“三公”经费支出决算表</w:t>
      </w:r>
    </w:p>
    <w:p w14:paraId="11C7643B">
      <w:pPr>
        <w:rPr>
          <w:rFonts w:hint="eastAsia" w:ascii="Times New Roman" w:hAnsi="Times New Roman"/>
          <w:lang w:eastAsia="zh-CN"/>
        </w:rPr>
      </w:pPr>
    </w:p>
    <w:sectPr>
      <w:footerReference r:id="rId8" w:type="first"/>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DejaVu Sans">
    <w:altName w:val="Segoe Print"/>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script"/>
    <w:pitch w:val="default"/>
    <w:sig w:usb0="00000000" w:usb1="00000000" w:usb2="00000000" w:usb3="00000000" w:csb0="00040000" w:csb1="00000000"/>
  </w:font>
  <w:font w:name="AR PL UKai CN">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FF45C">
    <w:pPr>
      <w:pStyle w:val="11"/>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27965" cy="133350"/>
              <wp:effectExtent l="0" t="0" r="0" b="0"/>
              <wp:wrapNone/>
              <wp:docPr id="1" name="文本框 14"/>
              <wp:cNvGraphicFramePr/>
              <a:graphic xmlns:a="http://schemas.openxmlformats.org/drawingml/2006/main">
                <a:graphicData uri="http://schemas.microsoft.com/office/word/2010/wordprocessingShape">
                  <wps:wsp>
                    <wps:cNvSpPr/>
                    <wps:spPr>
                      <a:xfrm>
                        <a:off x="0" y="0"/>
                        <a:ext cx="227914" cy="133159"/>
                      </a:xfrm>
                      <a:prstGeom prst="rect">
                        <a:avLst/>
                      </a:prstGeom>
                      <a:noFill/>
                      <a:ln w="6350" cap="flat" cmpd="sng">
                        <a:noFill/>
                        <a:prstDash val="solid"/>
                        <a:round/>
                      </a:ln>
                    </wps:spPr>
                    <wps:txbx>
                      <w:txbxContent>
                        <w:p w14:paraId="40F1A630">
                          <w:pPr>
                            <w:pStyle w:val="11"/>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rect id="文本框 14" o:spid="_x0000_s1026" o:spt="1" style="position:absolute;left:0pt;margin-top:0pt;height:10.5pt;width:17.95pt;mso-position-horizontal:center;mso-position-horizontal-relative:margin;mso-wrap-style:none;z-index:251659264;mso-width-relative:page;mso-height-relative:page;" filled="f" stroked="f" coordsize="21600,21600" o:gfxdata="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Ya7CG1wAAAAMBAAAPAAAAAAAAAAEAIAAAACIAAABkcnMv&#10;ZG93bnJldi54bWxQSwECFAAUAAAACACHTuJATFv8PwQCAAD1AwAADgAAAAAAAAABACAAAAAmAQAA&#10;ZHJzL2Uyb0RvYy54bWxQSwUGAAAAAAYABgBZAQAAnAUAAAAA&#10;">
              <v:fill on="f" focussize="0,0"/>
              <v:stroke on="f" weight="0.5pt" joinstyle="round"/>
              <v:imagedata o:title=""/>
              <o:lock v:ext="edit" aspectratio="f"/>
              <v:textbox inset="0mm,0mm,0mm,0mm" style="mso-fit-shape-to-text:t;">
                <w:txbxContent>
                  <w:p w14:paraId="40F1A630">
                    <w:pPr>
                      <w:pStyle w:val="11"/>
                    </w:pPr>
                    <w:r>
                      <w:fldChar w:fldCharType="begin"/>
                    </w:r>
                    <w:r>
                      <w:instrText xml:space="preserve"> PAGE  \* MERGEFORMAT </w:instrText>
                    </w:r>
                    <w:r>
                      <w:fldChar w:fldCharType="separate"/>
                    </w:r>
                    <w:r>
                      <w:t>- 1 -</w:t>
                    </w:r>
                    <w:r>
                      <w:fldChar w:fldCharType="end"/>
                    </w:r>
                  </w:p>
                </w:txbxContent>
              </v:textbox>
            </v:rect>
          </w:pict>
        </mc:Fallback>
      </mc:AlternateContent>
    </w:r>
  </w:p>
  <w:p w14:paraId="49895F15">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13293">
    <w:pPr>
      <w:pStyle w:val="11"/>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72390" cy="133350"/>
              <wp:effectExtent l="0" t="0" r="0" b="0"/>
              <wp:wrapNone/>
              <wp:docPr id="4" name="文本框 15"/>
              <wp:cNvGraphicFramePr/>
              <a:graphic xmlns:a="http://schemas.openxmlformats.org/drawingml/2006/main">
                <a:graphicData uri="http://schemas.microsoft.com/office/word/2010/wordprocessingShape">
                  <wps:wsp>
                    <wps:cNvSpPr/>
                    <wps:spPr>
                      <a:xfrm>
                        <a:off x="0" y="0"/>
                        <a:ext cx="72694" cy="133159"/>
                      </a:xfrm>
                      <a:prstGeom prst="rect">
                        <a:avLst/>
                      </a:prstGeom>
                      <a:noFill/>
                      <a:ln w="6350" cap="flat" cmpd="sng">
                        <a:noFill/>
                        <a:prstDash val="solid"/>
                        <a:round/>
                      </a:ln>
                    </wps:spPr>
                    <wps:txbx>
                      <w:txbxContent>
                        <w:p w14:paraId="47847DA5">
                          <w:pPr>
                            <w:pStyle w:val="1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5" o:spid="_x0000_s1026" o:spt="1" style="position:absolute;left:0pt;margin-top:0pt;height:10.5pt;width:5.7pt;mso-position-horizontal:center;mso-position-horizontal-relative:margin;mso-wrap-style:none;z-index:251659264;mso-width-relative:page;mso-height-relative:page;" filled="f" stroked="f" coordsize="21600,21600" o:gfxdata="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osni9UAAAADAQAADwAAAAAAAAABACAAAAAiAAAAZHJzL2Rv&#10;d25yZXYueG1sUEsBAhQAFAAAAAgAh07iQLRiKEgEAgAA9AMAAA4AAAAAAAAAAQAgAAAAJAEAAGRy&#10;cy9lMm9Eb2MueG1sUEsFBgAAAAAGAAYAWQEAAJoFAAAAAA==&#10;">
              <v:fill on="f" focussize="0,0"/>
              <v:stroke on="f" weight="0.5pt" joinstyle="round"/>
              <v:imagedata o:title=""/>
              <o:lock v:ext="edit" aspectratio="f"/>
              <v:textbox inset="0mm,0mm,0mm,0mm" style="mso-fit-shape-to-text:t;">
                <w:txbxContent>
                  <w:p w14:paraId="47847DA5">
                    <w:pPr>
                      <w:pStyle w:val="1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77C66">
    <w:pPr>
      <w:pStyle w:val="11"/>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45415" cy="133350"/>
              <wp:effectExtent l="0" t="0" r="0" b="0"/>
              <wp:wrapNone/>
              <wp:docPr id="7" name="文本框 18"/>
              <wp:cNvGraphicFramePr/>
              <a:graphic xmlns:a="http://schemas.openxmlformats.org/drawingml/2006/main">
                <a:graphicData uri="http://schemas.microsoft.com/office/word/2010/wordprocessingShape">
                  <wps:wsp>
                    <wps:cNvSpPr/>
                    <wps:spPr>
                      <a:xfrm>
                        <a:off x="0" y="0"/>
                        <a:ext cx="145389" cy="133159"/>
                      </a:xfrm>
                      <a:prstGeom prst="rect">
                        <a:avLst/>
                      </a:prstGeom>
                      <a:noFill/>
                      <a:ln w="6350" cap="flat" cmpd="sng">
                        <a:noFill/>
                        <a:prstDash val="solid"/>
                        <a:round/>
                      </a:ln>
                    </wps:spPr>
                    <wps:txbx>
                      <w:txbxContent>
                        <w:p w14:paraId="20FF6FF5">
                          <w:pPr>
                            <w:pStyle w:val="11"/>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18" o:spid="_x0000_s1026" o:spt="1" style="position:absolute;left:0pt;margin-top:0pt;height:10.5pt;width:11.45pt;mso-position-horizontal:center;mso-position-horizontal-relative:margin;mso-wrap-style:none;z-index:251659264;mso-width-relative:page;mso-height-relative:page;" filled="f" stroked="f" coordsize="21600,21600" o:gfxdata="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vQb7h1QAAAAMBAAAPAAAAAAAAAAEAIAAAACIAAABkcnMv&#10;ZG93bnJldi54bWxQSwECFAAUAAAACACHTuJAyjQm7QYCAAD1AwAADgAAAAAAAAABACAAAAAkAQAA&#10;ZHJzL2Uyb0RvYy54bWxQSwUGAAAAAAYABgBZAQAAnAUAAAAA&#10;">
              <v:fill on="f" focussize="0,0"/>
              <v:stroke on="f" weight="0.5pt" joinstyle="round"/>
              <v:imagedata o:title=""/>
              <o:lock v:ext="edit" aspectratio="f"/>
              <v:textbox inset="0mm,0mm,0mm,0mm" style="mso-fit-shape-to-text:t;">
                <w:txbxContent>
                  <w:p w14:paraId="20FF6FF5">
                    <w:pPr>
                      <w:pStyle w:val="11"/>
                    </w:pPr>
                    <w:r>
                      <w:fldChar w:fldCharType="begin"/>
                    </w:r>
                    <w:r>
                      <w:instrText xml:space="preserve"> PAGE  \* MERGEFORMAT </w:instrText>
                    </w:r>
                    <w:r>
                      <w:fldChar w:fldCharType="separate"/>
                    </w:r>
                    <w:r>
                      <w:t>2</w:t>
                    </w:r>
                    <w:r>
                      <w:fldChar w:fldCharType="end"/>
                    </w:r>
                  </w:p>
                </w:txbxContent>
              </v:textbox>
            </v:rect>
          </w:pict>
        </mc:Fallback>
      </mc:AlternateContent>
    </w:r>
  </w:p>
  <w:p w14:paraId="3107FE16">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45477">
    <w:pPr>
      <w:pStyle w:val="11"/>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72390" cy="133350"/>
              <wp:effectExtent l="0" t="0" r="0" b="0"/>
              <wp:wrapNone/>
              <wp:docPr id="10" name="文本框 19"/>
              <wp:cNvGraphicFramePr/>
              <a:graphic xmlns:a="http://schemas.openxmlformats.org/drawingml/2006/main">
                <a:graphicData uri="http://schemas.microsoft.com/office/word/2010/wordprocessingShape">
                  <wps:wsp>
                    <wps:cNvSpPr/>
                    <wps:spPr>
                      <a:xfrm>
                        <a:off x="0" y="0"/>
                        <a:ext cx="72694" cy="133159"/>
                      </a:xfrm>
                      <a:prstGeom prst="rect">
                        <a:avLst/>
                      </a:prstGeom>
                      <a:noFill/>
                      <a:ln w="6350" cap="flat" cmpd="sng">
                        <a:noFill/>
                        <a:prstDash val="solid"/>
                        <a:round/>
                      </a:ln>
                    </wps:spPr>
                    <wps:txbx>
                      <w:txbxContent>
                        <w:p w14:paraId="3F274E7A">
                          <w:pPr>
                            <w:pStyle w:val="11"/>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19" o:spid="_x0000_s1026" o:spt="1" style="position:absolute;left:0pt;margin-top:0pt;height:10.5pt;width:5.7pt;mso-position-horizontal:center;mso-position-horizontal-relative:margin;mso-wrap-style:none;z-index:251659264;mso-width-relative:page;mso-height-relative:page;" filled="f" stroked="f" coordsize="21600,21600" o:gfxdata="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qLJ4vVAAAAAwEAAA8AAAAAAAAAAQAgAAAAIgAAAGRycy9k&#10;b3ducmV2LnhtbFBLAQIUABQAAAAIAIdO4kAU4TuiBQIAAPUDAAAOAAAAAAAAAAEAIAAAACQBAABk&#10;cnMvZTJvRG9jLnhtbFBLBQYAAAAABgAGAFkBAACbBQAAAAA=&#10;">
              <v:fill on="f" focussize="0,0"/>
              <v:stroke on="f" weight="0.5pt" joinstyle="round"/>
              <v:imagedata o:title=""/>
              <o:lock v:ext="edit" aspectratio="f"/>
              <v:textbox inset="0mm,0mm,0mm,0mm" style="mso-fit-shape-to-text:t;">
                <w:txbxContent>
                  <w:p w14:paraId="3F274E7A">
                    <w:pPr>
                      <w:pStyle w:val="11"/>
                    </w:pPr>
                    <w:r>
                      <w:fldChar w:fldCharType="begin"/>
                    </w:r>
                    <w:r>
                      <w:instrText xml:space="preserve"> PAGE  \* MERGEFORMAT </w:instrText>
                    </w:r>
                    <w:r>
                      <w:fldChar w:fldCharType="separate"/>
                    </w:r>
                    <w:r>
                      <w:t>2</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281C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E7BF3">
    <w:pPr>
      <w:pStyle w:val="12"/>
      <w:pBdr>
        <w:top w:val="none" w:color="auto" w:sz="0" w:space="0"/>
        <w:left w:val="none" w:color="auto" w:sz="0" w:space="0"/>
        <w:bottom w:val="none" w:color="auto" w:sz="0" w:space="0"/>
        <w:right w:val="none" w:color="auto" w:sz="0" w:space="0"/>
        <w:between w:val="none" w:color="auto" w:sz="0" w:space="0"/>
      </w:pBdr>
      <w:tabs>
        <w:tab w:val="left" w:pos="1319"/>
      </w:tabs>
      <w:jc w:val="left"/>
      <w:rPr>
        <w:rFonts w:hint="eastAsia" w:eastAsia="宋体"/>
        <w:lang w:eastAsia="zh-CN"/>
      </w:rPr>
    </w:pPr>
  </w:p>
  <w:p w14:paraId="4597DEFB">
    <w:pPr>
      <w:pStyle w:val="12"/>
      <w:bidi w:val="0"/>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849432"/>
    <w:multiLevelType w:val="singleLevel"/>
    <w:tmpl w:val="3B849432"/>
    <w:lvl w:ilvl="0" w:tentative="0">
      <w:start w:val="1"/>
      <w:numFmt w:val="chineseCounting"/>
      <w:suff w:val="nothing"/>
      <w:lvlText w:val="%1、"/>
      <w:lvlJc w:val="left"/>
      <w:pPr>
        <w:tabs>
          <w:tab w:val="left" w:pos="0"/>
        </w:tabs>
        <w:ind w:left="0" w:firstLine="0"/>
      </w:pPr>
      <w:rPr>
        <w:rFonts w:hint="eastAsia"/>
      </w:rPr>
    </w:lvl>
  </w:abstractNum>
  <w:abstractNum w:abstractNumId="1">
    <w:nsid w:val="5D3AEA3F"/>
    <w:multiLevelType w:val="singleLevel"/>
    <w:tmpl w:val="5D3AEA3F"/>
    <w:lvl w:ilvl="0" w:tentative="0">
      <w:start w:val="2"/>
      <w:numFmt w:val="chineseCounting"/>
      <w:suff w:val="space"/>
      <w:lvlText w:val="第%1部分"/>
      <w:lvlJc w:val="left"/>
      <w:pPr>
        <w:tabs>
          <w:tab w:val="left" w:pos="0"/>
        </w:tabs>
        <w:ind w:left="0" w:firstLine="0"/>
      </w:pPr>
      <w:rPr>
        <w:rFonts w:hint="eastAsia"/>
      </w:rPr>
    </w:lvl>
  </w:abstractNum>
  <w:abstractNum w:abstractNumId="2">
    <w:nsid w:val="604B68ED"/>
    <w:multiLevelType w:val="singleLevel"/>
    <w:tmpl w:val="604B68ED"/>
    <w:lvl w:ilvl="0" w:tentative="0">
      <w:start w:val="1"/>
      <w:numFmt w:val="chineseCounting"/>
      <w:suff w:val="nothing"/>
      <w:lvlText w:val="%1、"/>
      <w:lvlJc w:val="left"/>
      <w:pPr>
        <w:tabs>
          <w:tab w:val="left" w:pos="0"/>
        </w:tabs>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57FD57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1"/>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uiPriority w:val="0"/>
    <w:pPr>
      <w:keepNext/>
      <w:keepLines/>
      <w:widowControl w:val="0"/>
      <w:spacing w:before="260" w:after="260" w:line="415" w:lineRule="auto"/>
      <w:outlineLvl w:val="2"/>
    </w:pPr>
    <w:rPr>
      <w:b/>
      <w:bCs/>
      <w:sz w:val="32"/>
      <w:szCs w:val="32"/>
    </w:rPr>
  </w:style>
  <w:style w:type="character" w:default="1" w:styleId="17">
    <w:name w:val="Default Paragraph Fon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table of figures"/>
    <w:basedOn w:val="1"/>
    <w:next w:val="1"/>
    <w:uiPriority w:val="0"/>
    <w:pPr>
      <w:ind w:left="400" w:leftChars="200" w:hanging="200" w:hangingChars="200"/>
    </w:pPr>
  </w:style>
  <w:style w:type="paragraph" w:styleId="6">
    <w:name w:val="Body Text"/>
    <w:basedOn w:val="1"/>
    <w:uiPriority w:val="0"/>
    <w:pPr>
      <w:spacing w:before="30" w:beforeLines="30"/>
    </w:pPr>
    <w:rPr>
      <w:rFonts w:ascii="仿宋_GB2312" w:eastAsia="仿宋_GB2312"/>
      <w:kern w:val="0"/>
      <w:sz w:val="30"/>
    </w:rPr>
  </w:style>
  <w:style w:type="paragraph" w:styleId="7">
    <w:name w:val="Body Text Indent"/>
    <w:basedOn w:val="1"/>
    <w:next w:val="8"/>
    <w:uiPriority w:val="0"/>
    <w:pPr>
      <w:spacing w:after="120"/>
      <w:ind w:left="200" w:leftChars="200"/>
    </w:pPr>
    <w:rPr>
      <w:rFonts w:ascii="仿宋_GB2312" w:hAnsi="仿宋_GB2312"/>
      <w:szCs w:val="32"/>
    </w:rPr>
  </w:style>
  <w:style w:type="paragraph" w:styleId="8">
    <w:name w:val="Body Text First Indent 2"/>
    <w:basedOn w:val="7"/>
    <w:uiPriority w:val="0"/>
    <w:pPr>
      <w:ind w:firstLine="200" w:firstLineChars="200"/>
    </w:pPr>
  </w:style>
  <w:style w:type="paragraph" w:styleId="9">
    <w:name w:val="toc 3"/>
    <w:basedOn w:val="1"/>
    <w:next w:val="1"/>
    <w:uiPriority w:val="0"/>
    <w:pPr>
      <w:tabs>
        <w:tab w:val="right" w:leader="dot" w:pos="8296"/>
      </w:tabs>
      <w:ind w:left="400" w:leftChars="400"/>
    </w:pPr>
  </w:style>
  <w:style w:type="paragraph" w:styleId="10">
    <w:name w:val="Balloon Text"/>
    <w:basedOn w:val="1"/>
    <w:uiPriority w:val="0"/>
    <w:rPr>
      <w:sz w:val="18"/>
      <w:szCs w:val="18"/>
    </w:rPr>
  </w:style>
  <w:style w:type="paragraph" w:styleId="11">
    <w:name w:val="footer"/>
    <w:basedOn w:val="1"/>
    <w:uiPriority w:val="0"/>
    <w:pPr>
      <w:tabs>
        <w:tab w:val="center" w:pos="4153"/>
        <w:tab w:val="right" w:pos="8306"/>
      </w:tabs>
      <w:snapToGrid w:val="0"/>
      <w:jc w:val="left"/>
    </w:pPr>
    <w:rPr>
      <w:rFonts w:ascii="Calibri" w:hAnsi="Calibri"/>
      <w:kern w:val="0"/>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iPriority w:val="0"/>
    <w:pPr>
      <w:tabs>
        <w:tab w:val="right" w:leader="dot" w:pos="8296"/>
      </w:tabs>
      <w:spacing w:before="93"/>
      <w:jc w:val="center"/>
    </w:pPr>
    <w:rPr>
      <w:rFonts w:ascii="仿宋" w:eastAsia="仿宋"/>
      <w:sz w:val="28"/>
      <w:szCs w:val="28"/>
    </w:rPr>
  </w:style>
  <w:style w:type="paragraph" w:styleId="14">
    <w:name w:val="footnote text"/>
    <w:basedOn w:val="1"/>
    <w:next w:val="8"/>
    <w:uiPriority w:val="0"/>
    <w:pPr>
      <w:snapToGrid w:val="0"/>
      <w:jc w:val="left"/>
    </w:pPr>
    <w:rPr>
      <w:sz w:val="18"/>
      <w:szCs w:val="18"/>
    </w:rPr>
  </w:style>
  <w:style w:type="paragraph" w:styleId="15">
    <w:name w:val="toc 2"/>
    <w:basedOn w:val="1"/>
    <w:next w:val="1"/>
    <w:uiPriority w:val="0"/>
    <w:pPr>
      <w:tabs>
        <w:tab w:val="right" w:leader="dot" w:pos="8296"/>
      </w:tabs>
      <w:ind w:left="200" w:leftChars="200"/>
    </w:pPr>
  </w:style>
  <w:style w:type="character" w:styleId="18">
    <w:name w:val="Strong"/>
    <w:basedOn w:val="17"/>
    <w:uiPriority w:val="0"/>
    <w:rPr>
      <w:b/>
    </w:rPr>
  </w:style>
  <w:style w:type="character" w:styleId="19">
    <w:name w:val="Hyperlink"/>
    <w:basedOn w:val="17"/>
    <w:uiPriority w:val="0"/>
    <w:rPr>
      <w:color w:val="0000FF"/>
      <w:u w:val="single"/>
    </w:rPr>
  </w:style>
  <w:style w:type="character" w:customStyle="1" w:styleId="20">
    <w:name w:val="heading 1 Char"/>
    <w:basedOn w:val="17"/>
    <w:link w:val="3"/>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4"/>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7"/>
    <w:uiPriority w:val="0"/>
    <w:rPr>
      <w:rFonts w:ascii="Times New Roman" w:hAnsi="Times New Roman"/>
      <w:sz w:val="18"/>
      <w:szCs w:val="18"/>
    </w:rPr>
  </w:style>
  <w:style w:type="character" w:customStyle="1" w:styleId="24">
    <w:name w:val="Footer Char"/>
    <w:basedOn w:val="17"/>
    <w:uiPriority w:val="0"/>
    <w:rPr>
      <w:rFonts w:ascii="Times New Roman" w:hAnsi="Times New Roman"/>
      <w:sz w:val="18"/>
      <w:szCs w:val="18"/>
    </w:rPr>
  </w:style>
  <w:style w:type="character" w:customStyle="1" w:styleId="25">
    <w:name w:val="Body Text Char"/>
    <w:basedOn w:val="17"/>
    <w:uiPriority w:val="0"/>
    <w:rPr>
      <w:rFonts w:ascii="Times New Roman" w:hAnsi="Times New Roman"/>
      <w:szCs w:val="24"/>
    </w:rPr>
  </w:style>
  <w:style w:type="paragraph" w:customStyle="1" w:styleId="26">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uiPriority w:val="0"/>
    <w:pPr>
      <w:ind w:firstLine="200" w:firstLineChars="200"/>
    </w:pPr>
  </w:style>
  <w:style w:type="paragraph" w:customStyle="1" w:styleId="28">
    <w:name w:val="TOC 标题1"/>
    <w:basedOn w:val="3"/>
    <w:next w:val="1"/>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9">
    <w:name w:val="TOC Heading"/>
    <w:basedOn w:val="3"/>
    <w:next w:val="1"/>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四号正文"/>
    <w:basedOn w:val="1"/>
    <w:uiPriority w:val="0"/>
    <w:pPr>
      <w:spacing w:line="360" w:lineRule="auto"/>
    </w:pPr>
    <w:rPr>
      <w:rFonts w:ascii="??" w:hAnsi="??" w:eastAsia="宋体"/>
      <w:color w:val="000000"/>
      <w:kern w:val="0"/>
      <w:sz w:val="28"/>
      <w:szCs w:val="21"/>
      <w:lang w:val="zh-CN" w:eastAsia="zh-CN"/>
    </w:rPr>
  </w:style>
  <w:style w:type="paragraph" w:customStyle="1" w:styleId="31">
    <w:name w:val="Normal_0"/>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24</Pages>
  <Words>1424</Words>
  <Characters>2262</Characters>
  <Lines>744</Lines>
  <Paragraphs>454</Paragraphs>
  <TotalTime>32</TotalTime>
  <ScaleCrop>false</ScaleCrop>
  <LinksUpToDate>false</LinksUpToDate>
  <CharactersWithSpaces>2270</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盐星星</cp:lastModifiedBy>
  <cp:lastPrinted>2025-08-27T09:33:00Z</cp:lastPrinted>
  <dcterms:modified xsi:type="dcterms:W3CDTF">2026-05-08T08:06:40Z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80C6E3D230CD409C9931218875D48062_13</vt:lpwstr>
  </property>
  <property fmtid="{D5CDD505-2E9C-101B-9397-08002B2CF9AE}" pid="4" name="KSOTemplateDocerSaveRecord">
    <vt:lpwstr>eyJoZGlkIjoiZDVjZjE1OTBmZTc4M2ZlNjdmNWM1MmQ5OThkMGU1NjEiLCJ1c2VySWQiOiIxMDYwOTQ0NDM1In0=</vt:lpwstr>
  </property>
</Properties>
</file>