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jc w:val="center"/>
        <w:rPr>
          <w:rFonts w:ascii="方正小标宋_GBK" w:eastAsia="方正小标宋_GBK" w:cs="方正小标宋_GBK" w:hint="eastAsia"/>
          <w:sz w:val="44"/>
          <w:szCs w:val="44"/>
          <w:lang w:val="en-US" w:eastAsia="zh-CN"/>
        </w:rPr>
      </w:pPr>
      <w:r>
        <w:rPr>
          <w:rFonts w:ascii="方正小标宋_GBK" w:eastAsia="方正小标宋_GBK" w:cs="方正小标宋_GBK"/>
          <w:sz w:val="44"/>
          <w:szCs w:val="44"/>
          <w:lang w:val="en-US" w:eastAsia="zh-CN"/>
        </w:rPr>
        <w:t>金川县</w:t>
      </w:r>
      <w:r>
        <w:rPr>
          <w:rFonts w:ascii="方正小标宋_GBK" w:eastAsia="方正小标宋_GBK" w:cs="方正小标宋_GBK" w:hint="eastAsia"/>
          <w:sz w:val="44"/>
          <w:szCs w:val="44"/>
          <w:lang w:val="en-US" w:eastAsia="zh-CN"/>
        </w:rPr>
        <w:t>粮食和物资储备中心</w:t>
      </w:r>
    </w:p>
    <w:p>
      <w:pPr>
        <w:spacing w:line="560" w:lineRule="exact"/>
        <w:jc w:val="center"/>
        <w:rPr>
          <w:rFonts w:ascii="方正小标宋_GBK" w:eastAsia="方正小标宋_GBK" w:cs="方正小标宋_GBK"/>
          <w:sz w:val="44"/>
          <w:szCs w:val="44"/>
          <w:lang w:eastAsia="zh-CN"/>
        </w:rPr>
      </w:pPr>
      <w:r>
        <w:rPr>
          <w:rFonts w:ascii="方正小标宋_GBK" w:eastAsia="方正小标宋_GBK" w:cs="方正小标宋_GBK" w:hint="eastAsia"/>
          <w:sz w:val="44"/>
          <w:szCs w:val="44"/>
          <w:lang w:val="en-US" w:eastAsia="zh-CN"/>
        </w:rPr>
        <w:t>2024年</w:t>
      </w:r>
      <w:r>
        <w:rPr>
          <w:rFonts w:ascii="方正小标宋_GBK" w:eastAsia="方正小标宋_GBK" w:cs="方正小标宋_GBK" w:hint="eastAsia"/>
          <w:sz w:val="44"/>
          <w:szCs w:val="44"/>
        </w:rPr>
        <w:t>预算绩效目标情况说明</w:t>
      </w:r>
    </w:p>
    <w:p>
      <w:pPr>
        <w:pStyle w:val="15"/>
        <w:tabs>
          <w:tab w:val="center" w:pos="4153"/>
          <w:tab w:val="right" w:pos="8306"/>
        </w:tabs>
        <w:jc w:val="left"/>
      </w:pP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2024年，我单位部门预算438.77万元，其中重点项目预算93.76万元，均严格按绩效管理要求实现项目绩效目标管理，其中重点项目预算1个，现将情况说明如下：</w:t>
      </w:r>
    </w:p>
    <w:p>
      <w:pPr>
        <w:spacing w:line="560" w:lineRule="exact"/>
        <w:ind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一、单位预算绩效管理工作开展情况</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完成了2024年本级部门预算整体绩效目标申报和1个项目预算绩效目标申报，并编报1个项目预算事前绩效评估报告。</w:t>
      </w:r>
    </w:p>
    <w:p>
      <w:pPr>
        <w:numPr>
          <w:ilvl w:val="0"/>
          <w:numId w:val="1"/>
        </w:num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单位整体绩效目标</w:t>
      </w:r>
    </w:p>
    <w:tbl>
      <w:tblPr>
        <w:jc w:val="left"/>
        <w:tblInd w:w="0" w:type="dxa"/>
        <w:tblW w:w="5000" w:type="pct"/>
        <w:tblBorders>
          <w:top w:val="none" w:sz="0" w:space="0" w:color="auto"/>
          <w:left w:val="none" w:sz="0" w:space="0" w:color="auto"/>
          <w:bottom w:val="none" w:sz="0" w:space="0" w:color="auto"/>
          <w:right w:val="none" w:sz="0" w:space="0" w:color="auto"/>
        </w:tblBorders>
        <w:shd w:val="clear" w:color="auto" w:fill="auto"/>
        <w:tblCellMar>
          <w:top w:w="0" w:type="dxa"/>
          <w:left w:w="0" w:type="dxa"/>
          <w:bottom w:w="0" w:type="dxa"/>
          <w:right w:w="0" w:type="dxa"/>
        </w:tblCellMar>
      </w:tblPr>
      <w:tblGrid>
        <w:gridCol w:w="925"/>
        <w:gridCol w:w="1166"/>
        <w:gridCol w:w="1166"/>
        <w:gridCol w:w="1788"/>
        <w:gridCol w:w="933"/>
        <w:gridCol w:w="1088"/>
        <w:gridCol w:w="700"/>
        <w:gridCol w:w="551"/>
      </w:tblGrid>
      <w:tr>
        <w:trPr>
          <w:trHeight w:val="904"/>
        </w:trPr>
        <w:tc>
          <w:tcPr>
            <w:tcW w:w="5000" w:type="pct"/>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黑体" w:eastAsia="黑体" w:cs="黑体"/>
                <w:i w:val="0"/>
                <w:color w:val="000000"/>
                <w:sz w:val="30"/>
                <w:szCs w:val="30"/>
                <w:u w:val="none"/>
              </w:rPr>
            </w:pPr>
            <w:r>
              <w:rPr>
                <w:rFonts w:ascii="黑体" w:eastAsia="黑体" w:cs="黑体" w:hint="eastAsia"/>
                <w:i w:val="0"/>
                <w:color w:val="000000"/>
                <w:kern w:val="0"/>
                <w:sz w:val="30"/>
                <w:szCs w:val="30"/>
                <w:u w:val="none"/>
                <w:bdr w:val="none" w:sz="0" w:space="0" w:color="auto"/>
                <w:lang w:val="en-US" w:eastAsia="zh-CN"/>
              </w:rPr>
              <w:t>部门整体支出绩效目标表</w:t>
            </w:r>
          </w:p>
        </w:tc>
      </w:tr>
      <w:tr>
        <w:trPr>
          <w:trHeight w:val="286"/>
        </w:trPr>
        <w:tc>
          <w:tcPr>
            <w:tcW w:w="5000" w:type="pct"/>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（2024年度）</w:t>
            </w:r>
          </w:p>
        </w:tc>
      </w:tr>
      <w:tr>
        <w:trPr>
          <w:trHeight w:val="286"/>
        </w:trPr>
        <w:tc>
          <w:tcPr>
            <w:tcW w:w="5000" w:type="pct"/>
            <w:gridSpan w:val="8"/>
            <w:tcBorders>
              <w:top w:val="nil"/>
              <w:left w:val="nil"/>
              <w:bottom w:val="single" w:sz="4" w:space="0" w:color="000000"/>
              <w:right w:val="nil"/>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单位：万元</w:t>
            </w:r>
          </w:p>
        </w:tc>
      </w:tr>
      <w:tr>
        <w:trPr>
          <w:trHeight w:val="569"/>
        </w:trPr>
        <w:tc>
          <w:tcPr>
            <w:tcW w:w="1958"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部门名称</w:t>
            </w:r>
          </w:p>
        </w:tc>
        <w:tc>
          <w:tcPr>
            <w:tcW w:w="3041" w:type="pct"/>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金川县粮食和物资储备中心本级</w:t>
            </w:r>
          </w:p>
        </w:tc>
      </w:tr>
      <w:tr>
        <w:trPr>
          <w:trHeight w:val="569"/>
        </w:trPr>
        <w:tc>
          <w:tcPr>
            <w:tcW w:w="556"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年度部门整体支出预算</w:t>
            </w: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资金总额</w:t>
            </w:r>
          </w:p>
        </w:tc>
        <w:tc>
          <w:tcPr>
            <w:tcW w:w="1636"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财政拨款</w:t>
            </w:r>
          </w:p>
        </w:tc>
        <w:tc>
          <w:tcPr>
            <w:tcW w:w="1404"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其他资金</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438.77</w:t>
            </w:r>
          </w:p>
        </w:tc>
        <w:tc>
          <w:tcPr>
            <w:tcW w:w="1636"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438.77</w:t>
            </w:r>
          </w:p>
        </w:tc>
        <w:tc>
          <w:tcPr>
            <w:tcW w:w="1404" w:type="pct"/>
            <w:gridSpan w:val="3"/>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0.00</w:t>
            </w:r>
          </w:p>
        </w:tc>
      </w:tr>
      <w:tr>
        <w:trPr>
          <w:trHeight w:val="1145"/>
        </w:trPr>
        <w:tc>
          <w:tcPr>
            <w:tcW w:w="55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年度总体目标</w:t>
            </w:r>
          </w:p>
        </w:tc>
        <w:tc>
          <w:tcPr>
            <w:tcW w:w="4443" w:type="pct"/>
            <w:gridSpan w:val="7"/>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以习近平新时代中国特色社会主义思想为指导，一认真贯彻落实国家、州委、州政府、县委、县政府的决策部署，深入贯彻习近平总书记关于保障国家粮食安全重要论述和指示批示精神，聚焦粮食和物资储备主责主业，扛稳粮食安全重任，重点抓好几个方面工作：一是全力推进粮食安全党政同责；二是有序推进规划实施；三是积极推进粮食保障安全依法治理；四是增强应急救灾物资保障水平。</w:t>
            </w:r>
          </w:p>
        </w:tc>
      </w:tr>
      <w:tr>
        <w:trPr>
          <w:trHeight w:val="569"/>
        </w:trPr>
        <w:tc>
          <w:tcPr>
            <w:tcW w:w="556"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年度主要任务</w:t>
            </w: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任务名称</w:t>
            </w:r>
          </w:p>
        </w:tc>
        <w:tc>
          <w:tcPr>
            <w:tcW w:w="3041" w:type="pct"/>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主要内容</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管好储好救灾物资</w:t>
            </w:r>
          </w:p>
        </w:tc>
        <w:tc>
          <w:tcPr>
            <w:tcW w:w="3041" w:type="pct"/>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按要求组织完成救灾物资采购、储备、调拨相关工作，保障物资储存安全。</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扛稳粮食安全重任</w:t>
            </w:r>
          </w:p>
        </w:tc>
        <w:tc>
          <w:tcPr>
            <w:tcW w:w="3041" w:type="pct"/>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强化粮食安全党政同责考核，压紧压实“米袋子”责任。</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推进粮食保障安全依法治理</w:t>
            </w:r>
          </w:p>
        </w:tc>
        <w:tc>
          <w:tcPr>
            <w:tcW w:w="3041" w:type="pct"/>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强化(粮食流通管理条例) (四川省粮食安全保障条例) (四川省地方粮 食储备管理办法》等法规制度宣传贯彻。促进节粮减损。开展世界粮食日等宣传活动。</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40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提升粮食收储调控能力</w:t>
            </w:r>
          </w:p>
        </w:tc>
        <w:tc>
          <w:tcPr>
            <w:tcW w:w="3041" w:type="pct"/>
            <w:gridSpan w:val="5"/>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做好保供稳市。认真落实国家收购政策，健全粮食监测预警、应急供应、军民融合、平急结合的保障机制。</w:t>
            </w:r>
          </w:p>
        </w:tc>
      </w:tr>
      <w:tr>
        <w:trPr>
          <w:trHeight w:val="569"/>
        </w:trPr>
        <w:tc>
          <w:tcPr>
            <w:tcW w:w="556"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年度绩效指标</w:t>
            </w: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一级指标</w:t>
            </w: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二级指标</w:t>
            </w: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三级指标</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绩效指标性质</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绩效指标值</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绩效度量单位</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权重</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产出指标</w:t>
            </w:r>
          </w:p>
        </w:tc>
        <w:tc>
          <w:tcPr>
            <w:tcW w:w="701"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数量指标</w:t>
            </w: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开展粮食主题相关宣传活动次数</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场次</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15</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完成储备粮及救灾物资仓库的应急备用</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95</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15</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质量指标</w:t>
            </w: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州、县储备粮入库验收合格率</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98</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10</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时效指标</w:t>
            </w: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资金拨付及时率</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100</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5</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效益指标</w:t>
            </w:r>
          </w:p>
        </w:tc>
        <w:tc>
          <w:tcPr>
            <w:tcW w:w="701"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社会效益指标</w:t>
            </w: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保障市场供给，增强宏观调控能力，维护好粮食市场秩序。</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定性</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优良中低差</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宋体" w:eastAsia="宋体" w:cs="宋体" w:hint="eastAsia"/>
                <w:i w:val="0"/>
                <w:color w:val="000000"/>
                <w:sz w:val="18"/>
                <w:szCs w:val="18"/>
                <w:u w:val="none"/>
              </w:rPr>
            </w:pP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15</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管好储好救灾物资，高效完成救灾物资调拨任务。</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定性</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优良中低差</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宋体" w:eastAsia="宋体" w:cs="宋体" w:hint="eastAsia"/>
                <w:i w:val="0"/>
                <w:color w:val="000000"/>
                <w:sz w:val="18"/>
                <w:szCs w:val="18"/>
                <w:u w:val="none"/>
              </w:rPr>
            </w:pP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15</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满意度指标</w:t>
            </w: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满意度指标</w:t>
            </w: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储备粮及物资保管满意度</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定性</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优良中低差</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left"/>
              <w:rPr>
                <w:rFonts w:ascii="宋体" w:eastAsia="宋体" w:cs="宋体" w:hint="eastAsia"/>
                <w:i w:val="0"/>
                <w:color w:val="000000"/>
                <w:sz w:val="18"/>
                <w:szCs w:val="18"/>
                <w:u w:val="none"/>
              </w:rPr>
            </w:pP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10</w:t>
            </w:r>
          </w:p>
        </w:tc>
      </w:tr>
      <w:tr>
        <w:trPr>
          <w:trHeight w:val="569"/>
        </w:trPr>
        <w:tc>
          <w:tcPr>
            <w:tcW w:w="556"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成本指标</w:t>
            </w:r>
          </w:p>
        </w:tc>
        <w:tc>
          <w:tcPr>
            <w:tcW w:w="70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经济成本指标</w:t>
            </w:r>
          </w:p>
        </w:tc>
        <w:tc>
          <w:tcPr>
            <w:tcW w:w="107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保障职工、机关运行</w:t>
            </w:r>
          </w:p>
        </w:tc>
        <w:tc>
          <w:tcPr>
            <w:tcW w:w="56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w:t>
            </w:r>
          </w:p>
        </w:tc>
        <w:tc>
          <w:tcPr>
            <w:tcW w:w="65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3450139.12</w:t>
            </w:r>
          </w:p>
        </w:tc>
        <w:tc>
          <w:tcPr>
            <w:tcW w:w="421"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元</w:t>
            </w:r>
          </w:p>
        </w:tc>
        <w:tc>
          <w:tcPr>
            <w:tcW w:w="328"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ascii="宋体" w:eastAsia="宋体" w:cs="宋体"/>
                <w:i w:val="0"/>
                <w:color w:val="000000"/>
                <w:sz w:val="18"/>
                <w:szCs w:val="18"/>
                <w:u w:val="none"/>
              </w:rPr>
            </w:pPr>
            <w:r>
              <w:rPr>
                <w:rFonts w:ascii="宋体" w:eastAsia="宋体" w:cs="宋体"/>
                <w:i w:val="0"/>
                <w:color w:val="000000"/>
                <w:kern w:val="0"/>
                <w:sz w:val="18"/>
                <w:szCs w:val="18"/>
                <w:u w:val="none"/>
                <w:bdr w:val="none" w:sz="0" w:space="0" w:color="auto"/>
                <w:lang w:val="en-US" w:eastAsia="zh-CN"/>
              </w:rPr>
              <w:t>15</w:t>
            </w:r>
          </w:p>
        </w:tc>
      </w:tr>
    </w:tbl>
    <w:p>
      <w:pPr>
        <w:spacing w:line="560" w:lineRule="exact"/>
        <w:ind w:left="0" w:firstLineChars="200" w:firstLine="640"/>
        <w:rPr>
          <w:rFonts w:ascii="黑体" w:eastAsia="黑体" w:cs="黑体" w:hint="eastAsia"/>
          <w:sz w:val="32"/>
          <w:szCs w:val="32"/>
          <w:lang w:val="en-US" w:eastAsia="zh-CN"/>
        </w:rPr>
      </w:pPr>
      <w:r>
        <w:rPr>
          <w:rFonts w:ascii="黑体" w:eastAsia="黑体" w:cs="黑体" w:hint="eastAsia"/>
          <w:sz w:val="32"/>
          <w:szCs w:val="32"/>
          <w:lang w:val="en-US" w:eastAsia="zh-CN"/>
        </w:rPr>
        <w:t>三、重点项目绩效目标。</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重点项目：县级储备粮油利息费用补贴</w:t>
      </w:r>
    </w:p>
    <w:p>
      <w:pPr>
        <w:spacing w:line="560" w:lineRule="exact"/>
        <w:ind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项目年度绩效目标：完成我县建县级储备粮油规模，具体为1160吨（其中：大米408吨(折合原粮600吨）、面粉80吨（折合原粮134吨）、小麦336吨、菜油60吨），稳定粮食市场，以及应对重大</w:t>
      </w:r>
      <w:r>
        <w:rPr>
          <w:rFonts w:ascii="仿宋_GB2312" w:eastAsia="仿宋_GB2312" w:cs="仿宋_GB2312"/>
          <w:sz w:val="32"/>
          <w:szCs w:val="32"/>
          <w:lang w:val="en-US" w:eastAsia="zh-CN"/>
        </w:rPr>
        <w:t>自然</w:t>
      </w:r>
      <w:r>
        <w:rPr>
          <w:rFonts w:ascii="仿宋_GB2312" w:eastAsia="仿宋_GB2312" w:cs="仿宋_GB2312" w:hint="eastAsia"/>
          <w:sz w:val="32"/>
          <w:szCs w:val="32"/>
          <w:lang w:val="en-US" w:eastAsia="zh-CN"/>
        </w:rPr>
        <w:t>灾害或其他突发事件等。致力于保障我县用粮安全。</w:t>
      </w:r>
    </w:p>
    <w:p>
      <w:pPr>
        <w:spacing w:line="560" w:lineRule="exact"/>
        <w:ind w:firstLineChars="200" w:firstLine="640"/>
        <w:rPr>
          <w:rFonts w:ascii="仿宋_GB2312" w:eastAsia="仿宋_GB2312" w:cs="仿宋_GB2312"/>
          <w:sz w:val="32"/>
          <w:szCs w:val="32"/>
          <w:lang w:val="en-US" w:eastAsia="zh-CN"/>
        </w:rPr>
      </w:pPr>
      <w:r>
        <w:rPr>
          <w:rFonts w:ascii="仿宋_GB2312" w:eastAsia="仿宋_GB2312" w:cs="仿宋_GB2312" w:hint="eastAsia"/>
          <w:sz w:val="32"/>
          <w:szCs w:val="32"/>
          <w:lang w:val="en-US" w:eastAsia="zh-CN"/>
        </w:rPr>
        <w:t>绩效指标设置情况：细化指标5个，包括产出指标：时效指标、质量指标、数量指标、、时效指标；成本指标：经济成本指标；效益指标：可持续影响指标、经济效益指标；满意度指标：满意度指标。具体指标设置情况见下表：</w:t>
      </w:r>
    </w:p>
    <w:tbl>
      <w:tblPr>
        <w:jc w:val="left"/>
        <w:tblInd w:w="-797" w:type="dxa"/>
        <w:tblW w:w="5470" w:type="pct"/>
        <w:tblBorders>
          <w:top w:val="none" w:sz="0" w:space="0" w:color="auto"/>
          <w:left w:val="none" w:sz="0" w:space="0" w:color="auto"/>
          <w:bottom w:val="none" w:sz="0" w:space="0" w:color="auto"/>
          <w:right w:val="none" w:sz="0" w:space="0" w:color="auto"/>
        </w:tblBorders>
        <w:shd w:val="clear" w:color="auto" w:fill="auto"/>
        <w:tblLayout w:type="fixed"/>
        <w:tblCellMar>
          <w:top w:w="0" w:type="dxa"/>
          <w:left w:w="0" w:type="dxa"/>
          <w:bottom w:w="0" w:type="dxa"/>
          <w:right w:w="0" w:type="dxa"/>
        </w:tblCellMar>
      </w:tblPr>
      <w:tblGrid>
        <w:gridCol w:w="386"/>
        <w:gridCol w:w="493"/>
        <w:gridCol w:w="1633"/>
        <w:gridCol w:w="792"/>
        <w:gridCol w:w="1152"/>
        <w:gridCol w:w="488"/>
        <w:gridCol w:w="1937"/>
        <w:gridCol w:w="448"/>
        <w:gridCol w:w="732"/>
        <w:gridCol w:w="553"/>
        <w:gridCol w:w="488"/>
      </w:tblGrid>
      <w:tr>
        <w:trPr>
          <w:trHeight w:val="398"/>
          <w:gridAfter w:val="5"/>
          <w:wAfter w:w="4158" w:type="dxa"/>
        </w:trPr>
        <w:tc>
          <w:tcPr>
            <w:tcW w:w="2716" w:type="pct"/>
            <w:gridSpan w:val="6"/>
            <w:tcBorders>
              <w:top w:val="single" w:sz="4" w:space="0" w:color="FFFFFF"/>
              <w:left w:val="single" w:sz="4" w:space="0" w:color="FFFFFF"/>
              <w:bottom w:val="single" w:sz="4" w:space="0" w:color="FFFFFF"/>
              <w:right w:val="single" w:sz="4" w:space="0" w:color="FFFFFF"/>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hint="eastAsia"/>
                <w:b/>
                <w:i w:val="0"/>
                <w:color w:val="000000"/>
                <w:sz w:val="30"/>
                <w:szCs w:val="30"/>
                <w:u w:val="none"/>
              </w:rPr>
            </w:pPr>
          </w:p>
        </w:tc>
      </w:tr>
      <w:tr>
        <w:trPr>
          <w:trHeight w:val="398"/>
        </w:trPr>
        <w:tc>
          <w:tcPr>
            <w:tcW w:w="5000" w:type="pct"/>
            <w:gridSpan w:val="11"/>
            <w:tcBorders>
              <w:top w:val="single" w:sz="4" w:space="0" w:color="FFFFFF"/>
              <w:left w:val="single" w:sz="4" w:space="0" w:color="FFFFFF"/>
              <w:bottom w:val="single" w:sz="4" w:space="0" w:color="FFFFFF"/>
              <w:right w:val="single" w:sz="4" w:space="0" w:color="FFFFFF"/>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宋体" w:eastAsia="宋体" w:cs="宋体" w:hint="eastAsia"/>
                <w:b/>
                <w:i w:val="0"/>
                <w:color w:val="000000"/>
                <w:sz w:val="30"/>
                <w:szCs w:val="30"/>
                <w:u w:val="none"/>
              </w:rPr>
            </w:pPr>
            <w:r>
              <w:rPr>
                <w:rFonts w:ascii="宋体" w:eastAsia="宋体" w:cs="宋体" w:hint="eastAsia"/>
                <w:b/>
                <w:i w:val="0"/>
                <w:color w:val="000000"/>
                <w:kern w:val="0"/>
                <w:sz w:val="30"/>
                <w:szCs w:val="30"/>
                <w:u w:val="none"/>
                <w:bdr w:val="none" w:sz="0" w:space="0" w:color="auto"/>
                <w:lang w:val="en-US" w:eastAsia="zh-CN"/>
              </w:rPr>
              <w:t>部门预算项目绩效目标表（2024年度）</w:t>
            </w:r>
          </w:p>
        </w:tc>
      </w:tr>
      <w:tr>
        <w:trPr>
          <w:trHeight w:val="341"/>
        </w:trPr>
        <w:tc>
          <w:tcPr>
            <w:tcW w:w="5000" w:type="pct"/>
            <w:gridSpan w:val="11"/>
            <w:tcBorders>
              <w:top w:val="single" w:sz="4" w:space="0" w:color="FFFFFF"/>
              <w:left w:val="single" w:sz="4" w:space="0" w:color="FFFFFF"/>
              <w:bottom w:val="nil"/>
              <w:right w:val="single" w:sz="4" w:space="0" w:color="FFFFFF"/>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ascii="宋体" w:eastAsia="宋体" w:cs="宋体" w:hint="eastAsia"/>
                <w:i w:val="0"/>
                <w:color w:val="000000"/>
                <w:sz w:val="22"/>
                <w:szCs w:val="22"/>
                <w:u w:val="none"/>
              </w:rPr>
            </w:pPr>
            <w:r>
              <w:rPr>
                <w:rFonts w:ascii="宋体" w:eastAsia="宋体" w:cs="宋体" w:hint="eastAsia"/>
                <w:i w:val="0"/>
                <w:color w:val="000000"/>
                <w:kern w:val="0"/>
                <w:sz w:val="22"/>
                <w:szCs w:val="22"/>
                <w:u w:val="none"/>
                <w:bdr w:val="none" w:sz="0" w:space="0" w:color="auto"/>
                <w:lang w:val="en-US" w:eastAsia="zh-CN"/>
              </w:rPr>
              <w:t>金额单位：万元</w:t>
            </w:r>
          </w:p>
        </w:tc>
      </w:tr>
      <w:tr>
        <w:trPr>
          <w:trHeight w:val="427"/>
        </w:trPr>
        <w:tc>
          <w:tcPr>
            <w:tcW w:w="212"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项目名称</w:t>
            </w:r>
          </w:p>
        </w:tc>
        <w:tc>
          <w:tcPr>
            <w:tcW w:w="271"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预算数</w:t>
            </w:r>
          </w:p>
        </w:tc>
        <w:tc>
          <w:tcPr>
            <w:tcW w:w="897"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年度目标</w:t>
            </w:r>
          </w:p>
        </w:tc>
        <w:tc>
          <w:tcPr>
            <w:tcW w:w="435"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一级指标</w:t>
            </w:r>
          </w:p>
        </w:tc>
        <w:tc>
          <w:tcPr>
            <w:tcW w:w="633"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二级指标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三级指标</w:t>
            </w:r>
          </w:p>
        </w:tc>
        <w:tc>
          <w:tcPr>
            <w:tcW w:w="246"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指标性质</w:t>
            </w:r>
          </w:p>
        </w:tc>
        <w:tc>
          <w:tcPr>
            <w:tcW w:w="402"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指标值</w:t>
            </w:r>
          </w:p>
        </w:tc>
        <w:tc>
          <w:tcPr>
            <w:tcW w:w="304"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度量单位</w:t>
            </w:r>
          </w:p>
        </w:tc>
        <w:tc>
          <w:tcPr>
            <w:tcW w:w="263" w:type="pct"/>
            <w:tcBorders>
              <w:top w:val="single" w:sz="4" w:space="0" w:color="000000"/>
              <w:left w:val="single" w:sz="4" w:space="0" w:color="000000"/>
              <w:bottom w:val="single" w:sz="4" w:space="0" w:color="000000"/>
              <w:right w:val="single" w:sz="4" w:space="0" w:color="000000"/>
            </w:tcBorders>
            <w:shd w:val="clear" w:color="EFF2F7" w:fill="EFF2F7"/>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b/>
                <w:i w:val="0"/>
                <w:color w:val="000000"/>
                <w:sz w:val="18"/>
                <w:szCs w:val="18"/>
                <w:u w:val="none"/>
              </w:rPr>
            </w:pPr>
            <w:r>
              <w:rPr>
                <w:rFonts w:ascii="Times New Roman" w:eastAsia="宋体" w:cs="Times New Roman" w:hAnsi="Times New Roman"/>
                <w:b/>
                <w:i w:val="0"/>
                <w:color w:val="000000"/>
                <w:kern w:val="0"/>
                <w:sz w:val="18"/>
                <w:szCs w:val="18"/>
                <w:u w:val="none"/>
                <w:bdr w:val="none" w:sz="0" w:space="0" w:color="auto"/>
                <w:lang w:val="en-US" w:eastAsia="zh-CN"/>
              </w:rPr>
              <w:t>权重</w:t>
            </w:r>
          </w:p>
        </w:tc>
      </w:tr>
      <w:tr>
        <w:trPr>
          <w:trHeight w:val="2743"/>
        </w:trPr>
        <w:tc>
          <w:tcPr>
            <w:tcW w:w="212"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县级储备粮油利息费用补贴</w:t>
            </w:r>
          </w:p>
        </w:tc>
        <w:tc>
          <w:tcPr>
            <w:tcW w:w="271"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93.76</w:t>
            </w:r>
          </w:p>
        </w:tc>
        <w:tc>
          <w:tcPr>
            <w:tcW w:w="897" w:type="pct"/>
            <w:vMerge w:val="restar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完成我县建县级储备粮油规模，具体为</w:t>
            </w:r>
            <w:r>
              <w:rPr>
                <w:rFonts w:ascii="Times New Roman" w:eastAsia="Dialog . plain" w:cs="Times New Roman" w:hAnsi="Times New Roman"/>
                <w:i w:val="0"/>
                <w:color w:val="000000"/>
                <w:kern w:val="0"/>
                <w:sz w:val="18"/>
                <w:szCs w:val="18"/>
                <w:u w:val="none"/>
                <w:bdr w:val="none" w:sz="0" w:space="0" w:color="auto"/>
                <w:lang w:val="en-US" w:eastAsia="zh-CN"/>
              </w:rPr>
              <w:t>1160</w:t>
            </w:r>
            <w:r>
              <w:rPr>
                <w:rStyle w:val="19"/>
                <w:rFonts w:ascii="Times New Roman" w:cs="Times New Roman" w:hAnsi="Times New Roman"/>
                <w:bdr w:val="none" w:sz="0" w:space="0" w:color="auto"/>
                <w:lang w:val="en-US" w:eastAsia="zh-CN"/>
              </w:rPr>
              <w:t>吨（其中：大米</w:t>
            </w:r>
            <w:r>
              <w:rPr>
                <w:rFonts w:ascii="Times New Roman" w:eastAsia="Dialog . plain" w:cs="Times New Roman" w:hAnsi="Times New Roman"/>
                <w:i w:val="0"/>
                <w:color w:val="000000"/>
                <w:kern w:val="0"/>
                <w:sz w:val="18"/>
                <w:szCs w:val="18"/>
                <w:u w:val="none"/>
                <w:bdr w:val="none" w:sz="0" w:space="0" w:color="auto"/>
                <w:lang w:val="en-US" w:eastAsia="zh-CN"/>
              </w:rPr>
              <w:t>408</w:t>
            </w:r>
            <w:r>
              <w:rPr>
                <w:rStyle w:val="19"/>
                <w:rFonts w:ascii="Times New Roman" w:cs="Times New Roman" w:hAnsi="Times New Roman"/>
                <w:bdr w:val="none" w:sz="0" w:space="0" w:color="auto"/>
                <w:lang w:val="en-US" w:eastAsia="zh-CN"/>
              </w:rPr>
              <w:t>吨</w:t>
            </w:r>
            <w:r>
              <w:rPr>
                <w:rFonts w:ascii="Times New Roman" w:eastAsia="Dialog . plain" w:cs="Times New Roman" w:hAnsi="Times New Roman"/>
                <w:i w:val="0"/>
                <w:color w:val="000000"/>
                <w:kern w:val="0"/>
                <w:sz w:val="18"/>
                <w:szCs w:val="18"/>
                <w:u w:val="none"/>
                <w:bdr w:val="none" w:sz="0" w:space="0" w:color="auto"/>
                <w:lang w:val="en-US" w:eastAsia="zh-CN"/>
              </w:rPr>
              <w:t>(</w:t>
            </w:r>
            <w:r>
              <w:rPr>
                <w:rStyle w:val="19"/>
                <w:rFonts w:ascii="Times New Roman" w:cs="Times New Roman" w:hAnsi="Times New Roman"/>
                <w:bdr w:val="none" w:sz="0" w:space="0" w:color="auto"/>
                <w:lang w:val="en-US" w:eastAsia="zh-CN"/>
              </w:rPr>
              <w:t>折合原粮</w:t>
            </w:r>
            <w:r>
              <w:rPr>
                <w:rFonts w:ascii="Times New Roman" w:eastAsia="Dialog . plain" w:cs="Times New Roman" w:hAnsi="Times New Roman"/>
                <w:i w:val="0"/>
                <w:color w:val="000000"/>
                <w:kern w:val="0"/>
                <w:sz w:val="18"/>
                <w:szCs w:val="18"/>
                <w:u w:val="none"/>
                <w:bdr w:val="none" w:sz="0" w:space="0" w:color="auto"/>
                <w:lang w:val="en-US" w:eastAsia="zh-CN"/>
              </w:rPr>
              <w:t>600</w:t>
            </w:r>
            <w:r>
              <w:rPr>
                <w:rStyle w:val="19"/>
                <w:rFonts w:ascii="Times New Roman" w:cs="Times New Roman" w:hAnsi="Times New Roman"/>
                <w:bdr w:val="none" w:sz="0" w:space="0" w:color="auto"/>
                <w:lang w:val="en-US" w:eastAsia="zh-CN"/>
              </w:rPr>
              <w:t>吨）、面粉</w:t>
            </w:r>
            <w:r>
              <w:rPr>
                <w:rFonts w:ascii="Times New Roman" w:eastAsia="Dialog . plain" w:cs="Times New Roman" w:hAnsi="Times New Roman"/>
                <w:i w:val="0"/>
                <w:color w:val="000000"/>
                <w:kern w:val="0"/>
                <w:sz w:val="18"/>
                <w:szCs w:val="18"/>
                <w:u w:val="none"/>
                <w:bdr w:val="none" w:sz="0" w:space="0" w:color="auto"/>
                <w:lang w:val="en-US" w:eastAsia="zh-CN"/>
              </w:rPr>
              <w:t>80</w:t>
            </w:r>
            <w:r>
              <w:rPr>
                <w:rStyle w:val="19"/>
                <w:rFonts w:ascii="Times New Roman" w:cs="Times New Roman" w:hAnsi="Times New Roman"/>
                <w:bdr w:val="none" w:sz="0" w:space="0" w:color="auto"/>
                <w:lang w:val="en-US" w:eastAsia="zh-CN"/>
              </w:rPr>
              <w:t>吨（折合原粮</w:t>
            </w:r>
            <w:r>
              <w:rPr>
                <w:rFonts w:ascii="Times New Roman" w:eastAsia="Dialog . plain" w:cs="Times New Roman" w:hAnsi="Times New Roman"/>
                <w:i w:val="0"/>
                <w:color w:val="000000"/>
                <w:kern w:val="0"/>
                <w:sz w:val="18"/>
                <w:szCs w:val="18"/>
                <w:u w:val="none"/>
                <w:bdr w:val="none" w:sz="0" w:space="0" w:color="auto"/>
                <w:lang w:val="en-US" w:eastAsia="zh-CN"/>
              </w:rPr>
              <w:t>134</w:t>
            </w:r>
            <w:r>
              <w:rPr>
                <w:rStyle w:val="19"/>
                <w:rFonts w:ascii="Times New Roman" w:cs="Times New Roman" w:hAnsi="Times New Roman"/>
                <w:bdr w:val="none" w:sz="0" w:space="0" w:color="auto"/>
                <w:lang w:val="en-US" w:eastAsia="zh-CN"/>
              </w:rPr>
              <w:t>吨）、小麦</w:t>
            </w:r>
            <w:r>
              <w:rPr>
                <w:rFonts w:ascii="Times New Roman" w:eastAsia="Dialog . plain" w:cs="Times New Roman" w:hAnsi="Times New Roman"/>
                <w:i w:val="0"/>
                <w:color w:val="000000"/>
                <w:kern w:val="0"/>
                <w:sz w:val="18"/>
                <w:szCs w:val="18"/>
                <w:u w:val="none"/>
                <w:bdr w:val="none" w:sz="0" w:space="0" w:color="auto"/>
                <w:lang w:val="en-US" w:eastAsia="zh-CN"/>
              </w:rPr>
              <w:t>336</w:t>
            </w:r>
            <w:r>
              <w:rPr>
                <w:rStyle w:val="19"/>
                <w:rFonts w:ascii="Times New Roman" w:cs="Times New Roman" w:hAnsi="Times New Roman"/>
                <w:bdr w:val="none" w:sz="0" w:space="0" w:color="auto"/>
                <w:lang w:val="en-US" w:eastAsia="zh-CN"/>
              </w:rPr>
              <w:t>吨、菜油</w:t>
            </w:r>
            <w:r>
              <w:rPr>
                <w:rFonts w:ascii="Times New Roman" w:eastAsia="Dialog . plain" w:cs="Times New Roman" w:hAnsi="Times New Roman"/>
                <w:i w:val="0"/>
                <w:color w:val="000000"/>
                <w:kern w:val="0"/>
                <w:sz w:val="18"/>
                <w:szCs w:val="18"/>
                <w:u w:val="none"/>
                <w:bdr w:val="none" w:sz="0" w:space="0" w:color="auto"/>
                <w:lang w:val="en-US" w:eastAsia="zh-CN"/>
              </w:rPr>
              <w:t>60</w:t>
            </w:r>
            <w:r>
              <w:rPr>
                <w:rStyle w:val="19"/>
                <w:rFonts w:ascii="Times New Roman" w:cs="Times New Roman" w:hAnsi="Times New Roman"/>
                <w:bdr w:val="none" w:sz="0" w:space="0" w:color="auto"/>
                <w:lang w:val="en-US" w:eastAsia="zh-CN"/>
              </w:rPr>
              <w:t>吨），稳定粮食市场，以及应对重大自</w:t>
            </w:r>
            <w:r>
              <w:rPr>
                <w:rStyle w:val="19"/>
                <w:rFonts w:ascii="Times New Roman" w:cs="Times New Roman" w:hAnsi="Times New Roman"/>
                <w:bdr w:val="none" w:sz="0" w:space="0" w:color="auto"/>
                <w:lang w:val="en-US" w:eastAsia="zh-CN"/>
              </w:rPr>
              <w:t>然</w:t>
            </w:r>
            <w:r>
              <w:rPr>
                <w:rStyle w:val="19"/>
                <w:rFonts w:ascii="Times New Roman" w:cs="Times New Roman" w:hAnsi="Times New Roman"/>
                <w:bdr w:val="none" w:sz="0" w:space="0" w:color="auto"/>
                <w:lang w:val="en-US" w:eastAsia="zh-CN"/>
              </w:rPr>
              <w:t>灾害或其他突发事件等。致力于保障我县用粮安全。</w:t>
            </w: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效益指标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经济效益指标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项目的实施确保了我县1160吨县级储备粮的安全，为保障我县粮食安全打下了坚实的基础。确保了县级储备粮储得实、调得动、用得上，发挥了良好的经济效益。</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100</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w:t>
            </w: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10</w:t>
            </w:r>
          </w:p>
        </w:tc>
      </w:tr>
      <w:tr>
        <w:trPr>
          <w:trHeight w:val="422"/>
        </w:trPr>
        <w:tc>
          <w:tcPr>
            <w:tcW w:w="212"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897"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产出指标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时效指标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完成时间</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年</w:t>
            </w: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5</w:t>
            </w:r>
          </w:p>
        </w:tc>
      </w:tr>
      <w:tr>
        <w:trPr>
          <w:trHeight w:val="1899"/>
        </w:trPr>
        <w:tc>
          <w:tcPr>
            <w:tcW w:w="212"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897"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效益指标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可持续影响指标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项目的实施为政府调控粮食市场和应急保障提供了物质基础，对于维护我县粮食安全和社会稳定具有重大意义。</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定性</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稳定且可持续</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jc w:val="center"/>
              <w:rPr>
                <w:rFonts w:ascii="Times New Roman" w:eastAsia="宋体" w:cs="Times New Roman" w:hAnsi="Times New Roman"/>
                <w:i w:val="0"/>
                <w:color w:val="000000"/>
                <w:sz w:val="18"/>
                <w:szCs w:val="18"/>
                <w:u w:val="none"/>
              </w:rPr>
            </w:pP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10</w:t>
            </w:r>
          </w:p>
        </w:tc>
      </w:tr>
      <w:tr>
        <w:trPr>
          <w:trHeight w:val="422"/>
        </w:trPr>
        <w:tc>
          <w:tcPr>
            <w:tcW w:w="212"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897"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满意度指标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满意度指标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社会公众满意度</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95</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w:t>
            </w: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10</w:t>
            </w:r>
          </w:p>
        </w:tc>
      </w:tr>
      <w:tr>
        <w:trPr>
          <w:trHeight w:val="422"/>
        </w:trPr>
        <w:tc>
          <w:tcPr>
            <w:tcW w:w="212"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897"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成本指标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经济成本指标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储备粮费用、利息补贴</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937602</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元</w:t>
            </w: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10</w:t>
            </w:r>
          </w:p>
        </w:tc>
      </w:tr>
      <w:tr>
        <w:trPr>
          <w:trHeight w:val="1055"/>
        </w:trPr>
        <w:tc>
          <w:tcPr>
            <w:tcW w:w="212"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897"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产出指标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质量指标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县级储备粮达标率（大米国标二级、小麦国标二级、菜油四级））</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100</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w:t>
            </w: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20</w:t>
            </w:r>
          </w:p>
        </w:tc>
      </w:tr>
      <w:tr>
        <w:trPr>
          <w:trHeight w:val="633"/>
        </w:trPr>
        <w:tc>
          <w:tcPr>
            <w:tcW w:w="212"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897"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产出指标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数量指标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完成县级粮食储备（储备粮、油）</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1160</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吨</w:t>
            </w: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15</w:t>
            </w:r>
          </w:p>
        </w:tc>
      </w:tr>
      <w:tr>
        <w:trPr>
          <w:trHeight w:val="422"/>
        </w:trPr>
        <w:tc>
          <w:tcPr>
            <w:tcW w:w="212"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271"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897" w:type="pct"/>
            <w:vMerge/>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tc>
        <w:tc>
          <w:tcPr>
            <w:tcW w:w="435"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产出指标</w:t>
            </w:r>
          </w:p>
        </w:tc>
        <w:tc>
          <w:tcPr>
            <w:tcW w:w="63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时效指标</w:t>
            </w:r>
          </w:p>
        </w:tc>
        <w:tc>
          <w:tcPr>
            <w:tcW w:w="1332"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及时轮换率</w:t>
            </w:r>
          </w:p>
        </w:tc>
        <w:tc>
          <w:tcPr>
            <w:tcW w:w="246"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Dialog . plain" w:cs="Times New Roman" w:hAnsi="Times New Roman"/>
                <w:i w:val="0"/>
                <w:color w:val="000000"/>
                <w:kern w:val="0"/>
                <w:sz w:val="18"/>
                <w:szCs w:val="18"/>
                <w:u w:val="none"/>
                <w:bdr w:val="none" w:sz="0" w:space="0" w:color="auto"/>
                <w:lang w:val="en-US" w:eastAsia="zh-CN"/>
              </w:rPr>
              <w:t>≥</w:t>
            </w:r>
          </w:p>
        </w:tc>
        <w:tc>
          <w:tcPr>
            <w:tcW w:w="402"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95</w:t>
            </w:r>
          </w:p>
        </w:tc>
        <w:tc>
          <w:tcPr>
            <w:tcW w:w="304"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w:t>
            </w:r>
          </w:p>
        </w:tc>
        <w:tc>
          <w:tcPr>
            <w:tcW w:w="263" w:type="pct"/>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ascii="Times New Roman" w:eastAsia="宋体" w:cs="Times New Roman" w:hAnsi="Times New Roman"/>
                <w:i w:val="0"/>
                <w:color w:val="000000"/>
                <w:sz w:val="18"/>
                <w:szCs w:val="18"/>
                <w:u w:val="none"/>
              </w:rPr>
            </w:pPr>
            <w:r>
              <w:rPr>
                <w:rFonts w:ascii="Times New Roman" w:eastAsia="宋体" w:cs="Times New Roman" w:hAnsi="Times New Roman"/>
                <w:i w:val="0"/>
                <w:color w:val="000000"/>
                <w:kern w:val="0"/>
                <w:sz w:val="18"/>
                <w:szCs w:val="18"/>
                <w:u w:val="none"/>
                <w:bdr w:val="none" w:sz="0" w:space="0" w:color="auto"/>
                <w:lang w:val="en-US" w:eastAsia="zh-CN"/>
              </w:rPr>
              <w:t>10</w:t>
            </w:r>
          </w:p>
        </w:tc>
      </w:tr>
    </w:tbl>
    <w:p>
      <w:pPr>
        <w:spacing w:line="560" w:lineRule="exact"/>
        <w:ind w:firstLineChars="200" w:firstLine="640"/>
        <w:rPr>
          <w:rFonts w:ascii="Times New Roman" w:eastAsia="仿宋_GB2312" w:cs="Times New Roman" w:hAnsi="Times New Roman"/>
          <w:sz w:val="32"/>
          <w:szCs w:val="32"/>
          <w:lang w:val="en-US" w:eastAsia="zh-CN"/>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Times New Roman">
    <w:panose1 w:val="02020603050405020304"/>
    <w:charset w:val="86"/>
    <w:family w:val="auto"/>
    <w:pitch w:val="variable"/>
    <w:sig w:usb0="E0002EFF" w:usb1="C0007843" w:usb2="00000009" w:usb3="00000000" w:csb0="400001FF" w:csb1="FFFF0000"/>
  </w:font>
  <w:font w:name="Dialog . plain">
    <w:altName w:val="Segoe Print"/>
    <w:panose1 w:val="00000000000000000000"/>
    <w:charset w:val="00"/>
    <w:family w:val="auto"/>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Luxi Sans">
    <w:altName w:val="Segoe Print"/>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5FD0A63"/>
    <w:multiLevelType w:val="singleLevel"/>
    <w:tmpl w:val="E5FD0A63"/>
    <w:lvl w:ilvl="0">
      <w:start w:val="2"/>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rPr>
  </w:style>
  <w:style w:type="paragraph" w:styleId="16">
    <w:name w:val="Normal (Web)"/>
    <w:basedOn w:val="0"/>
    <w:pPr>
      <w:spacing w:before="0" w:beforeAutospacing="1" w:after="0" w:afterAutospacing="1"/>
      <w:ind w:left="0" w:right="0"/>
      <w:jc w:val="left"/>
    </w:pPr>
    <w:rPr>
      <w:kern w:val="0"/>
      <w:sz w:val="24"/>
      <w:lang w:val="en-US" w:eastAsia="zh-CN"/>
    </w:rPr>
  </w:style>
  <w:style w:type="character" w:customStyle="1" w:styleId="17">
    <w:name w:val="font01"/>
    <w:basedOn w:val="10"/>
    <w:rPr>
      <w:rFonts w:ascii="Dialog . plain" w:eastAsia="Dialog . plain" w:cs="Dialog . plain" w:hAnsi="Dialog . plain"/>
      <w:color w:val="000000"/>
      <w:sz w:val="18"/>
      <w:szCs w:val="18"/>
      <w:u w:val="none"/>
    </w:rPr>
  </w:style>
  <w:style w:type="character" w:customStyle="1" w:styleId="18">
    <w:name w:val="font21"/>
    <w:basedOn w:val="10"/>
    <w:rPr>
      <w:rFonts w:ascii="宋体" w:eastAsia="宋体" w:cs="宋体"/>
      <w:color w:val="000000"/>
      <w:sz w:val="18"/>
      <w:szCs w:val="18"/>
      <w:u w:val="none"/>
    </w:rPr>
  </w:style>
  <w:style w:type="character" w:customStyle="1" w:styleId="19">
    <w:name w:val="font11"/>
    <w:basedOn w:val="10"/>
    <w:rPr>
      <w:rFonts w:ascii="宋体" w:eastAsia="宋体" w:cs="宋体"/>
      <w:color w:val="000000"/>
      <w:sz w:val="18"/>
      <w:szCs w:val="18"/>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Yozo_Office27021597764231179</Application>
  <Pages>3</Pages>
  <Words>1590</Words>
  <Characters>1701</Characters>
  <Lines>242</Lines>
  <Paragraphs>160</Paragraphs>
  <CharactersWithSpaces>1704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Administrator</cp:lastModifiedBy>
  <cp:revision>1</cp:revision>
  <dcterms:created xsi:type="dcterms:W3CDTF">2023-02-06T06:46:00Z</dcterms:created>
  <dcterms:modified xsi:type="dcterms:W3CDTF">2024-03-07T02:31:32Z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2052-11.1.0.10314</vt:lpwstr>
  </property>
</Properties>
</file>