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金川县粮食和物资储备中心</w:t>
      </w:r>
    </w:p>
    <w:p>
      <w:pPr>
        <w:keepNext w:val="0"/>
        <w:keepLines w:val="0"/>
        <w:pageBreakBefore w:val="0"/>
        <w:widowControl w:val="0"/>
        <w:kinsoku/>
        <w:wordWrap/>
        <w:overflowPunct/>
        <w:topLinePunct w:val="0"/>
        <w:autoSpaceDE/>
        <w:autoSpaceDN/>
        <w:bidi w:val="0"/>
        <w:adjustRightInd/>
        <w:spacing w:line="576"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重点项目预算的绩效目标情况说明</w:t>
      </w:r>
    </w:p>
    <w:bookmarkEnd w:id="0"/>
    <w:p>
      <w:pPr>
        <w:pStyle w:val="2"/>
        <w:rPr>
          <w:rFonts w:hint="eastAsia"/>
          <w:lang w:eastAsia="zh-CN"/>
        </w:rPr>
      </w:pP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2023年，我单位部门预算432.30万元，均严格按绩效管理要求实现项目绩效目标管理，其中重点项目预算1个，预算为92.19万元，现将情况说明如下：</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一、单位预算绩效管理工作开展情况</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完成了2023年本级部门预算整体绩效目标申报和1个重点项目预算绩效目标申报，并编报1个重点项目预算事前绩效评估报告。</w:t>
      </w:r>
    </w:p>
    <w:p>
      <w:pPr>
        <w:keepNext w:val="0"/>
        <w:keepLines w:val="0"/>
        <w:pageBreakBefore w:val="0"/>
        <w:widowControl w:val="0"/>
        <w:numPr>
          <w:ilvl w:val="0"/>
          <w:numId w:val="1"/>
        </w:numPr>
        <w:kinsoku/>
        <w:wordWrap/>
        <w:overflowPunct/>
        <w:topLinePunct w:val="0"/>
        <w:autoSpaceDE/>
        <w:autoSpaceDN/>
        <w:bidi w:val="0"/>
        <w:adjustRightIn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单位整体绩效目标</w:t>
      </w:r>
    </w:p>
    <w:p>
      <w:pPr>
        <w:keepNext w:val="0"/>
        <w:keepLines w:val="0"/>
        <w:pageBreakBefore w:val="0"/>
        <w:widowControl w:val="0"/>
        <w:numPr>
          <w:ilvl w:val="0"/>
          <w:numId w:val="0"/>
        </w:numPr>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中心在2023年将以习近平新时代中国特色社会主义思想为指导，一认真贯彻落实国家、州委、州政府、县委、县政府的决策部署，深入贯彻习近平总书记关于保障国家粮食安全重要论述和指示批示精神，聚焦粮食和物资储备主责主业，扛稳粮食安全重任，重点抓好几个方面工作：一是全力推进粮食安全党政同责；二是有序推进规划实施；三是积极推进粮食保障安全依法治理；四是增强应急教灾物资保障水平。</w:t>
      </w:r>
    </w:p>
    <w:p>
      <w:pPr>
        <w:keepNext w:val="0"/>
        <w:keepLines w:val="0"/>
        <w:pageBreakBefore w:val="0"/>
        <w:widowControl w:val="0"/>
        <w:numPr>
          <w:ilvl w:val="0"/>
          <w:numId w:val="0"/>
        </w:numPr>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做好以下几个年度任务：一是管好储好救灾物资，按要求组织完成救灾物资采购、储备、调拨相关工作，保障物资储存安全；二是扛稳粮食安全重任，强化粮食安全党政同责考核，压紧压实“米袋子”责任；三是推进粮食保障安全依法治理，强化(粮食流通管理条例) (四川省粮食安全保障条例) (四川省地方粮 食储备管理办法》等法规制度宣传贯彻。促进节粮减损。开展世界粮食日等宣传活动;四是提升粮食收储调控能力，做好保供稳市。认真落实国家收购政策，健全粮食监测预警、应急供应、军民融合、平急结合的保障机制。</w:t>
      </w:r>
    </w:p>
    <w:p>
      <w:pPr>
        <w:keepNext w:val="0"/>
        <w:keepLines w:val="0"/>
        <w:pageBreakBefore w:val="0"/>
        <w:widowControl w:val="0"/>
        <w:numPr>
          <w:ilvl w:val="0"/>
          <w:numId w:val="0"/>
        </w:numPr>
        <w:kinsoku/>
        <w:wordWrap/>
        <w:overflowPunct/>
        <w:topLinePunct w:val="0"/>
        <w:autoSpaceDE/>
        <w:autoSpaceDN/>
        <w:bidi w:val="0"/>
        <w:adjustRightIn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三、重点项目绩效目标。</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重点项目：金川县级储备粮油利息费用补贴</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完成我县建县级储备粮油规模，具体为1135吨（其中：大米408吨(折合原粮600吨）、小麦500吨、菜油35吨），稳定粮食市场，以及应对重大自在灾害或其他突发事件等。致力于保障我县用粮安全。</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绩效指标设置情况：细化指标4个，包括产出指标、成本指标、效益指标和满意度指标。</w:t>
      </w:r>
    </w:p>
    <w:tbl>
      <w:tblPr>
        <w:tblStyle w:val="4"/>
        <w:tblpPr w:leftFromText="180" w:rightFromText="180" w:vertAnchor="page" w:horzAnchor="page" w:tblpX="1344" w:tblpY="9291"/>
        <w:tblOverlap w:val="never"/>
        <w:tblW w:w="9456" w:type="dxa"/>
        <w:tblInd w:w="0" w:type="dxa"/>
        <w:shd w:val="clear" w:color="auto" w:fill="auto"/>
        <w:tblLayout w:type="fixed"/>
        <w:tblCellMar>
          <w:top w:w="0" w:type="dxa"/>
          <w:left w:w="0" w:type="dxa"/>
          <w:bottom w:w="0" w:type="dxa"/>
          <w:right w:w="0" w:type="dxa"/>
        </w:tblCellMar>
      </w:tblPr>
      <w:tblGrid>
        <w:gridCol w:w="943"/>
        <w:gridCol w:w="1136"/>
        <w:gridCol w:w="3302"/>
        <w:gridCol w:w="1988"/>
        <w:gridCol w:w="1062"/>
        <w:gridCol w:w="1025"/>
      </w:tblGrid>
      <w:tr>
        <w:tblPrEx>
          <w:shd w:val="clear" w:color="auto" w:fill="auto"/>
          <w:tblCellMar>
            <w:top w:w="0" w:type="dxa"/>
            <w:left w:w="0" w:type="dxa"/>
            <w:bottom w:w="0" w:type="dxa"/>
            <w:right w:w="0" w:type="dxa"/>
          </w:tblCellMar>
        </w:tblPrEx>
        <w:trPr>
          <w:trHeight w:val="340" w:hRule="atLeast"/>
        </w:trPr>
        <w:tc>
          <w:tcPr>
            <w:tcW w:w="9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b/>
                <w:i w:val="0"/>
                <w:color w:val="000000"/>
                <w:sz w:val="18"/>
                <w:szCs w:val="18"/>
                <w:u w:val="none"/>
              </w:rPr>
            </w:pPr>
            <w:r>
              <w:rPr>
                <w:rFonts w:hint="default" w:ascii="等线" w:hAnsi="等线" w:eastAsia="等线" w:cs="等线"/>
                <w:b/>
                <w:i w:val="0"/>
                <w:color w:val="000000"/>
                <w:kern w:val="0"/>
                <w:sz w:val="18"/>
                <w:szCs w:val="18"/>
                <w:u w:val="none"/>
                <w:lang w:val="en-US" w:eastAsia="zh-CN" w:bidi="ar"/>
              </w:rPr>
              <w:t>一级指标</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18"/>
                <w:szCs w:val="18"/>
                <w:u w:val="none"/>
              </w:rPr>
            </w:pPr>
            <w:r>
              <w:rPr>
                <w:rFonts w:hint="default" w:ascii="等线" w:hAnsi="等线" w:eastAsia="等线" w:cs="等线"/>
                <w:b/>
                <w:i w:val="0"/>
                <w:color w:val="000000"/>
                <w:kern w:val="0"/>
                <w:sz w:val="18"/>
                <w:szCs w:val="18"/>
                <w:u w:val="none"/>
                <w:lang w:val="en-US" w:eastAsia="zh-CN" w:bidi="ar"/>
              </w:rPr>
              <w:t>二级指标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18"/>
                <w:szCs w:val="18"/>
                <w:u w:val="none"/>
              </w:rPr>
            </w:pPr>
            <w:r>
              <w:rPr>
                <w:rFonts w:hint="default" w:ascii="等线" w:hAnsi="等线" w:eastAsia="等线" w:cs="等线"/>
                <w:b/>
                <w:i w:val="0"/>
                <w:color w:val="000000"/>
                <w:kern w:val="0"/>
                <w:sz w:val="18"/>
                <w:szCs w:val="18"/>
                <w:u w:val="none"/>
                <w:lang w:val="en-US" w:eastAsia="zh-CN" w:bidi="ar"/>
              </w:rPr>
              <w:t>三级指标</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18"/>
                <w:szCs w:val="18"/>
                <w:u w:val="none"/>
              </w:rPr>
            </w:pPr>
            <w:r>
              <w:rPr>
                <w:rFonts w:hint="default" w:ascii="等线" w:hAnsi="等线" w:eastAsia="等线" w:cs="等线"/>
                <w:b/>
                <w:i w:val="0"/>
                <w:color w:val="000000"/>
                <w:kern w:val="0"/>
                <w:sz w:val="18"/>
                <w:szCs w:val="18"/>
                <w:u w:val="none"/>
                <w:lang w:val="en-US" w:eastAsia="zh-CN" w:bidi="ar"/>
              </w:rPr>
              <w:t>指标性质</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18"/>
                <w:szCs w:val="18"/>
                <w:u w:val="none"/>
              </w:rPr>
            </w:pPr>
            <w:r>
              <w:rPr>
                <w:rFonts w:hint="default" w:ascii="等线" w:hAnsi="等线" w:eastAsia="等线" w:cs="等线"/>
                <w:b/>
                <w:i w:val="0"/>
                <w:color w:val="000000"/>
                <w:kern w:val="0"/>
                <w:sz w:val="18"/>
                <w:szCs w:val="18"/>
                <w:u w:val="none"/>
                <w:lang w:val="en-US" w:eastAsia="zh-CN" w:bidi="ar"/>
              </w:rPr>
              <w:t>指标值</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18"/>
                <w:szCs w:val="18"/>
                <w:u w:val="none"/>
              </w:rPr>
            </w:pPr>
            <w:r>
              <w:rPr>
                <w:rFonts w:hint="default" w:ascii="等线" w:hAnsi="等线" w:eastAsia="等线" w:cs="等线"/>
                <w:b/>
                <w:i w:val="0"/>
                <w:color w:val="000000"/>
                <w:kern w:val="0"/>
                <w:sz w:val="18"/>
                <w:szCs w:val="18"/>
                <w:u w:val="none"/>
                <w:lang w:val="en-US" w:eastAsia="zh-CN" w:bidi="ar"/>
              </w:rPr>
              <w:t>度量单位</w:t>
            </w:r>
          </w:p>
        </w:tc>
      </w:tr>
      <w:tr>
        <w:tblPrEx>
          <w:tblCellMar>
            <w:top w:w="0" w:type="dxa"/>
            <w:left w:w="0" w:type="dxa"/>
            <w:bottom w:w="0" w:type="dxa"/>
            <w:right w:w="0" w:type="dxa"/>
          </w:tblCellMar>
        </w:tblPrEx>
        <w:trPr>
          <w:trHeight w:val="340" w:hRule="atLeast"/>
        </w:trPr>
        <w:tc>
          <w:tcPr>
            <w:tcW w:w="943"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产出指标</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时效指标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及时轮换率</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95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340" w:hRule="atLeast"/>
        </w:trPr>
        <w:tc>
          <w:tcPr>
            <w:tcW w:w="94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质量指标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县级储备粮达标率（大米国标二级、小麦国标二级、菜油四级））</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100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340" w:hRule="atLeast"/>
        </w:trPr>
        <w:tc>
          <w:tcPr>
            <w:tcW w:w="94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时效指标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完成时间</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年</w:t>
            </w:r>
          </w:p>
        </w:tc>
      </w:tr>
      <w:tr>
        <w:tblPrEx>
          <w:tblCellMar>
            <w:top w:w="0" w:type="dxa"/>
            <w:left w:w="0" w:type="dxa"/>
            <w:bottom w:w="0" w:type="dxa"/>
            <w:right w:w="0" w:type="dxa"/>
          </w:tblCellMar>
        </w:tblPrEx>
        <w:trPr>
          <w:trHeight w:val="340" w:hRule="atLeast"/>
        </w:trPr>
        <w:tc>
          <w:tcPr>
            <w:tcW w:w="943"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数量指标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完成县级粮食储备（储备粮、油）</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1135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吨</w:t>
            </w:r>
          </w:p>
        </w:tc>
      </w:tr>
      <w:tr>
        <w:tblPrEx>
          <w:tblCellMar>
            <w:top w:w="0" w:type="dxa"/>
            <w:left w:w="0" w:type="dxa"/>
            <w:bottom w:w="0" w:type="dxa"/>
            <w:right w:w="0" w:type="dxa"/>
          </w:tblCellMar>
        </w:tblPrEx>
        <w:trPr>
          <w:trHeight w:val="340" w:hRule="atLeast"/>
        </w:trPr>
        <w:tc>
          <w:tcPr>
            <w:tcW w:w="943"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效益指标</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经济效益指标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项目的实施确保了我县1135吨（其中：大米408吨、小麦500吨、菜油35吨）县级储备粮的安全，为保障我县粮食安全打下了坚实的基础。确保了县级储备粮储得实、调得动、用得上，发挥了良好的经济效益。</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100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340" w:hRule="atLeast"/>
        </w:trPr>
        <w:tc>
          <w:tcPr>
            <w:tcW w:w="943"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可持续影响指标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项目的实施为政府调控粮食市场和应急保障提供了物质基础，对于维护我县粮食安全和社会稳定具有重大意义。</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定性</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稳定且可持续</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等线" w:hAnsi="等线" w:eastAsia="等线" w:cs="等线"/>
                <w:i w:val="0"/>
                <w:color w:val="000000"/>
                <w:sz w:val="18"/>
                <w:szCs w:val="18"/>
                <w:u w:val="none"/>
              </w:rPr>
            </w:pPr>
          </w:p>
        </w:tc>
      </w:tr>
      <w:tr>
        <w:tblPrEx>
          <w:tblCellMar>
            <w:top w:w="0" w:type="dxa"/>
            <w:left w:w="0" w:type="dxa"/>
            <w:bottom w:w="0" w:type="dxa"/>
            <w:right w:w="0" w:type="dxa"/>
          </w:tblCellMar>
        </w:tblPrEx>
        <w:trPr>
          <w:trHeight w:val="340" w:hRule="atLeast"/>
        </w:trPr>
        <w:tc>
          <w:tcPr>
            <w:tcW w:w="9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满意度指标</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满意度指标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社会公众</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95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340" w:hRule="atLeast"/>
        </w:trPr>
        <w:tc>
          <w:tcPr>
            <w:tcW w:w="9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成本指标</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经济成本指标</w:t>
            </w:r>
          </w:p>
        </w:tc>
        <w:tc>
          <w:tcPr>
            <w:tcW w:w="33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储备粮费用、利息补贴</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w:t>
            </w:r>
          </w:p>
        </w:tc>
        <w:tc>
          <w:tcPr>
            <w:tcW w:w="10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921946.2</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元</w:t>
            </w:r>
          </w:p>
        </w:tc>
      </w:tr>
    </w:tbl>
    <w:p>
      <w:pPr>
        <w:pStyle w:val="2"/>
        <w:rPr>
          <w:rFonts w:hint="eastAsia"/>
          <w:lang w:val="en-US" w:eastAsia="zh-CN"/>
        </w:rPr>
      </w:pPr>
    </w:p>
    <w:sectPr>
      <w:pgSz w:w="11906" w:h="16838"/>
      <w:pgMar w:top="2098" w:right="1474" w:bottom="150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FD0A63"/>
    <w:multiLevelType w:val="singleLevel"/>
    <w:tmpl w:val="E5FD0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F0070A"/>
    <w:rsid w:val="11232FC8"/>
    <w:rsid w:val="31F549F3"/>
    <w:rsid w:val="36F0070A"/>
    <w:rsid w:val="67EC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Administrator</cp:lastModifiedBy>
  <dcterms:modified xsi:type="dcterms:W3CDTF">2023-02-07T07:38:30Z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