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44198903"/>
      <w:bookmarkStart w:id="3" w:name="_Toc124325295"/>
      <w:bookmarkStart w:id="4" w:name="_Toc15378441"/>
      <w:bookmarkStart w:id="5" w:name="_Toc156554905"/>
      <w:bookmarkStart w:id="6" w:name="_Toc15396475"/>
      <w:bookmarkStart w:id="7" w:name="_Toc922"/>
      <w:bookmarkStart w:id="8" w:name="_Toc15396597"/>
      <w:bookmarkStart w:id="9" w:name="_Toc2808"/>
      <w:bookmarkStart w:id="10" w:name="_Toc15377193"/>
      <w:bookmarkStart w:id="11" w:name="_Toc156554689"/>
      <w:bookmarkStart w:id="12" w:name="_Toc188350425"/>
      <w:bookmarkStart w:id="13" w:name="_Toc188350282"/>
      <w:bookmarkStart w:id="14" w:name="_Toc144199309"/>
      <w:bookmarkStart w:id="15" w:name="_Toc13743"/>
      <w:r>
        <w:rPr>
          <w:rFonts w:ascii="方正小标宋简体" w:eastAsia="方正小标宋简体" w:hint="eastAsia"/>
          <w:color w:val="000000"/>
          <w:sz w:val="72"/>
          <w:szCs w:val="72"/>
        </w:rPr>
        <w:t>202</w:t>
      </w:r>
      <w:r>
        <w:rPr>
          <w:rFonts w:ascii="方正小标宋简体" w:eastAsia="方正小标宋简体"/>
          <w:color w:val="000000"/>
          <w:sz w:val="72"/>
          <w:szCs w:val="72"/>
        </w:rPr>
        <w:t>4</w:t>
      </w:r>
      <w:r>
        <w:rPr>
          <w:rFonts w:ascii="方正小标宋简体" w:eastAsia="方正小标宋简体" w:hint="eastAsia"/>
          <w:color w:val="000000"/>
          <w:sz w:val="72"/>
          <w:szCs w:val="72"/>
        </w:rPr>
        <w:t>年度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jc w:val="center"/>
        <w:outlineLvl w:val="0"/>
        <w:rPr>
          <w:rFonts w:ascii="方正小标宋简体" w:eastAsia="方正小标宋简体"/>
          <w:color w:val="000000"/>
          <w:sz w:val="72"/>
          <w:szCs w:val="72"/>
        </w:rPr>
      </w:pPr>
      <w:bookmarkStart w:id="16" w:name="_Toc144198761"/>
      <w:bookmarkStart w:id="17" w:name="_Toc188350283"/>
      <w:bookmarkStart w:id="18" w:name="_Toc144198904"/>
      <w:bookmarkStart w:id="19" w:name="_Toc188350426"/>
      <w:bookmarkStart w:id="20" w:name="_Toc16399"/>
      <w:bookmarkStart w:id="21" w:name="_Toc156554906"/>
      <w:bookmarkStart w:id="22" w:name="_Toc14326"/>
      <w:bookmarkStart w:id="23" w:name="_Toc124325296"/>
      <w:bookmarkStart w:id="24" w:name="_Toc144199310"/>
      <w:bookmarkStart w:id="25" w:name="_Toc26903"/>
      <w:bookmarkStart w:id="26" w:name="_Toc156554690"/>
      <w:bookmarkStart w:id="27" w:name="_Toc15396598"/>
      <w:bookmarkStart w:id="28" w:name="_Toc15377426"/>
      <w:bookmarkStart w:id="29" w:name="_Toc15378442"/>
      <w:bookmarkStart w:id="30" w:name="_Toc15306268"/>
      <w:bookmarkStart w:id="31" w:name="_Toc15396476"/>
      <w:bookmarkStart w:id="32" w:name="_Toc15377194"/>
      <w:bookmarkEnd w:id="0"/>
      <w:r>
        <w:rPr>
          <w:rFonts w:ascii="方正小标宋简体" w:eastAsia="方正小标宋简体" w:hint="eastAsia"/>
          <w:color w:val="000000"/>
          <w:sz w:val="72"/>
          <w:szCs w:val="72"/>
        </w:rPr>
        <w:t>金川县融媒体中心</w:t>
      </w:r>
      <w:bookmarkEnd w:id="16"/>
      <w:bookmarkEnd w:id="17"/>
      <w:bookmarkEnd w:id="18"/>
      <w:bookmarkEnd w:id="19"/>
      <w:bookmarkEnd w:id="20"/>
      <w:bookmarkEnd w:id="21"/>
      <w:bookmarkEnd w:id="22"/>
      <w:bookmarkEnd w:id="23"/>
      <w:bookmarkEnd w:id="24"/>
      <w:bookmarkEnd w:id="25"/>
      <w:bookmarkEnd w:id="26"/>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33" w:name="_Toc16377"/>
      <w:bookmarkStart w:id="34" w:name="_Toc12938"/>
      <w:bookmarkStart w:id="35" w:name="_Toc6782"/>
      <w:bookmarkStart w:id="36" w:name="_Toc144198762"/>
      <w:bookmarkStart w:id="37" w:name="_Toc144199311"/>
      <w:bookmarkStart w:id="38" w:name="_Toc124325297"/>
      <w:bookmarkStart w:id="39" w:name="_Toc156554691"/>
      <w:bookmarkStart w:id="40" w:name="_Toc156554907"/>
      <w:bookmarkStart w:id="41" w:name="_Toc144198905"/>
      <w:bookmarkStart w:id="42" w:name="_Toc188350284"/>
      <w:bookmarkStart w:id="43" w:name="_Toc188350427"/>
      <w:r>
        <w:rPr>
          <w:rFonts w:ascii="方正小标宋简体" w:eastAsia="方正小标宋简体" w:hint="eastAsia"/>
          <w:color w:val="000000"/>
          <w:sz w:val="72"/>
          <w:szCs w:val="72"/>
        </w:rPr>
        <w:t>部门决算</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ascii="方正小标宋简体" w:eastAsia="方正小标宋简体" w:hint="eastAsia"/>
          <w:color w:val="000000"/>
          <w:sz w:val="72"/>
          <w:szCs w:val="72"/>
          <w:lang w:val="en-US" w:eastAsia="zh-CN"/>
        </w:rPr>
        <w:t>公开</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pStyle w:val="15"/>
        <w:rPr>
          <w:rFonts w:eastAsia="黑体" w:hint="eastAsia"/>
          <w:lang w:val="en-US" w:eastAsia="zh-CN"/>
        </w:rPr>
      </w:pPr>
    </w:p>
    <w:p>
      <w:pPr>
        <w:jc w:val="center"/>
        <w:rPr>
          <w:lang w:val="en-US" w:eastAsia="zh-CN"/>
        </w:rPr>
      </w:pPr>
      <w:r>
        <w:rPr>
          <w:rFonts w:eastAsia="黑体" w:hint="eastAsia"/>
          <w:lang w:val="en-US" w:eastAsia="zh-CN"/>
        </w:rPr>
        <w:t>公开时间：2025年8月18日</w:t>
      </w:r>
    </w:p>
    <w:sdt>
      <w:sdtPr>
        <w:rPr>
          <w:rFonts w:ascii="宋体" w:eastAsia="宋体"/>
          <w:sz w:val="21"/>
          <w:szCs w:val="24"/>
        </w:rPr>
        <w:id w:val="744407889"/>
        <w15:color w:val="DBDBDB"/>
        <w:docPartObj>
          <w:docPartGallery w:val="Table of Contents"/>
          <w:docPartUnique/>
        </w:docPartObj>
      </w:sdtPr>
      <w:sdtEndPr>
        <w:rPr>
          <w:rFonts w:ascii="Times New Roman" w:hAnsi="Times New Roman"/>
        </w:rPr>
      </w:sdtEndPr>
      <w:sdtContent>
        <w:p>
          <w:pPr>
            <w:pStyle w:val="21"/>
            <w:tabs>
              <w:tab w:val="right" w:leader="dot" w:pos="8296"/>
            </w:tabs>
            <w:rPr>
              <w:rFonts w:ascii="Calibri" w:eastAsia="宋体" w:cs="Arial" w:hAnsi="Calibri"/>
              <w:sz w:val="21"/>
              <w:szCs w:val="22"/>
            </w:rPr>
          </w:pPr>
          <w:r>
            <w:fldChar w:fldCharType="begin"/>
          </w:r>
          <w:r>
            <w:instrText xml:space="preserve">TOC \o "1-3" \h \u </w:instrText>
          </w:r>
          <w:r>
            <w:fldChar w:fldCharType="separate"/>
          </w:r>
        </w:p>
        <w:p>
          <w:pPr>
            <w:pStyle w:val="21"/>
            <w:tabs>
              <w:tab w:val="right" w:leader="dot" w:pos="8296"/>
            </w:tabs>
            <w:rPr>
              <w:rFonts w:ascii="Calibri" w:eastAsia="宋体" w:cs="Arial" w:hAnsi="Calibri"/>
              <w:sz w:val="21"/>
              <w:szCs w:val="22"/>
            </w:rPr>
          </w:pPr>
          <w:r>
            <w:fldChar w:fldCharType="begin"/>
          </w:r>
          <w:r>
            <w:instrText xml:space="preserve"> HYPERLINK \l "_Toc188350428" </w:instrText>
          </w:r>
          <w:r>
            <w:fldChar w:fldCharType="separate"/>
          </w:r>
          <w:r>
            <w:rPr>
              <w:rFonts w:ascii="黑体" w:eastAsia="黑体" w:hint="eastAsia"/>
            </w:rPr>
            <w:t>第一部分</w:t>
          </w:r>
          <w:r>
            <w:rPr>
              <w:rFonts w:ascii="黑体" w:eastAsia="黑体"/>
            </w:rPr>
            <w:t xml:space="preserve"> </w:t>
          </w:r>
          <w:r>
            <w:rPr>
              <w:rFonts w:ascii="黑体" w:eastAsia="黑体" w:hint="eastAsia"/>
            </w:rPr>
            <w:t>部门概况</w:t>
          </w:r>
          <w:r>
            <w:tab/>
          </w:r>
          <w:r>
            <w:fldChar w:fldCharType="begin"/>
          </w:r>
          <w:r>
            <w:instrText xml:space="preserve"> PAGEREF _Toc188350428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"_Toc188350429" </w:instrText>
          </w:r>
          <w:r>
            <w:fldChar w:fldCharType="separate"/>
          </w:r>
          <w:r>
            <w:rPr>
              <w:rFonts w:ascii="黑体" w:eastAsia="黑体" w:hint="eastAsia"/>
            </w:rPr>
            <w:t>一、基本职能及主要工作</w:t>
          </w:r>
          <w:r>
            <w:tab/>
          </w:r>
          <w:r>
            <w:fldChar w:fldCharType="begin"/>
          </w:r>
          <w:r>
            <w:instrText xml:space="preserve"> PAGEREF _Toc188350429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"_Toc188350430" </w:instrText>
          </w:r>
          <w:r>
            <w:fldChar w:fldCharType="separate"/>
          </w:r>
          <w:r>
            <w:rPr>
              <w:rFonts w:ascii="楷体" w:eastAsia="楷体" w:cs="楷体" w:hint="eastAsia"/>
            </w:rPr>
            <w:t>（一）主要职能</w:t>
          </w:r>
          <w:r>
            <w:tab/>
          </w:r>
          <w:r>
            <w:fldChar w:fldCharType="begin"/>
          </w:r>
          <w:r>
            <w:instrText xml:space="preserve"> PAGEREF _Toc188350430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"_Toc188350431" </w:instrText>
          </w:r>
          <w:r>
            <w:fldChar w:fldCharType="separate"/>
          </w:r>
          <w:r>
            <w:rPr>
              <w:rFonts w:ascii="楷体" w:eastAsia="楷体" w:cs="楷体" w:hint="eastAsia"/>
            </w:rPr>
            <w:t>（二）</w:t>
          </w:r>
          <w:r>
            <w:rPr>
              <w:rFonts w:ascii="楷体" w:eastAsia="楷体" w:cs="楷体"/>
            </w:rPr>
            <w:t>2024</w:t>
          </w:r>
          <w:r>
            <w:rPr>
              <w:rFonts w:ascii="楷体" w:eastAsia="楷体" w:cs="楷体" w:hint="eastAsia"/>
            </w:rPr>
            <w:t>年重点工作完成情况</w:t>
          </w:r>
          <w:r>
            <w:tab/>
          </w:r>
          <w:r>
            <w:fldChar w:fldCharType="begin"/>
          </w:r>
          <w:r>
            <w:instrText xml:space="preserve"> PAGEREF _Toc188350431 \h </w:instrText>
          </w:r>
          <w:r>
            <w:fldChar w:fldCharType="separate"/>
          </w:r>
          <w:r>
            <w:t>4</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"_Toc188350432" </w:instrText>
          </w:r>
          <w:r>
            <w:fldChar w:fldCharType="separate"/>
          </w:r>
          <w:r>
            <w:rPr>
              <w:rFonts w:ascii="黑体" w:eastAsia="黑体" w:hint="eastAsia"/>
            </w:rPr>
            <w:t>二、机构设置</w:t>
          </w:r>
          <w:r>
            <w:tab/>
          </w:r>
          <w:r>
            <w:fldChar w:fldCharType="begin"/>
          </w:r>
          <w:r>
            <w:instrText xml:space="preserve"> PAGEREF _Toc188350432 \h </w:instrText>
          </w:r>
          <w:r>
            <w:fldChar w:fldCharType="separate"/>
          </w:r>
          <w:r>
            <w:t>5</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 xml:space="preserve"> HYPERLINK \l "_Toc188350433" </w:instrText>
          </w:r>
          <w:r>
            <w:fldChar w:fldCharType="separate"/>
          </w:r>
          <w:r>
            <w:rPr>
              <w:rFonts w:ascii="黑体" w:eastAsia="黑体" w:hint="eastAsia"/>
            </w:rPr>
            <w:t>第二部分</w:t>
          </w:r>
          <w:r>
            <w:rPr>
              <w:rFonts w:ascii="黑体" w:eastAsia="黑体"/>
            </w:rPr>
            <w:t xml:space="preserve"> 2024</w:t>
          </w:r>
          <w:r>
            <w:rPr>
              <w:rFonts w:ascii="黑体" w:eastAsia="黑体" w:hint="eastAsia"/>
            </w:rPr>
            <w:t>年度部门决算情况说明</w:t>
          </w:r>
          <w:r>
            <w:tab/>
          </w:r>
          <w:r>
            <w:fldChar w:fldCharType="begin"/>
          </w:r>
          <w:r>
            <w:instrText xml:space="preserve"> PAGEREF _Toc188350433 \h </w:instrText>
          </w:r>
          <w:r>
            <w:fldChar w:fldCharType="separate"/>
          </w:r>
          <w:r>
            <w:t>5</w:t>
          </w:r>
          <w:r>
            <w:fldChar w:fldCharType="end"/>
          </w:r>
          <w:r>
            <w:fldChar w:fldCharType="end"/>
          </w:r>
        </w:p>
        <w:p>
          <w:pPr>
            <w:pStyle w:val="22"/>
            <w:tabs>
              <w:tab w:val="left" w:pos="1260"/>
              <w:tab w:val="right" w:leader="dot" w:pos="8296"/>
            </w:tabs>
            <w:rPr>
              <w:rFonts w:ascii="Calibri" w:eastAsia="宋体" w:cs="Arial" w:hAnsi="Calibri"/>
              <w:szCs w:val="22"/>
            </w:rPr>
          </w:pPr>
          <w:r>
            <w:fldChar w:fldCharType="begin"/>
          </w:r>
          <w:r>
            <w:instrText xml:space="preserve"> HYPERLINK \l "_Toc188350434" </w:instrText>
          </w:r>
          <w:r>
            <w:fldChar w:fldCharType="separate"/>
          </w:r>
          <w:r>
            <w:rPr>
              <w:rFonts w:ascii="黑体" w:eastAsia="黑体" w:hint="eastAsia"/>
              <w:bCs/>
            </w:rPr>
            <w:t>一、</w:t>
          </w:r>
          <w:r>
            <w:rPr>
              <w:rFonts w:ascii="Calibri" w:eastAsia="宋体" w:cs="Arial" w:hAnsi="Calibri"/>
              <w:szCs w:val="22"/>
            </w:rPr>
            <w:tab/>
          </w:r>
          <w:r>
            <w:rPr>
              <w:rFonts w:ascii="黑体" w:eastAsia="黑体" w:hint="eastAsia"/>
            </w:rPr>
            <w:t>收</w:t>
          </w:r>
          <w:r>
            <w:rPr>
              <w:rFonts w:ascii="黑体" w:eastAsia="黑体" w:hint="eastAsia"/>
              <w:bCs/>
            </w:rPr>
            <w:t>入支出决算总体情况说明</w:t>
          </w:r>
          <w:r>
            <w:tab/>
          </w:r>
          <w:r>
            <w:fldChar w:fldCharType="begin"/>
          </w:r>
          <w:r>
            <w:instrText xml:space="preserve"> PAGEREF _Toc188350434 \h </w:instrText>
          </w:r>
          <w:r>
            <w:fldChar w:fldCharType="separate"/>
          </w:r>
          <w:r>
            <w:t>5</w:t>
          </w:r>
          <w:r>
            <w:fldChar w:fldCharType="end"/>
          </w:r>
          <w:r>
            <w:fldChar w:fldCharType="end"/>
          </w:r>
        </w:p>
        <w:p>
          <w:pPr>
            <w:pStyle w:val="22"/>
            <w:tabs>
              <w:tab w:val="left" w:pos="1260"/>
              <w:tab w:val="right" w:leader="dot" w:pos="8296"/>
            </w:tabs>
            <w:rPr>
              <w:rFonts w:ascii="Calibri" w:eastAsia="宋体" w:cs="Arial" w:hAnsi="Calibri"/>
              <w:szCs w:val="22"/>
            </w:rPr>
          </w:pPr>
          <w:r>
            <w:fldChar w:fldCharType="begin"/>
          </w:r>
          <w:r>
            <w:instrText xml:space="preserve"> HYPERLINK \l "_Toc188350435" </w:instrText>
          </w:r>
          <w:r>
            <w:fldChar w:fldCharType="separate"/>
          </w:r>
          <w:r>
            <w:rPr>
              <w:rFonts w:ascii="黑体" w:eastAsia="黑体" w:hint="eastAsia"/>
            </w:rPr>
            <w:t>二、</w:t>
          </w:r>
          <w:r>
            <w:rPr>
              <w:rFonts w:ascii="Calibri" w:eastAsia="宋体" w:cs="Arial" w:hAnsi="Calibri"/>
              <w:szCs w:val="22"/>
            </w:rPr>
            <w:tab/>
          </w:r>
          <w:r>
            <w:rPr>
              <w:rFonts w:ascii="黑体" w:eastAsia="黑体" w:hint="eastAsia"/>
            </w:rPr>
            <w:t>收入决算情况说明</w:t>
          </w:r>
          <w:r>
            <w:tab/>
          </w:r>
          <w:r>
            <w:fldChar w:fldCharType="begin"/>
          </w:r>
          <w:r>
            <w:instrText xml:space="preserve"> PAGEREF _Toc188350435 \h </w:instrText>
          </w:r>
          <w:r>
            <w:fldChar w:fldCharType="separate"/>
          </w:r>
          <w:r>
            <w:t>6</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"_Toc188350437" </w:instrText>
          </w:r>
          <w:r>
            <w:fldChar w:fldCharType="separate"/>
          </w:r>
          <w:r>
            <w:rPr>
              <w:rFonts w:hint="eastAsia"/>
            </w:rPr>
            <w:t>三、支出决</w:t>
          </w:r>
          <w:r>
            <w:rPr>
              <w:rFonts w:ascii="黑体" w:eastAsia="黑体" w:hint="eastAsia"/>
            </w:rPr>
            <w:t>算情况说明</w:t>
          </w:r>
          <w:r>
            <w:tab/>
          </w:r>
          <w:r>
            <w:fldChar w:fldCharType="begin"/>
          </w:r>
          <w:r>
            <w:instrText xml:space="preserve"> PAGEREF _Toc188350437 \h </w:instrText>
          </w:r>
          <w:r>
            <w:fldChar w:fldCharType="separate"/>
          </w:r>
          <w:r>
            <w:t>7</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"_Toc188350438" </w:instrText>
          </w:r>
          <w:r>
            <w:fldChar w:fldCharType="separate"/>
          </w:r>
          <w:r>
            <w:rPr>
              <w:rFonts w:hint="eastAsia"/>
            </w:rPr>
            <w:t>四、财</w:t>
          </w:r>
          <w:r>
            <w:rPr>
              <w:rFonts w:ascii="黑体" w:eastAsia="黑体" w:hint="eastAsia"/>
            </w:rPr>
            <w:t>政拨款收入支出决算总体情况说明</w:t>
          </w:r>
          <w:r>
            <w:tab/>
          </w:r>
          <w:r>
            <w:fldChar w:fldCharType="begin"/>
          </w:r>
          <w:r>
            <w:instrText xml:space="preserve"> PAGEREF _Toc188350438 \h </w:instrText>
          </w:r>
          <w:r>
            <w:fldChar w:fldCharType="separate"/>
          </w:r>
          <w:r>
            <w:t>8</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"_Toc188350439" </w:instrText>
          </w:r>
          <w:r>
            <w:fldChar w:fldCharType="separate"/>
          </w:r>
          <w:r>
            <w:rPr>
              <w:rFonts w:hint="eastAsia"/>
            </w:rPr>
            <w:t>五、一般公共预算财政拨款支出决算情况说明</w:t>
          </w:r>
          <w:r>
            <w:tab/>
          </w:r>
          <w:r>
            <w:fldChar w:fldCharType="begin"/>
          </w:r>
          <w:r>
            <w:instrText xml:space="preserve"> PAGEREF _Toc188350439 \h </w:instrText>
          </w:r>
          <w:r>
            <w:fldChar w:fldCharType="separate"/>
          </w:r>
          <w:r>
            <w:t>8</w:t>
          </w:r>
          <w:r>
            <w:fldChar w:fldCharType="end"/>
          </w:r>
          <w:r>
            <w:fldChar w:fldCharType="end"/>
          </w:r>
        </w:p>
        <w:p>
          <w:pPr>
            <w:pStyle w:val="17"/>
            <w:tabs>
              <w:tab w:val="right" w:leader="dot" w:pos="8296"/>
            </w:tabs>
            <w:rPr>
              <w:rFonts w:ascii="Calibri" w:eastAsia="宋体" w:cs="Arial" w:hAnsi="Calibri"/>
              <w:szCs w:val="22"/>
            </w:rPr>
          </w:pPr>
          <w:r>
            <w:fldChar w:fldCharType="begin"/>
          </w:r>
          <w:r>
            <w:instrText xml:space="preserve"> HYPERLINK \l "_Toc188350440" </w:instrText>
          </w:r>
          <w:r>
            <w:fldChar w:fldCharType="separate"/>
          </w:r>
          <w:r>
            <w:rPr>
              <w:rFonts w:ascii="仿宋" w:eastAsia="仿宋" w:hint="eastAsia"/>
              <w:b/>
            </w:rPr>
            <w:t>（一）一般公共预算财政拨款支出决算总体情况</w:t>
          </w:r>
          <w:r>
            <w:tab/>
          </w:r>
          <w:r>
            <w:fldChar w:fldCharType="begin"/>
          </w:r>
          <w:r>
            <w:instrText xml:space="preserve"> PAGEREF _Toc188350440 \h </w:instrText>
          </w:r>
          <w:r>
            <w:fldChar w:fldCharType="separate"/>
          </w:r>
          <w:r>
            <w:t>8</w:t>
          </w:r>
          <w:r>
            <w:fldChar w:fldCharType="end"/>
          </w:r>
          <w:r>
            <w:fldChar w:fldCharType="end"/>
          </w:r>
        </w:p>
        <w:p>
          <w:pPr>
            <w:pStyle w:val="17"/>
            <w:tabs>
              <w:tab w:val="right" w:leader="dot" w:pos="8296"/>
            </w:tabs>
            <w:rPr>
              <w:rFonts w:ascii="Calibri" w:eastAsia="宋体" w:cs="Arial" w:hAnsi="Calibri"/>
              <w:szCs w:val="22"/>
            </w:rPr>
          </w:pPr>
          <w:r>
            <w:fldChar w:fldCharType="begin"/>
          </w:r>
          <w:r>
            <w:instrText xml:space="preserve"> HYPERLINK \l "_Toc188350441" </w:instrText>
          </w:r>
          <w:r>
            <w:fldChar w:fldCharType="separate"/>
          </w:r>
          <w:r>
            <w:rPr>
              <w:rFonts w:ascii="仿宋" w:eastAsia="仿宋" w:hint="eastAsia"/>
              <w:b/>
            </w:rPr>
            <w:t>（三）一般公共预算财政拨款支出决算具体情况</w:t>
          </w:r>
          <w:r>
            <w:tab/>
          </w:r>
          <w:r>
            <w:fldChar w:fldCharType="begin"/>
          </w:r>
          <w:r>
            <w:instrText xml:space="preserve"> PAGEREF _Toc188350441 \h </w:instrText>
          </w:r>
          <w:r>
            <w:fldChar w:fldCharType="separate"/>
          </w:r>
          <w:r>
            <w:t>9</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"_Toc188350443" </w:instrText>
          </w:r>
          <w:r>
            <w:fldChar w:fldCharType="separate"/>
          </w:r>
          <w:r>
            <w:rPr>
              <w:rFonts w:hint="eastAsia"/>
            </w:rPr>
            <w:t>六、一</w:t>
          </w:r>
          <w:r>
            <w:rPr>
              <w:rFonts w:ascii="黑体" w:eastAsia="黑体" w:hint="eastAsia"/>
            </w:rPr>
            <w:t>般公共预算财政拨款基本支出决算情况说明</w:t>
          </w:r>
          <w:r>
            <w:tab/>
          </w:r>
          <w:r>
            <w:fldChar w:fldCharType="begin"/>
          </w:r>
          <w:r>
            <w:instrText xml:space="preserve"> PAGEREF _Toc188350443 \h </w:instrText>
          </w:r>
          <w:r>
            <w:fldChar w:fldCharType="separate"/>
          </w:r>
          <w:r>
            <w:t>11</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"_Toc188350444" </w:instrText>
          </w:r>
          <w:r>
            <w:fldChar w:fldCharType="separate"/>
          </w:r>
          <w:r>
            <w:rPr>
              <w:rFonts w:hint="eastAsia"/>
            </w:rPr>
            <w:t>七、</w:t>
          </w:r>
          <w:r>
            <w:rPr>
              <w:rFonts w:ascii="黑体" w:eastAsia="黑体"/>
            </w:rPr>
            <w:t>“</w:t>
          </w:r>
          <w:r>
            <w:rPr>
              <w:rFonts w:ascii="黑体" w:eastAsia="黑体" w:hint="eastAsia"/>
            </w:rPr>
            <w:t>三公”经费财政拨款支出决算情况说明</w:t>
          </w:r>
          <w:r>
            <w:tab/>
          </w:r>
          <w:r>
            <w:fldChar w:fldCharType="begin"/>
          </w:r>
          <w:r>
            <w:instrText xml:space="preserve"> PAGEREF _Toc188350444 \h </w:instrText>
          </w:r>
          <w:r>
            <w:fldChar w:fldCharType="separate"/>
          </w:r>
          <w:r>
            <w:t>11</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"_Toc188350448" </w:instrText>
          </w:r>
          <w:r>
            <w:fldChar w:fldCharType="separate"/>
          </w:r>
          <w:r>
            <w:rPr>
              <w:rFonts w:hint="eastAsia"/>
            </w:rPr>
            <w:t>八、</w:t>
          </w:r>
          <w:r>
            <w:rPr>
              <w:rFonts w:ascii="黑体" w:eastAsia="黑体" w:hint="eastAsia"/>
            </w:rPr>
            <w:t>政府性基金预算支出决算情况说明</w:t>
          </w:r>
          <w:r>
            <w:tab/>
          </w:r>
          <w:r>
            <w:fldChar w:fldCharType="begin"/>
          </w:r>
          <w:r>
            <w:instrText xml:space="preserve"> PAGEREF _Toc188350448 \h </w:instrText>
          </w:r>
          <w:r>
            <w:fldChar w:fldCharType="separate"/>
          </w:r>
          <w:r>
            <w:t>12</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"_Toc188350449" </w:instrText>
          </w:r>
          <w:r>
            <w:fldChar w:fldCharType="separate"/>
          </w:r>
          <w:r>
            <w:rPr>
              <w:rFonts w:hint="eastAsia"/>
            </w:rPr>
            <w:t>九、</w:t>
          </w:r>
          <w:r>
            <w:rPr>
              <w:rFonts w:ascii="黑体" w:eastAsia="黑体" w:hint="eastAsia"/>
            </w:rPr>
            <w:t>国有资本经营预算支出决算情况说明</w:t>
          </w:r>
          <w:r>
            <w:tab/>
          </w:r>
          <w:r>
            <w:fldChar w:fldCharType="begin"/>
          </w:r>
          <w:r>
            <w:instrText xml:space="preserve"> PAGEREF _Toc188350449 \h </w:instrText>
          </w:r>
          <w:r>
            <w:fldChar w:fldCharType="separate"/>
          </w:r>
          <w:r>
            <w:t>12</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"_Toc188350451" </w:instrText>
          </w:r>
          <w:r>
            <w:fldChar w:fldCharType="separate"/>
          </w:r>
          <w:r>
            <w:rPr>
              <w:rFonts w:ascii="黑体" w:eastAsia="黑体" w:hint="eastAsia"/>
            </w:rPr>
            <w:t>十、预算绩效情况说明</w:t>
          </w:r>
          <w:r>
            <w:tab/>
          </w:r>
          <w:r>
            <w:fldChar w:fldCharType="begin"/>
          </w:r>
          <w:r>
            <w:instrText xml:space="preserve"> PAGEREF _Toc188350451 \h </w:instrText>
          </w:r>
          <w:r>
            <w:fldChar w:fldCharType="separate"/>
          </w:r>
          <w:r>
            <w:t>12</w:t>
          </w:r>
          <w:r>
            <w:fldChar w:fldCharType="end"/>
          </w:r>
          <w:r>
            <w:fldChar w:fldCharType="end"/>
          </w:r>
        </w:p>
        <w:p>
          <w:pPr>
            <w:pStyle w:val="22"/>
            <w:tabs>
              <w:tab w:val="right" w:leader="dot" w:pos="8296"/>
            </w:tabs>
            <w:rPr>
              <w:rFonts w:ascii="Calibri" w:eastAsia="宋体" w:cs="Arial" w:hAnsi="Calibri"/>
              <w:szCs w:val="22"/>
            </w:rPr>
          </w:pPr>
          <w:r>
            <w:fldChar w:fldCharType="begin"/>
          </w:r>
          <w:r>
            <w:instrText xml:space="preserve"> HYPERLINK \l "_Toc188350452" </w:instrText>
          </w:r>
          <w:r>
            <w:fldChar w:fldCharType="separate"/>
          </w:r>
          <w:r>
            <w:rPr>
              <w:rFonts w:hint="eastAsia"/>
            </w:rPr>
            <w:t>十</w:t>
          </w:r>
          <w:r>
            <w:rPr>
              <w:rFonts w:ascii="黑体" w:eastAsia="黑体" w:hint="eastAsia"/>
            </w:rPr>
            <w:t>一、其他重要事项的情况说明</w:t>
          </w:r>
          <w:r>
            <w:tab/>
          </w:r>
          <w:r>
            <w:fldChar w:fldCharType="begin"/>
          </w:r>
          <w:r>
            <w:instrText xml:space="preserve"> PAGEREF _Toc188350452 \h </w:instrText>
          </w:r>
          <w:r>
            <w:fldChar w:fldCharType="separate"/>
          </w:r>
          <w:r>
            <w:t>13</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 xml:space="preserve"> HYPERLINK \l "_Toc188350458" </w:instrText>
          </w:r>
          <w:r>
            <w:fldChar w:fldCharType="separate"/>
          </w:r>
          <w:r>
            <w:rPr>
              <w:rFonts w:ascii="黑体" w:eastAsia="黑体" w:hint="eastAsia"/>
              <w:bCs/>
              <w:kern w:val="44"/>
            </w:rPr>
            <w:t>第三部分</w:t>
          </w:r>
          <w:r>
            <w:rPr>
              <w:rFonts w:ascii="黑体" w:eastAsia="黑体" w:hint="eastAsia"/>
              <w:b/>
            </w:rPr>
            <w:t xml:space="preserve"> 名</w:t>
          </w:r>
          <w:r>
            <w:rPr>
              <w:rFonts w:ascii="黑体" w:eastAsia="黑体" w:hint="eastAsia"/>
              <w:bCs/>
              <w:kern w:val="44"/>
            </w:rPr>
            <w:t>词解释</w:t>
          </w:r>
          <w:r>
            <w:tab/>
          </w:r>
          <w:r>
            <w:fldChar w:fldCharType="begin"/>
          </w:r>
          <w:r>
            <w:instrText xml:space="preserve"> PAGEREF _Toc188350458 \h </w:instrText>
          </w:r>
          <w:r>
            <w:fldChar w:fldCharType="separate"/>
          </w:r>
          <w:r>
            <w:t>13</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 xml:space="preserve"> HYPERLINK \l "_Toc188350459" </w:instrText>
          </w:r>
          <w:r>
            <w:fldChar w:fldCharType="separate"/>
          </w:r>
          <w:r>
            <w:rPr>
              <w:rFonts w:ascii="黑体" w:eastAsia="黑体" w:hint="eastAsia"/>
              <w:bCs/>
              <w:kern w:val="44"/>
              <w:highlight w:val="lightGray"/>
            </w:rPr>
            <w:t>第四部分</w:t>
          </w:r>
          <w:r>
            <w:rPr>
              <w:rFonts w:ascii="黑体" w:eastAsia="黑体"/>
              <w:bCs/>
              <w:kern w:val="44"/>
            </w:rPr>
            <w:t xml:space="preserve">  </w:t>
          </w:r>
          <w:r>
            <w:rPr>
              <w:rFonts w:ascii="方正小标宋_GBK" w:eastAsia="方正小标宋_GBK" w:cs="方正小标宋_GBK" w:hint="eastAsia"/>
            </w:rPr>
            <w:t>部门整体支出绩效评价报告</w:t>
          </w:r>
          <w:r>
            <w:tab/>
          </w:r>
          <w:r>
            <w:fldChar w:fldCharType="begin"/>
          </w:r>
          <w:r>
            <w:instrText xml:space="preserve"> PAGEREF _Toc188350459 \h </w:instrText>
          </w:r>
          <w:r>
            <w:fldChar w:fldCharType="separate"/>
          </w:r>
          <w:r>
            <w:t>15</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 xml:space="preserve"> HYPERLINK \l "_Toc188350462" </w:instrText>
          </w:r>
          <w:r>
            <w:fldChar w:fldCharType="separate"/>
          </w:r>
          <w:r>
            <w:rPr>
              <w:rFonts w:ascii="黑体" w:eastAsia="黑体" w:hint="eastAsia"/>
              <w:b/>
              <w:bCs/>
              <w:kern w:val="44"/>
              <w:highlight w:val="lightGray"/>
            </w:rPr>
            <w:t>第五部分</w:t>
          </w:r>
          <w:r>
            <w:rPr>
              <w:rFonts w:ascii="黑体" w:eastAsia="黑体"/>
              <w:b/>
              <w:bCs/>
              <w:kern w:val="44"/>
              <w:highlight w:val="lightGray"/>
            </w:rPr>
            <w:t xml:space="preserve">  </w:t>
          </w:r>
          <w:r>
            <w:rPr>
              <w:rFonts w:ascii="黑体" w:eastAsia="黑体" w:hint="eastAsia"/>
              <w:b/>
              <w:bCs/>
              <w:kern w:val="44"/>
              <w:highlight w:val="lightGray"/>
            </w:rPr>
            <w:t>附表</w:t>
          </w:r>
          <w:r>
            <w:tab/>
          </w:r>
          <w:r>
            <w:fldChar w:fldCharType="begin"/>
          </w:r>
          <w:r>
            <w:instrText xml:space="preserve"> PAGEREF _Toc188350462 \h </w:instrText>
          </w:r>
          <w:r>
            <w:fldChar w:fldCharType="separate"/>
          </w:r>
          <w:r>
            <w:t>21</w:t>
          </w:r>
          <w:r>
            <w:fldChar w:fldCharType="end"/>
          </w:r>
          <w:r>
            <w:fldChar w:fldCharType="end"/>
          </w:r>
        </w:p>
        <w:p>
          <w:pPr>
            <w:pStyle w:val="15"/>
            <w:rPr>
              <w:rFonts w:ascii="黑体" w:eastAsia="黑体" w:hint="eastAsia"/>
            </w:rPr>
          </w:pPr>
          <w:r>
            <w:fldChar w:fldCharType="end"/>
          </w:r>
        </w:p>
      </w:sdtContent>
    </w:sdt>
    <w:p>
      <w:pPr>
        <w:pStyle w:val="1"/>
        <w:jc w:val="center"/>
        <w:rPr>
          <w:rFonts w:ascii="黑体" w:eastAsia="黑体"/>
          <w:color w:val="000000"/>
          <w:sz w:val="32"/>
          <w:szCs w:val="32"/>
        </w:rPr>
      </w:pPr>
      <w:bookmarkStart w:id="44" w:name="_Toc188350428"/>
      <w:bookmarkStart w:id="45" w:name="_Toc15377196"/>
      <w:bookmarkStart w:id="46" w:name="_Toc16673"/>
      <w:r>
        <w:rPr>
          <w:rFonts w:ascii="黑体" w:eastAsia="黑体" w:hint="eastAsia"/>
          <w:b w:val="0"/>
        </w:rPr>
        <w:t xml:space="preserve">第一部分 </w:t>
      </w:r>
      <w:r>
        <w:rPr>
          <w:rStyle w:val="1Char"/>
          <w:rFonts w:ascii="黑体" w:eastAsia="黑体" w:hint="eastAsia"/>
          <w:b w:val="0"/>
          <w:bCs w:val="0"/>
        </w:rPr>
        <w:t>部门概况</w:t>
      </w:r>
      <w:bookmarkEnd w:id="44"/>
      <w:bookmarkEnd w:id="45"/>
      <w:bookmarkEnd w:id="46"/>
    </w:p>
    <w:p>
      <w:pPr>
        <w:pStyle w:val="2"/>
        <w:spacing w:before="0" w:after="0" w:line="240" w:lineRule="auto"/>
        <w:ind w:left="640" w:hangingChars="200" w:hanging="640"/>
        <w:rPr>
          <w:rStyle w:val="2Char"/>
          <w:rFonts w:ascii="黑体" w:eastAsia="黑体"/>
          <w:b w:val="0"/>
          <w:bCs w:val="0"/>
        </w:rPr>
      </w:pPr>
      <w:bookmarkStart w:id="47" w:name="_Toc15377197"/>
      <w:bookmarkStart w:id="48" w:name="_Toc15201"/>
      <w:bookmarkStart w:id="49" w:name="_Toc144198907"/>
      <w:bookmarkStart w:id="50" w:name="_Toc188350429"/>
      <w:r>
        <w:rPr>
          <w:rFonts w:ascii="黑体" w:eastAsia="黑体" w:hint="eastAsia"/>
          <w:b w:val="0"/>
          <w:color w:val="000000"/>
        </w:rPr>
        <w:t>一、基</w:t>
      </w:r>
      <w:r>
        <w:rPr>
          <w:rStyle w:val="2Char"/>
          <w:rFonts w:ascii="黑体" w:eastAsia="黑体" w:hint="eastAsia"/>
          <w:b w:val="0"/>
          <w:bCs w:val="0"/>
        </w:rPr>
        <w:t>本职能及主要工作</w:t>
      </w:r>
      <w:bookmarkStart w:id="51" w:name="_Toc15377198"/>
      <w:bookmarkStart w:id="52" w:name="_Toc15378445"/>
      <w:bookmarkEnd w:id="47"/>
      <w:bookmarkEnd w:id="48"/>
      <w:bookmarkEnd w:id="49"/>
      <w:bookmarkEnd w:id="50"/>
    </w:p>
    <w:p>
      <w:pPr>
        <w:pStyle w:val="2"/>
        <w:spacing w:before="0" w:after="0" w:line="240" w:lineRule="auto"/>
        <w:ind w:leftChars="153" w:left="641" w:hangingChars="100" w:hanging="320"/>
        <w:rPr>
          <w:rFonts w:ascii="楷体" w:eastAsia="楷体" w:cs="楷体"/>
          <w:color w:val="000000"/>
        </w:rPr>
      </w:pPr>
      <w:bookmarkStart w:id="53" w:name="_Toc26135"/>
      <w:bookmarkStart w:id="54" w:name="_Toc144198765"/>
      <w:bookmarkStart w:id="55" w:name="_Toc144198908"/>
      <w:bookmarkStart w:id="56" w:name="_Toc188350430"/>
      <w:r>
        <w:rPr>
          <w:rFonts w:ascii="楷体" w:eastAsia="楷体" w:cs="楷体" w:hint="eastAsia"/>
          <w:color w:val="000000"/>
        </w:rPr>
        <w:t>（一）主要职能</w:t>
      </w:r>
      <w:bookmarkStart w:id="57" w:name="_Toc15378446"/>
      <w:bookmarkStart w:id="58" w:name="_Toc15377199"/>
      <w:bookmarkEnd w:id="51"/>
      <w:bookmarkEnd w:id="52"/>
      <w:bookmarkEnd w:id="53"/>
      <w:bookmarkEnd w:id="54"/>
      <w:bookmarkEnd w:id="55"/>
      <w:bookmarkEnd w:id="56"/>
    </w:p>
    <w:p>
      <w:pPr>
        <w:widowControl/>
        <w:adjustRightInd w:val="0"/>
        <w:snapToGrid w:val="0"/>
        <w:spacing w:line="560" w:lineRule="exact"/>
        <w:ind w:firstLine="720"/>
        <w:jc w:val="left"/>
        <w:rPr>
          <w:rFonts w:ascii="仿宋_GB2312" w:eastAsia="仿宋_GB2312" w:cs="仿宋_GB2312"/>
          <w:color w:val="000000"/>
          <w:spacing w:val="-14"/>
          <w:kern w:val="0"/>
          <w:sz w:val="32"/>
          <w:szCs w:val="32"/>
        </w:rPr>
      </w:pPr>
      <w:r>
        <w:rPr>
          <w:rFonts w:ascii="仿宋_GB2312" w:eastAsia="仿宋_GB2312" w:cs="仿宋_GB2312" w:hint="eastAsia"/>
          <w:kern w:val="0"/>
          <w:sz w:val="32"/>
          <w:szCs w:val="32"/>
        </w:rPr>
        <w:t>我单位主要职责是：</w:t>
      </w:r>
      <w:r>
        <w:rPr>
          <w:rFonts w:ascii="仿宋_GB2312" w:eastAsia="仿宋_GB2312" w:cs="仿宋_GB2312" w:hint="eastAsia"/>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pStyle w:val="2"/>
        <w:spacing w:before="0" w:after="0" w:line="240" w:lineRule="auto"/>
        <w:ind w:firstLineChars="100" w:firstLine="320"/>
        <w:rPr>
          <w:rFonts w:ascii="楷体" w:eastAsia="楷体" w:cs="楷体"/>
          <w:color w:val="000000"/>
        </w:rPr>
      </w:pPr>
      <w:bookmarkStart w:id="59" w:name="_Toc11712"/>
      <w:bookmarkStart w:id="60" w:name="_Toc144198766"/>
      <w:bookmarkStart w:id="61" w:name="_Toc144198909"/>
      <w:bookmarkStart w:id="62" w:name="_Toc188350431"/>
      <w:r>
        <w:rPr>
          <w:rFonts w:ascii="楷体" w:eastAsia="楷体" w:cs="楷体" w:hint="eastAsia"/>
          <w:color w:val="000000"/>
        </w:rPr>
        <w:t>（二）202</w:t>
      </w:r>
      <w:r>
        <w:rPr>
          <w:rFonts w:ascii="楷体" w:eastAsia="楷体" w:cs="楷体"/>
          <w:color w:val="000000"/>
        </w:rPr>
        <w:t>4</w:t>
      </w:r>
      <w:r>
        <w:rPr>
          <w:rFonts w:ascii="楷体" w:eastAsia="楷体" w:cs="楷体" w:hint="eastAsia"/>
          <w:color w:val="000000"/>
        </w:rPr>
        <w:t>年重点工作完成情况</w:t>
      </w:r>
      <w:bookmarkEnd w:id="57"/>
      <w:bookmarkEnd w:id="58"/>
      <w:bookmarkEnd w:id="59"/>
      <w:bookmarkEnd w:id="60"/>
      <w:bookmarkEnd w:id="61"/>
      <w:bookmarkEnd w:id="62"/>
    </w:p>
    <w:p>
      <w:pPr>
        <w:widowControl/>
        <w:spacing w:line="560" w:lineRule="exact"/>
        <w:ind w:firstLineChars="200" w:firstLine="640"/>
        <w:rPr>
          <w:rFonts w:ascii="楷体_GB2312" w:eastAsia="楷体_GB2312" w:cs="楷体_GB2312"/>
          <w:b/>
          <w:kern w:val="0"/>
          <w:sz w:val="32"/>
          <w:szCs w:val="32"/>
        </w:rPr>
      </w:pPr>
      <w:bookmarkStart w:id="63" w:name="_Toc15377200"/>
      <w:r>
        <w:rPr>
          <w:rFonts w:ascii="楷体_GB2312" w:eastAsia="楷体_GB2312" w:cs="楷体_GB2312" w:hint="eastAsia"/>
          <w:b/>
          <w:kern w:val="0"/>
          <w:sz w:val="32"/>
          <w:szCs w:val="32"/>
        </w:rPr>
        <w:t>1、围绕中心工作，打好宣传主动仗，开创新时代媒体融合宣传新气象</w:t>
      </w:r>
    </w:p>
    <w:p>
      <w:pPr>
        <w:spacing w:line="560" w:lineRule="exact"/>
        <w:ind w:firstLine="570"/>
        <w:rPr>
          <w:rFonts w:ascii="仿宋_GB2312" w:eastAsia="仿宋_GB2312" w:cs="宋体"/>
          <w:kern w:val="0"/>
          <w:sz w:val="32"/>
          <w:szCs w:val="32"/>
        </w:rPr>
      </w:pPr>
      <w:r>
        <w:rPr>
          <w:rFonts w:ascii="仿宋_GB2312" w:eastAsia="仿宋_GB2312" w:cs="宋体" w:hint="eastAsia"/>
          <w:kern w:val="0"/>
          <w:sz w:val="32"/>
          <w:szCs w:val="32"/>
        </w:rPr>
        <w:t>以唱响主旋律，打好主动仗，作为新闻宣传创新的主题。首先，要当好喉舌，为服务内情鼓与呼；其次，要当好耳目，为了解外情视与听；再次，要当好参谋，为掌握实情议与思；最后，要当好助手，为落实政情力与荐。让小球带动大球，让媒体联系实体，让敢想、敢干、敢拼的能人干出一番事业，让新闻创新工程发挥长足的作用。今年来，我单位积极探索，大胆改革，不断丰富荧屏内容，深入挖掘重点题材，广泛开展民生报道，内、外宣传方面均取得了一定成绩。在常规新闻报道方面：主要报道了县委、县政府重大安排部署、重要调研活动；重大项目建设、产业结构调整、民生工程推进情况；各单位、乡镇、村社突出亮点工作报道；典型（正反）社会现象的报道。</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完成了上级单位的约稿任务和县委、县政府交办的专题新闻采播任务，以及其他的特殊情况的采播任务。按时按量完成行业部门交办的字幕、短片等宣传任务。</w:t>
      </w:r>
    </w:p>
    <w:p>
      <w:pPr>
        <w:spacing w:line="560" w:lineRule="exact"/>
        <w:ind w:firstLineChars="200" w:firstLine="640"/>
        <w:rPr>
          <w:rFonts w:ascii="楷体_GB2312" w:eastAsia="楷体_GB2312" w:cs="楷体_GB2312"/>
          <w:b/>
          <w:bCs/>
          <w:kern w:val="0"/>
          <w:sz w:val="32"/>
          <w:szCs w:val="32"/>
        </w:rPr>
      </w:pPr>
      <w:r>
        <w:rPr>
          <w:rFonts w:ascii="楷体_GB2312" w:eastAsia="楷体_GB2312" w:cs="楷体_GB2312" w:hint="eastAsia"/>
          <w:b/>
          <w:bCs/>
          <w:kern w:val="0"/>
          <w:sz w:val="32"/>
          <w:szCs w:val="32"/>
        </w:rPr>
        <w:t>2、强化措施,突出重点,加强广播电视事业建设</w:t>
      </w:r>
    </w:p>
    <w:p>
      <w:pPr>
        <w:spacing w:line="560" w:lineRule="exact"/>
        <w:ind w:firstLineChars="200" w:firstLine="640"/>
        <w:rPr>
          <w:rFonts w:ascii="楷体_GB2312" w:eastAsia="楷体_GB2312" w:cs="楷体_GB2312"/>
          <w:b/>
          <w:sz w:val="32"/>
          <w:szCs w:val="32"/>
        </w:rPr>
      </w:pPr>
      <w:r>
        <w:rPr>
          <w:rFonts w:ascii="仿宋_GB2312" w:eastAsia="仿宋_GB2312" w:cs="宋体" w:hint="eastAsia"/>
          <w:kern w:val="0"/>
          <w:sz w:val="32"/>
          <w:szCs w:val="32"/>
        </w:rPr>
        <w:t>今年维修维护人员完成了城区有线电视及沙尔、咯尔、庆宁、河东、河西无线数字电视各种故障的维修维护；第一时间抢通因灾冲毁的全省主干线和我县环线；机房安全值班做到了24小时值机，随时观测设备正常运行情况，未发生插播节目和干扰情况，设备运行无故障;加强两个无线发射机站的管理，值班人员随时对所有设备进行不定期的检查，确保设备全年能正常运行，保障乡镇群众能看到高质量的电视节目。</w:t>
      </w:r>
    </w:p>
    <w:p>
      <w:pPr>
        <w:spacing w:line="578" w:lineRule="exact"/>
        <w:ind w:firstLineChars="200" w:firstLine="640"/>
        <w:rPr>
          <w:rStyle w:val="2Char"/>
          <w:rFonts w:ascii="黑体" w:eastAsia="黑体"/>
          <w:b w:val="0"/>
          <w:bCs w:val="0"/>
        </w:rPr>
      </w:pPr>
    </w:p>
    <w:p>
      <w:pPr>
        <w:pStyle w:val="2"/>
        <w:spacing w:before="0" w:after="0" w:line="240" w:lineRule="auto"/>
        <w:ind w:left="640" w:hangingChars="200" w:hanging="640"/>
        <w:rPr>
          <w:rFonts w:ascii="黑体" w:eastAsia="黑体"/>
          <w:color w:val="000000"/>
        </w:rPr>
      </w:pPr>
      <w:bookmarkStart w:id="64" w:name="_Toc144198910"/>
      <w:bookmarkStart w:id="65" w:name="_Toc188350432"/>
      <w:bookmarkStart w:id="66" w:name="_Toc728"/>
      <w:r>
        <w:rPr>
          <w:rFonts w:ascii="黑体" w:eastAsia="黑体" w:hint="eastAsia"/>
          <w:color w:val="000000"/>
        </w:rPr>
        <w:t>二、机构设置</w:t>
      </w:r>
      <w:bookmarkEnd w:id="63"/>
      <w:bookmarkEnd w:id="64"/>
      <w:bookmarkEnd w:id="65"/>
    </w:p>
    <w:p>
      <w:pPr>
        <w:spacing w:line="576" w:lineRule="exact"/>
        <w:ind w:firstLineChars="200" w:firstLine="640"/>
        <w:rPr>
          <w:rFonts w:ascii="仿宋_GB2312" w:eastAsia="仿宋_GB2312" w:cs="仿宋_GB2312"/>
          <w:sz w:val="32"/>
          <w:szCs w:val="32"/>
        </w:rPr>
      </w:pPr>
      <w:bookmarkStart w:id="67" w:name="_Toc15377204"/>
      <w:bookmarkEnd w:id="66"/>
      <w:r>
        <w:rPr>
          <w:rFonts w:ascii="仿宋_GB2312" w:eastAsia="仿宋_GB2312" w:hint="eastAsia"/>
          <w:bCs/>
          <w:sz w:val="32"/>
          <w:szCs w:val="32"/>
          <w:shd w:val="clear" w:color="auto" w:fill="FFFFFF"/>
        </w:rPr>
        <w:t>1、机构情况：</w:t>
      </w:r>
      <w:r>
        <w:rPr>
          <w:rFonts w:ascii="仿宋_GB2312" w:eastAsia="仿宋_GB2312" w:hint="eastAsia"/>
          <w:bCs/>
          <w:sz w:val="32"/>
        </w:rPr>
        <w:t>融媒体中心属1个独立编制机构和核算的事业单位。</w:t>
      </w:r>
    </w:p>
    <w:p>
      <w:pPr>
        <w:spacing w:line="600" w:lineRule="exact"/>
        <w:ind w:firstLineChars="200" w:firstLine="640"/>
        <w:rPr>
          <w:rFonts w:ascii="仿宋_GB2312" w:eastAsia="仿宋_GB2312" w:cs="仿宋_GB2312"/>
          <w:sz w:val="32"/>
          <w:szCs w:val="32"/>
          <w:shd w:val="clear" w:color="auto" w:fill="FFFFFF"/>
        </w:rPr>
      </w:pPr>
      <w:r>
        <w:rPr>
          <w:rFonts w:ascii="仿宋_GB2312" w:eastAsia="仿宋_GB2312" w:hint="eastAsia"/>
          <w:bCs/>
          <w:sz w:val="32"/>
        </w:rPr>
        <w:t>2、人员情况：编制数2</w:t>
      </w:r>
      <w:r>
        <w:rPr>
          <w:rFonts w:ascii="仿宋_GB2312" w:eastAsia="仿宋_GB2312"/>
          <w:bCs/>
          <w:sz w:val="32"/>
        </w:rPr>
        <w:t>9</w:t>
      </w:r>
      <w:r>
        <w:rPr>
          <w:rFonts w:ascii="仿宋_GB2312" w:eastAsia="仿宋_GB2312" w:hint="eastAsia"/>
          <w:bCs/>
          <w:sz w:val="32"/>
        </w:rPr>
        <w:t>人，其中：事业编制28人，事业工勤1人。202</w:t>
      </w:r>
      <w:r>
        <w:rPr>
          <w:rFonts w:ascii="仿宋_GB2312" w:eastAsia="仿宋_GB2312"/>
          <w:bCs/>
          <w:sz w:val="32"/>
        </w:rPr>
        <w:t>4</w:t>
      </w:r>
      <w:r>
        <w:rPr>
          <w:rFonts w:ascii="仿宋_GB2312" w:eastAsia="仿宋_GB2312" w:hint="eastAsia"/>
          <w:bCs/>
          <w:sz w:val="32"/>
        </w:rPr>
        <w:t>年末实有在职职工</w:t>
      </w:r>
      <w:r>
        <w:rPr>
          <w:rFonts w:ascii="仿宋_GB2312" w:eastAsia="仿宋_GB2312"/>
          <w:bCs/>
          <w:sz w:val="32"/>
        </w:rPr>
        <w:t>24</w:t>
      </w:r>
      <w:r>
        <w:rPr>
          <w:rFonts w:ascii="仿宋_GB2312" w:eastAsia="仿宋_GB2312" w:hint="eastAsia"/>
          <w:bCs/>
          <w:sz w:val="32"/>
        </w:rPr>
        <w:t>人（其中：事业管理</w:t>
      </w:r>
      <w:r>
        <w:rPr>
          <w:rFonts w:ascii="仿宋_GB2312" w:eastAsia="仿宋_GB2312"/>
          <w:bCs/>
          <w:sz w:val="32"/>
        </w:rPr>
        <w:t>6</w:t>
      </w:r>
      <w:r>
        <w:rPr>
          <w:rFonts w:ascii="仿宋_GB2312" w:eastAsia="仿宋_GB2312" w:hint="eastAsia"/>
          <w:bCs/>
          <w:sz w:val="32"/>
        </w:rPr>
        <w:t>人，事业专技</w:t>
      </w:r>
      <w:r>
        <w:rPr>
          <w:rFonts w:ascii="仿宋_GB2312" w:eastAsia="仿宋_GB2312"/>
          <w:bCs/>
          <w:sz w:val="32"/>
        </w:rPr>
        <w:t>18</w:t>
      </w:r>
      <w:r>
        <w:rPr>
          <w:rFonts w:ascii="仿宋_GB2312" w:eastAsia="仿宋_GB2312" w:hint="eastAsia"/>
          <w:bCs/>
          <w:sz w:val="32"/>
        </w:rPr>
        <w:t>人）。</w:t>
      </w:r>
    </w:p>
    <w:p>
      <w:pPr>
        <w:pStyle w:val="15"/>
      </w:pPr>
    </w:p>
    <w:p>
      <w:pPr>
        <w:pStyle w:val="1"/>
        <w:ind w:right="440"/>
      </w:pPr>
      <w:r>
        <w:rPr>
          <w:rFonts w:ascii="黑体" w:eastAsia="黑体" w:hint="eastAsia"/>
          <w:b w:val="0"/>
          <w:color w:val="000000"/>
        </w:rPr>
        <w:t xml:space="preserve">  </w:t>
      </w:r>
      <w:bookmarkStart w:id="68" w:name="_Toc13579"/>
      <w:bookmarkStart w:id="69" w:name="_Toc18835043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w:t>
      </w:r>
      <w:r>
        <w:rPr>
          <w:rStyle w:val="1Char"/>
          <w:rFonts w:ascii="黑体" w:eastAsia="黑体"/>
          <w:b w:val="0"/>
          <w:bCs w:val="0"/>
        </w:rPr>
        <w:t>4</w:t>
      </w:r>
      <w:r>
        <w:rPr>
          <w:rStyle w:val="1Char"/>
          <w:rFonts w:ascii="黑体" w:eastAsia="黑体" w:hint="eastAsia"/>
          <w:b w:val="0"/>
          <w:bCs w:val="0"/>
        </w:rPr>
        <w:t>年度部门决算情况说明</w:t>
      </w:r>
      <w:bookmarkEnd w:id="67"/>
      <w:bookmarkEnd w:id="68"/>
      <w:bookmarkEnd w:id="69"/>
    </w:p>
    <w:p>
      <w:pPr>
        <w:pStyle w:val="32"/>
        <w:numPr>
          <w:ilvl w:val="0"/>
          <w:numId w:val="1"/>
        </w:numPr>
        <w:ind w:left="0" w:firstLineChars="0" w:firstLine="0"/>
        <w:outlineLvl w:val="1"/>
        <w:rPr>
          <w:rStyle w:val="2Char"/>
          <w:rFonts w:ascii="黑体" w:eastAsia="黑体"/>
          <w:b w:val="0"/>
        </w:rPr>
      </w:pPr>
      <w:bookmarkStart w:id="70" w:name="_Toc144198912"/>
      <w:bookmarkStart w:id="71" w:name="_Toc15377205"/>
      <w:bookmarkStart w:id="72" w:name="_Toc188350434"/>
      <w:bookmarkStart w:id="73" w:name="_Toc10479"/>
      <w:r>
        <w:rPr>
          <w:rFonts w:ascii="黑体" w:eastAsia="黑体" w:hint="eastAsia"/>
          <w:color w:val="000000"/>
          <w:sz w:val="32"/>
          <w:szCs w:val="32"/>
        </w:rPr>
        <w:t>收</w:t>
      </w:r>
      <w:r>
        <w:rPr>
          <w:rStyle w:val="2Char"/>
          <w:rFonts w:ascii="黑体" w:eastAsia="黑体" w:hint="eastAsia"/>
          <w:b w:val="0"/>
        </w:rPr>
        <w:t>入支出决算总体情况说明</w:t>
      </w:r>
      <w:bookmarkEnd w:id="70"/>
      <w:bookmarkEnd w:id="71"/>
      <w:bookmarkEnd w:id="72"/>
      <w:bookmarkEnd w:id="73"/>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w:t>
      </w:r>
      <w:r>
        <w:rPr>
          <w:rFonts w:ascii="仿宋_GB2312" w:eastAsia="仿宋_GB2312"/>
          <w:color w:val="000000"/>
          <w:spacing w:val="-2"/>
          <w:sz w:val="32"/>
          <w:szCs w:val="32"/>
        </w:rPr>
        <w:t>4</w:t>
      </w:r>
      <w:r>
        <w:rPr>
          <w:rFonts w:ascii="仿宋_GB2312" w:eastAsia="仿宋_GB2312" w:hint="eastAsia"/>
          <w:color w:val="000000"/>
          <w:spacing w:val="-2"/>
          <w:sz w:val="32"/>
          <w:szCs w:val="32"/>
        </w:rPr>
        <w:t>年度总收入</w:t>
      </w:r>
      <w:r>
        <w:rPr>
          <w:rFonts w:ascii="仿宋_GB2312" w:eastAsia="仿宋_GB2312"/>
          <w:color w:val="000000"/>
          <w:spacing w:val="-2"/>
          <w:sz w:val="32"/>
          <w:szCs w:val="32"/>
        </w:rPr>
        <w:t>703.66</w:t>
      </w:r>
      <w:r>
        <w:rPr>
          <w:rFonts w:ascii="仿宋_GB2312" w:eastAsia="仿宋_GB2312" w:hint="eastAsia"/>
          <w:color w:val="000000"/>
          <w:spacing w:val="-2"/>
          <w:sz w:val="32"/>
          <w:szCs w:val="32"/>
        </w:rPr>
        <w:t>万元，较上年收入增加1</w:t>
      </w:r>
      <w:r>
        <w:rPr>
          <w:rFonts w:ascii="仿宋_GB2312" w:eastAsia="仿宋_GB2312"/>
          <w:color w:val="000000"/>
          <w:spacing w:val="-2"/>
          <w:sz w:val="32"/>
          <w:szCs w:val="32"/>
        </w:rPr>
        <w:t>31.41</w:t>
      </w:r>
      <w:r>
        <w:rPr>
          <w:rFonts w:ascii="仿宋_GB2312" w:eastAsia="仿宋_GB2312" w:hint="eastAsia"/>
          <w:color w:val="000000"/>
          <w:spacing w:val="-2"/>
          <w:sz w:val="32"/>
          <w:szCs w:val="32"/>
        </w:rPr>
        <w:t>万元，增加</w:t>
      </w:r>
      <w:r>
        <w:rPr>
          <w:rFonts w:ascii="仿宋_GB2312" w:eastAsia="仿宋_GB2312"/>
          <w:color w:val="000000"/>
          <w:spacing w:val="-2"/>
          <w:sz w:val="32"/>
          <w:szCs w:val="32"/>
        </w:rPr>
        <w:t>23</w:t>
      </w:r>
      <w:r>
        <w:rPr>
          <w:rFonts w:ascii="仿宋_GB2312" w:eastAsia="仿宋_GB2312" w:hint="eastAsia"/>
          <w:color w:val="000000"/>
          <w:spacing w:val="-2"/>
          <w:sz w:val="32"/>
          <w:szCs w:val="32"/>
        </w:rPr>
        <w:t>%，增加的主要原因是20</w:t>
      </w:r>
      <w:r>
        <w:rPr>
          <w:rFonts w:ascii="仿宋_GB2312" w:eastAsia="仿宋_GB2312"/>
          <w:color w:val="000000"/>
          <w:spacing w:val="-2"/>
          <w:sz w:val="32"/>
          <w:szCs w:val="32"/>
        </w:rPr>
        <w:t>24</w:t>
      </w:r>
      <w:r>
        <w:rPr>
          <w:rFonts w:ascii="仿宋_GB2312" w:eastAsia="仿宋_GB2312" w:hint="eastAsia"/>
          <w:color w:val="000000"/>
          <w:spacing w:val="-2"/>
          <w:sz w:val="32"/>
          <w:szCs w:val="32"/>
        </w:rPr>
        <w:t xml:space="preserve">年专项资金较上年增加。 </w:t>
      </w:r>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spacing w:val="-2"/>
          <w:sz w:val="32"/>
          <w:szCs w:val="32"/>
        </w:rPr>
        <w:t xml:space="preserve"> 202</w:t>
      </w:r>
      <w:r>
        <w:rPr>
          <w:rFonts w:ascii="仿宋_GB2312" w:eastAsia="仿宋_GB2312"/>
          <w:spacing w:val="-2"/>
          <w:sz w:val="32"/>
          <w:szCs w:val="32"/>
        </w:rPr>
        <w:t>4</w:t>
      </w:r>
      <w:r>
        <w:rPr>
          <w:rFonts w:ascii="仿宋_GB2312" w:eastAsia="仿宋_GB2312" w:hint="eastAsia"/>
          <w:spacing w:val="-2"/>
          <w:sz w:val="32"/>
          <w:szCs w:val="32"/>
        </w:rPr>
        <w:t>年总支出</w:t>
      </w:r>
      <w:r>
        <w:rPr>
          <w:rFonts w:ascii="仿宋_GB2312" w:eastAsia="仿宋_GB2312"/>
          <w:spacing w:val="-2"/>
          <w:sz w:val="32"/>
          <w:szCs w:val="32"/>
        </w:rPr>
        <w:t>703.66</w:t>
      </w:r>
      <w:r>
        <w:rPr>
          <w:rFonts w:ascii="仿宋_GB2312" w:eastAsia="仿宋_GB2312" w:hint="eastAsia"/>
          <w:spacing w:val="-2"/>
          <w:sz w:val="32"/>
          <w:szCs w:val="32"/>
        </w:rPr>
        <w:t>万元，</w:t>
      </w:r>
      <w:r>
        <w:rPr>
          <w:rFonts w:ascii="仿宋_GB2312" w:eastAsia="仿宋_GB2312" w:hint="eastAsia"/>
          <w:color w:val="000000"/>
          <w:spacing w:val="-2"/>
          <w:sz w:val="32"/>
          <w:szCs w:val="32"/>
        </w:rPr>
        <w:t>较上年增加1</w:t>
      </w:r>
      <w:r>
        <w:rPr>
          <w:rFonts w:ascii="仿宋_GB2312" w:eastAsia="仿宋_GB2312"/>
          <w:color w:val="000000"/>
          <w:spacing w:val="-2"/>
          <w:sz w:val="32"/>
          <w:szCs w:val="32"/>
        </w:rPr>
        <w:t>31.41</w:t>
      </w:r>
      <w:r>
        <w:rPr>
          <w:rFonts w:ascii="仿宋_GB2312" w:eastAsia="仿宋_GB2312" w:hint="eastAsia"/>
          <w:color w:val="000000"/>
          <w:spacing w:val="-2"/>
          <w:sz w:val="32"/>
          <w:szCs w:val="32"/>
        </w:rPr>
        <w:t>万元，增加</w:t>
      </w:r>
      <w:r>
        <w:rPr>
          <w:rFonts w:ascii="仿宋_GB2312" w:eastAsia="仿宋_GB2312"/>
          <w:color w:val="000000"/>
          <w:spacing w:val="-2"/>
          <w:sz w:val="32"/>
          <w:szCs w:val="32"/>
        </w:rPr>
        <w:t>23</w:t>
      </w:r>
      <w:r>
        <w:rPr>
          <w:rFonts w:ascii="仿宋_GB2312" w:eastAsia="仿宋_GB2312" w:hint="eastAsia"/>
          <w:color w:val="000000"/>
          <w:spacing w:val="-2"/>
          <w:sz w:val="32"/>
          <w:szCs w:val="32"/>
        </w:rPr>
        <w:t>%，增加的主要原因是20</w:t>
      </w:r>
      <w:r>
        <w:rPr>
          <w:rFonts w:ascii="仿宋_GB2312" w:eastAsia="仿宋_GB2312"/>
          <w:color w:val="000000"/>
          <w:spacing w:val="-2"/>
          <w:sz w:val="32"/>
          <w:szCs w:val="32"/>
        </w:rPr>
        <w:t>24</w:t>
      </w:r>
      <w:r>
        <w:rPr>
          <w:rFonts w:ascii="仿宋_GB2312" w:eastAsia="仿宋_GB2312" w:hint="eastAsia"/>
          <w:color w:val="000000"/>
          <w:spacing w:val="-2"/>
          <w:sz w:val="32"/>
          <w:szCs w:val="32"/>
        </w:rPr>
        <w:t xml:space="preserve">年专项资金支出较上年增加。 </w:t>
      </w:r>
    </w:p>
    <w:p>
      <w:pPr>
        <w:pStyle w:val="32"/>
        <w:numPr>
          <w:ilvl w:val="0"/>
          <w:numId w:val="1"/>
        </w:numPr>
        <w:ind w:left="0" w:firstLineChars="0" w:firstLine="0"/>
        <w:outlineLvl w:val="1"/>
        <w:rPr>
          <w:rFonts w:ascii="黑体" w:eastAsia="黑体"/>
          <w:b/>
          <w:color w:val="000000"/>
          <w:sz w:val="32"/>
          <w:szCs w:val="32"/>
        </w:rPr>
      </w:pPr>
      <w:bookmarkStart w:id="74" w:name="_Toc188350435"/>
      <w:r>
        <w:rPr>
          <w:rFonts w:ascii="黑体" w:eastAsia="黑体" w:hint="eastAsia"/>
          <w:color w:val="000000"/>
          <w:sz w:val="32"/>
          <w:szCs w:val="32"/>
        </w:rPr>
        <w:drawing>
          <wp:anchor distT="0" distB="0" distL="114300" distR="114300" simplePos="0" relativeHeight="17"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75" w:name="_Toc15377206"/>
      <w:r>
        <w:rPr>
          <w:rFonts w:ascii="黑体" w:eastAsia="黑体" w:hint="eastAsia"/>
          <w:color w:val="000000"/>
          <w:sz w:val="32"/>
          <w:szCs w:val="32"/>
        </w:rPr>
        <w:t>收入决算情况说明</w:t>
      </w:r>
      <w:bookmarkEnd w:id="74"/>
      <w:bookmarkEnd w:id="75"/>
    </w:p>
    <w:p>
      <w:pPr>
        <w:spacing w:line="600" w:lineRule="exact"/>
        <w:ind w:firstLineChars="200" w:firstLine="640"/>
        <w:outlineLvl w:val="1"/>
        <w:rPr>
          <w:rFonts w:ascii="仿宋" w:eastAsia="仿宋"/>
          <w:color w:val="000000"/>
          <w:sz w:val="32"/>
          <w:szCs w:val="32"/>
        </w:rPr>
      </w:pPr>
      <w:bookmarkStart w:id="76" w:name="_Toc144198913"/>
      <w:bookmarkStart w:id="77" w:name="_Toc4342"/>
      <w:bookmarkStart w:id="78" w:name="_Toc124325305"/>
      <w:bookmarkStart w:id="79" w:name="_Toc144198770"/>
      <w:bookmarkStart w:id="80" w:name="_Toc188350436"/>
      <w:bookmarkStart w:id="81" w:name="_Toc8219"/>
      <w:bookmarkStart w:id="82" w:name="_Toc156554699"/>
      <w:bookmarkStart w:id="83" w:name="_Toc144199320"/>
      <w:bookmarkStart w:id="84" w:name="_Toc188350292"/>
      <w:r>
        <w:rPr>
          <w:rFonts w:ascii="仿宋" w:eastAsia="仿宋"/>
          <w:color w:val="000000"/>
          <w:sz w:val="32"/>
          <w:szCs w:val="32"/>
        </w:rPr>
        <w:t>2024</w:t>
      </w:r>
      <w:r>
        <w:rPr>
          <w:rFonts w:ascii="仿宋" w:eastAsia="仿宋" w:hint="eastAsia"/>
          <w:color w:val="000000"/>
          <w:sz w:val="32"/>
          <w:szCs w:val="32"/>
        </w:rPr>
        <w:t>年总收入</w:t>
      </w:r>
      <w:r>
        <w:rPr>
          <w:rFonts w:ascii="仿宋" w:eastAsia="仿宋"/>
          <w:color w:val="000000"/>
          <w:sz w:val="32"/>
          <w:szCs w:val="32"/>
        </w:rPr>
        <w:t>703.66</w:t>
      </w:r>
      <w:r>
        <w:rPr>
          <w:rFonts w:ascii="仿宋" w:eastAsia="仿宋" w:hint="eastAsia"/>
          <w:color w:val="000000"/>
          <w:sz w:val="32"/>
          <w:szCs w:val="32"/>
        </w:rPr>
        <w:t>万元，其中：一般公共预算财政拨款收入</w:t>
      </w:r>
      <w:r>
        <w:rPr>
          <w:rFonts w:ascii="仿宋" w:eastAsia="仿宋"/>
          <w:color w:val="000000"/>
          <w:sz w:val="32"/>
          <w:szCs w:val="32"/>
        </w:rPr>
        <w:t>703.66</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76"/>
      <w:bookmarkEnd w:id="77"/>
      <w:bookmarkEnd w:id="78"/>
      <w:bookmarkEnd w:id="79"/>
      <w:bookmarkEnd w:id="80"/>
      <w:bookmarkEnd w:id="81"/>
      <w:bookmarkEnd w:id="82"/>
      <w:bookmarkEnd w:id="83"/>
      <w:bookmarkEnd w:id="84"/>
    </w:p>
    <w:p>
      <w:pPr>
        <w:pStyle w:val="2"/>
        <w:rPr>
          <w:rStyle w:val="2Char"/>
          <w:rFonts w:ascii="黑体" w:eastAsia="黑体"/>
          <w:b/>
          <w:bCs w:val="0"/>
        </w:rPr>
      </w:pPr>
      <w:bookmarkStart w:id="85" w:name="_Toc188350437"/>
      <w:bookmarkStart w:id="86" w:name="_Toc144198914"/>
      <w:bookmarkStart w:id="87" w:name="_Toc9274"/>
      <w:r>
        <w:rPr>
          <w:rFonts w:hint="eastAsia"/>
        </w:rPr>
        <w:drawing>
          <wp:anchor distT="0" distB="0" distL="114300" distR="114300" simplePos="0" relativeHeight="19"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88" w:name="_Toc15377207"/>
      <w:r>
        <w:rPr>
          <w:rFonts w:hint="eastAsia"/>
        </w:rPr>
        <w:t>三、支出决</w:t>
      </w:r>
      <w:r>
        <w:rPr>
          <w:rStyle w:val="2Char"/>
          <w:rFonts w:ascii="黑体" w:eastAsia="黑体" w:hint="eastAsia"/>
          <w:b w:val="0"/>
          <w:bCs w:val="0"/>
        </w:rPr>
        <w:t>算情况说明</w:t>
      </w:r>
      <w:bookmarkEnd w:id="85"/>
      <w:bookmarkEnd w:id="86"/>
      <w:bookmarkEnd w:id="87"/>
      <w:bookmarkEnd w:id="88"/>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w:t>
      </w:r>
      <w:r>
        <w:rPr>
          <w:rFonts w:ascii="仿宋" w:eastAsia="仿宋"/>
          <w:color w:val="000000"/>
          <w:sz w:val="32"/>
          <w:szCs w:val="32"/>
        </w:rPr>
        <w:t>4</w:t>
      </w:r>
      <w:r>
        <w:rPr>
          <w:rFonts w:ascii="仿宋" w:eastAsia="仿宋" w:hint="eastAsia"/>
          <w:color w:val="000000"/>
          <w:sz w:val="32"/>
          <w:szCs w:val="32"/>
        </w:rPr>
        <w:t>年本年总支出</w:t>
      </w:r>
      <w:r>
        <w:rPr>
          <w:rFonts w:ascii="仿宋_GB2312" w:eastAsia="仿宋_GB2312"/>
          <w:spacing w:val="-2"/>
          <w:sz w:val="32"/>
          <w:szCs w:val="32"/>
        </w:rPr>
        <w:t>703.66</w:t>
      </w:r>
      <w:r>
        <w:rPr>
          <w:rFonts w:ascii="仿宋" w:eastAsia="仿宋" w:hint="eastAsia"/>
          <w:color w:val="000000"/>
          <w:sz w:val="32"/>
          <w:szCs w:val="32"/>
        </w:rPr>
        <w:t>万元，其中：基本支出</w:t>
      </w:r>
      <w:r>
        <w:rPr>
          <w:rFonts w:ascii="仿宋" w:eastAsia="仿宋"/>
          <w:color w:val="000000"/>
          <w:sz w:val="32"/>
          <w:szCs w:val="32"/>
        </w:rPr>
        <w:t>461</w:t>
      </w:r>
      <w:r>
        <w:rPr>
          <w:rFonts w:ascii="仿宋" w:eastAsia="仿宋" w:hint="eastAsia"/>
          <w:color w:val="000000"/>
          <w:sz w:val="32"/>
          <w:szCs w:val="32"/>
        </w:rPr>
        <w:t>万元，占</w:t>
      </w:r>
      <w:r>
        <w:rPr>
          <w:rFonts w:ascii="仿宋" w:eastAsia="仿宋"/>
          <w:color w:val="000000"/>
          <w:sz w:val="32"/>
          <w:szCs w:val="32"/>
        </w:rPr>
        <w:t>66</w:t>
      </w:r>
      <w:r>
        <w:rPr>
          <w:rFonts w:ascii="仿宋" w:eastAsia="仿宋" w:hint="eastAsia"/>
          <w:color w:val="000000"/>
          <w:sz w:val="32"/>
          <w:szCs w:val="32"/>
        </w:rPr>
        <w:t>%；项目支出</w:t>
      </w:r>
      <w:r>
        <w:rPr>
          <w:rFonts w:ascii="仿宋" w:eastAsia="仿宋"/>
          <w:color w:val="000000"/>
          <w:sz w:val="32"/>
          <w:szCs w:val="32"/>
        </w:rPr>
        <w:t>242.66</w:t>
      </w:r>
      <w:r>
        <w:rPr>
          <w:rFonts w:ascii="仿宋" w:eastAsia="仿宋" w:hint="eastAsia"/>
          <w:color w:val="000000"/>
          <w:sz w:val="32"/>
          <w:szCs w:val="32"/>
        </w:rPr>
        <w:t>万元，占</w:t>
      </w:r>
      <w:r>
        <w:rPr>
          <w:rFonts w:ascii="仿宋" w:eastAsia="仿宋"/>
          <w:color w:val="000000"/>
          <w:sz w:val="32"/>
          <w:szCs w:val="32"/>
        </w:rPr>
        <w:t>34</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1" behindDoc="0" locked="0" layoutInCell="1" hidden="0" allowOverlap="1">
            <wp:simplePos x="0" y="0"/>
            <wp:positionH relativeFrom="column">
              <wp:posOffset>-40005</wp:posOffset>
            </wp:positionH>
            <wp:positionV relativeFrom="paragraph">
              <wp:posOffset>203200</wp:posOffset>
            </wp:positionV>
            <wp:extent cx="5061585" cy="2269489"/>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2"/>
        <w:rPr>
          <w:rStyle w:val="2Char"/>
          <w:rFonts w:ascii="黑体" w:eastAsia="黑体"/>
          <w:b/>
          <w:bCs w:val="0"/>
        </w:rPr>
      </w:pPr>
      <w:bookmarkStart w:id="89" w:name="_Toc15377208"/>
      <w:bookmarkStart w:id="90" w:name="_Toc1302"/>
      <w:bookmarkStart w:id="91" w:name="_Toc144198915"/>
      <w:bookmarkStart w:id="92" w:name="_Toc188350438"/>
      <w:r>
        <w:rPr>
          <w:rFonts w:hint="eastAsia"/>
          <w:color w:val="000000"/>
        </w:rPr>
        <w:t>四、财</w:t>
      </w:r>
      <w:r>
        <w:rPr>
          <w:rStyle w:val="2Char"/>
          <w:rFonts w:ascii="黑体" w:eastAsia="黑体" w:hint="eastAsia"/>
          <w:b/>
          <w:bCs w:val="0"/>
        </w:rPr>
        <w:t>政拨款收入支出决算总体情况说明</w:t>
      </w:r>
      <w:bookmarkEnd w:id="89"/>
      <w:bookmarkEnd w:id="90"/>
      <w:bookmarkEnd w:id="91"/>
      <w:bookmarkEnd w:id="92"/>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color w:val="000000"/>
          <w:sz w:val="32"/>
          <w:szCs w:val="32"/>
        </w:rPr>
        <w:t>4</w:t>
      </w:r>
      <w:r>
        <w:rPr>
          <w:rFonts w:ascii="仿宋" w:eastAsia="仿宋" w:hint="eastAsia"/>
          <w:color w:val="000000"/>
          <w:sz w:val="32"/>
          <w:szCs w:val="32"/>
        </w:rPr>
        <w:t>年财政拨款收入</w:t>
      </w:r>
      <w:r>
        <w:rPr>
          <w:rFonts w:ascii="仿宋" w:eastAsia="仿宋"/>
          <w:color w:val="000000"/>
          <w:sz w:val="32"/>
          <w:szCs w:val="32"/>
        </w:rPr>
        <w:t>703.66</w:t>
      </w:r>
      <w:r>
        <w:rPr>
          <w:rFonts w:ascii="仿宋" w:eastAsia="仿宋" w:hint="eastAsia"/>
          <w:color w:val="000000"/>
          <w:sz w:val="32"/>
          <w:szCs w:val="32"/>
        </w:rPr>
        <w:t>万元，与202</w:t>
      </w:r>
      <w:r>
        <w:rPr>
          <w:rFonts w:ascii="仿宋" w:eastAsia="仿宋"/>
          <w:color w:val="000000"/>
          <w:sz w:val="32"/>
          <w:szCs w:val="32"/>
        </w:rPr>
        <w:t>3</w:t>
      </w:r>
      <w:r>
        <w:rPr>
          <w:rFonts w:ascii="仿宋" w:eastAsia="仿宋" w:hint="eastAsia"/>
          <w:color w:val="000000"/>
          <w:sz w:val="32"/>
          <w:szCs w:val="32"/>
        </w:rPr>
        <w:t>年相比，一般公共预算财政拨款收入较上年增加1</w:t>
      </w:r>
      <w:r>
        <w:rPr>
          <w:rFonts w:ascii="仿宋" w:eastAsia="仿宋"/>
          <w:color w:val="000000"/>
          <w:sz w:val="32"/>
          <w:szCs w:val="32"/>
        </w:rPr>
        <w:t>31.41万元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color w:val="000000"/>
          <w:spacing w:val="-2"/>
          <w:sz w:val="32"/>
          <w:szCs w:val="32"/>
        </w:rPr>
        <w:t>23</w:t>
      </w:r>
      <w:r>
        <w:rPr>
          <w:rFonts w:ascii="仿宋_GB2312" w:eastAsia="仿宋_GB2312" w:hint="eastAsia"/>
          <w:color w:val="000000"/>
          <w:spacing w:val="-2"/>
          <w:sz w:val="32"/>
          <w:szCs w:val="32"/>
        </w:rPr>
        <w:t>%，增加的主要原因是20</w:t>
      </w:r>
      <w:r>
        <w:rPr>
          <w:rFonts w:ascii="仿宋_GB2312" w:eastAsia="仿宋_GB2312"/>
          <w:color w:val="000000"/>
          <w:spacing w:val="-2"/>
          <w:sz w:val="32"/>
          <w:szCs w:val="32"/>
        </w:rPr>
        <w:t>24</w:t>
      </w:r>
      <w:r>
        <w:rPr>
          <w:rFonts w:ascii="仿宋_GB2312" w:eastAsia="仿宋_GB2312" w:hint="eastAsia"/>
          <w:color w:val="000000"/>
          <w:spacing w:val="-2"/>
          <w:sz w:val="32"/>
          <w:szCs w:val="32"/>
        </w:rPr>
        <w:t>年专项资金较上年增加。</w:t>
      </w:r>
    </w:p>
    <w:p>
      <w:pPr>
        <w:snapToGrid w:val="0"/>
        <w:spacing w:line="520" w:lineRule="exact"/>
        <w:ind w:firstLineChars="200" w:firstLine="640"/>
        <w:rPr>
          <w:rFonts w:ascii="仿宋_GB2312" w:eastAsia="仿宋_GB2312" w:hint="eastAsia"/>
          <w:color w:val="000000"/>
          <w:spacing w:val="-2"/>
          <w:sz w:val="32"/>
          <w:szCs w:val="32"/>
        </w:rPr>
      </w:pPr>
      <w:r>
        <w:rPr>
          <w:rFonts w:ascii="仿宋" w:eastAsia="仿宋" w:hint="eastAsia"/>
          <w:color w:val="000000"/>
          <w:sz w:val="32"/>
          <w:szCs w:val="32"/>
        </w:rPr>
        <w:t>2023年财政拨款支出</w:t>
      </w:r>
      <w:r>
        <w:rPr>
          <w:rFonts w:ascii="仿宋" w:eastAsia="仿宋"/>
          <w:color w:val="000000"/>
          <w:sz w:val="32"/>
          <w:szCs w:val="32"/>
        </w:rPr>
        <w:t>703.66</w:t>
      </w:r>
      <w:r>
        <w:rPr>
          <w:rFonts w:ascii="仿宋" w:eastAsia="仿宋" w:hint="eastAsia"/>
          <w:color w:val="000000"/>
          <w:sz w:val="32"/>
          <w:szCs w:val="32"/>
        </w:rPr>
        <w:t>万元，</w:t>
      </w:r>
      <w:r>
        <w:rPr>
          <w:rFonts w:ascii="仿宋" w:eastAsia="仿宋" w:hint="eastAsia"/>
          <w:sz w:val="32"/>
          <w:szCs w:val="32"/>
        </w:rPr>
        <w:t>较</w:t>
      </w:r>
      <w:r>
        <w:rPr>
          <w:rFonts w:ascii="仿宋_GB2312" w:eastAsia="仿宋_GB2312" w:hint="eastAsia"/>
          <w:spacing w:val="-2"/>
          <w:sz w:val="32"/>
          <w:szCs w:val="32"/>
        </w:rPr>
        <w:t>202</w:t>
      </w:r>
      <w:r>
        <w:rPr>
          <w:rFonts w:ascii="仿宋_GB2312" w:eastAsia="仿宋_GB2312"/>
          <w:spacing w:val="-2"/>
          <w:sz w:val="32"/>
          <w:szCs w:val="32"/>
        </w:rPr>
        <w:t>3年</w:t>
      </w:r>
      <w:r>
        <w:rPr>
          <w:rFonts w:ascii="仿宋_GB2312" w:eastAsia="仿宋_GB2312" w:hint="eastAsia"/>
          <w:spacing w:val="-2"/>
          <w:sz w:val="32"/>
          <w:szCs w:val="32"/>
        </w:rPr>
        <w:t>支出</w:t>
      </w:r>
      <w:r>
        <w:rPr>
          <w:rFonts w:ascii="仿宋_GB2312" w:eastAsia="仿宋_GB2312" w:hint="eastAsia"/>
          <w:color w:val="000000"/>
          <w:spacing w:val="-2"/>
          <w:sz w:val="32"/>
          <w:szCs w:val="32"/>
        </w:rPr>
        <w:t>增加1</w:t>
      </w:r>
      <w:r>
        <w:rPr>
          <w:rFonts w:ascii="仿宋_GB2312" w:eastAsia="仿宋_GB2312"/>
          <w:color w:val="000000"/>
          <w:spacing w:val="-2"/>
          <w:sz w:val="32"/>
          <w:szCs w:val="32"/>
        </w:rPr>
        <w:t>31.41</w:t>
      </w:r>
      <w:r>
        <w:rPr>
          <w:rFonts w:ascii="仿宋_GB2312" w:eastAsia="仿宋_GB2312" w:hint="eastAsia"/>
          <w:color w:val="000000"/>
          <w:spacing w:val="-2"/>
          <w:sz w:val="32"/>
          <w:szCs w:val="32"/>
        </w:rPr>
        <w:t>万元，增加</w:t>
      </w:r>
      <w:r>
        <w:rPr>
          <w:rFonts w:ascii="仿宋_GB2312" w:eastAsia="仿宋_GB2312"/>
          <w:color w:val="000000"/>
          <w:spacing w:val="-2"/>
          <w:sz w:val="32"/>
          <w:szCs w:val="32"/>
        </w:rPr>
        <w:t>23</w:t>
      </w:r>
      <w:r>
        <w:rPr>
          <w:rFonts w:ascii="仿宋_GB2312" w:eastAsia="仿宋_GB2312" w:hint="eastAsia"/>
          <w:color w:val="000000"/>
          <w:spacing w:val="-2"/>
          <w:sz w:val="32"/>
          <w:szCs w:val="32"/>
        </w:rPr>
        <w:t>%，增加的主要原因是20</w:t>
      </w:r>
      <w:r>
        <w:rPr>
          <w:rFonts w:ascii="仿宋_GB2312" w:eastAsia="仿宋_GB2312"/>
          <w:color w:val="000000"/>
          <w:spacing w:val="-2"/>
          <w:sz w:val="32"/>
          <w:szCs w:val="32"/>
        </w:rPr>
        <w:t>24</w:t>
      </w:r>
      <w:r>
        <w:rPr>
          <w:rFonts w:ascii="仿宋_GB2312" w:eastAsia="仿宋_GB2312" w:hint="eastAsia"/>
          <w:color w:val="000000"/>
          <w:spacing w:val="-2"/>
          <w:sz w:val="32"/>
          <w:szCs w:val="32"/>
        </w:rPr>
        <w:t xml:space="preserve">年专项资金较上年增加。 </w:t>
      </w:r>
    </w:p>
    <w:p>
      <w:pPr>
        <w:pStyle w:val="2"/>
        <w:rPr>
          <w:rStyle w:val="2Char"/>
          <w:b/>
          <w:bCs/>
        </w:rPr>
      </w:pPr>
      <w:bookmarkStart w:id="93" w:name="_Toc188350439"/>
      <w:r>
        <w:rPr>
          <w:rFonts w:hint="eastAsia"/>
        </w:rPr>
        <w:drawing>
          <wp:anchor distT="0" distB="0" distL="114300" distR="114300" simplePos="0" relativeHeight="23"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94" w:name="_Toc15377209"/>
      <w:r>
        <w:rPr>
          <w:rFonts w:hint="eastAsia"/>
        </w:rPr>
        <w:t>五、一</w:t>
      </w:r>
      <w:r>
        <w:rPr>
          <w:rStyle w:val="2Char"/>
          <w:rFonts w:hint="eastAsia"/>
          <w:b/>
          <w:bCs/>
        </w:rPr>
        <w:t>般公共预算财政拨款支出决算情况说明</w:t>
      </w:r>
      <w:bookmarkEnd w:id="93"/>
      <w:bookmarkEnd w:id="94"/>
    </w:p>
    <w:p>
      <w:pPr>
        <w:spacing w:line="600" w:lineRule="exact"/>
        <w:ind w:firstLineChars="200" w:firstLine="640"/>
        <w:outlineLvl w:val="2"/>
        <w:rPr>
          <w:rFonts w:ascii="仿宋" w:eastAsia="仿宋"/>
          <w:b/>
          <w:color w:val="000000"/>
          <w:sz w:val="32"/>
          <w:szCs w:val="32"/>
        </w:rPr>
      </w:pPr>
      <w:bookmarkStart w:id="95" w:name="_Toc15377210"/>
      <w:bookmarkStart w:id="96" w:name="_Toc156554919"/>
      <w:bookmarkStart w:id="97" w:name="_Toc188350440"/>
      <w:bookmarkStart w:id="98" w:name="_Toc144198916"/>
      <w:bookmarkStart w:id="99" w:name="_Toc144199324"/>
      <w:r>
        <w:rPr>
          <w:rFonts w:ascii="仿宋" w:eastAsia="仿宋" w:hint="eastAsia"/>
          <w:b/>
          <w:color w:val="000000"/>
          <w:sz w:val="32"/>
          <w:szCs w:val="32"/>
        </w:rPr>
        <w:t>（一）一般公共预算财政拨款支出决算总体情况</w:t>
      </w:r>
      <w:bookmarkEnd w:id="95"/>
      <w:bookmarkEnd w:id="96"/>
      <w:bookmarkEnd w:id="97"/>
      <w:bookmarkEnd w:id="98"/>
      <w:bookmarkEnd w:id="99"/>
    </w:p>
    <w:p>
      <w:pPr>
        <w:snapToGrid w:val="0"/>
        <w:spacing w:line="520" w:lineRule="exact"/>
        <w:ind w:firstLineChars="200" w:firstLine="640"/>
        <w:rPr>
          <w:rFonts w:ascii="仿宋_GB2312" w:eastAsia="仿宋_GB2312" w:hint="eastAsia"/>
          <w:color w:val="000000"/>
          <w:spacing w:val="-2"/>
          <w:sz w:val="32"/>
          <w:szCs w:val="32"/>
        </w:rPr>
      </w:pPr>
      <w:r>
        <w:rPr>
          <w:rFonts w:ascii="仿宋_GB2312" w:eastAsia="仿宋_GB2312" w:hint="eastAsia"/>
          <w:color w:val="000000"/>
          <w:sz w:val="32"/>
          <w:szCs w:val="32"/>
        </w:rPr>
        <w:t>融媒体中心202</w:t>
      </w:r>
      <w:r>
        <w:rPr>
          <w:rFonts w:ascii="仿宋_GB2312" w:eastAsia="仿宋_GB2312"/>
          <w:color w:val="000000"/>
          <w:sz w:val="32"/>
          <w:szCs w:val="32"/>
        </w:rPr>
        <w:t>4</w:t>
      </w:r>
      <w:r>
        <w:rPr>
          <w:rFonts w:ascii="仿宋_GB2312" w:eastAsia="仿宋_GB2312" w:hint="eastAsia"/>
          <w:color w:val="000000"/>
          <w:sz w:val="32"/>
          <w:szCs w:val="32"/>
        </w:rPr>
        <w:t>年一般公共预算财政拨款支出</w:t>
      </w:r>
      <w:r>
        <w:rPr>
          <w:rFonts w:ascii="仿宋_GB2312" w:eastAsia="仿宋_GB2312"/>
          <w:color w:val="000000"/>
          <w:sz w:val="32"/>
          <w:szCs w:val="32"/>
        </w:rPr>
        <w:t>703.66</w:t>
      </w:r>
      <w:r>
        <w:rPr>
          <w:rFonts w:ascii="仿宋_GB2312" w:eastAsia="仿宋_GB2312" w:hint="eastAsia"/>
          <w:color w:val="000000"/>
          <w:sz w:val="32"/>
          <w:szCs w:val="32"/>
        </w:rPr>
        <w:t>万元，与202</w:t>
      </w:r>
      <w:r>
        <w:rPr>
          <w:rFonts w:ascii="仿宋_GB2312" w:eastAsia="仿宋_GB2312"/>
          <w:color w:val="000000"/>
          <w:sz w:val="32"/>
          <w:szCs w:val="32"/>
        </w:rPr>
        <w:t>3</w:t>
      </w:r>
      <w:r>
        <w:rPr>
          <w:rFonts w:ascii="仿宋_GB2312" w:eastAsia="仿宋_GB2312" w:hint="eastAsia"/>
          <w:color w:val="000000"/>
          <w:sz w:val="32"/>
          <w:szCs w:val="32"/>
        </w:rPr>
        <w:t>年相比，</w:t>
      </w:r>
      <w:r>
        <w:rPr>
          <w:rFonts w:ascii="仿宋" w:eastAsia="仿宋" w:hint="eastAsia"/>
          <w:color w:val="000000"/>
          <w:sz w:val="32"/>
          <w:szCs w:val="32"/>
        </w:rPr>
        <w:t>一般公共预算财政拨款收入较上年</w:t>
      </w:r>
      <w:r>
        <w:rPr>
          <w:rFonts w:ascii="仿宋_GB2312" w:eastAsia="仿宋_GB2312" w:hint="eastAsia"/>
          <w:color w:val="000000"/>
          <w:spacing w:val="-2"/>
          <w:sz w:val="32"/>
          <w:szCs w:val="32"/>
        </w:rPr>
        <w:t>增加1</w:t>
      </w:r>
      <w:r>
        <w:rPr>
          <w:rFonts w:ascii="仿宋_GB2312" w:eastAsia="仿宋_GB2312"/>
          <w:color w:val="000000"/>
          <w:spacing w:val="-2"/>
          <w:sz w:val="32"/>
          <w:szCs w:val="32"/>
        </w:rPr>
        <w:t>31.41</w:t>
      </w:r>
      <w:r>
        <w:rPr>
          <w:rFonts w:ascii="仿宋_GB2312" w:eastAsia="仿宋_GB2312" w:hint="eastAsia"/>
          <w:color w:val="000000"/>
          <w:spacing w:val="-2"/>
          <w:sz w:val="32"/>
          <w:szCs w:val="32"/>
        </w:rPr>
        <w:t>万元，增加</w:t>
      </w:r>
      <w:r>
        <w:rPr>
          <w:rFonts w:ascii="仿宋_GB2312" w:eastAsia="仿宋_GB2312"/>
          <w:color w:val="000000"/>
          <w:spacing w:val="-2"/>
          <w:sz w:val="32"/>
          <w:szCs w:val="32"/>
        </w:rPr>
        <w:t>23</w:t>
      </w:r>
      <w:r>
        <w:rPr>
          <w:rFonts w:ascii="仿宋_GB2312" w:eastAsia="仿宋_GB2312" w:hint="eastAsia"/>
          <w:color w:val="000000"/>
          <w:spacing w:val="-2"/>
          <w:sz w:val="32"/>
          <w:szCs w:val="32"/>
        </w:rPr>
        <w:t>%，增加的主要原因是20</w:t>
      </w:r>
      <w:r>
        <w:rPr>
          <w:rFonts w:ascii="仿宋_GB2312" w:eastAsia="仿宋_GB2312"/>
          <w:color w:val="000000"/>
          <w:spacing w:val="-2"/>
          <w:sz w:val="32"/>
          <w:szCs w:val="32"/>
        </w:rPr>
        <w:t>24</w:t>
      </w:r>
      <w:r>
        <w:rPr>
          <w:rFonts w:ascii="仿宋_GB2312" w:eastAsia="仿宋_GB2312" w:hint="eastAsia"/>
          <w:color w:val="000000"/>
          <w:spacing w:val="-2"/>
          <w:sz w:val="32"/>
          <w:szCs w:val="32"/>
        </w:rPr>
        <w:t xml:space="preserve">年专项资金较上年增加。 </w:t>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100" w:name="_Toc15377211"/>
      <w:r>
        <w:rPr>
          <w:rFonts w:ascii="仿宋" w:eastAsia="仿宋" w:hint="eastAsia"/>
          <w:b/>
          <w:color w:val="000000"/>
          <w:sz w:val="32"/>
          <w:szCs w:val="32"/>
        </w:rPr>
        <w:t>（二）一般公共预算财政拨款支出决算结构情况</w:t>
      </w:r>
      <w:bookmarkEnd w:id="100"/>
    </w:p>
    <w:p>
      <w:pPr>
        <w:spacing w:line="600" w:lineRule="exact"/>
        <w:ind w:firstLine="640"/>
        <w:rPr>
          <w:rFonts w:ascii="仿宋" w:eastAsia="仿宋"/>
          <w:color w:val="000000"/>
          <w:sz w:val="32"/>
          <w:szCs w:val="32"/>
        </w:rPr>
      </w:pPr>
      <w:r>
        <w:rPr>
          <w:rFonts w:ascii="仿宋" w:eastAsia="仿宋"/>
          <w:color w:val="000000"/>
          <w:sz w:val="32"/>
          <w:szCs w:val="32"/>
        </w:rPr>
        <w:t>2024</w:t>
      </w:r>
      <w:r>
        <w:rPr>
          <w:rFonts w:ascii="仿宋" w:eastAsia="仿宋" w:hint="eastAsia"/>
          <w:color w:val="000000"/>
          <w:sz w:val="32"/>
          <w:szCs w:val="32"/>
        </w:rPr>
        <w:t>年一般公共预算财政拨款支出</w:t>
      </w:r>
      <w:r>
        <w:rPr>
          <w:rFonts w:ascii="仿宋" w:eastAsia="仿宋"/>
          <w:color w:val="000000"/>
          <w:sz w:val="32"/>
          <w:szCs w:val="32"/>
        </w:rPr>
        <w:t>703.66</w:t>
      </w:r>
      <w:r>
        <w:rPr>
          <w:rFonts w:ascii="仿宋" w:eastAsia="仿宋" w:hint="eastAsia"/>
          <w:color w:val="000000"/>
          <w:sz w:val="32"/>
          <w:szCs w:val="32"/>
        </w:rPr>
        <w:t>万元，主要用于以下方面</w:t>
      </w:r>
      <w:r>
        <w:rPr>
          <w:rFonts w:ascii="仿宋" w:eastAsia="仿宋"/>
          <w:color w:val="000000"/>
          <w:sz w:val="32"/>
          <w:szCs w:val="32"/>
        </w:rPr>
        <w:t>:</w:t>
      </w:r>
      <w:r>
        <w:rPr>
          <w:rStyle w:val="26"/>
          <w:rFonts w:ascii="仿宋_GB2312" w:eastAsia="仿宋_GB2312" w:hint="eastAsia"/>
          <w:bCs/>
          <w:sz w:val="32"/>
          <w:szCs w:val="32"/>
        </w:rPr>
        <w:t>文化旅游体育与传媒</w:t>
      </w:r>
      <w:r>
        <w:rPr>
          <w:rFonts w:ascii="仿宋" w:eastAsia="仿宋" w:hint="eastAsia"/>
          <w:b/>
          <w:bCs/>
          <w:color w:val="000000"/>
          <w:sz w:val="32"/>
          <w:szCs w:val="32"/>
        </w:rPr>
        <w:t>支出</w:t>
      </w:r>
      <w:r>
        <w:rPr>
          <w:rFonts w:ascii="仿宋" w:eastAsia="仿宋"/>
          <w:color w:val="000000"/>
          <w:sz w:val="32"/>
          <w:szCs w:val="32"/>
        </w:rPr>
        <w:t>572.65</w:t>
      </w:r>
      <w:r>
        <w:rPr>
          <w:rFonts w:ascii="仿宋" w:eastAsia="仿宋" w:hint="eastAsia"/>
          <w:color w:val="000000"/>
          <w:sz w:val="32"/>
          <w:szCs w:val="32"/>
        </w:rPr>
        <w:t>万元，占</w:t>
      </w:r>
      <w:r>
        <w:rPr>
          <w:rFonts w:ascii="仿宋" w:eastAsia="仿宋"/>
          <w:color w:val="000000"/>
          <w:sz w:val="32"/>
          <w:szCs w:val="32"/>
        </w:rPr>
        <w:t>81%</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color w:val="000000"/>
          <w:sz w:val="32"/>
          <w:szCs w:val="32"/>
        </w:rPr>
        <w:t>67.31</w:t>
      </w:r>
      <w:r>
        <w:rPr>
          <w:rFonts w:ascii="仿宋" w:eastAsia="仿宋" w:hint="eastAsia"/>
          <w:color w:val="000000"/>
          <w:sz w:val="32"/>
          <w:szCs w:val="32"/>
        </w:rPr>
        <w:t>万元，占</w:t>
      </w:r>
      <w:r>
        <w:rPr>
          <w:rFonts w:ascii="仿宋" w:eastAsia="仿宋"/>
          <w:color w:val="000000"/>
          <w:sz w:val="32"/>
          <w:szCs w:val="32"/>
        </w:rPr>
        <w:t>10%</w:t>
      </w:r>
      <w:r>
        <w:rPr>
          <w:rFonts w:ascii="仿宋" w:eastAsia="仿宋" w:hint="eastAsia"/>
          <w:color w:val="000000"/>
          <w:sz w:val="32"/>
          <w:szCs w:val="32"/>
        </w:rPr>
        <w:t>；</w:t>
      </w:r>
      <w:r>
        <w:rPr>
          <w:rStyle w:val="26"/>
          <w:rFonts w:ascii="仿宋_GB2312" w:eastAsia="仿宋_GB2312" w:hint="eastAsia"/>
          <w:sz w:val="32"/>
          <w:szCs w:val="32"/>
        </w:rPr>
        <w:t>卫生健康支出</w:t>
      </w:r>
      <w:r>
        <w:rPr>
          <w:rStyle w:val="26"/>
          <w:rFonts w:ascii="仿宋_GB2312" w:eastAsia="仿宋_GB2312"/>
          <w:b w:val="0"/>
          <w:bCs/>
          <w:sz w:val="32"/>
          <w:szCs w:val="32"/>
        </w:rPr>
        <w:t>27.36</w:t>
      </w:r>
      <w:r>
        <w:rPr>
          <w:rFonts w:ascii="仿宋" w:eastAsia="仿宋" w:hint="eastAsia"/>
          <w:color w:val="000000"/>
          <w:sz w:val="32"/>
          <w:szCs w:val="32"/>
        </w:rPr>
        <w:t>万元，占</w:t>
      </w:r>
      <w:r>
        <w:rPr>
          <w:rFonts w:ascii="仿宋" w:eastAsia="仿宋"/>
          <w:color w:val="000000"/>
          <w:sz w:val="32"/>
          <w:szCs w:val="32"/>
        </w:rPr>
        <w:t>4%</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color w:val="000000"/>
          <w:sz w:val="32"/>
          <w:szCs w:val="32"/>
        </w:rPr>
        <w:t>36.34</w:t>
      </w:r>
      <w:r>
        <w:rPr>
          <w:rFonts w:ascii="仿宋" w:eastAsia="仿宋" w:hint="eastAsia"/>
          <w:color w:val="000000"/>
          <w:sz w:val="32"/>
          <w:szCs w:val="32"/>
        </w:rPr>
        <w:t>万元，占</w:t>
      </w:r>
      <w:r>
        <w:rPr>
          <w:rFonts w:ascii="仿宋" w:eastAsia="仿宋"/>
          <w:color w:val="000000"/>
          <w:sz w:val="32"/>
          <w:szCs w:val="32"/>
        </w:rPr>
        <w:t>6%</w:t>
      </w:r>
      <w:r>
        <w:rPr>
          <w:rFonts w:ascii="仿宋" w:eastAsia="仿宋" w:hint="eastAsia"/>
          <w:color w:val="000000"/>
          <w:sz w:val="32"/>
          <w:szCs w:val="32"/>
        </w:rPr>
        <w:t>。</w:t>
      </w:r>
    </w:p>
    <w:p>
      <w:pPr>
        <w:spacing w:line="600" w:lineRule="exact"/>
        <w:ind w:firstLineChars="2600" w:firstLine="8320"/>
        <w:rPr>
          <w:rFonts w:ascii="仿宋" w:eastAsia="仿宋"/>
          <w:b/>
          <w:color w:val="000000"/>
          <w:sz w:val="32"/>
          <w:szCs w:val="32"/>
        </w:rPr>
      </w:pPr>
      <w:bookmarkStart w:id="101" w:name="_Toc15377444"/>
      <w:bookmarkStart w:id="102" w:name="_Toc15377213"/>
      <w:bookmarkStart w:id="103" w:name="_Toc15378460"/>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104" w:name="_Toc15377212"/>
      <w:bookmarkStart w:id="105" w:name="_Toc144198917"/>
      <w:bookmarkStart w:id="106" w:name="_Toc156554920"/>
      <w:bookmarkStart w:id="107" w:name="_Toc188350441"/>
      <w:bookmarkStart w:id="108" w:name="_Toc144199325"/>
      <w:r>
        <w:rPr>
          <w:rFonts w:ascii="仿宋" w:eastAsia="仿宋" w:hint="eastAsia"/>
          <w:b/>
          <w:color w:val="000000"/>
          <w:sz w:val="32"/>
          <w:szCs w:val="32"/>
        </w:rPr>
        <w:t>（三）一般公共预算财政拨款支出决算具体情况</w:t>
      </w:r>
      <w:bookmarkEnd w:id="104"/>
      <w:bookmarkEnd w:id="105"/>
      <w:bookmarkEnd w:id="106"/>
      <w:bookmarkEnd w:id="107"/>
      <w:bookmarkEnd w:id="108"/>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bookmarkStart w:id="109" w:name="_Toc27804"/>
      <w:bookmarkStart w:id="110" w:name="_Toc144199326"/>
      <w:bookmarkStart w:id="111" w:name="_Toc188350442"/>
      <w:bookmarkStart w:id="112" w:name="_Toc156554921"/>
      <w:bookmarkStart w:id="113" w:name="_Toc144198918"/>
      <w:bookmarkStart w:id="114" w:name="_Toc188350298"/>
      <w:bookmarkStart w:id="115" w:name="_Toc144198775"/>
      <w:bookmarkStart w:id="116" w:name="_Toc156554705"/>
      <w:r>
        <w:rPr>
          <w:rFonts w:ascii="仿宋" w:eastAsia="仿宋" w:hint="eastAsia"/>
          <w:bCs/>
          <w:color w:val="000000"/>
          <w:sz w:val="32"/>
          <w:szCs w:val="32"/>
        </w:rPr>
        <w:t>202</w:t>
      </w:r>
      <w:r>
        <w:rPr>
          <w:rFonts w:ascii="仿宋" w:eastAsia="仿宋"/>
          <w:bCs/>
          <w:color w:val="000000"/>
          <w:sz w:val="32"/>
          <w:szCs w:val="32"/>
        </w:rPr>
        <w:t>4</w:t>
      </w:r>
      <w:r>
        <w:rPr>
          <w:rFonts w:ascii="仿宋" w:eastAsia="仿宋" w:hint="eastAsia"/>
          <w:bCs/>
          <w:color w:val="000000"/>
          <w:sz w:val="32"/>
          <w:szCs w:val="32"/>
        </w:rPr>
        <w:t>年一般公共预算数为</w:t>
      </w:r>
      <w:r>
        <w:rPr>
          <w:rFonts w:ascii="仿宋" w:eastAsia="仿宋"/>
          <w:bCs/>
          <w:color w:val="000000"/>
          <w:sz w:val="32"/>
          <w:szCs w:val="32"/>
        </w:rPr>
        <w:t>703.66</w:t>
      </w:r>
      <w:r>
        <w:rPr>
          <w:rFonts w:ascii="仿宋" w:eastAsia="仿宋" w:hint="eastAsia"/>
          <w:bCs/>
          <w:color w:val="000000"/>
          <w:sz w:val="32"/>
          <w:szCs w:val="32"/>
        </w:rPr>
        <w:t>万元，支出决算数为</w:t>
      </w:r>
      <w:r>
        <w:rPr>
          <w:rFonts w:ascii="仿宋" w:eastAsia="仿宋"/>
          <w:bCs/>
          <w:color w:val="000000"/>
          <w:sz w:val="32"/>
          <w:szCs w:val="32"/>
        </w:rPr>
        <w:t>703.66</w:t>
      </w:r>
      <w:r>
        <w:rPr>
          <w:rFonts w:ascii="仿宋" w:eastAsia="仿宋" w:hint="eastAsia"/>
          <w:bCs/>
          <w:color w:val="000000"/>
          <w:sz w:val="32"/>
          <w:szCs w:val="32"/>
        </w:rPr>
        <w:t>万元</w:t>
      </w:r>
      <w:bookmarkEnd w:id="101"/>
      <w:bookmarkEnd w:id="102"/>
      <w:bookmarkEnd w:id="103"/>
      <w:bookmarkEnd w:id="109"/>
      <w:r>
        <w:rPr>
          <w:rFonts w:ascii="仿宋" w:eastAsia="仿宋" w:hint="eastAsia"/>
          <w:bCs/>
          <w:color w:val="000000"/>
          <w:sz w:val="32"/>
          <w:szCs w:val="32"/>
        </w:rPr>
        <w:t>。</w:t>
      </w:r>
      <w:bookmarkEnd w:id="110"/>
      <w:bookmarkEnd w:id="111"/>
      <w:bookmarkEnd w:id="112"/>
      <w:bookmarkEnd w:id="113"/>
      <w:bookmarkEnd w:id="114"/>
      <w:bookmarkEnd w:id="115"/>
      <w:bookmarkEnd w:id="116"/>
    </w:p>
    <w:p>
      <w:pPr>
        <w:spacing w:line="600" w:lineRule="exact"/>
        <w:rPr>
          <w:rStyle w:val="26"/>
          <w:rFonts w:ascii="仿宋_GB2312" w:eastAsia="仿宋_GB2312"/>
          <w:b w:val="0"/>
          <w:sz w:val="32"/>
          <w:szCs w:val="32"/>
        </w:rPr>
      </w:pPr>
      <w:r>
        <w:rPr>
          <w:rStyle w:val="26"/>
          <w:rFonts w:ascii="仿宋_GB2312" w:eastAsia="仿宋_GB2312" w:hint="eastAsia"/>
          <w:sz w:val="32"/>
          <w:szCs w:val="32"/>
        </w:rPr>
        <w:t>1．文化旅游体育与传媒：</w:t>
      </w:r>
    </w:p>
    <w:p>
      <w:pPr>
        <w:spacing w:line="600" w:lineRule="exact"/>
        <w:ind w:firstLineChars="200" w:firstLine="640"/>
        <w:rPr>
          <w:rStyle w:val="26"/>
          <w:rFonts w:ascii="仿宋_GB2312" w:eastAsia="仿宋_GB2312"/>
          <w:b w:val="0"/>
          <w:sz w:val="32"/>
          <w:szCs w:val="32"/>
        </w:rPr>
      </w:pPr>
      <w:r>
        <w:rPr>
          <w:rStyle w:val="26"/>
          <w:rFonts w:ascii="仿宋_GB2312" w:eastAsia="仿宋_GB2312" w:hint="eastAsia"/>
          <w:b w:val="0"/>
          <w:sz w:val="32"/>
          <w:szCs w:val="32"/>
        </w:rPr>
        <w:t>文化旅游体育与传媒支出207（类）广播电视08（款）广播电视事务08（项）：202</w:t>
      </w:r>
      <w:r>
        <w:rPr>
          <w:rStyle w:val="26"/>
          <w:rFonts w:ascii="仿宋_GB2312" w:eastAsia="仿宋_GB2312"/>
          <w:b w:val="0"/>
          <w:sz w:val="32"/>
          <w:szCs w:val="32"/>
        </w:rPr>
        <w:t>4</w:t>
      </w:r>
      <w:r>
        <w:rPr>
          <w:rStyle w:val="26"/>
          <w:rFonts w:ascii="仿宋_GB2312" w:eastAsia="仿宋_GB2312" w:hint="eastAsia"/>
          <w:b w:val="0"/>
          <w:sz w:val="32"/>
          <w:szCs w:val="32"/>
        </w:rPr>
        <w:t>年决算数为</w:t>
      </w:r>
      <w:r>
        <w:rPr>
          <w:rStyle w:val="26"/>
          <w:rFonts w:ascii="仿宋_GB2312" w:eastAsia="仿宋_GB2312"/>
          <w:b w:val="0"/>
          <w:sz w:val="32"/>
          <w:szCs w:val="32"/>
        </w:rPr>
        <w:t>329.99</w:t>
      </w:r>
      <w:r>
        <w:rPr>
          <w:rStyle w:val="26"/>
          <w:rFonts w:ascii="仿宋_GB2312" w:eastAsia="仿宋_GB2312" w:hint="eastAsia"/>
          <w:b w:val="0"/>
          <w:sz w:val="32"/>
          <w:szCs w:val="32"/>
        </w:rPr>
        <w:t>万元。</w:t>
      </w:r>
    </w:p>
    <w:p>
      <w:pPr>
        <w:spacing w:line="600" w:lineRule="exact"/>
        <w:ind w:firstLineChars="200" w:firstLine="640"/>
        <w:rPr>
          <w:rStyle w:val="26"/>
          <w:rFonts w:ascii="仿宋_GB2312" w:eastAsia="仿宋_GB2312"/>
          <w:b w:val="0"/>
          <w:sz w:val="32"/>
          <w:szCs w:val="32"/>
        </w:rPr>
      </w:pPr>
      <w:r>
        <w:rPr>
          <w:rStyle w:val="26"/>
          <w:rFonts w:ascii="仿宋_GB2312" w:eastAsia="仿宋_GB2312" w:hint="eastAsia"/>
          <w:b w:val="0"/>
          <w:sz w:val="32"/>
          <w:szCs w:val="32"/>
        </w:rPr>
        <w:t>文化旅游体育与传媒支出207（类）广播电视08（款）其他广播电视支出99（项）：202</w:t>
      </w:r>
      <w:r>
        <w:rPr>
          <w:rStyle w:val="26"/>
          <w:rFonts w:ascii="仿宋_GB2312" w:eastAsia="仿宋_GB2312"/>
          <w:b w:val="0"/>
          <w:sz w:val="32"/>
          <w:szCs w:val="32"/>
        </w:rPr>
        <w:t>4</w:t>
      </w:r>
      <w:r>
        <w:rPr>
          <w:rStyle w:val="26"/>
          <w:rFonts w:ascii="仿宋_GB2312" w:eastAsia="仿宋_GB2312" w:hint="eastAsia"/>
          <w:b w:val="0"/>
          <w:sz w:val="32"/>
          <w:szCs w:val="32"/>
        </w:rPr>
        <w:t>年决算数为</w:t>
      </w:r>
      <w:r>
        <w:rPr>
          <w:rStyle w:val="26"/>
          <w:rFonts w:ascii="仿宋_GB2312" w:eastAsia="仿宋_GB2312"/>
          <w:b w:val="0"/>
          <w:sz w:val="32"/>
          <w:szCs w:val="32"/>
        </w:rPr>
        <w:t>232.66</w:t>
      </w:r>
      <w:r>
        <w:rPr>
          <w:rStyle w:val="26"/>
          <w:rFonts w:ascii="仿宋_GB2312" w:eastAsia="仿宋_GB2312" w:hint="eastAsia"/>
          <w:b w:val="0"/>
          <w:sz w:val="32"/>
          <w:szCs w:val="32"/>
        </w:rPr>
        <w:t>万元。</w:t>
      </w:r>
    </w:p>
    <w:p>
      <w:pPr>
        <w:spacing w:line="600" w:lineRule="exact"/>
        <w:rPr>
          <w:rFonts w:ascii="仿宋_GB2312" w:eastAsia="仿宋_GB2312"/>
          <w:color w:val="000000"/>
          <w:sz w:val="32"/>
          <w:szCs w:val="32"/>
        </w:rPr>
      </w:pPr>
      <w:r>
        <w:rPr>
          <w:rFonts w:ascii="仿宋_GB2312" w:eastAsia="仿宋_GB2312"/>
          <w:b/>
          <w:bCs/>
          <w:color w:val="000000"/>
          <w:sz w:val="32"/>
          <w:szCs w:val="32"/>
        </w:rPr>
        <w:t>2</w:t>
      </w:r>
      <w:r>
        <w:rPr>
          <w:rFonts w:ascii="仿宋_GB2312" w:eastAsia="仿宋_GB2312" w:hint="eastAsia"/>
          <w:b/>
          <w:bCs/>
          <w:color w:val="000000"/>
          <w:sz w:val="32"/>
          <w:szCs w:val="32"/>
        </w:rPr>
        <w:t>.社会保障和就业支出</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社会保障和就业支出208（类）行政事业单位离退休05（款）机关事业单位基本养老保险缴费05（项）</w:t>
      </w: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年决算数为</w:t>
      </w:r>
      <w:r>
        <w:rPr>
          <w:rFonts w:ascii="仿宋_GB2312" w:eastAsia="仿宋_GB2312"/>
          <w:sz w:val="32"/>
          <w:szCs w:val="32"/>
        </w:rPr>
        <w:t>44.87</w:t>
      </w:r>
      <w:r>
        <w:rPr>
          <w:rFonts w:ascii="仿宋_GB2312" w:eastAsia="仿宋_GB2312" w:hint="eastAsia"/>
          <w:sz w:val="32"/>
          <w:szCs w:val="32"/>
        </w:rPr>
        <w:t>万元。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社会保障和就业支出208（类）行政事业单位离退休05（款）机关事业单位职业年金缴费06（项）</w:t>
      </w: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年决算数为</w:t>
      </w:r>
      <w:r>
        <w:rPr>
          <w:rFonts w:ascii="仿宋_GB2312" w:eastAsia="仿宋_GB2312"/>
          <w:sz w:val="32"/>
          <w:szCs w:val="32"/>
        </w:rPr>
        <w:t>22.44</w:t>
      </w:r>
      <w:r>
        <w:rPr>
          <w:rFonts w:ascii="仿宋_GB2312" w:eastAsia="仿宋_GB2312" w:hint="eastAsia"/>
          <w:sz w:val="32"/>
          <w:szCs w:val="32"/>
        </w:rPr>
        <w:t>万元。</w:t>
      </w:r>
    </w:p>
    <w:p>
      <w:pPr>
        <w:spacing w:line="600" w:lineRule="exact"/>
        <w:rPr>
          <w:rStyle w:val="26"/>
          <w:rFonts w:ascii="仿宋_GB2312" w:eastAsia="仿宋_GB2312"/>
          <w:b w:val="0"/>
          <w:sz w:val="32"/>
          <w:szCs w:val="32"/>
        </w:rPr>
      </w:pPr>
      <w:r>
        <w:rPr>
          <w:rStyle w:val="26"/>
          <w:rFonts w:ascii="仿宋_GB2312" w:eastAsia="仿宋_GB2312" w:hint="eastAsia"/>
          <w:sz w:val="32"/>
          <w:szCs w:val="32"/>
        </w:rPr>
        <w:t>4.医疗卫生与计划生育:</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医疗卫生与计划生育支出210（类）行政事业单位医疗11（款）事业单位医疗02（项）：</w:t>
      </w:r>
      <w:r>
        <w:rPr>
          <w:rFonts w:ascii="仿宋_GB2312" w:eastAsia="仿宋_GB2312" w:hint="eastAsia"/>
          <w:sz w:val="32"/>
          <w:szCs w:val="32"/>
        </w:rPr>
        <w:t xml:space="preserve"> 202</w:t>
      </w:r>
      <w:r>
        <w:rPr>
          <w:rFonts w:ascii="仿宋_GB2312" w:eastAsia="仿宋_GB2312"/>
          <w:sz w:val="32"/>
          <w:szCs w:val="32"/>
        </w:rPr>
        <w:t>4</w:t>
      </w:r>
      <w:r>
        <w:rPr>
          <w:rFonts w:ascii="仿宋_GB2312" w:eastAsia="仿宋_GB2312" w:hint="eastAsia"/>
          <w:sz w:val="32"/>
          <w:szCs w:val="32"/>
        </w:rPr>
        <w:t>年决算数为</w:t>
      </w:r>
      <w:r>
        <w:rPr>
          <w:rFonts w:ascii="仿宋_GB2312" w:eastAsia="仿宋_GB2312"/>
          <w:sz w:val="32"/>
          <w:szCs w:val="32"/>
        </w:rPr>
        <w:t>22.01</w:t>
      </w:r>
      <w:r>
        <w:rPr>
          <w:rFonts w:ascii="仿宋_GB2312" w:eastAsia="仿宋_GB2312" w:hint="eastAsia"/>
          <w:sz w:val="32"/>
          <w:szCs w:val="32"/>
        </w:rPr>
        <w:t>万元。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医疗卫生与计划生育支出210（类）行政事业单位医疗11（款）其他行政事业单位医疗支出99（项）：</w:t>
      </w:r>
      <w:r>
        <w:rPr>
          <w:rFonts w:ascii="仿宋_GB2312" w:eastAsia="仿宋_GB2312" w:hint="eastAsia"/>
          <w:sz w:val="32"/>
          <w:szCs w:val="32"/>
        </w:rPr>
        <w:t xml:space="preserve"> 202</w:t>
      </w:r>
      <w:r>
        <w:rPr>
          <w:rFonts w:ascii="仿宋_GB2312" w:eastAsia="仿宋_GB2312"/>
          <w:sz w:val="32"/>
          <w:szCs w:val="32"/>
        </w:rPr>
        <w:t>4</w:t>
      </w:r>
      <w:r>
        <w:rPr>
          <w:rFonts w:ascii="仿宋_GB2312" w:eastAsia="仿宋_GB2312" w:hint="eastAsia"/>
          <w:sz w:val="32"/>
          <w:szCs w:val="32"/>
        </w:rPr>
        <w:t>年决算数为</w:t>
      </w:r>
      <w:r>
        <w:rPr>
          <w:rFonts w:ascii="仿宋_GB2312" w:eastAsia="仿宋_GB2312"/>
          <w:sz w:val="32"/>
          <w:szCs w:val="32"/>
        </w:rPr>
        <w:t>5.34</w:t>
      </w:r>
      <w:r>
        <w:rPr>
          <w:rFonts w:ascii="仿宋_GB2312" w:eastAsia="仿宋_GB2312" w:hint="eastAsia"/>
          <w:sz w:val="32"/>
          <w:szCs w:val="32"/>
        </w:rPr>
        <w:t>万元。</w:t>
      </w:r>
    </w:p>
    <w:p>
      <w:pPr>
        <w:spacing w:line="600" w:lineRule="exact"/>
        <w:rPr>
          <w:rStyle w:val="26"/>
          <w:rFonts w:ascii="仿宋_GB2312" w:eastAsia="仿宋_GB2312"/>
          <w:sz w:val="32"/>
          <w:szCs w:val="32"/>
        </w:rPr>
      </w:pPr>
      <w:r>
        <w:rPr>
          <w:rStyle w:val="26"/>
          <w:rFonts w:ascii="仿宋_GB2312" w:eastAsia="仿宋_GB2312" w:hint="eastAsia"/>
          <w:sz w:val="32"/>
          <w:szCs w:val="32"/>
        </w:rPr>
        <w:t>5.住房保障支出:</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 202</w:t>
      </w:r>
      <w:r>
        <w:rPr>
          <w:rFonts w:ascii="仿宋_GB2312" w:eastAsia="仿宋_GB2312"/>
          <w:sz w:val="32"/>
          <w:szCs w:val="32"/>
        </w:rPr>
        <w:t>4</w:t>
      </w:r>
      <w:r>
        <w:rPr>
          <w:rFonts w:ascii="仿宋_GB2312" w:eastAsia="仿宋_GB2312" w:hint="eastAsia"/>
          <w:sz w:val="32"/>
          <w:szCs w:val="32"/>
        </w:rPr>
        <w:t>年决算数为</w:t>
      </w:r>
      <w:r>
        <w:rPr>
          <w:rFonts w:ascii="仿宋_GB2312" w:eastAsia="仿宋_GB2312"/>
          <w:sz w:val="32"/>
          <w:szCs w:val="32"/>
        </w:rPr>
        <w:t>36.34</w:t>
      </w:r>
      <w:r>
        <w:rPr>
          <w:rFonts w:ascii="仿宋_GB2312" w:eastAsia="仿宋_GB2312" w:hint="eastAsia"/>
          <w:sz w:val="32"/>
          <w:szCs w:val="32"/>
        </w:rPr>
        <w:t>万元。</w:t>
      </w:r>
    </w:p>
    <w:p>
      <w:pPr>
        <w:spacing w:line="600" w:lineRule="exact"/>
        <w:rPr>
          <w:rFonts w:ascii="黑体" w:eastAsia="黑体"/>
          <w:color w:val="000000"/>
          <w:sz w:val="32"/>
          <w:szCs w:val="32"/>
        </w:rPr>
      </w:pPr>
      <w:bookmarkStart w:id="117" w:name="_Toc15377214"/>
    </w:p>
    <w:p>
      <w:pPr>
        <w:pStyle w:val="2"/>
        <w:rPr>
          <w:rStyle w:val="2Char"/>
          <w:b w:val="0"/>
          <w:bCs w:val="0"/>
        </w:rPr>
      </w:pPr>
      <w:bookmarkStart w:id="118" w:name="_Toc188350443"/>
      <w:r>
        <w:rPr>
          <w:rFonts w:hint="eastAsia"/>
          <w:color w:val="000000"/>
        </w:rPr>
        <w:t>六、一</w:t>
      </w:r>
      <w:r>
        <w:rPr>
          <w:rStyle w:val="2Char"/>
          <w:rFonts w:ascii="黑体" w:eastAsia="黑体" w:hint="eastAsia"/>
          <w:b/>
          <w:bCs w:val="0"/>
        </w:rPr>
        <w:t>般公共预算财政拨款基本支出决算情况说明</w:t>
      </w:r>
      <w:bookmarkEnd w:id="117"/>
      <w:bookmarkEnd w:id="118"/>
      <w:r>
        <w:rPr>
          <w:rStyle w:val="2Char"/>
          <w:rFonts w:ascii="黑体" w:eastAsia="黑体"/>
          <w:b/>
          <w:bCs w:val="0"/>
        </w:rPr>
        <w:tab/>
      </w:r>
    </w:p>
    <w:p>
      <w:pPr>
        <w:spacing w:line="600" w:lineRule="exact"/>
        <w:ind w:firstLine="645"/>
        <w:rPr>
          <w:rFonts w:ascii="仿宋_GB2312" w:eastAsia="仿宋_GB2312"/>
          <w:color w:val="000000"/>
          <w:sz w:val="32"/>
          <w:szCs w:val="32"/>
        </w:rPr>
      </w:pPr>
      <w:r>
        <w:rPr>
          <w:rFonts w:ascii="仿宋" w:eastAsia="仿宋"/>
          <w:color w:val="000000"/>
          <w:sz w:val="32"/>
          <w:szCs w:val="32"/>
        </w:rPr>
        <w:t>2024</w:t>
      </w:r>
      <w:r>
        <w:rPr>
          <w:rFonts w:ascii="仿宋" w:eastAsia="仿宋" w:hint="eastAsia"/>
          <w:color w:val="000000"/>
          <w:sz w:val="32"/>
          <w:szCs w:val="32"/>
        </w:rPr>
        <w:t>年一般公共预算财政拨款基本支出</w:t>
      </w:r>
      <w:r>
        <w:rPr>
          <w:rFonts w:ascii="仿宋_GB2312" w:eastAsia="仿宋_GB2312"/>
          <w:color w:val="000000"/>
          <w:sz w:val="32"/>
          <w:szCs w:val="32"/>
        </w:rPr>
        <w:t>461</w:t>
      </w:r>
      <w:r>
        <w:rPr>
          <w:rFonts w:ascii="仿宋_GB2312" w:eastAsia="仿宋_GB2312" w:hint="eastAsia"/>
          <w:color w:val="000000"/>
          <w:sz w:val="32"/>
          <w:szCs w:val="32"/>
        </w:rPr>
        <w:t>万元，其中：人员经费</w:t>
      </w:r>
      <w:r>
        <w:rPr>
          <w:rFonts w:ascii="仿宋_GB2312" w:eastAsia="仿宋_GB2312"/>
          <w:color w:val="000000"/>
          <w:sz w:val="32"/>
          <w:szCs w:val="32"/>
        </w:rPr>
        <w:t>461</w:t>
      </w:r>
      <w:r>
        <w:rPr>
          <w:rFonts w:ascii="仿宋_GB2312" w:eastAsia="仿宋_GB2312" w:hint="eastAsia"/>
          <w:color w:val="000000"/>
          <w:sz w:val="32"/>
          <w:szCs w:val="32"/>
        </w:rPr>
        <w:t>万元，主要包括：基本工资</w:t>
      </w:r>
      <w:r>
        <w:rPr>
          <w:rFonts w:ascii="仿宋_GB2312" w:eastAsia="仿宋_GB2312"/>
          <w:color w:val="000000"/>
          <w:sz w:val="32"/>
          <w:szCs w:val="32"/>
        </w:rPr>
        <w:t>83.28</w:t>
      </w:r>
      <w:r>
        <w:rPr>
          <w:rFonts w:ascii="仿宋_GB2312" w:eastAsia="仿宋_GB2312" w:hint="eastAsia"/>
          <w:color w:val="000000"/>
          <w:sz w:val="32"/>
          <w:szCs w:val="32"/>
        </w:rPr>
        <w:t>万元、津贴补贴</w:t>
      </w:r>
      <w:r>
        <w:rPr>
          <w:rFonts w:ascii="仿宋_GB2312" w:eastAsia="仿宋_GB2312"/>
          <w:color w:val="000000"/>
          <w:sz w:val="32"/>
          <w:szCs w:val="32"/>
        </w:rPr>
        <w:t>47.44</w:t>
      </w:r>
      <w:r>
        <w:rPr>
          <w:rFonts w:ascii="仿宋_GB2312" w:eastAsia="仿宋_GB2312" w:hint="eastAsia"/>
          <w:color w:val="000000"/>
          <w:sz w:val="32"/>
          <w:szCs w:val="32"/>
        </w:rPr>
        <w:t>万元、奖金</w:t>
      </w:r>
      <w:r>
        <w:rPr>
          <w:rFonts w:ascii="仿宋_GB2312" w:eastAsia="仿宋_GB2312"/>
          <w:color w:val="000000"/>
          <w:sz w:val="32"/>
          <w:szCs w:val="32"/>
        </w:rPr>
        <w:t>121.69</w:t>
      </w:r>
      <w:r>
        <w:rPr>
          <w:rFonts w:ascii="仿宋_GB2312" w:eastAsia="仿宋_GB2312" w:hint="eastAsia"/>
          <w:color w:val="000000"/>
          <w:sz w:val="32"/>
          <w:szCs w:val="32"/>
        </w:rPr>
        <w:t>万元、绩效工资</w:t>
      </w:r>
      <w:r>
        <w:rPr>
          <w:rFonts w:ascii="仿宋_GB2312" w:eastAsia="仿宋_GB2312"/>
          <w:color w:val="000000"/>
          <w:sz w:val="32"/>
          <w:szCs w:val="32"/>
        </w:rPr>
        <w:t>75.4</w:t>
      </w:r>
      <w:r>
        <w:rPr>
          <w:rFonts w:ascii="仿宋_GB2312" w:eastAsia="仿宋_GB2312" w:hint="eastAsia"/>
          <w:color w:val="000000"/>
          <w:sz w:val="32"/>
          <w:szCs w:val="32"/>
        </w:rPr>
        <w:t>万元、机关事业单位基本养老保险缴费</w:t>
      </w:r>
      <w:r>
        <w:rPr>
          <w:rFonts w:ascii="仿宋_GB2312" w:eastAsia="仿宋_GB2312"/>
          <w:color w:val="000000"/>
          <w:sz w:val="32"/>
          <w:szCs w:val="32"/>
        </w:rPr>
        <w:t>44.87</w:t>
      </w:r>
      <w:r>
        <w:rPr>
          <w:rFonts w:ascii="仿宋_GB2312" w:eastAsia="仿宋_GB2312" w:hint="eastAsia"/>
          <w:color w:val="000000"/>
          <w:sz w:val="32"/>
          <w:szCs w:val="32"/>
        </w:rPr>
        <w:t>万元、职业年金缴费</w:t>
      </w:r>
      <w:r>
        <w:rPr>
          <w:rFonts w:ascii="仿宋_GB2312" w:eastAsia="仿宋_GB2312"/>
          <w:color w:val="000000"/>
          <w:sz w:val="32"/>
          <w:szCs w:val="32"/>
        </w:rPr>
        <w:t>22.44</w:t>
      </w:r>
      <w:r>
        <w:rPr>
          <w:rFonts w:ascii="仿宋_GB2312" w:eastAsia="仿宋_GB2312" w:hint="eastAsia"/>
          <w:color w:val="000000"/>
          <w:sz w:val="32"/>
          <w:szCs w:val="32"/>
        </w:rPr>
        <w:t>万元、职工基本医疗保险缴费</w:t>
      </w:r>
      <w:r>
        <w:rPr>
          <w:rFonts w:ascii="仿宋_GB2312" w:eastAsia="仿宋_GB2312"/>
          <w:color w:val="000000"/>
          <w:sz w:val="32"/>
          <w:szCs w:val="32"/>
        </w:rPr>
        <w:t>22.01</w:t>
      </w:r>
      <w:r>
        <w:rPr>
          <w:rFonts w:ascii="仿宋_GB2312" w:eastAsia="仿宋_GB2312" w:hint="eastAsia"/>
          <w:color w:val="000000"/>
          <w:sz w:val="32"/>
          <w:szCs w:val="32"/>
        </w:rPr>
        <w:t>万元、公务员医疗补助缴费</w:t>
      </w:r>
      <w:r>
        <w:rPr>
          <w:rFonts w:ascii="仿宋_GB2312" w:eastAsia="仿宋_GB2312"/>
          <w:color w:val="000000"/>
          <w:sz w:val="32"/>
          <w:szCs w:val="32"/>
        </w:rPr>
        <w:t>5.34</w:t>
      </w:r>
      <w:r>
        <w:rPr>
          <w:rFonts w:ascii="仿宋_GB2312" w:eastAsia="仿宋_GB2312" w:hint="eastAsia"/>
          <w:color w:val="000000"/>
          <w:sz w:val="32"/>
          <w:szCs w:val="32"/>
        </w:rPr>
        <w:t>万元、其他社会保障缴费</w:t>
      </w:r>
      <w:r>
        <w:rPr>
          <w:rFonts w:ascii="仿宋_GB2312" w:eastAsia="仿宋_GB2312"/>
          <w:color w:val="000000"/>
          <w:sz w:val="32"/>
          <w:szCs w:val="32"/>
        </w:rPr>
        <w:t>2.17</w:t>
      </w:r>
      <w:r>
        <w:rPr>
          <w:rFonts w:ascii="仿宋_GB2312" w:eastAsia="仿宋_GB2312" w:hint="eastAsia"/>
          <w:color w:val="000000"/>
          <w:sz w:val="32"/>
          <w:szCs w:val="32"/>
        </w:rPr>
        <w:t>万元、住房公积金</w:t>
      </w:r>
      <w:r>
        <w:rPr>
          <w:rFonts w:ascii="仿宋_GB2312" w:eastAsia="仿宋_GB2312"/>
          <w:color w:val="000000"/>
          <w:sz w:val="32"/>
          <w:szCs w:val="32"/>
        </w:rPr>
        <w:t>36.34</w:t>
      </w:r>
      <w:r>
        <w:rPr>
          <w:rFonts w:ascii="仿宋_GB2312" w:eastAsia="仿宋_GB2312" w:hint="eastAsia"/>
          <w:color w:val="000000"/>
          <w:sz w:val="32"/>
          <w:szCs w:val="32"/>
        </w:rPr>
        <w:t>万元。</w:t>
      </w:r>
    </w:p>
    <w:p>
      <w:pPr>
        <w:pStyle w:val="2"/>
        <w:rPr>
          <w:rStyle w:val="2Char"/>
          <w:rFonts w:ascii="黑体" w:eastAsia="黑体"/>
          <w:b/>
          <w:bCs w:val="0"/>
        </w:rPr>
      </w:pPr>
      <w:bookmarkStart w:id="119" w:name="_Toc23670"/>
      <w:bookmarkStart w:id="120" w:name="_Toc15377215"/>
      <w:bookmarkStart w:id="121" w:name="_Toc144198919"/>
      <w:bookmarkStart w:id="122" w:name="_Toc188350444"/>
      <w:r>
        <w:rPr>
          <w:rFonts w:hint="eastAsia"/>
          <w:color w:val="000000"/>
        </w:rPr>
        <w:t>七、</w:t>
      </w:r>
      <w:r>
        <w:rPr>
          <w:rStyle w:val="2Char"/>
          <w:rFonts w:ascii="黑体" w:eastAsia="黑体" w:hint="eastAsia"/>
          <w:b w:val="0"/>
          <w:bCs w:val="0"/>
        </w:rPr>
        <w:t>“</w:t>
      </w:r>
      <w:r>
        <w:rPr>
          <w:rStyle w:val="2Char"/>
          <w:rFonts w:ascii="黑体" w:eastAsia="黑体" w:hint="eastAsia"/>
          <w:b/>
          <w:bCs w:val="0"/>
        </w:rPr>
        <w:t>三公”经费财政拨款支出决算情况说明</w:t>
      </w:r>
      <w:bookmarkEnd w:id="119"/>
      <w:bookmarkEnd w:id="120"/>
      <w:bookmarkEnd w:id="121"/>
      <w:bookmarkEnd w:id="122"/>
    </w:p>
    <w:p>
      <w:pPr>
        <w:spacing w:line="600" w:lineRule="exact"/>
        <w:ind w:firstLine="640"/>
        <w:outlineLvl w:val="2"/>
        <w:rPr>
          <w:rFonts w:ascii="仿宋" w:eastAsia="仿宋"/>
          <w:b/>
          <w:color w:val="000000"/>
          <w:sz w:val="32"/>
          <w:szCs w:val="32"/>
        </w:rPr>
      </w:pPr>
      <w:bookmarkStart w:id="123" w:name="_Toc144198920"/>
      <w:bookmarkStart w:id="124" w:name="_Toc156554924"/>
      <w:bookmarkStart w:id="125" w:name="_Toc144199329"/>
      <w:bookmarkStart w:id="126" w:name="_Toc188350445"/>
      <w:bookmarkStart w:id="127" w:name="_Toc15377216"/>
      <w:r>
        <w:rPr>
          <w:rFonts w:ascii="仿宋" w:eastAsia="仿宋" w:hint="eastAsia"/>
          <w:b/>
          <w:color w:val="000000"/>
          <w:sz w:val="32"/>
          <w:szCs w:val="32"/>
        </w:rPr>
        <w:t>（一）“三公”经费财政拨款支出决算总体情况说明</w:t>
      </w:r>
      <w:bookmarkEnd w:id="123"/>
      <w:bookmarkEnd w:id="124"/>
      <w:bookmarkEnd w:id="125"/>
      <w:bookmarkEnd w:id="126"/>
      <w:bookmarkEnd w:id="127"/>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4</w:t>
      </w:r>
      <w:r>
        <w:rPr>
          <w:rFonts w:ascii="仿宋" w:eastAsia="仿宋" w:hint="eastAsia"/>
          <w:color w:val="000000"/>
          <w:sz w:val="32"/>
          <w:szCs w:val="32"/>
        </w:rPr>
        <w:t>年“三公”经费财政拨款支出决算为0万元，完成预算0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128" w:name="_Toc15377217"/>
      <w:bookmarkStart w:id="129" w:name="_Toc144198921"/>
      <w:bookmarkStart w:id="130" w:name="_Toc144199330"/>
      <w:bookmarkStart w:id="131" w:name="_Toc156554925"/>
      <w:bookmarkStart w:id="132" w:name="_Toc188350446"/>
      <w:r>
        <w:rPr>
          <w:rFonts w:ascii="仿宋" w:eastAsia="仿宋" w:hint="eastAsia"/>
          <w:b/>
          <w:color w:val="000000"/>
          <w:sz w:val="32"/>
          <w:szCs w:val="32"/>
        </w:rPr>
        <w:t>（二）“三公”经费财政拨款支出决算具体情况说明</w:t>
      </w:r>
      <w:bookmarkEnd w:id="128"/>
      <w:bookmarkEnd w:id="129"/>
      <w:bookmarkEnd w:id="130"/>
      <w:bookmarkEnd w:id="131"/>
      <w:bookmarkEnd w:id="132"/>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4</w:t>
      </w:r>
      <w:r>
        <w:rPr>
          <w:rFonts w:ascii="仿宋" w:eastAsia="仿宋" w:hint="eastAsia"/>
          <w:color w:val="000000"/>
          <w:sz w:val="32"/>
          <w:szCs w:val="32"/>
        </w:rPr>
        <w:t>年“三公”经费财政拨款支出</w:t>
      </w:r>
      <w:r>
        <w:rPr>
          <w:rFonts w:ascii="仿宋" w:eastAsia="仿宋" w:hint="eastAsia"/>
          <w:sz w:val="32"/>
          <w:szCs w:val="32"/>
        </w:rPr>
        <w:t>决算0万元。</w:t>
      </w:r>
    </w:p>
    <w:p>
      <w:pPr>
        <w:spacing w:line="600" w:lineRule="exact"/>
        <w:ind w:firstLine="640"/>
        <w:rPr>
          <w:rFonts w:ascii="仿宋_GB2312" w:eastAsia="仿宋_GB2312"/>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6"/>
          <w:rFonts w:ascii="仿宋" w:eastAsia="仿宋" w:hint="eastAsia"/>
          <w:b w:val="0"/>
          <w:bCs/>
          <w:color w:val="000000"/>
          <w:sz w:val="32"/>
          <w:szCs w:val="32"/>
        </w:rPr>
        <w:t>完成预算0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b/>
          <w:color w:val="000000"/>
          <w:sz w:val="32"/>
          <w:szCs w:val="32"/>
        </w:rPr>
        <w:t>40</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b w:val="0"/>
          <w:bCs/>
          <w:color w:val="000000"/>
          <w:sz w:val="32"/>
          <w:szCs w:val="32"/>
        </w:rPr>
        <w:t>100%</w:t>
      </w:r>
      <w:r>
        <w:rPr>
          <w:rStyle w:val="26"/>
          <w:rFonts w:ascii="仿宋" w:eastAsia="仿宋" w:hint="eastAsia"/>
          <w:b w:val="0"/>
          <w:bCs/>
          <w:color w:val="000000"/>
          <w:sz w:val="32"/>
          <w:szCs w:val="32"/>
        </w:rPr>
        <w:t>。</w:t>
      </w:r>
    </w:p>
    <w:p>
      <w:pPr>
        <w:spacing w:line="600" w:lineRule="exact"/>
        <w:ind w:firstLineChars="300" w:firstLine="960"/>
        <w:rPr>
          <w:rFonts w:ascii="仿宋_GB2312" w:eastAsia="仿宋_GB2312"/>
          <w:color w:val="000000"/>
          <w:sz w:val="32"/>
          <w:szCs w:val="32"/>
        </w:rPr>
      </w:pPr>
      <w:r>
        <w:rPr>
          <w:rFonts w:ascii="仿宋_GB2312" w:eastAsia="仿宋_GB2312" w:hint="eastAsia"/>
          <w:b/>
          <w:color w:val="000000"/>
          <w:sz w:val="32"/>
          <w:szCs w:val="32"/>
        </w:rPr>
        <w:t>公务用车运行维护费支出0</w:t>
      </w:r>
      <w:r>
        <w:rPr>
          <w:rFonts w:ascii="仿宋_GB2312" w:eastAsia="仿宋_GB2312" w:hint="eastAsia"/>
          <w:sz w:val="32"/>
          <w:szCs w:val="32"/>
        </w:rPr>
        <w:t>万元。</w:t>
      </w:r>
      <w:r>
        <w:rPr>
          <w:rFonts w:ascii="仿宋_GB2312" w:eastAsia="仿宋_GB2312" w:hint="eastAsia"/>
          <w:color w:val="000000"/>
          <w:sz w:val="32"/>
          <w:szCs w:val="32"/>
        </w:rPr>
        <w:t>主要用于所需的公务用车燃料费、维修费、过路过桥费、保险费等支出。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6"/>
          <w:rFonts w:ascii="仿宋" w:eastAsia="仿宋" w:hint="eastAsia"/>
          <w:b w:val="0"/>
          <w:bCs/>
          <w:color w:val="000000"/>
          <w:sz w:val="32"/>
          <w:szCs w:val="32"/>
        </w:rPr>
        <w:t>完成预算0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公务接待费0万元，较上年减少0万元。</w:t>
      </w:r>
    </w:p>
    <w:p>
      <w:pPr>
        <w:spacing w:line="600" w:lineRule="exact"/>
        <w:ind w:firstLineChars="200" w:firstLine="640"/>
        <w:outlineLvl w:val="1"/>
        <w:rPr>
          <w:rFonts w:ascii="仿宋_GB2312" w:eastAsia="仿宋_GB2312"/>
          <w:color w:val="000000"/>
          <w:sz w:val="32"/>
          <w:szCs w:val="32"/>
        </w:rPr>
      </w:pPr>
      <w:bookmarkStart w:id="133" w:name="_Toc124325314"/>
      <w:bookmarkStart w:id="134" w:name="_Toc19116"/>
      <w:bookmarkStart w:id="135" w:name="_Toc23828"/>
      <w:bookmarkStart w:id="136" w:name="_Toc156554710"/>
      <w:bookmarkStart w:id="137" w:name="_Toc144199331"/>
      <w:bookmarkStart w:id="138" w:name="_Toc144198922"/>
      <w:bookmarkStart w:id="139" w:name="_Toc188350447"/>
      <w:bookmarkStart w:id="140" w:name="_Toc156554926"/>
      <w:bookmarkStart w:id="141" w:name="_Toc188350303"/>
      <w:bookmarkStart w:id="142" w:name="_Toc144198779"/>
      <w:r>
        <w:rPr>
          <w:rFonts w:ascii="仿宋" w:eastAsia="仿宋" w:hint="eastAsia"/>
          <w:b/>
          <w:color w:val="000000"/>
          <w:sz w:val="32"/>
          <w:szCs w:val="32"/>
        </w:rPr>
        <w:t>4</w:t>
      </w:r>
      <w:r>
        <w:rPr>
          <w:rFonts w:ascii="仿宋" w:eastAsia="仿宋"/>
          <w:b/>
          <w:color w:val="000000"/>
          <w:sz w:val="32"/>
          <w:szCs w:val="32"/>
        </w:rPr>
        <w:t>.</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143" w:name="_Toc15377218"/>
      <w:bookmarkEnd w:id="133"/>
      <w:bookmarkEnd w:id="134"/>
      <w:bookmarkEnd w:id="135"/>
      <w:bookmarkEnd w:id="136"/>
      <w:bookmarkEnd w:id="137"/>
      <w:bookmarkEnd w:id="138"/>
      <w:bookmarkEnd w:id="139"/>
      <w:bookmarkEnd w:id="140"/>
      <w:bookmarkEnd w:id="141"/>
      <w:bookmarkEnd w:id="142"/>
    </w:p>
    <w:p>
      <w:pPr>
        <w:pStyle w:val="2"/>
        <w:rPr>
          <w:rStyle w:val="2Char"/>
          <w:rFonts w:ascii="黑体" w:eastAsia="黑体"/>
          <w:b w:val="0"/>
          <w:bCs w:val="0"/>
        </w:rPr>
      </w:pPr>
      <w:bookmarkStart w:id="144" w:name="_Toc15476"/>
      <w:bookmarkStart w:id="145" w:name="_Toc144198923"/>
      <w:bookmarkStart w:id="146" w:name="_Toc188350448"/>
      <w:r>
        <w:rPr>
          <w:rFonts w:hint="eastAsia"/>
          <w:color w:val="000000"/>
        </w:rPr>
        <w:t>八、</w:t>
      </w:r>
      <w:r>
        <w:rPr>
          <w:rStyle w:val="2Char"/>
          <w:rFonts w:ascii="黑体" w:eastAsia="黑体" w:hint="eastAsia"/>
          <w:b/>
          <w:bCs w:val="0"/>
        </w:rPr>
        <w:t>政府性基金预算支出决算情况说明</w:t>
      </w:r>
      <w:bookmarkEnd w:id="143"/>
      <w:bookmarkEnd w:id="144"/>
      <w:bookmarkEnd w:id="145"/>
      <w:bookmarkEnd w:id="146"/>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color w:val="000000"/>
          <w:sz w:val="32"/>
          <w:szCs w:val="32"/>
        </w:rPr>
        <w:t>4</w:t>
      </w:r>
      <w:r>
        <w:rPr>
          <w:rFonts w:ascii="仿宋_GB2312" w:eastAsia="仿宋_GB2312" w:hint="eastAsia"/>
          <w:color w:val="000000"/>
          <w:sz w:val="32"/>
          <w:szCs w:val="32"/>
        </w:rPr>
        <w:t>年政府性基金预算拨款支出0万元。</w:t>
      </w:r>
    </w:p>
    <w:p>
      <w:pPr>
        <w:pStyle w:val="2"/>
        <w:rPr>
          <w:rStyle w:val="2Char"/>
          <w:rFonts w:ascii="黑体" w:eastAsia="黑体"/>
          <w:b/>
          <w:bCs w:val="0"/>
        </w:rPr>
      </w:pPr>
      <w:bookmarkStart w:id="147" w:name="_Toc188350449"/>
      <w:bookmarkStart w:id="148" w:name="_Toc9617"/>
      <w:bookmarkStart w:id="149" w:name="_Toc144198924"/>
      <w:bookmarkStart w:id="150" w:name="_Toc15377219"/>
      <w:r>
        <w:rPr>
          <w:rFonts w:hint="eastAsia"/>
        </w:rPr>
        <w:t>九、</w:t>
      </w:r>
      <w:r>
        <w:rPr>
          <w:rStyle w:val="2Char"/>
          <w:rFonts w:ascii="黑体" w:eastAsia="黑体" w:hint="eastAsia"/>
          <w:b/>
          <w:bCs w:val="0"/>
        </w:rPr>
        <w:t>国有资本经营预算支出决算情况说明</w:t>
      </w:r>
      <w:bookmarkEnd w:id="147"/>
      <w:bookmarkEnd w:id="148"/>
      <w:bookmarkEnd w:id="149"/>
      <w:bookmarkEnd w:id="150"/>
    </w:p>
    <w:p>
      <w:pPr>
        <w:spacing w:line="600" w:lineRule="exact"/>
        <w:ind w:firstLineChars="200" w:firstLine="640"/>
        <w:outlineLvl w:val="1"/>
        <w:rPr>
          <w:rFonts w:ascii="黑体" w:eastAsia="黑体"/>
          <w:bCs/>
          <w:sz w:val="32"/>
          <w:szCs w:val="32"/>
        </w:rPr>
      </w:pPr>
      <w:bookmarkStart w:id="151" w:name="_Toc144199334"/>
      <w:bookmarkStart w:id="152" w:name="_Toc156554713"/>
      <w:bookmarkStart w:id="153" w:name="_Toc188350450"/>
      <w:bookmarkStart w:id="154" w:name="_Toc156554929"/>
      <w:bookmarkStart w:id="155" w:name="_Toc188350306"/>
      <w:r>
        <w:rPr>
          <w:rFonts w:ascii="仿宋_GB2312" w:eastAsia="仿宋_GB2312" w:hint="eastAsia"/>
          <w:color w:val="000000"/>
          <w:sz w:val="32"/>
          <w:szCs w:val="32"/>
        </w:rPr>
        <w:t>202</w:t>
      </w:r>
      <w:r>
        <w:rPr>
          <w:rFonts w:ascii="仿宋_GB2312" w:eastAsia="仿宋_GB2312"/>
          <w:color w:val="000000"/>
          <w:sz w:val="32"/>
          <w:szCs w:val="32"/>
        </w:rPr>
        <w:t>4</w:t>
      </w:r>
      <w:r>
        <w:rPr>
          <w:rFonts w:ascii="仿宋_GB2312" w:eastAsia="仿宋_GB2312" w:hint="eastAsia"/>
          <w:color w:val="000000"/>
          <w:sz w:val="32"/>
          <w:szCs w:val="32"/>
        </w:rPr>
        <w:t>年国有资本经营预算拨款支出0万元。</w:t>
      </w:r>
      <w:bookmarkEnd w:id="151"/>
      <w:bookmarkEnd w:id="152"/>
      <w:bookmarkEnd w:id="153"/>
      <w:bookmarkEnd w:id="154"/>
      <w:bookmarkEnd w:id="155"/>
    </w:p>
    <w:p>
      <w:pPr>
        <w:pStyle w:val="2"/>
        <w:rPr>
          <w:rFonts w:ascii="仿宋" w:eastAsia="仿宋" w:cs="楷体_GB2312"/>
        </w:rPr>
      </w:pPr>
      <w:bookmarkStart w:id="156" w:name="_Toc5068"/>
      <w:bookmarkStart w:id="157" w:name="_Toc144198925"/>
      <w:bookmarkStart w:id="158" w:name="_Toc188350451"/>
      <w:r>
        <w:rPr>
          <w:rStyle w:val="2Char"/>
          <w:rFonts w:ascii="黑体" w:eastAsia="黑体" w:hint="eastAsia"/>
          <w:b/>
          <w:bCs w:val="0"/>
        </w:rPr>
        <w:t>十、预算绩效情况说明</w:t>
      </w:r>
      <w:bookmarkEnd w:id="156"/>
      <w:bookmarkEnd w:id="157"/>
      <w:bookmarkEnd w:id="158"/>
    </w:p>
    <w:p>
      <w:pPr>
        <w:numPr>
          <w:ilvl w:val="0"/>
          <w:numId w:val="3"/>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spacing w:line="600" w:lineRule="atLeast"/>
        <w:ind w:firstLineChars="200" w:firstLine="640"/>
      </w:pPr>
      <w:r>
        <w:rPr>
          <w:rFonts w:ascii="仿宋_GB2312" w:eastAsia="仿宋_GB2312" w:hint="eastAsia"/>
          <w:color w:val="000000"/>
          <w:sz w:val="32"/>
          <w:szCs w:val="32"/>
        </w:rPr>
        <w:t>按照预算绩效管理要求，本部门对202</w:t>
      </w:r>
      <w:r>
        <w:rPr>
          <w:rFonts w:ascii="仿宋_GB2312" w:eastAsia="仿宋_GB2312"/>
          <w:color w:val="000000"/>
          <w:sz w:val="32"/>
          <w:szCs w:val="32"/>
        </w:rPr>
        <w:t>4</w:t>
      </w:r>
      <w:r>
        <w:rPr>
          <w:rFonts w:ascii="仿宋_GB2312" w:eastAsia="仿宋_GB2312" w:hint="eastAsia"/>
          <w:color w:val="000000"/>
          <w:sz w:val="32"/>
          <w:szCs w:val="32"/>
        </w:rPr>
        <w:t>年一般公共预算项目支出开展了绩效目标管理，共编制绩效目标0个，涉及财政资金0万元，覆盖率达到100%。</w:t>
      </w:r>
      <w:r>
        <w:rPr>
          <w:rFonts w:ascii="仿宋_GB2312" w:eastAsia="仿宋_GB2312" w:cs="仿宋_GB2312" w:hint="eastAsia"/>
          <w:sz w:val="32"/>
          <w:szCs w:val="32"/>
        </w:rPr>
        <w:t xml:space="preserve">                                                                                                                                                                     </w:t>
      </w:r>
    </w:p>
    <w:p>
      <w:pPr>
        <w:numPr>
          <w:ilvl w:val="0"/>
          <w:numId w:val="3"/>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600" w:lineRule="atLeast"/>
        <w:ind w:firstLineChars="200" w:firstLine="640"/>
        <w:rPr>
          <w:rFonts w:ascii="仿宋_GB2312" w:eastAsia="仿宋_GB2312"/>
          <w:b/>
          <w:color w:val="000000"/>
          <w:sz w:val="32"/>
          <w:szCs w:val="32"/>
        </w:rPr>
      </w:pPr>
      <w:bookmarkStart w:id="159" w:name="_Toc15377221"/>
      <w:r>
        <w:rPr>
          <w:rFonts w:ascii="仿宋_GB2312" w:eastAsia="仿宋_GB2312" w:hint="eastAsia"/>
          <w:color w:val="000000"/>
          <w:sz w:val="32"/>
          <w:szCs w:val="32"/>
        </w:rPr>
        <w:t>按照预算绩效管理要求，本部门对202</w:t>
      </w:r>
      <w:r>
        <w:rPr>
          <w:rFonts w:ascii="仿宋_GB2312" w:eastAsia="仿宋_GB2312"/>
          <w:color w:val="000000"/>
          <w:sz w:val="32"/>
          <w:szCs w:val="32"/>
        </w:rPr>
        <w:t>4</w:t>
      </w:r>
      <w:r>
        <w:rPr>
          <w:rFonts w:ascii="仿宋_GB2312" w:eastAsia="仿宋_GB2312" w:hint="eastAsia"/>
          <w:color w:val="000000"/>
          <w:sz w:val="32"/>
          <w:szCs w:val="32"/>
        </w:rPr>
        <w:t>年整体支出开展绩效自评，自评得分95分，存在的问题：</w:t>
      </w:r>
      <w:r>
        <w:rPr>
          <w:rFonts w:ascii="仿宋_GB2312" w:eastAsia="仿宋_GB2312" w:cs="仿宋_GB2312" w:hint="eastAsia"/>
          <w:sz w:val="32"/>
          <w:szCs w:val="32"/>
        </w:rPr>
        <w:t>部门预算、决算上报效率有待提高。下一步改进措施：一是加快完善部门财务规章制度建设；二是加强会计核算和财务管理能力，提升工作效率。</w:t>
      </w:r>
    </w:p>
    <w:p>
      <w:pPr>
        <w:pStyle w:val="2"/>
        <w:rPr>
          <w:rStyle w:val="2Char"/>
          <w:rFonts w:ascii="黑体" w:eastAsia="黑体"/>
          <w:b w:val="0"/>
          <w:bCs w:val="0"/>
        </w:rPr>
      </w:pPr>
      <w:bookmarkStart w:id="160" w:name="_Toc188350452"/>
      <w:bookmarkStart w:id="161" w:name="_Toc23956"/>
      <w:bookmarkStart w:id="162" w:name="_Toc144198926"/>
      <w:r>
        <w:rPr>
          <w:rFonts w:hint="eastAsia"/>
          <w:color w:val="000000"/>
        </w:rPr>
        <w:t>十</w:t>
      </w:r>
      <w:r>
        <w:rPr>
          <w:rStyle w:val="2Char"/>
          <w:rFonts w:ascii="黑体" w:eastAsia="黑体" w:hint="eastAsia"/>
          <w:b w:val="0"/>
          <w:bCs w:val="0"/>
        </w:rPr>
        <w:t>一、</w:t>
      </w:r>
      <w:r>
        <w:rPr>
          <w:rStyle w:val="2Char"/>
          <w:rFonts w:ascii="黑体" w:eastAsia="黑体" w:hint="eastAsia"/>
          <w:b/>
          <w:bCs w:val="0"/>
        </w:rPr>
        <w:t>其他重要事项的情况说明</w:t>
      </w:r>
      <w:bookmarkEnd w:id="159"/>
      <w:bookmarkEnd w:id="160"/>
      <w:bookmarkEnd w:id="161"/>
      <w:bookmarkEnd w:id="162"/>
    </w:p>
    <w:p>
      <w:pPr>
        <w:spacing w:line="600" w:lineRule="exact"/>
        <w:ind w:firstLineChars="200" w:firstLine="640"/>
        <w:outlineLvl w:val="2"/>
        <w:rPr>
          <w:rFonts w:ascii="仿宋" w:eastAsia="仿宋"/>
          <w:color w:val="000000"/>
          <w:sz w:val="32"/>
          <w:szCs w:val="32"/>
        </w:rPr>
      </w:pPr>
      <w:bookmarkStart w:id="163" w:name="_Toc15377222"/>
      <w:bookmarkStart w:id="164" w:name="_Toc144199337"/>
      <w:bookmarkStart w:id="165" w:name="_Toc188350453"/>
      <w:bookmarkStart w:id="166" w:name="_Toc144198927"/>
      <w:bookmarkStart w:id="167" w:name="_Toc156554932"/>
      <w:bookmarkStart w:id="168" w:name="_Toc188350309"/>
      <w:r>
        <w:rPr>
          <w:rFonts w:ascii="仿宋" w:eastAsia="仿宋" w:hint="eastAsia"/>
          <w:b/>
          <w:color w:val="000000"/>
          <w:sz w:val="32"/>
          <w:szCs w:val="32"/>
        </w:rPr>
        <w:t>（一）机关运行经费支出情况</w:t>
      </w:r>
      <w:bookmarkEnd w:id="163"/>
      <w:bookmarkEnd w:id="164"/>
      <w:bookmarkEnd w:id="165"/>
      <w:bookmarkEnd w:id="166"/>
      <w:bookmarkEnd w:id="167"/>
      <w:bookmarkEnd w:id="168"/>
    </w:p>
    <w:p>
      <w:pPr>
        <w:autoSpaceDE w:val="0"/>
        <w:autoSpaceDN w:val="0"/>
        <w:adjustRightInd w:val="0"/>
        <w:spacing w:line="600" w:lineRule="exact"/>
        <w:ind w:firstLineChars="200" w:firstLine="640"/>
        <w:jc w:val="left"/>
        <w:outlineLvl w:val="2"/>
        <w:rPr>
          <w:rFonts w:ascii="仿宋_GB2312" w:eastAsia="仿宋_GB2312"/>
          <w:color w:val="000000"/>
          <w:sz w:val="32"/>
          <w:szCs w:val="32"/>
        </w:rPr>
      </w:pPr>
      <w:bookmarkStart w:id="169" w:name="_Toc20784"/>
      <w:bookmarkStart w:id="170" w:name="_Toc144198785"/>
      <w:bookmarkStart w:id="171" w:name="_Toc188350310"/>
      <w:bookmarkStart w:id="172" w:name="_Toc16112"/>
      <w:bookmarkStart w:id="173" w:name="_Toc144199338"/>
      <w:bookmarkStart w:id="174" w:name="_Toc156554717"/>
      <w:bookmarkStart w:id="175" w:name="_Toc156554933"/>
      <w:bookmarkStart w:id="176" w:name="_Toc188350454"/>
      <w:bookmarkStart w:id="177" w:name="_Toc144198928"/>
      <w:bookmarkStart w:id="178" w:name="_Toc15377223"/>
      <w:r>
        <w:rPr>
          <w:rFonts w:ascii="仿宋_GB2312" w:eastAsia="仿宋_GB2312" w:hint="eastAsia"/>
          <w:color w:val="000000"/>
          <w:sz w:val="32"/>
          <w:szCs w:val="32"/>
        </w:rPr>
        <w:t>我单位无机关运行经费。</w:t>
      </w:r>
      <w:bookmarkEnd w:id="169"/>
      <w:bookmarkEnd w:id="170"/>
      <w:bookmarkEnd w:id="171"/>
      <w:bookmarkEnd w:id="172"/>
      <w:bookmarkEnd w:id="173"/>
      <w:bookmarkEnd w:id="174"/>
      <w:bookmarkEnd w:id="175"/>
      <w:bookmarkEnd w:id="176"/>
      <w:bookmarkEnd w:id="177"/>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79" w:name="_Toc144198929"/>
      <w:bookmarkStart w:id="180" w:name="_Toc188350311"/>
      <w:bookmarkStart w:id="181" w:name="_Toc188350455"/>
      <w:bookmarkStart w:id="182" w:name="_Toc144199339"/>
      <w:bookmarkStart w:id="183" w:name="_Toc156554934"/>
      <w:r>
        <w:rPr>
          <w:rFonts w:ascii="仿宋" w:eastAsia="仿宋" w:hint="eastAsia"/>
          <w:b/>
          <w:color w:val="000000"/>
          <w:sz w:val="32"/>
          <w:szCs w:val="32"/>
        </w:rPr>
        <w:t>（二）政府采购支出情况</w:t>
      </w:r>
      <w:bookmarkEnd w:id="178"/>
      <w:bookmarkEnd w:id="179"/>
      <w:bookmarkEnd w:id="180"/>
      <w:bookmarkEnd w:id="181"/>
      <w:bookmarkEnd w:id="182"/>
      <w:bookmarkEnd w:id="183"/>
    </w:p>
    <w:p>
      <w:pPr>
        <w:autoSpaceDE w:val="0"/>
        <w:autoSpaceDN w:val="0"/>
        <w:adjustRightInd w:val="0"/>
        <w:spacing w:line="600" w:lineRule="exact"/>
        <w:ind w:firstLineChars="200" w:firstLine="640"/>
        <w:jc w:val="left"/>
        <w:outlineLvl w:val="2"/>
        <w:rPr>
          <w:rFonts w:ascii="仿宋_GB2312" w:eastAsia="仿宋_GB2312"/>
          <w:color w:val="000000"/>
          <w:sz w:val="32"/>
          <w:szCs w:val="32"/>
        </w:rPr>
      </w:pPr>
      <w:bookmarkStart w:id="184" w:name="_Toc27555"/>
      <w:bookmarkStart w:id="185" w:name="_Toc188350456"/>
      <w:bookmarkStart w:id="186" w:name="_Toc144199340"/>
      <w:bookmarkStart w:id="187" w:name="_Toc188350312"/>
      <w:bookmarkStart w:id="188" w:name="_Toc144198787"/>
      <w:bookmarkStart w:id="189" w:name="_Toc21708"/>
      <w:bookmarkStart w:id="190" w:name="_Toc144198930"/>
      <w:bookmarkStart w:id="191" w:name="_Toc156554935"/>
      <w:bookmarkStart w:id="192" w:name="_Toc156554719"/>
      <w:r>
        <w:rPr>
          <w:rFonts w:ascii="仿宋_GB2312" w:eastAsia="仿宋_GB2312" w:hint="eastAsia"/>
          <w:color w:val="000000"/>
          <w:sz w:val="32"/>
          <w:szCs w:val="32"/>
        </w:rPr>
        <w:t>我单位政府采购支出</w:t>
      </w:r>
      <w:bookmarkEnd w:id="184"/>
      <w:r>
        <w:rPr>
          <w:rFonts w:ascii="仿宋_GB2312" w:eastAsia="仿宋_GB2312"/>
          <w:color w:val="000000"/>
          <w:sz w:val="32"/>
          <w:szCs w:val="32"/>
        </w:rPr>
        <w:t>0</w:t>
      </w:r>
      <w:r>
        <w:rPr>
          <w:rFonts w:ascii="仿宋_GB2312" w:eastAsia="仿宋_GB2312" w:hint="eastAsia"/>
          <w:color w:val="000000"/>
          <w:sz w:val="32"/>
          <w:szCs w:val="32"/>
        </w:rPr>
        <w:t>万元。</w:t>
      </w:r>
      <w:bookmarkEnd w:id="185"/>
      <w:bookmarkEnd w:id="186"/>
      <w:bookmarkEnd w:id="187"/>
      <w:bookmarkEnd w:id="188"/>
      <w:bookmarkEnd w:id="189"/>
      <w:bookmarkEnd w:id="190"/>
      <w:bookmarkEnd w:id="191"/>
      <w:bookmarkEnd w:id="192"/>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93" w:name="_Toc188350457"/>
      <w:bookmarkStart w:id="194" w:name="_Toc156554936"/>
      <w:bookmarkStart w:id="195" w:name="_Toc15377224"/>
      <w:bookmarkStart w:id="196" w:name="_Toc144198931"/>
      <w:bookmarkStart w:id="197" w:name="_Toc144199341"/>
      <w:bookmarkStart w:id="198" w:name="_Toc188350313"/>
      <w:r>
        <w:rPr>
          <w:rFonts w:ascii="仿宋" w:eastAsia="仿宋" w:hint="eastAsia"/>
          <w:b/>
          <w:color w:val="000000"/>
          <w:sz w:val="32"/>
          <w:szCs w:val="32"/>
        </w:rPr>
        <w:t>（三）国有资产占有使用情况</w:t>
      </w:r>
      <w:bookmarkEnd w:id="193"/>
      <w:bookmarkEnd w:id="194"/>
      <w:bookmarkEnd w:id="195"/>
      <w:bookmarkEnd w:id="196"/>
      <w:bookmarkEnd w:id="197"/>
      <w:bookmarkEnd w:id="198"/>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2024</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3</w:t>
      </w:r>
      <w:r>
        <w:rPr>
          <w:rFonts w:ascii="仿宋_GB2312" w:eastAsia="仿宋_GB2312" w:hint="eastAsia"/>
          <w:color w:val="000000"/>
          <w:sz w:val="32"/>
          <w:szCs w:val="32"/>
        </w:rPr>
        <w:t>辆，为日常工作及应急保障用车。</w:t>
      </w:r>
      <w:r>
        <w:rPr>
          <w:rFonts w:ascii="仿宋_GB2312" w:eastAsia="仿宋_GB2312" w:hint="eastAsia"/>
          <w:b/>
          <w:color w:val="000000"/>
          <w:sz w:val="32"/>
          <w:szCs w:val="32"/>
        </w:rPr>
        <w:t xml:space="preserve">    </w:t>
      </w:r>
    </w:p>
    <w:p>
      <w:pPr>
        <w:numPr>
          <w:ilvl w:val="0"/>
          <w:numId w:val="4"/>
        </w:numPr>
        <w:spacing w:line="600" w:lineRule="exact"/>
        <w:ind w:left="0" w:firstLineChars="150" w:firstLine="660"/>
        <w:jc w:val="center"/>
        <w:outlineLvl w:val="0"/>
        <w:rPr>
          <w:rStyle w:val="1Char"/>
          <w:rFonts w:ascii="黑体" w:eastAsia="黑体"/>
          <w:b w:val="0"/>
        </w:rPr>
      </w:pPr>
      <w:bookmarkStart w:id="199" w:name="_Toc188350458"/>
      <w:bookmarkStart w:id="200" w:name="_Toc20290"/>
      <w:bookmarkStart w:id="201" w:name="_Toc15377225"/>
      <w:r>
        <w:rPr>
          <w:rFonts w:ascii="黑体" w:eastAsia="黑体" w:hint="eastAsia"/>
          <w:b/>
          <w:color w:val="000000"/>
          <w:sz w:val="44"/>
          <w:szCs w:val="44"/>
        </w:rPr>
        <w:t>名</w:t>
      </w:r>
      <w:r>
        <w:rPr>
          <w:rStyle w:val="1Char"/>
          <w:rFonts w:ascii="黑体" w:eastAsia="黑体" w:hint="eastAsia"/>
          <w:b w:val="0"/>
        </w:rPr>
        <w:t>词解释</w:t>
      </w:r>
      <w:bookmarkEnd w:id="199"/>
      <w:bookmarkEnd w:id="200"/>
      <w:bookmarkEnd w:id="201"/>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spacing w:line="600" w:lineRule="exact"/>
        <w:ind w:firstLineChars="200" w:firstLine="640"/>
        <w:rPr>
          <w:rStyle w:val="26"/>
          <w:rFonts w:ascii="仿宋_GB2312" w:eastAsia="仿宋_GB2312"/>
          <w:b w:val="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Style w:val="26"/>
          <w:rFonts w:ascii="仿宋_GB2312" w:eastAsia="仿宋_GB2312" w:hint="eastAsia"/>
          <w:b w:val="0"/>
          <w:sz w:val="32"/>
          <w:szCs w:val="32"/>
        </w:rPr>
        <w:t>文化旅游体育与传媒：反映广播电台、广播发射台、广播转播台及有线广播站的支出。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其他文化旅游体育与传媒支出：其他用于广播电视方面的支出。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ascii="黑体" w:eastAsia="黑体"/>
          <w:color w:val="000000"/>
          <w:sz w:val="44"/>
          <w:szCs w:val="44"/>
        </w:rPr>
      </w:pPr>
      <w:bookmarkStart w:id="202" w:name="_Toc15377226"/>
    </w:p>
    <w:p>
      <w:pPr>
        <w:tabs>
          <w:tab w:val="left" w:pos="0"/>
        </w:tabs>
        <w:spacing w:line="600" w:lineRule="exact"/>
        <w:jc w:val="center"/>
        <w:outlineLvl w:val="0"/>
        <w:rPr>
          <w:rFonts w:ascii="方正小标宋_GBK" w:eastAsia="方正小标宋_GBK" w:cs="方正小标宋_GBK"/>
          <w:sz w:val="44"/>
          <w:szCs w:val="44"/>
        </w:rPr>
      </w:pPr>
      <w:bookmarkStart w:id="203" w:name="_Toc188350459"/>
      <w:r>
        <w:rPr>
          <w:rStyle w:val="1Char"/>
          <w:rFonts w:ascii="黑体" w:eastAsia="黑体" w:hint="eastAsia"/>
          <w:b w:val="0"/>
          <w:highlight w:val="lightGray"/>
        </w:rPr>
        <w:t>第四部分</w:t>
      </w:r>
      <w:r>
        <w:rPr>
          <w:rStyle w:val="1Char"/>
          <w:rFonts w:ascii="黑体" w:eastAsia="黑体" w:hint="eastAsia"/>
          <w:b w:val="0"/>
        </w:rPr>
        <w:t xml:space="preserve"> </w:t>
      </w:r>
      <w:r>
        <w:rPr>
          <w:rStyle w:val="1Char"/>
          <w:rFonts w:ascii="黑体" w:eastAsia="黑体"/>
          <w:b w:val="0"/>
        </w:rPr>
        <w:t xml:space="preserve"> </w:t>
      </w:r>
      <w:r>
        <w:rPr>
          <w:rFonts w:ascii="方正小标宋_GBK" w:eastAsia="方正小标宋_GBK" w:cs="方正小标宋_GBK" w:hint="eastAsia"/>
          <w:sz w:val="44"/>
          <w:szCs w:val="44"/>
        </w:rPr>
        <w:t>部门整体支出绩效评价报告</w:t>
      </w:r>
      <w:bookmarkEnd w:id="203"/>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sz w:val="32"/>
          <w:szCs w:val="32"/>
        </w:rPr>
      </w:pPr>
      <w:r>
        <w:rPr>
          <w:rFonts w:ascii="仿宋" w:eastAsia="仿宋" w:cs="仿宋" w:hint="eastAsia"/>
          <w:color w:val="000000"/>
          <w:kern w:val="0"/>
          <w:sz w:val="32"/>
          <w:szCs w:val="32"/>
          <w:shd w:val="clear" w:color="auto" w:fill="FFFFFF"/>
          <w:lang w:val="zh-CN"/>
          <w:highlight w:val="auto"/>
        </w:rPr>
        <w:t>一、部门（单位）基本情况</w:t>
      </w:r>
    </w:p>
    <w:p>
      <w:pPr>
        <w:spacing w:line="580" w:lineRule="exact"/>
        <w:ind w:firstLineChars="200" w:firstLine="640"/>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（一）机构组成。</w:t>
      </w:r>
    </w:p>
    <w:p>
      <w:pPr>
        <w:spacing w:line="580" w:lineRule="exact"/>
        <w:ind w:firstLineChars="200" w:firstLine="640"/>
        <w:rPr>
          <w:rFonts w:ascii="仿宋" w:eastAsia="仿宋" w:cs="仿宋" w:hint="eastAsia"/>
          <w:sz w:val="32"/>
          <w:szCs w:val="32"/>
          <w:lang w:eastAsia="zh-CN"/>
        </w:rPr>
      </w:pPr>
      <w:r>
        <w:rPr>
          <w:rFonts w:ascii="仿宋" w:eastAsia="仿宋" w:cs="仿宋" w:hint="eastAsia"/>
          <w:sz w:val="32"/>
          <w:szCs w:val="32"/>
        </w:rPr>
        <w:t>金川县融媒体中心机构性质是事业公益一类单位，设统一核算机构1个，独立编制机构1个</w:t>
      </w:r>
      <w:r>
        <w:rPr>
          <w:rFonts w:ascii="仿宋" w:eastAsia="仿宋" w:cs="仿宋" w:hint="eastAsia"/>
          <w:sz w:val="32"/>
          <w:szCs w:val="32"/>
          <w:lang w:eastAsia="zh-CN"/>
        </w:rPr>
        <w:t>。</w:t>
      </w:r>
    </w:p>
    <w:p>
      <w:pPr>
        <w:spacing w:line="580" w:lineRule="exact"/>
        <w:ind w:firstLineChars="200" w:firstLine="640"/>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（二）机构职能。</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40"/>
        <w:rPr>
          <w:rFonts w:ascii="仿宋" w:eastAsia="仿宋" w:cs="仿宋" w:hint="eastAsia"/>
          <w:color w:val="000000"/>
          <w:sz w:val="32"/>
          <w:szCs w:val="32"/>
        </w:rPr>
      </w:pPr>
      <w:r>
        <w:rPr>
          <w:rFonts w:ascii="仿宋" w:eastAsia="仿宋" w:cs="仿宋" w:hint="eastAsia"/>
          <w:color w:val="000000"/>
          <w:sz w:val="32"/>
          <w:szCs w:val="32"/>
        </w:rPr>
        <w:t>1.贯彻落实党的新闻宣传方针政策,宣传党的理论、路线和各项方针政策,把握新闻宣传基调,坚持正面宣传,围绕县委、县人民政府中心工作,为全县经济社会发展提供新闻舆论支持;</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2.负责采编工作;</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3.严格执行广播电视行业法规,负责完整传输中央、省、市电视节目;负责电视节目的策划、采制、审查、包装以及播出编排和管理工作;负责电视节目的采、编、播工作;负责创作或制作电视宣传产品用于对外宣传交流工作;</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4.整合县级媒体资源,推动传统媒体和新兴媒体融合发展,建设融媒体矩阵;负责运营县级融媒体中心新媒体平台;</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5.负责与省级、市级媒体业务合作;</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6.负责全县新闻业务培训、交流和县级媒体人才队伍建设;</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7.负责广播节目的剪辑、录制、播报工作和行政通告、公告及公益广告的刊播工作;</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8.完成县委、县人民政府和上级部门交办的宣传工作任务。</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zh-CN"/>
          <w:highlight w:val="auto"/>
        </w:rPr>
      </w:pPr>
    </w:p>
    <w:p>
      <w:pPr>
        <w:numPr>
          <w:ilvl w:val="0"/>
          <w:numId w:val="5"/>
        </w:numPr>
        <w:spacing w:line="600" w:lineRule="exact"/>
        <w:ind w:left="0" w:firstLineChars="200" w:firstLine="640"/>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人员概况。</w:t>
      </w:r>
    </w:p>
    <w:p>
      <w:pPr>
        <w:spacing w:line="600" w:lineRule="exact"/>
        <w:ind w:left="0" w:firstLineChars="200" w:firstLine="640"/>
        <w:rPr>
          <w:rFonts w:ascii="仿宋" w:eastAsia="仿宋" w:cs="仿宋" w:hint="eastAsia"/>
          <w:sz w:val="32"/>
          <w:szCs w:val="32"/>
          <w:shd w:val="clear" w:color="auto" w:fill="FFFFFF"/>
        </w:rPr>
      </w:pPr>
      <w:r>
        <w:rPr>
          <w:rFonts w:ascii="仿宋" w:eastAsia="仿宋" w:cs="仿宋" w:hint="eastAsia"/>
          <w:bCs/>
          <w:sz w:val="32"/>
          <w:szCs w:val="32"/>
        </w:rPr>
        <w:t>编制数29人，其中：事业编制28人。202</w:t>
      </w:r>
      <w:r>
        <w:rPr>
          <w:rFonts w:ascii="仿宋" w:eastAsia="仿宋" w:cs="仿宋" w:hint="eastAsia"/>
          <w:bCs/>
          <w:sz w:val="32"/>
          <w:szCs w:val="32"/>
          <w:lang w:val="en-US" w:eastAsia="zh-CN"/>
        </w:rPr>
        <w:t>4</w:t>
      </w:r>
      <w:r>
        <w:rPr>
          <w:rFonts w:ascii="仿宋" w:eastAsia="仿宋" w:cs="仿宋" w:hint="eastAsia"/>
          <w:bCs/>
          <w:sz w:val="32"/>
          <w:szCs w:val="32"/>
        </w:rPr>
        <w:t>年末实有在职职工2</w:t>
      </w:r>
      <w:r>
        <w:rPr>
          <w:rFonts w:ascii="仿宋" w:eastAsia="仿宋" w:cs="仿宋" w:hint="eastAsia"/>
          <w:bCs/>
          <w:sz w:val="32"/>
          <w:szCs w:val="32"/>
          <w:lang w:val="en-US" w:eastAsia="zh-CN"/>
        </w:rPr>
        <w:t>4</w:t>
      </w:r>
      <w:r>
        <w:rPr>
          <w:rFonts w:ascii="仿宋" w:eastAsia="仿宋" w:cs="仿宋" w:hint="eastAsia"/>
          <w:bCs/>
          <w:sz w:val="32"/>
          <w:szCs w:val="32"/>
        </w:rPr>
        <w:t>人（其中：事业管理</w:t>
      </w:r>
      <w:r>
        <w:rPr>
          <w:rFonts w:ascii="仿宋" w:eastAsia="仿宋" w:cs="仿宋" w:hint="eastAsia"/>
          <w:bCs/>
          <w:sz w:val="32"/>
          <w:szCs w:val="32"/>
          <w:lang w:val="en-US" w:eastAsia="zh-CN"/>
        </w:rPr>
        <w:t>6</w:t>
      </w:r>
      <w:r>
        <w:rPr>
          <w:rFonts w:ascii="仿宋" w:eastAsia="仿宋" w:cs="仿宋" w:hint="eastAsia"/>
          <w:bCs/>
          <w:sz w:val="32"/>
          <w:szCs w:val="32"/>
        </w:rPr>
        <w:t>人，事业专技18人）.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highlight w:val="auto"/>
        </w:rPr>
      </w:pPr>
      <w:r>
        <w:rPr>
          <w:rFonts w:ascii="仿宋" w:eastAsia="仿宋" w:cs="仿宋" w:hint="eastAsia"/>
          <w:color w:val="000000"/>
          <w:kern w:val="0"/>
          <w:sz w:val="32"/>
          <w:szCs w:val="32"/>
          <w:shd w:val="clear" w:color="auto" w:fill="FFFFFF"/>
          <w:highlight w:val="auto"/>
        </w:rPr>
        <w:t>二、</w:t>
      </w:r>
      <w:r>
        <w:rPr>
          <w:rFonts w:ascii="仿宋" w:eastAsia="仿宋" w:cs="仿宋" w:hint="eastAsia"/>
          <w:color w:val="000000"/>
          <w:kern w:val="0"/>
          <w:sz w:val="32"/>
          <w:szCs w:val="32"/>
          <w:shd w:val="clear" w:color="auto" w:fill="FFFFFF"/>
          <w:lang w:eastAsia="zh-CN"/>
          <w:highlight w:val="auto"/>
        </w:rPr>
        <w:t>部门</w:t>
      </w:r>
      <w:r>
        <w:rPr>
          <w:rFonts w:ascii="仿宋" w:eastAsia="仿宋" w:cs="仿宋" w:hint="eastAsia"/>
          <w:color w:val="000000"/>
          <w:kern w:val="0"/>
          <w:sz w:val="32"/>
          <w:szCs w:val="32"/>
          <w:shd w:val="clear" w:color="auto" w:fill="FFFFFF"/>
          <w:highlight w:val="auto"/>
        </w:rPr>
        <w:t>资金收支情况</w:t>
      </w:r>
    </w:p>
    <w:p>
      <w:pPr>
        <w:widowControl/>
        <w:adjustRightInd w:val="0"/>
        <w:snapToGrid w:val="0"/>
        <w:spacing w:line="600" w:lineRule="exact"/>
        <w:ind w:firstLine="720"/>
        <w:jc w:val="left"/>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（一）收入情况。</w:t>
      </w:r>
    </w:p>
    <w:p>
      <w:pPr>
        <w:widowControl/>
        <w:adjustRightInd w:val="0"/>
        <w:snapToGrid w:val="0"/>
        <w:spacing w:line="600" w:lineRule="exact"/>
        <w:ind w:firstLine="720"/>
        <w:jc w:val="left"/>
        <w:rPr>
          <w:rFonts w:ascii="仿宋" w:eastAsia="仿宋" w:cs="仿宋" w:hint="eastAsia"/>
          <w:color w:val="000000"/>
          <w:kern w:val="0"/>
          <w:sz w:val="32"/>
          <w:szCs w:val="32"/>
          <w:shd w:val="clear" w:color="auto" w:fill="FFFFFF"/>
        </w:rPr>
      </w:pPr>
      <w:r>
        <w:rPr>
          <w:rFonts w:ascii="仿宋" w:eastAsia="仿宋" w:cs="仿宋" w:hint="eastAsia"/>
          <w:kern w:val="0"/>
          <w:sz w:val="32"/>
          <w:szCs w:val="32"/>
          <w:shd w:val="clear" w:color="auto" w:fill="FFFFFF"/>
        </w:rPr>
        <w:t>202</w:t>
      </w:r>
      <w:r>
        <w:rPr>
          <w:rFonts w:ascii="仿宋" w:eastAsia="仿宋" w:cs="仿宋" w:hint="eastAsia"/>
          <w:kern w:val="0"/>
          <w:sz w:val="32"/>
          <w:szCs w:val="32"/>
          <w:shd w:val="clear" w:color="auto" w:fill="FFFFFF"/>
          <w:lang w:val="en-US" w:eastAsia="zh-CN"/>
        </w:rPr>
        <w:t>4</w:t>
      </w:r>
      <w:r>
        <w:rPr>
          <w:rFonts w:ascii="仿宋" w:eastAsia="仿宋" w:cs="仿宋" w:hint="eastAsia"/>
          <w:kern w:val="0"/>
          <w:sz w:val="32"/>
          <w:szCs w:val="32"/>
          <w:shd w:val="clear" w:color="auto" w:fill="FFFFFF"/>
        </w:rPr>
        <w:t>年我单位一般公共预算财政拨款收总收入合计</w:t>
      </w:r>
      <w:r>
        <w:rPr>
          <w:rFonts w:ascii="仿宋" w:eastAsia="仿宋" w:cs="仿宋" w:hint="eastAsia"/>
          <w:kern w:val="0"/>
          <w:sz w:val="32"/>
          <w:szCs w:val="32"/>
          <w:shd w:val="clear" w:color="auto" w:fill="FFFFFF"/>
          <w:lang w:val="en-US" w:eastAsia="zh-CN"/>
        </w:rPr>
        <w:t>703.66</w:t>
      </w:r>
      <w:r>
        <w:rPr>
          <w:rFonts w:ascii="仿宋" w:eastAsia="仿宋" w:cs="仿宋" w:hint="eastAsia"/>
          <w:kern w:val="0"/>
          <w:sz w:val="32"/>
          <w:szCs w:val="32"/>
          <w:shd w:val="clear" w:color="auto" w:fill="FFFFFF"/>
        </w:rPr>
        <w:t>万元，其中：财政拨款收入</w:t>
      </w:r>
      <w:r>
        <w:rPr>
          <w:rFonts w:ascii="仿宋" w:eastAsia="仿宋" w:cs="仿宋" w:hint="eastAsia"/>
          <w:kern w:val="0"/>
          <w:sz w:val="32"/>
          <w:szCs w:val="32"/>
          <w:shd w:val="clear" w:color="auto" w:fill="FFFFFF"/>
          <w:lang w:val="en-US" w:eastAsia="zh-CN"/>
        </w:rPr>
        <w:t>703.66</w:t>
      </w:r>
      <w:r>
        <w:rPr>
          <w:rFonts w:ascii="仿宋" w:eastAsia="仿宋" w:cs="仿宋" w:hint="eastAsia"/>
          <w:kern w:val="0"/>
          <w:sz w:val="32"/>
          <w:szCs w:val="32"/>
          <w:shd w:val="clear" w:color="auto" w:fill="FFFFFF"/>
        </w:rPr>
        <w:t>万元。收入预算数总计为572.25万元，分别是文化旅游体育与传媒收入</w:t>
      </w:r>
      <w:r>
        <w:rPr>
          <w:rFonts w:ascii="仿宋" w:eastAsia="仿宋" w:cs="仿宋" w:hint="eastAsia"/>
          <w:kern w:val="0"/>
          <w:sz w:val="32"/>
          <w:szCs w:val="32"/>
          <w:shd w:val="clear" w:color="auto" w:fill="FFFFFF"/>
          <w:lang w:val="en-US" w:eastAsia="zh-CN"/>
        </w:rPr>
        <w:t>572.65</w:t>
      </w:r>
      <w:r>
        <w:rPr>
          <w:rFonts w:ascii="仿宋" w:eastAsia="仿宋" w:cs="仿宋" w:hint="eastAsia"/>
          <w:kern w:val="0"/>
          <w:sz w:val="32"/>
          <w:szCs w:val="32"/>
          <w:shd w:val="clear" w:color="auto" w:fill="FFFFFF"/>
        </w:rPr>
        <w:t>万元、社会保障和就业收入</w:t>
      </w:r>
      <w:r>
        <w:rPr>
          <w:rFonts w:ascii="仿宋" w:eastAsia="仿宋" w:cs="仿宋" w:hint="eastAsia"/>
          <w:kern w:val="0"/>
          <w:sz w:val="32"/>
          <w:szCs w:val="32"/>
          <w:shd w:val="clear" w:color="auto" w:fill="FFFFFF"/>
          <w:lang w:val="en-US" w:eastAsia="zh-CN"/>
        </w:rPr>
        <w:t>67.31</w:t>
      </w:r>
      <w:r>
        <w:rPr>
          <w:rFonts w:ascii="仿宋" w:eastAsia="仿宋" w:cs="仿宋" w:hint="eastAsia"/>
          <w:kern w:val="0"/>
          <w:sz w:val="32"/>
          <w:szCs w:val="32"/>
          <w:shd w:val="clear" w:color="auto" w:fill="FFFFFF"/>
        </w:rPr>
        <w:t>万元、卫生健康收入</w:t>
      </w:r>
      <w:r>
        <w:rPr>
          <w:rFonts w:ascii="仿宋" w:eastAsia="仿宋" w:cs="仿宋" w:hint="eastAsia"/>
          <w:kern w:val="0"/>
          <w:sz w:val="32"/>
          <w:szCs w:val="32"/>
          <w:shd w:val="clear" w:color="auto" w:fill="FFFFFF"/>
          <w:lang w:val="en-US" w:eastAsia="zh-CN"/>
        </w:rPr>
        <w:t>27.35</w:t>
      </w:r>
      <w:r>
        <w:rPr>
          <w:rFonts w:ascii="仿宋" w:eastAsia="仿宋" w:cs="仿宋" w:hint="eastAsia"/>
          <w:kern w:val="0"/>
          <w:sz w:val="32"/>
          <w:szCs w:val="32"/>
          <w:shd w:val="clear" w:color="auto" w:fill="FFFFFF"/>
        </w:rPr>
        <w:t>万元、住房保障收入</w:t>
      </w:r>
      <w:r>
        <w:rPr>
          <w:rFonts w:ascii="仿宋" w:eastAsia="仿宋" w:cs="仿宋" w:hint="eastAsia"/>
          <w:kern w:val="0"/>
          <w:sz w:val="32"/>
          <w:szCs w:val="32"/>
          <w:shd w:val="clear" w:color="auto" w:fill="FFFFFF"/>
          <w:lang w:val="en-US" w:eastAsia="zh-CN"/>
        </w:rPr>
        <w:t>36.34</w:t>
      </w:r>
      <w:r>
        <w:rPr>
          <w:rFonts w:ascii="仿宋" w:eastAsia="仿宋" w:cs="仿宋" w:hint="eastAsia"/>
          <w:kern w:val="0"/>
          <w:sz w:val="32"/>
          <w:szCs w:val="32"/>
          <w:shd w:val="clear" w:color="auto" w:fill="FFFFFF"/>
        </w:rPr>
        <w:t>万元。</w:t>
      </w:r>
      <w:r>
        <w:rPr>
          <w:rFonts w:ascii="仿宋" w:eastAsia="仿宋" w:cs="仿宋" w:hint="eastAsia"/>
          <w:color w:val="000000"/>
          <w:sz w:val="32"/>
          <w:szCs w:val="32"/>
        </w:rPr>
        <w:t xml:space="preserve">   </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bCs/>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（二）支出情况。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sz w:val="32"/>
          <w:szCs w:val="32"/>
        </w:rPr>
      </w:pPr>
      <w:r>
        <w:rPr>
          <w:rFonts w:ascii="仿宋" w:eastAsia="仿宋" w:cs="仿宋" w:hint="eastAsia"/>
          <w:kern w:val="0"/>
          <w:sz w:val="32"/>
          <w:szCs w:val="32"/>
          <w:shd w:val="clear" w:color="auto" w:fill="FFFFFF"/>
        </w:rPr>
        <w:t>202</w:t>
      </w:r>
      <w:r>
        <w:rPr>
          <w:rFonts w:ascii="仿宋" w:eastAsia="仿宋" w:cs="仿宋" w:hint="eastAsia"/>
          <w:kern w:val="0"/>
          <w:sz w:val="32"/>
          <w:szCs w:val="32"/>
          <w:shd w:val="clear" w:color="auto" w:fill="FFFFFF"/>
          <w:lang w:val="en-US" w:eastAsia="zh-CN"/>
        </w:rPr>
        <w:t>4</w:t>
      </w:r>
      <w:r>
        <w:rPr>
          <w:rFonts w:ascii="仿宋" w:eastAsia="仿宋" w:cs="仿宋" w:hint="eastAsia"/>
          <w:kern w:val="0"/>
          <w:sz w:val="32"/>
          <w:szCs w:val="32"/>
          <w:shd w:val="clear" w:color="auto" w:fill="FFFFFF"/>
        </w:rPr>
        <w:t>年我单位一般公共预算财政拨款收总支出合计</w:t>
      </w:r>
      <w:r>
        <w:rPr>
          <w:rFonts w:ascii="仿宋" w:eastAsia="仿宋" w:cs="仿宋" w:hint="eastAsia"/>
          <w:kern w:val="0"/>
          <w:sz w:val="32"/>
          <w:szCs w:val="32"/>
          <w:shd w:val="clear" w:color="auto" w:fill="FFFFFF"/>
          <w:lang w:val="en-US" w:eastAsia="zh-CN"/>
        </w:rPr>
        <w:t>703.66</w:t>
      </w:r>
      <w:r>
        <w:rPr>
          <w:rFonts w:ascii="仿宋" w:eastAsia="仿宋" w:cs="仿宋" w:hint="eastAsia"/>
          <w:kern w:val="0"/>
          <w:sz w:val="32"/>
          <w:szCs w:val="32"/>
          <w:shd w:val="clear" w:color="auto" w:fill="FFFFFF"/>
        </w:rPr>
        <w:t>万元，其中：财政拨款支出</w:t>
      </w:r>
      <w:r>
        <w:rPr>
          <w:rFonts w:ascii="仿宋" w:eastAsia="仿宋" w:cs="仿宋" w:hint="eastAsia"/>
          <w:kern w:val="0"/>
          <w:sz w:val="32"/>
          <w:szCs w:val="32"/>
          <w:shd w:val="clear" w:color="auto" w:fill="FFFFFF"/>
          <w:lang w:val="en-US" w:eastAsia="zh-CN"/>
        </w:rPr>
        <w:t>703.66</w:t>
      </w:r>
      <w:r>
        <w:rPr>
          <w:rFonts w:ascii="仿宋" w:eastAsia="仿宋" w:cs="仿宋" w:hint="eastAsia"/>
          <w:kern w:val="0"/>
          <w:sz w:val="32"/>
          <w:szCs w:val="32"/>
          <w:shd w:val="clear" w:color="auto" w:fill="FFFFFF"/>
        </w:rPr>
        <w:t>万元。支出预算数总计为</w:t>
      </w:r>
      <w:r>
        <w:rPr>
          <w:rFonts w:ascii="仿宋" w:eastAsia="仿宋" w:cs="仿宋" w:hint="eastAsia"/>
          <w:kern w:val="0"/>
          <w:sz w:val="32"/>
          <w:szCs w:val="32"/>
          <w:shd w:val="clear" w:color="auto" w:fill="FFFFFF"/>
          <w:lang w:val="en-US" w:eastAsia="zh-CN"/>
        </w:rPr>
        <w:t>703.66</w:t>
      </w:r>
      <w:r>
        <w:rPr>
          <w:rFonts w:ascii="仿宋" w:eastAsia="仿宋" w:cs="仿宋" w:hint="eastAsia"/>
          <w:kern w:val="0"/>
          <w:sz w:val="32"/>
          <w:szCs w:val="32"/>
          <w:shd w:val="clear" w:color="auto" w:fill="FFFFFF"/>
        </w:rPr>
        <w:t>万元，分别是文化旅游体育与传媒支出</w:t>
      </w:r>
      <w:r>
        <w:rPr>
          <w:rFonts w:ascii="仿宋" w:eastAsia="仿宋" w:cs="仿宋" w:hint="eastAsia"/>
          <w:kern w:val="0"/>
          <w:sz w:val="32"/>
          <w:szCs w:val="32"/>
          <w:shd w:val="clear" w:color="auto" w:fill="FFFFFF"/>
          <w:lang w:val="en-US" w:eastAsia="zh-CN"/>
        </w:rPr>
        <w:t>572.65</w:t>
      </w:r>
      <w:r>
        <w:rPr>
          <w:rFonts w:ascii="仿宋" w:eastAsia="仿宋" w:cs="仿宋" w:hint="eastAsia"/>
          <w:kern w:val="0"/>
          <w:sz w:val="32"/>
          <w:szCs w:val="32"/>
          <w:shd w:val="clear" w:color="auto" w:fill="FFFFFF"/>
        </w:rPr>
        <w:t>万元、社会保障和就业支出</w:t>
      </w:r>
      <w:r>
        <w:rPr>
          <w:rFonts w:ascii="仿宋" w:eastAsia="仿宋" w:cs="仿宋" w:hint="eastAsia"/>
          <w:kern w:val="0"/>
          <w:sz w:val="32"/>
          <w:szCs w:val="32"/>
          <w:shd w:val="clear" w:color="auto" w:fill="FFFFFF"/>
          <w:lang w:val="en-US" w:eastAsia="zh-CN"/>
        </w:rPr>
        <w:t>67.31</w:t>
      </w:r>
      <w:r>
        <w:rPr>
          <w:rFonts w:ascii="仿宋" w:eastAsia="仿宋" w:cs="仿宋" w:hint="eastAsia"/>
          <w:kern w:val="0"/>
          <w:sz w:val="32"/>
          <w:szCs w:val="32"/>
          <w:shd w:val="clear" w:color="auto" w:fill="FFFFFF"/>
        </w:rPr>
        <w:t>万元、卫生健康支出</w:t>
      </w:r>
      <w:r>
        <w:rPr>
          <w:rFonts w:ascii="仿宋" w:eastAsia="仿宋" w:cs="仿宋" w:hint="eastAsia"/>
          <w:kern w:val="0"/>
          <w:sz w:val="32"/>
          <w:szCs w:val="32"/>
          <w:shd w:val="clear" w:color="auto" w:fill="FFFFFF"/>
          <w:lang w:val="en-US" w:eastAsia="zh-CN"/>
        </w:rPr>
        <w:t>27.35</w:t>
      </w:r>
      <w:r>
        <w:rPr>
          <w:rFonts w:ascii="仿宋" w:eastAsia="仿宋" w:cs="仿宋" w:hint="eastAsia"/>
          <w:kern w:val="0"/>
          <w:sz w:val="32"/>
          <w:szCs w:val="32"/>
          <w:shd w:val="clear" w:color="auto" w:fill="FFFFFF"/>
        </w:rPr>
        <w:t>万元、住房保障支出</w:t>
      </w:r>
      <w:r>
        <w:rPr>
          <w:rFonts w:ascii="仿宋" w:eastAsia="仿宋" w:cs="仿宋" w:hint="eastAsia"/>
          <w:kern w:val="0"/>
          <w:sz w:val="32"/>
          <w:szCs w:val="32"/>
          <w:shd w:val="clear" w:color="auto" w:fill="FFFFFF"/>
          <w:lang w:val="en-US" w:eastAsia="zh-CN"/>
        </w:rPr>
        <w:t>36.34</w:t>
      </w:r>
      <w:r>
        <w:rPr>
          <w:rFonts w:ascii="仿宋" w:eastAsia="仿宋" w:cs="仿宋" w:hint="eastAsia"/>
          <w:kern w:val="0"/>
          <w:sz w:val="32"/>
          <w:szCs w:val="32"/>
          <w:shd w:val="clear" w:color="auto" w:fill="FFFFFF"/>
        </w:rPr>
        <w:t>万元。</w:t>
      </w:r>
      <w:r>
        <w:rPr>
          <w:rFonts w:ascii="仿宋" w:eastAsia="仿宋" w:cs="仿宋" w:hint="eastAsia"/>
          <w:color w:val="000000"/>
          <w:sz w:val="32"/>
          <w:szCs w:val="32"/>
        </w:rPr>
        <w:t xml:space="preserve">    </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sz w:val="32"/>
          <w:szCs w:val="32"/>
          <w:lang w:eastAsia="zh-CN"/>
        </w:rPr>
      </w:pPr>
      <w:r>
        <w:rPr>
          <w:rFonts w:ascii="仿宋" w:eastAsia="仿宋" w:cs="仿宋" w:hint="eastAsia"/>
          <w:b/>
          <w:bCs/>
          <w:color w:val="000000"/>
          <w:kern w:val="0"/>
          <w:sz w:val="32"/>
          <w:szCs w:val="32"/>
          <w:shd w:val="clear" w:color="auto" w:fill="FFFFFF"/>
          <w:lang w:val="zh-CN"/>
          <w:highlight w:val="auto"/>
        </w:rPr>
        <w:t>（三）</w:t>
      </w:r>
      <w:r>
        <w:rPr>
          <w:rFonts w:ascii="仿宋" w:eastAsia="仿宋" w:cs="仿宋" w:hint="eastAsia"/>
          <w:b/>
          <w:sz w:val="32"/>
          <w:szCs w:val="32"/>
        </w:rPr>
        <w:t>结余分配和结转结余情况</w:t>
      </w:r>
      <w:r>
        <w:rPr>
          <w:rFonts w:ascii="仿宋" w:eastAsia="仿宋" w:cs="仿宋" w:hint="eastAsia"/>
          <w:b/>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val="0"/>
          <w:bCs w:val="0"/>
          <w:color w:val="000000"/>
          <w:kern w:val="0"/>
          <w:sz w:val="32"/>
          <w:szCs w:val="32"/>
          <w:shd w:val="clear" w:color="auto" w:fill="FFFFFF"/>
          <w:lang w:val="zh-CN" w:eastAsia="zh-CN"/>
          <w:highlight w:val="auto"/>
        </w:rPr>
      </w:pPr>
      <w:r>
        <w:rPr>
          <w:rFonts w:ascii="仿宋" w:eastAsia="仿宋" w:cs="仿宋" w:hint="eastAsia"/>
          <w:sz w:val="32"/>
          <w:szCs w:val="32"/>
          <w:lang w:val="en-US" w:eastAsia="zh-CN"/>
        </w:rPr>
        <w:t>2024年决算报表无</w:t>
      </w:r>
      <w:r>
        <w:rPr>
          <w:rFonts w:ascii="仿宋" w:eastAsia="仿宋" w:cs="仿宋" w:hint="eastAsia"/>
          <w:b w:val="0"/>
          <w:bCs w:val="0"/>
          <w:color w:val="000000"/>
          <w:kern w:val="0"/>
          <w:sz w:val="32"/>
          <w:szCs w:val="32"/>
          <w:shd w:val="clear" w:color="auto" w:fill="FFFFFF"/>
          <w:lang w:val="en-US" w:eastAsia="zh-CN"/>
          <w:highlight w:val="auto"/>
        </w:rPr>
        <w:t>结转结余情况。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highlight w:val="auto"/>
        </w:rPr>
      </w:pPr>
      <w:r>
        <w:rPr>
          <w:rFonts w:ascii="仿宋" w:eastAsia="仿宋" w:cs="仿宋" w:hint="eastAsia"/>
          <w:color w:val="000000"/>
          <w:kern w:val="0"/>
          <w:sz w:val="32"/>
          <w:szCs w:val="32"/>
          <w:shd w:val="clear" w:color="auto" w:fill="FFFFFF"/>
          <w:highlight w:val="auto"/>
        </w:rPr>
        <w:t>三、</w:t>
      </w:r>
      <w:r>
        <w:rPr>
          <w:rFonts w:ascii="仿宋" w:eastAsia="仿宋" w:cs="仿宋" w:hint="eastAsia"/>
          <w:color w:val="000000"/>
          <w:kern w:val="0"/>
          <w:sz w:val="32"/>
          <w:szCs w:val="32"/>
          <w:u w:val="none"/>
          <w:shd w:val="clear" w:color="auto" w:fill="FFFFFF"/>
          <w:highlight w:val="auto"/>
        </w:rPr>
        <w:t>部门</w:t>
      </w:r>
      <w:r>
        <w:rPr>
          <w:rFonts w:ascii="仿宋" w:eastAsia="仿宋" w:cs="仿宋" w:hint="eastAsia"/>
          <w:color w:val="000000"/>
          <w:kern w:val="0"/>
          <w:sz w:val="32"/>
          <w:szCs w:val="32"/>
          <w:u w:val="none"/>
          <w:shd w:val="clear" w:color="auto" w:fill="FFFFFF"/>
          <w:lang w:eastAsia="zh-CN"/>
          <w:highlight w:val="auto"/>
        </w:rPr>
        <w:t>预算</w:t>
      </w:r>
      <w:r>
        <w:rPr>
          <w:rFonts w:ascii="仿宋" w:eastAsia="仿宋" w:cs="仿宋" w:hint="eastAsia"/>
          <w:color w:val="000000"/>
          <w:kern w:val="0"/>
          <w:sz w:val="32"/>
          <w:szCs w:val="32"/>
          <w:u w:val="none"/>
          <w:shd w:val="clear" w:color="auto" w:fill="FFFFFF"/>
          <w:highlight w:val="auto"/>
        </w:rPr>
        <w:t>绩效</w:t>
      </w:r>
      <w:r>
        <w:rPr>
          <w:rFonts w:ascii="仿宋" w:eastAsia="仿宋" w:cs="仿宋" w:hint="eastAsia"/>
          <w:color w:val="000000"/>
          <w:kern w:val="0"/>
          <w:sz w:val="32"/>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highlight w:val="auto"/>
        </w:rPr>
      </w:pPr>
      <w:r>
        <w:rPr>
          <w:rFonts w:ascii="仿宋" w:eastAsia="仿宋" w:cs="仿宋" w:hint="eastAsia"/>
          <w:b/>
          <w:bCs/>
          <w:color w:val="000000"/>
          <w:kern w:val="0"/>
          <w:sz w:val="32"/>
          <w:szCs w:val="32"/>
          <w:shd w:val="clear" w:color="auto" w:fill="FFFFFF"/>
          <w:lang w:val="zh-CN"/>
          <w:highlight w:val="auto"/>
        </w:rPr>
        <w:t>（一）部门预算总体绩效分析。</w:t>
      </w:r>
    </w:p>
    <w:p>
      <w:pPr>
        <w:spacing w:line="576" w:lineRule="exact"/>
        <w:ind w:firstLineChars="200" w:firstLine="640"/>
        <w:jc w:val="left"/>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1.</w:t>
      </w:r>
      <w:r>
        <w:rPr>
          <w:rFonts w:ascii="仿宋" w:eastAsia="仿宋" w:cs="仿宋" w:hint="eastAsia"/>
          <w:color w:val="000000"/>
          <w:kern w:val="0"/>
          <w:sz w:val="32"/>
          <w:szCs w:val="32"/>
          <w:shd w:val="clear" w:color="auto" w:fill="FFFFFF"/>
          <w:lang w:val="zh-CN"/>
          <w:highlight w:val="auto"/>
        </w:rPr>
        <w:t>履职效能</w:t>
      </w:r>
    </w:p>
    <w:p>
      <w:pPr>
        <w:spacing w:line="576" w:lineRule="exact"/>
        <w:ind w:firstLineChars="200" w:firstLine="640"/>
        <w:jc w:val="left"/>
        <w:rPr>
          <w:rFonts w:ascii="仿宋" w:eastAsia="仿宋" w:cs="仿宋" w:hint="eastAsia"/>
          <w:sz w:val="32"/>
          <w:szCs w:val="32"/>
          <w:shd w:val="clear" w:color="auto" w:fill="FFFFFF"/>
          <w:lang w:val="en-US" w:eastAsia="zh-CN"/>
        </w:rPr>
      </w:pPr>
      <w:r>
        <w:rPr>
          <w:rFonts w:ascii="仿宋" w:eastAsia="仿宋" w:cs="仿宋" w:hint="eastAsia"/>
          <w:sz w:val="32"/>
          <w:szCs w:val="32"/>
          <w:shd w:val="clear" w:color="auto" w:fill="FFFFFF"/>
          <w:lang w:val="en-US" w:eastAsia="zh-CN"/>
        </w:rPr>
        <w:t>2024年保障已经建成的县级应急广播播控平台、电视户户通工程正常运行。</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b w:val="0"/>
          <w:kern w:val="2"/>
          <w:sz w:val="32"/>
          <w:szCs w:val="32"/>
          <w:lang w:val="en-US" w:eastAsia="zh-CN" w:bidi="ar-SA"/>
        </w:rPr>
      </w:pPr>
      <w:r>
        <w:rPr>
          <w:rFonts w:ascii="仿宋" w:eastAsia="仿宋" w:cs="仿宋" w:hint="eastAsia"/>
          <w:b w:val="0"/>
          <w:kern w:val="2"/>
          <w:sz w:val="32"/>
          <w:szCs w:val="32"/>
          <w:lang w:val="en-US" w:eastAsia="zh-CN" w:bidi="ar-SA"/>
        </w:rPr>
        <w:t>产出指标：质量指标：安全播出可用度≥90%</w:t>
      </w:r>
    </w:p>
    <w:p>
      <w:pPr>
        <w:spacing w:line="240" w:lineRule="auto"/>
        <w:ind w:left="0" w:firstLineChars="200" w:firstLine="640"/>
        <w:jc w:val="left"/>
        <w:rPr>
          <w:rFonts w:ascii="仿宋" w:eastAsia="仿宋" w:cs="仿宋" w:hint="eastAsia"/>
          <w:b w:val="0"/>
          <w:kern w:val="2"/>
          <w:sz w:val="32"/>
          <w:szCs w:val="32"/>
          <w:lang w:val="en-US" w:eastAsia="zh-CN" w:bidi="ar-SA"/>
        </w:rPr>
      </w:pPr>
      <w:r>
        <w:rPr>
          <w:rFonts w:ascii="仿宋" w:eastAsia="仿宋" w:cs="仿宋" w:hint="eastAsia"/>
          <w:b w:val="0"/>
          <w:kern w:val="2"/>
          <w:sz w:val="32"/>
          <w:szCs w:val="32"/>
          <w:lang w:val="en-US" w:eastAsia="zh-CN" w:bidi="ar-SA"/>
        </w:rPr>
        <w:t>效益指标：社会效益指标：人民群众满意度≥90%</w:t>
      </w:r>
    </w:p>
    <w:p>
      <w:pPr>
        <w:pStyle w:val="141"/>
        <w:spacing w:line="240" w:lineRule="auto"/>
        <w:ind w:left="0" w:firstLineChars="200" w:firstLine="640"/>
        <w:jc w:val="left"/>
        <w:rPr>
          <w:rFonts w:ascii="仿宋" w:eastAsia="仿宋" w:cs="仿宋" w:hint="eastAsia"/>
          <w:b w:val="0"/>
          <w:kern w:val="2"/>
          <w:sz w:val="32"/>
          <w:szCs w:val="32"/>
          <w:lang w:val="en-US" w:eastAsia="zh-CN" w:bidi="ar-SA"/>
        </w:rPr>
      </w:pPr>
      <w:r>
        <w:rPr>
          <w:rFonts w:ascii="仿宋" w:eastAsia="仿宋" w:cs="仿宋" w:hint="eastAsia"/>
          <w:b w:val="0"/>
          <w:kern w:val="2"/>
          <w:sz w:val="32"/>
          <w:szCs w:val="32"/>
          <w:lang w:val="en-US" w:eastAsia="zh-CN" w:bidi="ar-SA"/>
        </w:rPr>
        <w:t>产出指标：数量指标：广播电视用户数量≥1.6万户</w:t>
      </w:r>
    </w:p>
    <w:p>
      <w:pPr>
        <w:spacing w:line="580" w:lineRule="exact"/>
        <w:ind w:left="0" w:firstLineChars="200" w:firstLine="640"/>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预算管理。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Chars="200" w:firstLine="640"/>
        <w:jc w:val="left"/>
        <w:textAlignment w:val="auto"/>
        <w:rPr>
          <w:rStyle w:val="26"/>
          <w:rFonts w:ascii="仿宋" w:eastAsia="仿宋" w:cs="仿宋" w:hint="eastAsia"/>
          <w:b w:val="0"/>
          <w:bCs w:val="0"/>
          <w:color w:val="auto"/>
          <w:sz w:val="32"/>
          <w:szCs w:val="32"/>
          <w:lang w:val="en-US" w:eastAsia="zh-CN"/>
        </w:rPr>
      </w:pPr>
      <w:r>
        <w:rPr>
          <w:rFonts w:ascii="仿宋" w:eastAsia="仿宋" w:cs="仿宋" w:hint="eastAsia"/>
          <w:b w:val="0"/>
          <w:bCs w:val="0"/>
          <w:color w:val="auto"/>
          <w:kern w:val="0"/>
          <w:sz w:val="32"/>
          <w:szCs w:val="32"/>
          <w:shd w:val="clear" w:color="auto" w:fill="FFFFFF"/>
          <w:lang w:val="zh-CN"/>
          <w:highlight w:val="auto"/>
        </w:rPr>
        <w:t>预算编制准确，</w:t>
      </w:r>
      <w:r>
        <w:rPr>
          <w:rStyle w:val="26"/>
          <w:rFonts w:ascii="仿宋" w:eastAsia="仿宋" w:cs="仿宋" w:hint="eastAsia"/>
          <w:b w:val="0"/>
          <w:bCs w:val="0"/>
          <w:color w:val="auto"/>
          <w:sz w:val="32"/>
          <w:szCs w:val="32"/>
          <w:lang w:val="zh-CN"/>
        </w:rPr>
        <w:t>科学细化编制预算，为预算执行打好基础预算编制是财政管理的源头，预算编制是否科学合理直接影响执行效率。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Style w:val="26"/>
          <w:rFonts w:ascii="仿宋" w:eastAsia="仿宋" w:cs="仿宋" w:hint="eastAsia"/>
          <w:b w:val="0"/>
          <w:bCs w:val="0"/>
          <w:color w:val="auto"/>
          <w:sz w:val="32"/>
          <w:szCs w:val="32"/>
          <w:lang w:eastAsia="zh-CN"/>
        </w:rPr>
      </w:pPr>
      <w:r>
        <w:rPr>
          <w:rFonts w:ascii="仿宋" w:eastAsia="仿宋" w:cs="仿宋" w:hint="eastAsia"/>
          <w:b w:val="0"/>
          <w:bCs w:val="0"/>
          <w:color w:val="auto"/>
          <w:kern w:val="0"/>
          <w:sz w:val="32"/>
          <w:szCs w:val="32"/>
          <w:shd w:val="clear" w:color="auto" w:fill="FFFFFF"/>
          <w:lang w:val="zh-CN"/>
          <w:highlight w:val="auto"/>
        </w:rPr>
        <w:t>单位收入统筹</w:t>
      </w:r>
      <w:r>
        <w:rPr>
          <w:rStyle w:val="26"/>
          <w:rFonts w:ascii="仿宋" w:eastAsia="仿宋" w:cs="仿宋" w:hint="eastAsia"/>
          <w:b w:val="0"/>
          <w:bCs w:val="0"/>
          <w:color w:val="auto"/>
          <w:sz w:val="32"/>
          <w:szCs w:val="32"/>
          <w:lang w:eastAsia="zh-CN"/>
        </w:rPr>
        <w:t>我</w:t>
      </w:r>
      <w:r>
        <w:rPr>
          <w:rStyle w:val="26"/>
          <w:rFonts w:ascii="仿宋" w:eastAsia="仿宋" w:cs="仿宋" w:hint="eastAsia"/>
          <w:b w:val="0"/>
          <w:bCs w:val="0"/>
          <w:color w:val="auto"/>
          <w:sz w:val="32"/>
          <w:szCs w:val="32"/>
          <w:lang w:val="en-US" w:eastAsia="zh-CN"/>
        </w:rPr>
        <w:t>中心</w:t>
      </w:r>
      <w:r>
        <w:rPr>
          <w:rStyle w:val="26"/>
          <w:rFonts w:ascii="仿宋" w:eastAsia="仿宋" w:cs="仿宋" w:hint="eastAsia"/>
          <w:b w:val="0"/>
          <w:bCs w:val="0"/>
          <w:color w:val="auto"/>
          <w:sz w:val="32"/>
          <w:szCs w:val="32"/>
          <w:lang w:eastAsia="zh-CN"/>
        </w:rPr>
        <w:t>对</w:t>
      </w:r>
      <w:r>
        <w:rPr>
          <w:rStyle w:val="26"/>
          <w:rFonts w:ascii="仿宋" w:eastAsia="仿宋" w:cs="仿宋" w:hint="eastAsia"/>
          <w:b w:val="0"/>
          <w:bCs w:val="0"/>
          <w:color w:val="auto"/>
          <w:sz w:val="32"/>
          <w:szCs w:val="32"/>
        </w:rPr>
        <w:t>相应用款进行及时清理和处理，做到账账相符、账实相符、账证相符</w:t>
      </w:r>
      <w:r>
        <w:rPr>
          <w:rStyle w:val="26"/>
          <w:rFonts w:ascii="仿宋" w:eastAsia="仿宋" w:cs="仿宋" w:hint="eastAsia"/>
          <w:b w:val="0"/>
          <w:bCs w:val="0"/>
          <w:color w:val="auto"/>
          <w:sz w:val="32"/>
          <w:szCs w:val="32"/>
          <w:lang w:eastAsia="zh-CN"/>
        </w:rPr>
        <w:t>，</w:t>
      </w:r>
      <w:r>
        <w:rPr>
          <w:rStyle w:val="26"/>
          <w:rFonts w:ascii="仿宋" w:eastAsia="仿宋" w:cs="仿宋" w:hint="eastAsia"/>
          <w:b w:val="0"/>
          <w:bCs w:val="0"/>
          <w:color w:val="auto"/>
          <w:sz w:val="32"/>
          <w:szCs w:val="32"/>
        </w:rPr>
        <w:t>先有预算再有支出的原则，及时处理相关事务</w:t>
      </w:r>
      <w:r>
        <w:rPr>
          <w:rStyle w:val="26"/>
          <w:rFonts w:ascii="仿宋" w:eastAsia="仿宋" w:cs="仿宋" w:hint="eastAsia"/>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Style w:val="26"/>
          <w:rFonts w:ascii="仿宋" w:eastAsia="仿宋" w:cs="仿宋" w:hint="eastAsia"/>
          <w:b w:val="0"/>
          <w:bCs/>
          <w:color w:val="auto"/>
          <w:sz w:val="32"/>
          <w:szCs w:val="32"/>
          <w:lang w:val="zh-CN"/>
        </w:rPr>
      </w:pPr>
      <w:r>
        <w:rPr>
          <w:rFonts w:ascii="仿宋" w:eastAsia="仿宋" w:cs="仿宋" w:hint="eastAsia"/>
          <w:b w:val="0"/>
          <w:bCs w:val="0"/>
          <w:color w:val="auto"/>
          <w:kern w:val="0"/>
          <w:sz w:val="32"/>
          <w:szCs w:val="32"/>
          <w:shd w:val="clear" w:color="auto" w:fill="FFFFFF"/>
          <w:lang w:val="zh-CN"/>
          <w:highlight w:val="auto"/>
        </w:rPr>
        <w:t>支出执行进度</w:t>
      </w:r>
      <w:r>
        <w:rPr>
          <w:rFonts w:ascii="仿宋" w:eastAsia="仿宋" w:cs="仿宋" w:hint="eastAsia"/>
          <w:b w:val="0"/>
          <w:bCs w:val="0"/>
          <w:color w:val="000000"/>
          <w:kern w:val="0"/>
          <w:sz w:val="32"/>
          <w:szCs w:val="32"/>
          <w:lang w:val="zh-CN"/>
        </w:rPr>
        <w:t>为进</w:t>
      </w:r>
      <w:r>
        <w:rPr>
          <w:rFonts w:ascii="仿宋" w:eastAsia="仿宋" w:cs="仿宋" w:hint="eastAsia"/>
          <w:color w:val="000000"/>
          <w:kern w:val="0"/>
          <w:sz w:val="32"/>
          <w:szCs w:val="32"/>
          <w:lang w:val="zh-CN"/>
        </w:rPr>
        <w:t>一步提高加快预算执行进度重要性的认识部门预算一经人大批复即具有法律效力，必须坚决地、不折不扣地执行。加快专项资金分解落实工作，凡是预算安排和上级转移支付的专项资金，原则上在二十日内都要分解落实到具体项目。项目资金按程序进行支付，强化用款计划管理。</w:t>
      </w:r>
    </w:p>
    <w:p>
      <w:pPr>
        <w:keepNext w:val="0"/>
        <w:keepLines w:val="0"/>
        <w:pageBreakBefore w:val="0"/>
        <w:widowControl w:val="0"/>
        <w:kinsoku/>
        <w:wordWrap/>
        <w:overflowPunct/>
        <w:topLinePunct w:val="0"/>
        <w:autoSpaceDE/>
        <w:autoSpaceDN/>
        <w:bidi w:val="0"/>
        <w:adjustRightInd w:val="0"/>
        <w:snapToGrid w:val="0"/>
        <w:spacing w:line="578" w:lineRule="exact"/>
        <w:ind w:leftChars="300" w:left="630"/>
        <w:contextualSpacing/>
        <w:jc w:val="left"/>
        <w:textAlignment w:val="auto"/>
        <w:outlineLvl w:val="9"/>
        <w:rPr>
          <w:rFonts w:ascii="仿宋" w:eastAsia="仿宋" w:cs="仿宋" w:hint="eastAsia"/>
          <w:color w:val="333333"/>
          <w:kern w:val="0"/>
          <w:sz w:val="32"/>
          <w:szCs w:val="32"/>
          <w:shd w:val="clear" w:color="auto" w:fill="FFFFFF"/>
          <w:lang w:bidi="ar-SA"/>
        </w:rPr>
      </w:pP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财务管理。</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ascii="仿宋" w:eastAsia="仿宋" w:cs="仿宋" w:hint="eastAsia"/>
          <w:color w:val="333333"/>
          <w:kern w:val="0"/>
          <w:sz w:val="32"/>
          <w:szCs w:val="32"/>
          <w:shd w:val="clear" w:color="auto" w:fill="FFFFFF"/>
          <w:lang w:bidi="ar-SA"/>
        </w:rPr>
      </w:pPr>
      <w:r>
        <w:rPr>
          <w:rFonts w:ascii="仿宋" w:eastAsia="仿宋" w:cs="仿宋" w:hint="eastAsia"/>
          <w:color w:val="auto"/>
          <w:kern w:val="0"/>
          <w:sz w:val="32"/>
          <w:szCs w:val="32"/>
          <w:shd w:val="clear" w:color="auto" w:fill="FFFFFF"/>
          <w:lang w:val="zh-CN"/>
          <w:highlight w:val="auto"/>
        </w:rPr>
        <w:t>我</w:t>
      </w:r>
      <w:r>
        <w:rPr>
          <w:rFonts w:ascii="仿宋" w:eastAsia="仿宋" w:cs="仿宋" w:hint="eastAsia"/>
          <w:color w:val="auto"/>
          <w:kern w:val="0"/>
          <w:sz w:val="32"/>
          <w:szCs w:val="32"/>
          <w:shd w:val="clear" w:color="auto" w:fill="FFFFFF"/>
          <w:lang w:val="en-US" w:eastAsia="zh-CN"/>
          <w:highlight w:val="auto"/>
        </w:rPr>
        <w:t>中心</w:t>
      </w:r>
      <w:r>
        <w:rPr>
          <w:rFonts w:ascii="仿宋" w:eastAsia="仿宋" w:cs="仿宋" w:hint="eastAsia"/>
          <w:color w:val="auto"/>
          <w:kern w:val="0"/>
          <w:sz w:val="32"/>
          <w:szCs w:val="32"/>
          <w:shd w:val="clear" w:color="auto" w:fill="FFFFFF"/>
          <w:lang w:val="zh-CN"/>
          <w:highlight w:val="auto"/>
        </w:rPr>
        <w:t>财务管理制度健全、财务岗位设置合理、资金使用规范。</w:t>
      </w:r>
      <w:r>
        <w:rPr>
          <w:rFonts w:ascii="仿宋" w:eastAsia="仿宋" w:cs="仿宋" w:hint="eastAsia"/>
          <w:color w:val="333333"/>
          <w:kern w:val="0"/>
          <w:sz w:val="32"/>
          <w:szCs w:val="32"/>
          <w:shd w:val="clear" w:color="auto" w:fill="FFFFFF"/>
          <w:lang w:bidi="ar-SA"/>
        </w:rPr>
        <w:t>严格执行国库集中支付、公务卡等相关管理制度，规范各项支出审核，严防超支，不断促进财务管理的法制化、科学化、合理化运行。</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Chars="300" w:left="630" w:right="0"/>
        <w:contextualSpacing/>
        <w:jc w:val="left"/>
        <w:textAlignment w:val="auto"/>
        <w:outlineLvl w:val="9"/>
        <w:rPr>
          <w:rFonts w:ascii="仿宋" w:eastAsia="仿宋" w:cs="仿宋" w:hint="eastAsia"/>
          <w:color w:val="auto"/>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4.</w:t>
      </w:r>
      <w:r>
        <w:rPr>
          <w:rFonts w:ascii="仿宋" w:eastAsia="仿宋" w:cs="仿宋" w:hint="eastAsia"/>
          <w:color w:val="000000"/>
          <w:kern w:val="0"/>
          <w:sz w:val="32"/>
          <w:szCs w:val="32"/>
          <w:shd w:val="clear" w:color="auto" w:fill="FFFFFF"/>
          <w:lang w:val="zh-CN"/>
          <w:highlight w:val="auto"/>
        </w:rPr>
        <w:t>资产管理。</w:t>
      </w:r>
      <w:r>
        <w:rPr>
          <w:rFonts w:ascii="仿宋" w:eastAsia="仿宋" w:cs="仿宋" w:hint="eastAsia"/>
          <w:color w:val="auto"/>
          <w:kern w:val="0"/>
          <w:sz w:val="32"/>
          <w:szCs w:val="32"/>
          <w:shd w:val="clear" w:color="auto" w:fill="FFFFFF"/>
          <w:lang w:val="zh-CN"/>
          <w:highlight w:val="auto"/>
        </w:rPr>
        <w:t>我</w:t>
      </w:r>
      <w:r>
        <w:rPr>
          <w:rFonts w:ascii="仿宋" w:eastAsia="仿宋" w:cs="仿宋" w:hint="eastAsia"/>
          <w:color w:val="auto"/>
          <w:kern w:val="0"/>
          <w:sz w:val="32"/>
          <w:szCs w:val="32"/>
          <w:shd w:val="clear" w:color="auto" w:fill="FFFFFF"/>
          <w:lang w:val="en-US" w:eastAsia="zh-CN"/>
          <w:highlight w:val="auto"/>
        </w:rPr>
        <w:t>中心2024年底资产较2023年有所增加，原因是2024年三方公司对资产进行了清理，将往年未入账的资产入账</w:t>
      </w:r>
      <w:r>
        <w:rPr>
          <w:rFonts w:ascii="仿宋" w:eastAsia="仿宋" w:cs="仿宋" w:hint="eastAsia"/>
          <w:color w:val="auto"/>
          <w:kern w:val="0"/>
          <w:sz w:val="32"/>
          <w:szCs w:val="32"/>
          <w:shd w:val="clear" w:color="auto" w:fill="FFFFFF"/>
          <w:lang w:val="zh-CN"/>
          <w:highlight w:val="auto"/>
        </w:rPr>
        <w:t>。</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Chars="300" w:left="630" w:right="0"/>
        <w:contextualSpacing/>
        <w:jc w:val="left"/>
        <w:textAlignment w:val="auto"/>
        <w:outlineLvl w:val="9"/>
        <w:rPr>
          <w:rFonts w:ascii="仿宋" w:eastAsia="仿宋" w:cs="仿宋" w:hint="eastAsia"/>
          <w:sz w:val="32"/>
          <w:szCs w:val="32"/>
          <w:lang w:val="zh-CN"/>
        </w:rPr>
      </w:pPr>
      <w:r>
        <w:rPr>
          <w:rFonts w:ascii="仿宋" w:eastAsia="仿宋" w:cs="仿宋" w:hint="eastAsia"/>
          <w:color w:val="000000"/>
          <w:kern w:val="0"/>
          <w:sz w:val="32"/>
          <w:szCs w:val="32"/>
          <w:shd w:val="clear" w:color="auto" w:fill="FFFFFF"/>
          <w:lang w:val="en-US" w:eastAsia="zh-CN"/>
          <w:highlight w:val="auto"/>
        </w:rPr>
        <w:t>5.</w:t>
      </w:r>
      <w:r>
        <w:rPr>
          <w:rFonts w:ascii="仿宋" w:eastAsia="仿宋" w:cs="仿宋" w:hint="eastAsia"/>
          <w:color w:val="000000"/>
          <w:kern w:val="0"/>
          <w:sz w:val="32"/>
          <w:szCs w:val="32"/>
          <w:shd w:val="clear" w:color="auto" w:fill="FFFFFF"/>
          <w:lang w:val="zh-CN"/>
          <w:highlight w:val="auto"/>
        </w:rPr>
        <w:t>采购管理。</w:t>
      </w:r>
      <w:r>
        <w:rPr>
          <w:rFonts w:ascii="仿宋" w:eastAsia="仿宋" w:cs="仿宋" w:hint="eastAsia"/>
          <w:color w:val="auto"/>
          <w:kern w:val="0"/>
          <w:sz w:val="32"/>
          <w:szCs w:val="32"/>
          <w:shd w:val="clear" w:color="auto" w:fill="FFFFFF"/>
          <w:lang w:val="en-US" w:eastAsia="zh-CN"/>
          <w:highlight w:val="auto"/>
        </w:rPr>
        <w:t>2024年我中心未产生政府采购支出</w:t>
      </w:r>
      <w:r>
        <w:rPr>
          <w:rFonts w:ascii="仿宋" w:eastAsia="仿宋" w:cs="仿宋" w:hint="eastAsia"/>
          <w:color w:val="auto"/>
          <w:kern w:val="0"/>
          <w:sz w:val="32"/>
          <w:szCs w:val="32"/>
          <w:shd w:val="clear" w:color="auto" w:fill="FFFFFF"/>
          <w:lang w:val="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b/>
          <w:bCs/>
          <w:color w:val="000000"/>
          <w:kern w:val="0"/>
          <w:sz w:val="32"/>
          <w:szCs w:val="32"/>
          <w:shd w:val="clear" w:color="auto" w:fill="FFFFFF"/>
          <w:lang w:val="zh-CN"/>
          <w:highlight w:val="auto"/>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eastAsia="zh-CN"/>
          <w:highlight w:val="auto"/>
        </w:rPr>
      </w:pPr>
      <w:r>
        <w:rPr>
          <w:rFonts w:ascii="仿宋" w:eastAsia="仿宋" w:cs="仿宋" w:hint="eastAsia"/>
          <w:color w:val="000000"/>
          <w:kern w:val="0"/>
          <w:sz w:val="32"/>
          <w:szCs w:val="32"/>
          <w:shd w:val="clear" w:color="auto" w:fill="FFFFFF"/>
          <w:lang w:val="en-US" w:eastAsia="zh-CN"/>
          <w:highlight w:val="auto"/>
        </w:rPr>
        <w:t>常年项目绩效分析。</w:t>
      </w:r>
      <w:r>
        <w:rPr>
          <w:rFonts w:ascii="仿宋" w:eastAsia="仿宋" w:cs="仿宋" w:hint="eastAsia"/>
          <w:color w:val="000000"/>
          <w:kern w:val="0"/>
          <w:sz w:val="32"/>
          <w:szCs w:val="32"/>
          <w:shd w:val="clear" w:color="auto" w:fill="FFFFFF"/>
          <w:lang w:val="zh-CN" w:eastAsia="zh-CN"/>
          <w:highlight w:val="auto"/>
        </w:rPr>
        <w:t>该类项目总数</w:t>
      </w:r>
      <w:r>
        <w:rPr>
          <w:rFonts w:ascii="仿宋" w:eastAsia="仿宋" w:cs="仿宋" w:hint="eastAsia"/>
          <w:color w:val="000000"/>
          <w:kern w:val="0"/>
          <w:sz w:val="32"/>
          <w:szCs w:val="32"/>
          <w:shd w:val="clear" w:color="auto" w:fill="FFFFFF"/>
          <w:lang w:val="en-US" w:eastAsia="zh-CN"/>
          <w:highlight w:val="auto"/>
        </w:rPr>
        <w:t xml:space="preserve"> 4  </w:t>
      </w:r>
      <w:r>
        <w:rPr>
          <w:rFonts w:ascii="仿宋" w:eastAsia="仿宋" w:cs="仿宋" w:hint="eastAsia"/>
          <w:color w:val="000000"/>
          <w:kern w:val="0"/>
          <w:sz w:val="32"/>
          <w:szCs w:val="32"/>
          <w:shd w:val="clear" w:color="auto" w:fill="FFFFFF"/>
          <w:lang w:val="zh-CN" w:eastAsia="zh-CN"/>
          <w:highlight w:val="auto"/>
        </w:rPr>
        <w:t>个，涉及预算总金额</w:t>
      </w:r>
      <w:r>
        <w:rPr>
          <w:rFonts w:ascii="仿宋" w:eastAsia="仿宋" w:cs="仿宋" w:hint="eastAsia"/>
          <w:color w:val="000000"/>
          <w:kern w:val="0"/>
          <w:sz w:val="32"/>
          <w:szCs w:val="32"/>
          <w:shd w:val="clear" w:color="auto" w:fill="FFFFFF"/>
          <w:lang w:val="en-US" w:eastAsia="zh-CN"/>
          <w:highlight w:val="auto"/>
        </w:rPr>
        <w:t xml:space="preserve">   </w:t>
      </w:r>
      <w:r>
        <w:rPr>
          <w:rFonts w:ascii="仿宋" w:eastAsia="仿宋" w:cs="仿宋" w:hint="eastAsia"/>
          <w:color w:val="000000"/>
          <w:kern w:val="0"/>
          <w:sz w:val="32"/>
          <w:szCs w:val="32"/>
          <w:shd w:val="clear" w:color="auto" w:fill="FFFFFF"/>
          <w:lang w:val="zh-CN" w:eastAsia="zh-CN"/>
          <w:highlight w:val="auto"/>
        </w:rPr>
        <w:t>万元，</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zh-CN" w:eastAsia="zh-CN"/>
          <w:highlight w:val="auto"/>
        </w:rPr>
        <w:t>—</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月预算执行总体进度为</w:t>
      </w:r>
      <w:r>
        <w:rPr>
          <w:rFonts w:ascii="仿宋" w:eastAsia="仿宋" w:cs="仿宋" w:hint="eastAsia"/>
          <w:color w:val="000000"/>
          <w:kern w:val="0"/>
          <w:sz w:val="32"/>
          <w:szCs w:val="32"/>
          <w:shd w:val="clear" w:color="auto" w:fill="FFFFFF"/>
          <w:lang w:val="en-US" w:eastAsia="zh-CN"/>
          <w:highlight w:val="auto"/>
        </w:rPr>
        <w:t xml:space="preserve">   80  </w:t>
      </w:r>
      <w:r>
        <w:rPr>
          <w:rFonts w:ascii="仿宋" w:eastAsia="仿宋" w:cs="仿宋" w:hint="eastAsia"/>
          <w:color w:val="000000"/>
          <w:kern w:val="0"/>
          <w:sz w:val="32"/>
          <w:szCs w:val="32"/>
          <w:shd w:val="clear" w:color="auto" w:fill="FFFFFF"/>
          <w:lang w:val="zh-CN"/>
          <w:highlight w:val="auto"/>
        </w:rPr>
        <w:t>%，其中：</w:t>
      </w:r>
      <w:r>
        <w:rPr>
          <w:rFonts w:ascii="仿宋" w:eastAsia="仿宋" w:cs="仿宋" w:hint="eastAsia"/>
          <w:color w:val="000000"/>
          <w:kern w:val="0"/>
          <w:sz w:val="32"/>
          <w:szCs w:val="32"/>
          <w:shd w:val="clear" w:color="auto" w:fill="FFFFFF"/>
          <w:lang w:val="zh-CN" w:eastAsia="zh-CN"/>
          <w:highlight w:val="auto"/>
        </w:rPr>
        <w:t>预算结余率大于</w:t>
      </w:r>
      <w:r>
        <w:rPr>
          <w:rFonts w:ascii="仿宋" w:eastAsia="仿宋" w:cs="仿宋" w:hint="eastAsia"/>
          <w:color w:val="000000"/>
          <w:kern w:val="0"/>
          <w:sz w:val="32"/>
          <w:szCs w:val="32"/>
          <w:shd w:val="clear" w:color="auto" w:fill="FFFFFF"/>
          <w:lang w:val="en-US" w:eastAsia="zh-CN"/>
          <w:highlight w:val="auto"/>
        </w:rPr>
        <w:t>10%</w:t>
      </w:r>
      <w:r>
        <w:rPr>
          <w:rFonts w:ascii="仿宋" w:eastAsia="仿宋" w:cs="仿宋" w:hint="eastAsia"/>
          <w:color w:val="000000"/>
          <w:kern w:val="0"/>
          <w:sz w:val="32"/>
          <w:szCs w:val="32"/>
          <w:shd w:val="clear" w:color="auto" w:fill="FFFFFF"/>
          <w:lang w:val="zh-CN" w:eastAsia="zh-CN"/>
          <w:highlight w:val="auto"/>
        </w:rPr>
        <w:t>的项目共计</w:t>
      </w:r>
      <w:r>
        <w:rPr>
          <w:rFonts w:ascii="仿宋" w:eastAsia="仿宋" w:cs="仿宋" w:hint="eastAsia"/>
          <w:color w:val="000000"/>
          <w:kern w:val="0"/>
          <w:sz w:val="32"/>
          <w:szCs w:val="32"/>
          <w:shd w:val="clear" w:color="auto" w:fill="FFFFFF"/>
          <w:lang w:val="en-US" w:eastAsia="zh-CN"/>
          <w:highlight w:val="auto"/>
        </w:rPr>
        <w:t xml:space="preserve">  1 </w:t>
      </w:r>
      <w:r>
        <w:rPr>
          <w:rFonts w:ascii="仿宋" w:eastAsia="仿宋" w:cs="仿宋" w:hint="eastAsia"/>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 w:eastAsia="仿宋" w:cs="仿宋" w:hint="eastAsia"/>
          <w:color w:val="000000"/>
          <w:kern w:val="0"/>
          <w:sz w:val="32"/>
          <w:szCs w:val="32"/>
          <w:shd w:val="clear" w:color="auto" w:fill="FFFFFF"/>
          <w:lang w:val="zh-CN" w:eastAsia="zh-CN"/>
          <w:highlight w:val="auto"/>
        </w:rPr>
      </w:pPr>
      <w:r>
        <w:rPr>
          <w:rFonts w:ascii="仿宋" w:eastAsia="仿宋" w:cs="仿宋" w:hint="eastAsia"/>
          <w:color w:val="000000"/>
          <w:kern w:val="0"/>
          <w:sz w:val="32"/>
          <w:szCs w:val="32"/>
          <w:shd w:val="clear" w:color="auto" w:fill="FFFFFF"/>
          <w:lang w:val="en-US" w:eastAsia="zh-CN"/>
          <w:highlight w:val="auto"/>
        </w:rPr>
        <w:t>阶段（含一次性）项目绩效分析。</w:t>
      </w:r>
      <w:r>
        <w:rPr>
          <w:rFonts w:ascii="仿宋" w:eastAsia="仿宋" w:cs="仿宋" w:hint="eastAsia"/>
          <w:color w:val="000000"/>
          <w:kern w:val="0"/>
          <w:sz w:val="32"/>
          <w:szCs w:val="32"/>
          <w:shd w:val="clear" w:color="auto" w:fill="FFFFFF"/>
          <w:lang w:val="zh-CN" w:eastAsia="zh-CN"/>
          <w:highlight w:val="auto"/>
        </w:rPr>
        <w:t>该类项目总数</w:t>
      </w:r>
      <w:r>
        <w:rPr>
          <w:rFonts w:ascii="仿宋" w:eastAsia="仿宋" w:cs="仿宋" w:hint="eastAsia"/>
          <w:color w:val="000000"/>
          <w:kern w:val="0"/>
          <w:sz w:val="32"/>
          <w:szCs w:val="32"/>
          <w:shd w:val="clear" w:color="auto" w:fill="FFFFFF"/>
          <w:lang w:val="en-US" w:eastAsia="zh-CN"/>
          <w:highlight w:val="auto"/>
        </w:rPr>
        <w:t xml:space="preserve"> 4  </w:t>
      </w:r>
      <w:r>
        <w:rPr>
          <w:rFonts w:ascii="仿宋" w:eastAsia="仿宋" w:cs="仿宋" w:hint="eastAsia"/>
          <w:color w:val="000000"/>
          <w:kern w:val="0"/>
          <w:sz w:val="32"/>
          <w:szCs w:val="32"/>
          <w:shd w:val="clear" w:color="auto" w:fill="FFFFFF"/>
          <w:lang w:val="zh-CN" w:eastAsia="zh-CN"/>
          <w:highlight w:val="auto"/>
        </w:rPr>
        <w:t>个，涉及预算总金额</w:t>
      </w:r>
      <w:r>
        <w:rPr>
          <w:rFonts w:ascii="仿宋" w:eastAsia="仿宋" w:cs="仿宋" w:hint="eastAsia"/>
          <w:color w:val="000000"/>
          <w:kern w:val="0"/>
          <w:sz w:val="32"/>
          <w:szCs w:val="32"/>
          <w:shd w:val="clear" w:color="auto" w:fill="FFFFFF"/>
          <w:lang w:val="en-US" w:eastAsia="zh-CN"/>
          <w:highlight w:val="auto"/>
        </w:rPr>
        <w:t xml:space="preserve">  145.102 </w:t>
      </w:r>
      <w:r>
        <w:rPr>
          <w:rFonts w:ascii="仿宋" w:eastAsia="仿宋" w:cs="仿宋" w:hint="eastAsia"/>
          <w:color w:val="000000"/>
          <w:kern w:val="0"/>
          <w:sz w:val="32"/>
          <w:szCs w:val="32"/>
          <w:shd w:val="clear" w:color="auto" w:fill="FFFFFF"/>
          <w:lang w:val="zh-CN" w:eastAsia="zh-CN"/>
          <w:highlight w:val="auto"/>
        </w:rPr>
        <w:t>万元，</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zh-CN" w:eastAsia="zh-CN"/>
          <w:highlight w:val="auto"/>
        </w:rPr>
        <w:t>—</w:t>
      </w:r>
      <w:r>
        <w:rPr>
          <w:rFonts w:ascii="仿宋" w:eastAsia="仿宋" w:cs="仿宋" w:hint="eastAsia"/>
          <w:color w:val="000000"/>
          <w:kern w:val="0"/>
          <w:sz w:val="32"/>
          <w:szCs w:val="32"/>
          <w:shd w:val="clear" w:color="auto" w:fill="FFFFFF"/>
          <w:lang w:val="zh-CN"/>
          <w:highlight w:val="auto"/>
        </w:rPr>
        <w:t>1</w:t>
      </w:r>
      <w:r>
        <w:rPr>
          <w:rFonts w:ascii="仿宋" w:eastAsia="仿宋" w:cs="仿宋" w:hint="eastAsia"/>
          <w:color w:val="000000"/>
          <w:kern w:val="0"/>
          <w:sz w:val="32"/>
          <w:szCs w:val="32"/>
          <w:shd w:val="clear" w:color="auto" w:fill="FFFFFF"/>
          <w:lang w:val="en-US" w:eastAsia="zh-CN"/>
          <w:highlight w:val="auto"/>
        </w:rPr>
        <w:t>2</w:t>
      </w:r>
      <w:r>
        <w:rPr>
          <w:rFonts w:ascii="仿宋" w:eastAsia="仿宋" w:cs="仿宋" w:hint="eastAsia"/>
          <w:color w:val="000000"/>
          <w:kern w:val="0"/>
          <w:sz w:val="32"/>
          <w:szCs w:val="32"/>
          <w:shd w:val="clear" w:color="auto" w:fill="FFFFFF"/>
          <w:lang w:val="zh-CN"/>
          <w:highlight w:val="auto"/>
        </w:rPr>
        <w:t>月预算执行总体进度为</w:t>
      </w:r>
      <w:r>
        <w:rPr>
          <w:rFonts w:ascii="仿宋" w:eastAsia="仿宋" w:cs="仿宋" w:hint="eastAsia"/>
          <w:color w:val="000000"/>
          <w:kern w:val="0"/>
          <w:sz w:val="32"/>
          <w:szCs w:val="32"/>
          <w:shd w:val="clear" w:color="auto" w:fill="FFFFFF"/>
          <w:lang w:val="en-US" w:eastAsia="zh-CN"/>
          <w:highlight w:val="auto"/>
        </w:rPr>
        <w:t xml:space="preserve">  80 </w:t>
      </w:r>
      <w:r>
        <w:rPr>
          <w:rFonts w:ascii="仿宋" w:eastAsia="仿宋" w:cs="仿宋" w:hint="eastAsia"/>
          <w:color w:val="000000"/>
          <w:kern w:val="0"/>
          <w:sz w:val="32"/>
          <w:szCs w:val="32"/>
          <w:shd w:val="clear" w:color="auto" w:fill="FFFFFF"/>
          <w:lang w:val="zh-CN"/>
          <w:highlight w:val="auto"/>
        </w:rPr>
        <w:t>%，其中：</w:t>
      </w:r>
      <w:r>
        <w:rPr>
          <w:rFonts w:ascii="仿宋" w:eastAsia="仿宋" w:cs="仿宋" w:hint="eastAsia"/>
          <w:color w:val="000000"/>
          <w:kern w:val="0"/>
          <w:sz w:val="32"/>
          <w:szCs w:val="32"/>
          <w:shd w:val="clear" w:color="auto" w:fill="FFFFFF"/>
          <w:lang w:val="zh-CN" w:eastAsia="zh-CN"/>
          <w:highlight w:val="auto"/>
        </w:rPr>
        <w:t>预算结余率大于</w:t>
      </w:r>
      <w:r>
        <w:rPr>
          <w:rFonts w:ascii="仿宋" w:eastAsia="仿宋" w:cs="仿宋" w:hint="eastAsia"/>
          <w:color w:val="000000"/>
          <w:kern w:val="0"/>
          <w:sz w:val="32"/>
          <w:szCs w:val="32"/>
          <w:shd w:val="clear" w:color="auto" w:fill="FFFFFF"/>
          <w:lang w:val="en-US" w:eastAsia="zh-CN"/>
          <w:highlight w:val="auto"/>
        </w:rPr>
        <w:t>10%</w:t>
      </w:r>
      <w:r>
        <w:rPr>
          <w:rFonts w:ascii="仿宋" w:eastAsia="仿宋" w:cs="仿宋" w:hint="eastAsia"/>
          <w:color w:val="000000"/>
          <w:kern w:val="0"/>
          <w:sz w:val="32"/>
          <w:szCs w:val="32"/>
          <w:shd w:val="clear" w:color="auto" w:fill="FFFFFF"/>
          <w:lang w:val="zh-CN" w:eastAsia="zh-CN"/>
          <w:highlight w:val="auto"/>
        </w:rPr>
        <w:t>的项目共计</w:t>
      </w:r>
      <w:r>
        <w:rPr>
          <w:rFonts w:ascii="仿宋" w:eastAsia="仿宋" w:cs="仿宋" w:hint="eastAsia"/>
          <w:color w:val="000000"/>
          <w:kern w:val="0"/>
          <w:sz w:val="32"/>
          <w:szCs w:val="32"/>
          <w:shd w:val="clear" w:color="auto" w:fill="FFFFFF"/>
          <w:lang w:val="en-US" w:eastAsia="zh-CN"/>
          <w:highlight w:val="auto"/>
        </w:rPr>
        <w:t xml:space="preserve"> 1  </w:t>
      </w:r>
      <w:r>
        <w:rPr>
          <w:rFonts w:ascii="仿宋" w:eastAsia="仿宋" w:cs="仿宋" w:hint="eastAsia"/>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spacing w:line="580" w:lineRule="exact"/>
        <w:ind w:left="0" w:firstLineChars="200" w:firstLine="640"/>
        <w:textAlignment w:val="auto"/>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1.</w:t>
      </w:r>
      <w:r>
        <w:rPr>
          <w:rFonts w:ascii="仿宋" w:eastAsia="仿宋" w:cs="仿宋" w:hint="eastAsia"/>
          <w:color w:val="000000"/>
          <w:kern w:val="0"/>
          <w:sz w:val="32"/>
          <w:szCs w:val="32"/>
          <w:shd w:val="clear" w:color="auto" w:fill="FFFFFF"/>
          <w:lang w:val="zh-CN"/>
          <w:highlight w:val="auto"/>
        </w:rPr>
        <w:t>项目决策。</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Style w:val="26"/>
          <w:rFonts w:ascii="仿宋" w:eastAsia="仿宋" w:cs="仿宋" w:hint="eastAsia"/>
          <w:b w:val="0"/>
          <w:bCs w:val="0"/>
          <w:color w:val="000000"/>
          <w:sz w:val="32"/>
          <w:szCs w:val="32"/>
          <w:lang w:eastAsia="zh-CN"/>
        </w:rPr>
      </w:pPr>
      <w:r>
        <w:rPr>
          <w:rStyle w:val="26"/>
          <w:rFonts w:ascii="仿宋" w:eastAsia="仿宋" w:cs="仿宋" w:hint="eastAsia"/>
          <w:b w:val="0"/>
          <w:bCs w:val="0"/>
          <w:color w:val="000000"/>
          <w:sz w:val="32"/>
          <w:szCs w:val="32"/>
          <w:lang w:val="en-US" w:eastAsia="zh-CN"/>
        </w:rPr>
        <w:t>确定项目的方向、资源配置及优先级，直接影响后续环节的成败。</w:t>
      </w:r>
      <w:r>
        <w:rPr>
          <w:rFonts w:ascii="仿宋" w:eastAsia="仿宋" w:cs="仿宋" w:hint="eastAsia"/>
          <w:color w:val="auto"/>
          <w:kern w:val="0"/>
          <w:sz w:val="32"/>
          <w:szCs w:val="32"/>
          <w:shd w:val="clear" w:color="auto" w:fill="FFFFFF"/>
          <w:lang w:val="zh-CN" w:eastAsia="zh-CN"/>
          <w:highlight w:val="auto"/>
        </w:rPr>
        <w:t>项目决策按照一定的章法、步骤办事程序、目标设置完整。为加强财政资金的管理与监督，提高资金运行效率和使用效益，每一个项目资金都遵循财政资金管理办法进行支付。</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Fonts w:ascii="仿宋" w:eastAsia="仿宋" w:cs="仿宋" w:hint="eastAsia"/>
          <w:color w:val="000000"/>
          <w:kern w:val="0"/>
          <w:sz w:val="32"/>
          <w:szCs w:val="32"/>
          <w:shd w:val="clear" w:color="auto" w:fill="FFFFFF"/>
          <w:lang w:val="zh-CN" w:eastAsia="zh-CN"/>
          <w:highlight w:val="auto"/>
        </w:rPr>
      </w:pPr>
      <w:r>
        <w:rPr>
          <w:rFonts w:ascii="仿宋" w:eastAsia="仿宋" w:cs="仿宋" w:hint="eastAsia"/>
          <w:color w:val="000000"/>
          <w:kern w:val="0"/>
          <w:sz w:val="32"/>
          <w:szCs w:val="32"/>
          <w:shd w:val="clear" w:color="auto" w:fill="FFFFFF"/>
          <w:lang w:val="en-US" w:eastAsia="zh-CN"/>
          <w:highlight w:val="auto"/>
        </w:rPr>
        <w:t>2.项目执行</w:t>
      </w:r>
      <w:r>
        <w:rPr>
          <w:rFonts w:ascii="仿宋" w:eastAsia="仿宋" w:cs="仿宋" w:hint="eastAsia"/>
          <w:color w:val="000000"/>
          <w:kern w:val="0"/>
          <w:sz w:val="32"/>
          <w:szCs w:val="32"/>
          <w:shd w:val="clear" w:color="auto" w:fill="FFFFFF"/>
          <w:lang w:val="zh-CN" w:eastAsia="zh-CN"/>
          <w:highlight w:val="auto"/>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Fonts w:ascii="仿宋" w:eastAsia="仿宋" w:cs="仿宋" w:hint="eastAsia"/>
          <w:color w:val="000000"/>
          <w:kern w:val="0"/>
          <w:sz w:val="32"/>
          <w:szCs w:val="32"/>
          <w:shd w:val="clear" w:color="auto" w:fill="FFFFFF"/>
          <w:lang w:val="en-US" w:eastAsia="zh-CN"/>
          <w:highlight w:val="auto"/>
        </w:rPr>
      </w:pPr>
      <w:r>
        <w:rPr>
          <w:rFonts w:ascii="仿宋" w:eastAsia="仿宋" w:cs="仿宋" w:hint="eastAsia"/>
          <w:color w:val="000000"/>
          <w:kern w:val="0"/>
          <w:sz w:val="32"/>
          <w:szCs w:val="32"/>
          <w:shd w:val="clear" w:color="auto" w:fill="FFFFFF"/>
          <w:lang w:val="en-US" w:eastAsia="zh-CN"/>
          <w:highlight w:val="auto"/>
        </w:rPr>
        <w:t>2024年项目支出66.45万元.</w:t>
      </w:r>
    </w:p>
    <w:p>
      <w:pPr>
        <w:keepNext w:val="0"/>
        <w:keepLines w:val="0"/>
        <w:pageBreakBefore w:val="0"/>
        <w:widowControl w:val="0"/>
        <w:kinsoku/>
        <w:wordWrap/>
        <w:overflowPunct/>
        <w:topLinePunct w:val="0"/>
        <w:autoSpaceDE/>
        <w:autoSpaceDN/>
        <w:bidi w:val="0"/>
        <w:adjustRightInd/>
        <w:spacing w:line="580" w:lineRule="exact"/>
        <w:ind w:left="0" w:firstLineChars="200" w:firstLine="640"/>
        <w:textAlignment w:val="auto"/>
        <w:rPr>
          <w:rFonts w:ascii="仿宋" w:eastAsia="仿宋" w:cs="仿宋" w:hint="eastAsia"/>
          <w:color w:val="000000"/>
          <w:kern w:val="0"/>
          <w:sz w:val="32"/>
          <w:szCs w:val="32"/>
          <w:shd w:val="clear" w:color="auto" w:fill="FFFFFF"/>
          <w:lang w:val="zh-CN"/>
          <w:highlight w:val="auto"/>
        </w:rPr>
      </w:pPr>
      <w:r>
        <w:rPr>
          <w:rFonts w:ascii="仿宋" w:eastAsia="仿宋" w:cs="仿宋" w:hint="eastAsia"/>
          <w:color w:val="000000"/>
          <w:kern w:val="0"/>
          <w:sz w:val="32"/>
          <w:szCs w:val="32"/>
          <w:shd w:val="clear" w:color="auto" w:fill="FFFFFF"/>
          <w:lang w:val="en-US" w:eastAsia="zh-CN"/>
          <w:highlight w:val="auto"/>
        </w:rPr>
        <w:t>3.</w:t>
      </w:r>
      <w:r>
        <w:rPr>
          <w:rFonts w:ascii="仿宋" w:eastAsia="仿宋" w:cs="仿宋" w:hint="eastAsia"/>
          <w:color w:val="000000"/>
          <w:kern w:val="0"/>
          <w:sz w:val="32"/>
          <w:szCs w:val="32"/>
          <w:shd w:val="clear" w:color="auto" w:fill="FFFFFF"/>
          <w:lang w:val="zh-CN"/>
          <w:highlight w:val="auto"/>
        </w:rPr>
        <w:t>目标实现。</w:t>
      </w:r>
    </w:p>
    <w:p>
      <w:pPr>
        <w:keepNext w:val="0"/>
        <w:keepLines w:val="0"/>
        <w:pageBreakBefore w:val="0"/>
        <w:widowControl w:val="0"/>
        <w:kinsoku/>
        <w:wordWrap/>
        <w:overflowPunct/>
        <w:topLinePunct w:val="0"/>
        <w:autoSpaceDE/>
        <w:autoSpaceDN/>
        <w:bidi w:val="0"/>
        <w:adjustRightInd/>
        <w:spacing w:line="580" w:lineRule="exact"/>
        <w:ind w:left="0" w:firstLineChars="200" w:firstLine="640"/>
        <w:textAlignment w:val="auto"/>
        <w:rPr>
          <w:rFonts w:ascii="仿宋" w:eastAsia="仿宋" w:cs="仿宋" w:hint="eastAsia"/>
          <w:b w:val="0"/>
          <w:bCs w:val="0"/>
          <w:i w:val="0"/>
          <w:iCs w:val="0"/>
          <w:caps w:val="0"/>
          <w:smallCaps w:val="0"/>
          <w:color w:val="333333"/>
          <w:spacing w:val="0"/>
          <w:kern w:val="0"/>
          <w:sz w:val="32"/>
          <w:szCs w:val="32"/>
          <w:shd w:val="clear" w:color="auto" w:fill="FFFFFF"/>
          <w:lang w:val="en-US" w:eastAsia="zh-CN" w:bidi="ar-SA"/>
        </w:rPr>
      </w:pPr>
      <w:r>
        <w:rPr>
          <w:rFonts w:ascii="仿宋" w:eastAsia="仿宋" w:cs="仿宋" w:hint="eastAsia"/>
          <w:b w:val="0"/>
          <w:bCs w:val="0"/>
          <w:i w:val="0"/>
          <w:iCs w:val="0"/>
          <w:caps w:val="0"/>
          <w:smallCaps w:val="0"/>
          <w:color w:val="333333"/>
          <w:spacing w:val="0"/>
          <w:kern w:val="0"/>
          <w:sz w:val="32"/>
          <w:szCs w:val="32"/>
          <w:shd w:val="clear" w:color="auto" w:fill="FFFFFF"/>
          <w:lang w:val="zh-CN" w:eastAsia="zh-CN" w:bidi="ar-SA"/>
        </w:rPr>
        <w:t>通过执行达成预设的量化或定性目标，</w:t>
      </w:r>
      <w:r>
        <w:rPr>
          <w:rFonts w:ascii="仿宋" w:eastAsia="仿宋" w:cs="仿宋" w:hint="eastAsia"/>
          <w:b w:val="0"/>
          <w:bCs w:val="0"/>
          <w:i w:val="0"/>
          <w:iCs w:val="0"/>
          <w:caps w:val="0"/>
          <w:smallCaps w:val="0"/>
          <w:color w:val="333333"/>
          <w:spacing w:val="0"/>
          <w:kern w:val="0"/>
          <w:sz w:val="32"/>
          <w:szCs w:val="32"/>
          <w:shd w:val="clear" w:color="auto" w:fill="FFFFFF"/>
          <w:lang w:val="en-US" w:eastAsia="zh-CN" w:bidi="ar-SA"/>
        </w:rPr>
        <w:t>建立健全财务管理机制，依法有效使用财政资金，将有效资金发挥最大效益，同时加强预算监管，强化预算执行。最后继续加大项目实施力度，加快支出进度，提升部门工作效率。</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color w:val="000000"/>
          <w:kern w:val="0"/>
          <w:sz w:val="32"/>
          <w:szCs w:val="32"/>
          <w:shd w:val="clear" w:color="auto" w:fill="FFFFFF"/>
          <w:highlight w:val="auto"/>
        </w:rPr>
      </w:pPr>
      <w:r>
        <w:rPr>
          <w:rFonts w:ascii="仿宋" w:eastAsia="仿宋" w:cs="仿宋" w:hint="eastAsia"/>
          <w:color w:val="000000"/>
          <w:kern w:val="0"/>
          <w:sz w:val="32"/>
          <w:szCs w:val="32"/>
          <w:shd w:val="clear" w:color="auto" w:fill="FFFFFF"/>
          <w:lang w:eastAsia="zh-CN"/>
          <w:highlight w:val="auto"/>
        </w:rPr>
        <w:t>四、</w:t>
      </w:r>
      <w:r>
        <w:rPr>
          <w:rFonts w:ascii="仿宋" w:eastAsia="仿宋" w:cs="仿宋" w:hint="eastAsia"/>
          <w:color w:val="000000"/>
          <w:kern w:val="0"/>
          <w:sz w:val="32"/>
          <w:szCs w:val="32"/>
          <w:shd w:val="clear" w:color="auto" w:fill="FFFFFF"/>
          <w:highlight w:val="auto"/>
        </w:rPr>
        <w:t>评价结论及建议</w:t>
      </w:r>
    </w:p>
    <w:p>
      <w:pPr>
        <w:pStyle w:val="23"/>
        <w:widowControl/>
        <w:tabs>
          <w:tab w:val="clear" w:pos="916"/>
          <w:tab w:val="clear" w:pos="18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300" w:firstLine="960"/>
        <w:rPr>
          <w:rFonts w:ascii="仿宋" w:eastAsia="仿宋" w:cs="仿宋" w:hint="eastAsia"/>
          <w:sz w:val="32"/>
          <w:szCs w:val="32"/>
        </w:rPr>
      </w:pPr>
      <w:r>
        <w:rPr>
          <w:rFonts w:ascii="仿宋" w:eastAsia="仿宋" w:cs="仿宋" w:hint="eastAsia"/>
          <w:color w:val="000000"/>
          <w:sz w:val="32"/>
          <w:szCs w:val="32"/>
        </w:rPr>
        <w:t>（一）评价结论。</w:t>
      </w:r>
    </w:p>
    <w:p>
      <w:pPr>
        <w:widowControl/>
        <w:shd w:val="clear" w:color="auto" w:fill="FFFFFF"/>
        <w:spacing w:line="580" w:lineRule="exact"/>
        <w:ind w:firstLineChars="200" w:firstLine="640"/>
        <w:rPr>
          <w:rFonts w:ascii="仿宋" w:eastAsia="仿宋" w:cs="仿宋" w:hint="eastAsia"/>
          <w:color w:val="333333"/>
          <w:sz w:val="32"/>
          <w:szCs w:val="32"/>
        </w:rPr>
      </w:pPr>
      <w:r>
        <w:rPr>
          <w:rFonts w:ascii="仿宋" w:eastAsia="仿宋" w:cs="仿宋" w:hint="eastAsia"/>
          <w:color w:val="333333"/>
          <w:kern w:val="0"/>
          <w:sz w:val="32"/>
          <w:szCs w:val="32"/>
          <w:shd w:val="clear" w:color="auto" w:fill="FFFFFF"/>
          <w:lang w:bidi="ar-SA"/>
        </w:rPr>
        <w:t>我</w:t>
      </w:r>
      <w:r>
        <w:rPr>
          <w:rFonts w:ascii="仿宋" w:eastAsia="仿宋" w:cs="仿宋" w:hint="eastAsia"/>
          <w:color w:val="333333"/>
          <w:kern w:val="0"/>
          <w:sz w:val="32"/>
          <w:szCs w:val="32"/>
          <w:shd w:val="clear" w:color="auto" w:fill="FFFFFF"/>
          <w:lang w:val="en-US" w:eastAsia="zh-CN" w:bidi="ar-SA"/>
        </w:rPr>
        <w:t>中心</w:t>
      </w:r>
      <w:r>
        <w:rPr>
          <w:rFonts w:ascii="仿宋" w:eastAsia="仿宋" w:cs="仿宋" w:hint="eastAsia"/>
          <w:color w:val="333333"/>
          <w:kern w:val="0"/>
          <w:sz w:val="32"/>
          <w:szCs w:val="32"/>
          <w:shd w:val="clear" w:color="auto" w:fill="FFFFFF"/>
          <w:lang w:bidi="ar-SA"/>
        </w:rPr>
        <w:t>成立了绩效评价工作小组，认真组织对202</w:t>
      </w:r>
      <w:r>
        <w:rPr>
          <w:rFonts w:ascii="仿宋" w:eastAsia="仿宋" w:cs="仿宋" w:hint="eastAsia"/>
          <w:color w:val="333333"/>
          <w:kern w:val="0"/>
          <w:sz w:val="32"/>
          <w:szCs w:val="32"/>
          <w:shd w:val="clear" w:color="auto" w:fill="FFFFFF"/>
          <w:lang w:val="en-US" w:eastAsia="zh-CN" w:bidi="ar-SA"/>
        </w:rPr>
        <w:t>4</w:t>
      </w:r>
      <w:r>
        <w:rPr>
          <w:rFonts w:ascii="仿宋" w:eastAsia="仿宋" w:cs="仿宋" w:hint="eastAsia"/>
          <w:color w:val="333333"/>
          <w:kern w:val="0"/>
          <w:sz w:val="32"/>
          <w:szCs w:val="32"/>
          <w:shd w:val="clear" w:color="auto" w:fill="FFFFFF"/>
          <w:lang w:bidi="ar-SA"/>
        </w:rPr>
        <w:t>年度财政性资金进行绩效自评，自评结果为93分。通过开展财政支出绩效评价，进一步强化了财政支出绩效理念，科学合理编制年度预算，提高财政资金使用效益，实现科学理财。</w:t>
      </w:r>
    </w:p>
    <w:p>
      <w:pPr>
        <w:widowControl/>
        <w:numPr>
          <w:ilvl w:val="0"/>
          <w:numId w:val="6"/>
        </w:numPr>
        <w:shd w:val="clear" w:color="auto" w:fill="FFFFFF"/>
        <w:spacing w:line="580" w:lineRule="exact"/>
        <w:ind w:left="0" w:firstLine="643"/>
        <w:rPr>
          <w:rFonts w:ascii="仿宋" w:eastAsia="仿宋" w:cs="仿宋" w:hint="eastAsia"/>
          <w:color w:val="333333"/>
          <w:kern w:val="0"/>
          <w:sz w:val="32"/>
          <w:szCs w:val="32"/>
          <w:shd w:val="clear" w:color="auto" w:fill="FFFFFF"/>
          <w:lang w:bidi="ar-SA"/>
        </w:rPr>
      </w:pPr>
      <w:r>
        <w:rPr>
          <w:rFonts w:ascii="仿宋" w:eastAsia="仿宋" w:cs="仿宋" w:hint="eastAsia"/>
          <w:color w:val="333333"/>
          <w:kern w:val="0"/>
          <w:sz w:val="32"/>
          <w:szCs w:val="32"/>
          <w:shd w:val="clear" w:color="auto" w:fill="FFFFFF"/>
          <w:lang w:bidi="ar-SA"/>
        </w:rPr>
        <w:t>存在问题。</w:t>
      </w:r>
    </w:p>
    <w:p>
      <w:pPr>
        <w:widowControl/>
        <w:shd w:val="clear" w:color="auto" w:fill="FFFFFF"/>
        <w:spacing w:line="580" w:lineRule="exact"/>
        <w:ind w:left="0" w:firstLineChars="200" w:firstLine="640"/>
        <w:rPr>
          <w:rFonts w:ascii="仿宋" w:eastAsia="仿宋" w:cs="仿宋" w:hint="eastAsia"/>
          <w:color w:val="333333"/>
          <w:kern w:val="0"/>
          <w:sz w:val="32"/>
          <w:szCs w:val="32"/>
          <w:shd w:val="clear" w:color="auto" w:fill="FFFFFF"/>
          <w:lang w:bidi="ar-SA"/>
        </w:rPr>
      </w:pPr>
      <w:r>
        <w:rPr>
          <w:rFonts w:ascii="仿宋" w:eastAsia="仿宋" w:cs="仿宋" w:hint="eastAsia"/>
          <w:color w:val="333333"/>
          <w:kern w:val="0"/>
          <w:sz w:val="32"/>
          <w:szCs w:val="32"/>
          <w:shd w:val="clear" w:color="auto" w:fill="FFFFFF"/>
          <w:lang w:bidi="ar-SA"/>
        </w:rPr>
        <w:t>资金支付进度较为缓慢</w:t>
      </w:r>
    </w:p>
    <w:p>
      <w:pPr>
        <w:widowControl/>
        <w:shd w:val="clear" w:color="auto" w:fill="FFFFFF"/>
        <w:spacing w:line="580" w:lineRule="exact"/>
        <w:ind w:firstLine="643"/>
        <w:rPr>
          <w:rFonts w:ascii="仿宋" w:eastAsia="仿宋" w:cs="仿宋" w:hint="eastAsia"/>
          <w:color w:val="333333"/>
          <w:sz w:val="32"/>
          <w:szCs w:val="32"/>
        </w:rPr>
      </w:pPr>
      <w:r>
        <w:rPr>
          <w:rFonts w:ascii="仿宋" w:eastAsia="仿宋" w:cs="仿宋" w:hint="eastAsia"/>
          <w:color w:val="333333"/>
          <w:kern w:val="0"/>
          <w:sz w:val="32"/>
          <w:szCs w:val="32"/>
          <w:shd w:val="clear" w:color="auto" w:fill="FFFFFF"/>
          <w:lang w:bidi="ar-SA"/>
        </w:rPr>
        <w:t>（三）改进建议</w:t>
      </w:r>
    </w:p>
    <w:p>
      <w:pPr>
        <w:spacing w:line="580" w:lineRule="exact"/>
        <w:ind w:firstLineChars="300" w:firstLine="960"/>
        <w:rPr>
          <w:rFonts w:ascii="仿宋" w:eastAsia="仿宋" w:cs="仿宋" w:hint="eastAsia"/>
          <w:color w:val="333333"/>
          <w:kern w:val="0"/>
          <w:sz w:val="32"/>
          <w:szCs w:val="32"/>
          <w:shd w:val="clear" w:color="auto" w:fill="FFFFFF"/>
          <w:lang w:bidi="ar-SA"/>
        </w:rPr>
      </w:pPr>
      <w:r>
        <w:rPr>
          <w:rFonts w:ascii="仿宋" w:eastAsia="仿宋" w:cs="仿宋" w:hint="eastAsia"/>
          <w:color w:val="333333"/>
          <w:kern w:val="0"/>
          <w:sz w:val="32"/>
          <w:szCs w:val="32"/>
          <w:shd w:val="clear" w:color="auto" w:fill="FFFFFF"/>
          <w:lang w:bidi="ar-SA"/>
        </w:rPr>
        <w:t>科学合理编制年度支出预算，建立健全财务管理机制，依法有效使用财政资金，将有效资金发挥最大效益。</w:t>
      </w:r>
      <w:r>
        <w:rPr>
          <w:rFonts w:ascii="仿宋" w:eastAsia="仿宋" w:cs="仿宋" w:hint="eastAsia"/>
          <w:sz w:val="32"/>
          <w:szCs w:val="32"/>
        </w:rPr>
        <w:t>在今后的工作中，</w:t>
      </w:r>
      <w:r>
        <w:rPr>
          <w:rFonts w:ascii="仿宋" w:eastAsia="仿宋" w:cs="仿宋" w:hint="eastAsia"/>
          <w:color w:val="333333"/>
          <w:kern w:val="0"/>
          <w:sz w:val="32"/>
          <w:szCs w:val="32"/>
          <w:shd w:val="clear" w:color="auto" w:fill="FFFFFF"/>
          <w:lang w:bidi="ar-SA"/>
        </w:rPr>
        <w:t>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p>
    <w:p>
      <w:pPr>
        <w:rPr>
          <w:rFonts w:ascii="宋体" w:cs="宋体"/>
          <w:color w:val="333333"/>
          <w:kern w:val="0"/>
          <w:sz w:val="28"/>
          <w:szCs w:val="28"/>
          <w:shd w:val="clear" w:color="auto" w:fill="FFFFFF"/>
        </w:rPr>
      </w:pPr>
    </w:p>
    <w:p>
      <w:pPr>
        <w:pStyle w:val="24"/>
        <w:shd w:val="clear" w:color="auto" w:fill="FFFFFF"/>
        <w:spacing w:before="255" w:beforeAutospacing="0" w:after="255" w:afterAutospacing="0" w:line="580" w:lineRule="exact"/>
        <w:ind w:firstLine="640"/>
      </w:pPr>
      <w:bookmarkStart w:id="204" w:name="_Toc29670"/>
      <w:bookmarkStart w:id="205" w:name="_Toc22652"/>
      <w:bookmarkStart w:id="206" w:name="_Toc11886"/>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2</w:t>
      </w:r>
    </w:p>
    <w:tbl>
      <w:tblPr>
        <w:jc w:val="center"/>
        <w:tblW w:w="10986"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9"/>
        <w:gridCol w:w="1347"/>
        <w:gridCol w:w="1273"/>
        <w:gridCol w:w="1100"/>
        <w:gridCol w:w="1144"/>
        <w:gridCol w:w="1290"/>
        <w:gridCol w:w="1058"/>
        <w:gridCol w:w="926"/>
        <w:gridCol w:w="1539"/>
      </w:tblGrid>
      <w:tr>
        <w:trPr>
          <w:trHeight w:hRule="exact" w:val="762"/>
        </w:trPr>
        <w:tc>
          <w:tcPr>
            <w:tcW w:w="10986" w:type="dxa"/>
            <w:gridSpan w:val="9"/>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bidi="ar-SA"/>
              </w:rPr>
              <w:t>部门整体绩效目标完成情况自评表</w:t>
            </w:r>
          </w:p>
        </w:tc>
      </w:tr>
      <w:tr>
        <w:trPr>
          <w:trHeight w:val="23"/>
        </w:trPr>
        <w:tc>
          <w:tcPr>
            <w:tcW w:w="10986" w:type="dxa"/>
            <w:gridSpan w:val="9"/>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bidi="ar-SA"/>
              </w:rPr>
              <w:t>（202</w:t>
            </w:r>
            <w:r>
              <w:rPr>
                <w:rFonts w:eastAsia="宋体" w:cs="Times New Roman" w:hint="eastAsia"/>
                <w:i w:val="0"/>
                <w:color w:val="000000"/>
                <w:kern w:val="0"/>
                <w:sz w:val="28"/>
                <w:szCs w:val="28"/>
                <w:u w:val="none"/>
                <w:lang w:val="en-US" w:eastAsia="zh-CN" w:bidi="ar-SA"/>
              </w:rPr>
              <w:t>4</w:t>
            </w:r>
            <w:r>
              <w:rPr>
                <w:rFonts w:ascii="Times New Roman" w:eastAsia="宋体" w:cs="Times New Roman" w:hAnsi="Times New Roman"/>
                <w:i w:val="0"/>
                <w:color w:val="000000"/>
                <w:kern w:val="0"/>
                <w:sz w:val="28"/>
                <w:szCs w:val="28"/>
                <w:u w:val="none"/>
                <w:lang w:val="en-US" w:eastAsia="zh-CN" w:bidi="ar-SA"/>
              </w:rPr>
              <w:t>年度）</w:t>
            </w:r>
          </w:p>
        </w:tc>
      </w:tr>
      <w:tr>
        <w:trPr>
          <w:trHeight w:val="23"/>
        </w:trPr>
        <w:tc>
          <w:tcPr>
            <w:tcW w:w="10986" w:type="dxa"/>
            <w:gridSpan w:val="9"/>
            <w:tcBorders>
              <w:bottom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bidi="ar-SA"/>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部门名称</w:t>
            </w:r>
          </w:p>
        </w:tc>
        <w:tc>
          <w:tcPr>
            <w:tcW w:w="7057"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ascii="Times New Roman" w:eastAsia="宋体" w:cs="Times New Roman" w:hAnsi="Times New Roman" w:hint="eastAsia"/>
                <w:i w:val="0"/>
                <w:color w:val="000000"/>
                <w:kern w:val="0"/>
                <w:sz w:val="24"/>
                <w:szCs w:val="24"/>
                <w:u w:val="none"/>
                <w:lang w:val="en-US" w:eastAsia="zh-CN" w:bidi="ar-SA"/>
              </w:rPr>
              <w:t>金川县融媒体中心</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资金总额</w:t>
            </w:r>
          </w:p>
        </w:tc>
        <w:tc>
          <w:tcPr>
            <w:tcW w:w="2244"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财政拨款</w:t>
            </w:r>
          </w:p>
        </w:tc>
        <w:tc>
          <w:tcPr>
            <w:tcW w:w="4813"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ascii="Times New Roman" w:eastAsia="宋体" w:cs="Times New Roman" w:hAnsi="Times New Roman" w:hint="eastAsia"/>
                <w:i w:val="0"/>
                <w:color w:val="000000"/>
                <w:kern w:val="0"/>
                <w:sz w:val="24"/>
                <w:szCs w:val="24"/>
                <w:u w:val="none"/>
                <w:lang w:val="en-US" w:eastAsia="zh-CN" w:bidi="ar-SA"/>
              </w:rPr>
              <w:t>423.21</w:t>
            </w:r>
          </w:p>
        </w:tc>
        <w:tc>
          <w:tcPr>
            <w:tcW w:w="2244"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ascii="Times New Roman" w:eastAsia="宋体" w:cs="Times New Roman" w:hAnsi="Times New Roman" w:hint="eastAsia"/>
                <w:i w:val="0"/>
                <w:color w:val="000000"/>
                <w:kern w:val="0"/>
                <w:sz w:val="24"/>
                <w:szCs w:val="24"/>
                <w:u w:val="none"/>
                <w:lang w:val="en-US" w:eastAsia="zh-CN" w:bidi="ar-SA"/>
              </w:rPr>
              <w:t>423.21</w:t>
            </w:r>
          </w:p>
        </w:tc>
        <w:tc>
          <w:tcPr>
            <w:tcW w:w="4813"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p>
        </w:tc>
      </w:tr>
      <w:tr>
        <w:trPr>
          <w:trHeight w:val="23"/>
        </w:trPr>
        <w:tc>
          <w:tcPr>
            <w:tcW w:w="13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目标</w:t>
            </w:r>
          </w:p>
        </w:tc>
        <w:tc>
          <w:tcPr>
            <w:tcW w:w="9677" w:type="dxa"/>
            <w:gridSpan w:val="8"/>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bidi="ar-SA"/>
              </w:rPr>
              <w:t>发挥媒体传播优势，坚持正面宣传：县融媒体中心在重构县级媒体建设与运行机制基础上，坚定不移的推进媒体深度融合，着力深化媒体内部体制机制改革，着力拓宽传播平台载体，着力强化人才支撑和政策保障，推动传统媒体和新兴媒体尽快从相“加”迈向相“融”，传统媒体与新兴媒体优势互补、此长彼长的态势日益凸显，我县新闻舆论工作气象一新。牢固树立责任意识，确保广播电视安全播出：以高度的政治责任感，把节目的安全优质播出设备稳定运行作为一切工作的基础和生命线，认真做好了安全播出工作、维修维护工作、安装接收电视设施设备工作和疫情宣传工作。加强惠民工程的维修维护工作：切实为群众解决收听收看问题。组织专业技术人员深入到乡镇、村，对“村村通”、“户户通”、“村村响”设施设备进行巡检和维护，真正地给群众带来看得见、摸得着的实惠，为群众送上了丰富的精神文化和信息大餐，让党和政府的声音清晰地传递到千家万户。</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任务</w:t>
            </w: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任务名称</w:t>
            </w:r>
          </w:p>
        </w:tc>
        <w:tc>
          <w:tcPr>
            <w:tcW w:w="7057"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bidi="ar-SA"/>
              </w:rPr>
              <w:t>继续深化融媒体改革</w:t>
            </w:r>
          </w:p>
        </w:tc>
        <w:tc>
          <w:tcPr>
            <w:tcW w:w="7057"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bidi="ar-SA"/>
              </w:rPr>
              <w:t>施移动媒体优先发展战略,加强“两微一端”建设，提高“微金川”公众号、微博、抖音、APP关注量。不断强化融媒体服务功能，建设综合信息服务平台，让群众爱看、爱用，全面提高新媒体的传播力、引导力、影响力和公信力。</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bidi="ar-SA"/>
              </w:rPr>
              <w:t>确保广播电视安全播出</w:t>
            </w:r>
          </w:p>
        </w:tc>
        <w:tc>
          <w:tcPr>
            <w:tcW w:w="7057"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bidi="ar-SA"/>
              </w:rPr>
              <w:t>机房安全值班做到24小时值机，随时观测设备正常运行情况，避免发生插播节目和干扰情况，设备运行无故障;加强两个无线发射机站的管理</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指标</w:t>
            </w: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一级指标</w:t>
            </w: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二级指标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三级指标</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性质</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绩效指标值</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绩效度量单位</w:t>
            </w:r>
          </w:p>
        </w:tc>
        <w:tc>
          <w:tcPr>
            <w:tcW w:w="926" w:type="dxa"/>
            <w:tcBorders>
              <w:top w:val="single" w:sz="4" w:space="0" w:color="000000"/>
              <w:left w:val="single" w:sz="4" w:space="0" w:color="000000"/>
              <w:bottom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权重</w:t>
            </w: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指标值</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产出指标</w:t>
            </w:r>
          </w:p>
        </w:tc>
        <w:tc>
          <w:tcPr>
            <w:tcW w:w="1273"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数量指标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媒体宣传完成率</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99</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539" w:type="dxa"/>
            <w:tcBorders>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99%</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质量指标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保障县级应急广播系统播控平台设备运转率</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92%</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时效指标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应急广播信息及时率</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效益指标</w:t>
            </w:r>
          </w:p>
        </w:tc>
        <w:tc>
          <w:tcPr>
            <w:tcW w:w="1273"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kern w:val="0"/>
                <w:sz w:val="21"/>
                <w:szCs w:val="21"/>
                <w:u w:val="none"/>
                <w:lang w:val="en-US" w:eastAsia="zh-CN" w:bidi="ar-SA"/>
              </w:rPr>
            </w:pPr>
            <w:r>
              <w:rPr>
                <w:rFonts w:ascii="仿宋" w:eastAsia="仿宋" w:cs="仿宋" w:hint="eastAsia"/>
                <w:i w:val="0"/>
                <w:color w:val="000000"/>
                <w:kern w:val="0"/>
                <w:sz w:val="21"/>
                <w:szCs w:val="21"/>
                <w:u w:val="none"/>
                <w:lang w:val="en-US" w:eastAsia="zh-CN" w:bidi="ar-SA"/>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color w:val="000000"/>
                <w:sz w:val="21"/>
                <w:szCs w:val="21"/>
                <w:u w:val="none"/>
              </w:rPr>
              <w:t>基层应急广播服务能力</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vMerge/>
            <w:tcBorders>
              <w:top w:val="single" w:sz="4" w:space="0" w:color="000000"/>
              <w:left w:val="single" w:sz="4" w:space="0" w:color="000000"/>
              <w:right w:val="single" w:sz="4" w:space="0" w:color="000000"/>
              <w:tl2br w:val="nil"/>
              <w:tr2bl w:val="nil"/>
            </w:tcBorders>
            <w:vAlign w:val="center"/>
          </w:tcP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满意度指标</w:t>
            </w: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bidi="ar-SA"/>
              </w:rPr>
              <w:t>满意度指标</w:t>
            </w:r>
          </w:p>
        </w:tc>
        <w:tc>
          <w:tcPr>
            <w:tcW w:w="11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color w:val="000000"/>
                <w:sz w:val="21"/>
                <w:szCs w:val="21"/>
                <w:u w:val="none"/>
              </w:rPr>
              <w:t>人民群众满意度</w:t>
            </w:r>
          </w:p>
        </w:tc>
        <w:tc>
          <w:tcPr>
            <w:tcW w:w="114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rPr>
            </w:pPr>
            <w:r>
              <w:rPr>
                <w:rFonts w:ascii="仿宋" w:eastAsia="仿宋" w:cs="仿宋" w:hint="eastAsia"/>
                <w:i w:val="0"/>
                <w:iCs w:val="0"/>
                <w:color w:val="000000"/>
                <w:kern w:val="0"/>
                <w:sz w:val="21"/>
                <w:szCs w:val="21"/>
                <w:u w:val="none"/>
                <w:lang w:val="en-US" w:eastAsia="zh-CN" w:bidi="ar-SA"/>
              </w:rPr>
              <w:t>≥</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53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90%</w:t>
            </w:r>
          </w:p>
        </w:tc>
      </w:tr>
    </w:tbl>
    <w:p>
      <w:pPr>
        <w:pStyle w:val="24"/>
        <w:shd w:val="clear" w:color="auto" w:fill="FFFFFF"/>
        <w:spacing w:before="255" w:beforeAutospacing="0" w:after="255" w:afterAutospacing="0" w:line="580" w:lineRule="exact"/>
        <w:ind w:firstLine="640"/>
      </w:pPr>
    </w:p>
    <w:p>
      <w:pPr>
        <w:pStyle w:val="24"/>
        <w:shd w:val="clear" w:color="auto" w:fill="FFFFFF"/>
        <w:spacing w:before="255" w:beforeAutospacing="0" w:after="255" w:afterAutospacing="0" w:line="580" w:lineRule="exact"/>
        <w:ind w:left="0"/>
      </w:pPr>
      <w:bookmarkStart w:id="207" w:name="_GoBack"/>
      <w:bookmarkEnd w:id="207"/>
    </w:p>
    <w:p>
      <w:pPr>
        <w:pStyle w:val="24"/>
        <w:shd w:val="clear" w:color="auto" w:fill="FFFFFF"/>
        <w:spacing w:before="255" w:beforeAutospacing="0" w:after="255" w:afterAutospacing="0" w:line="580" w:lineRule="exact"/>
        <w:rPr>
          <w:rFonts w:hint="eastAsia"/>
        </w:rPr>
      </w:pPr>
    </w:p>
    <w:p>
      <w:pPr>
        <w:tabs>
          <w:tab w:val="left" w:pos="0"/>
        </w:tabs>
        <w:spacing w:line="600" w:lineRule="exact"/>
        <w:jc w:val="center"/>
        <w:outlineLvl w:val="0"/>
        <w:rPr>
          <w:rStyle w:val="1Char"/>
          <w:rFonts w:ascii="黑体" w:eastAsia="黑体"/>
          <w:highlight w:val="lightGray"/>
        </w:rPr>
      </w:pPr>
      <w:bookmarkStart w:id="208" w:name="_Toc188350462"/>
      <w:r>
        <w:rPr>
          <w:rStyle w:val="1Char"/>
          <w:rFonts w:ascii="黑体" w:eastAsia="黑体" w:hint="eastAsia"/>
          <w:highlight w:val="lightGray"/>
        </w:rPr>
        <w:t xml:space="preserve">第五部分 </w:t>
      </w:r>
      <w:r>
        <w:rPr>
          <w:rStyle w:val="1Char"/>
          <w:rFonts w:ascii="黑体" w:eastAsia="黑体"/>
          <w:highlight w:val="lightGray"/>
        </w:rPr>
        <w:t xml:space="preserve"> </w:t>
      </w:r>
      <w:r>
        <w:rPr>
          <w:rStyle w:val="1Char"/>
          <w:rFonts w:ascii="黑体" w:eastAsia="黑体" w:hint="eastAsia"/>
          <w:highlight w:val="lightGray"/>
        </w:rPr>
        <w:t>附表</w:t>
      </w:r>
      <w:bookmarkEnd w:id="204"/>
      <w:bookmarkEnd w:id="205"/>
      <w:bookmarkEnd w:id="206"/>
      <w:bookmarkEnd w:id="208"/>
    </w:p>
    <w:p>
      <w:pPr>
        <w:pStyle w:val="2"/>
        <w:rPr>
          <w:rFonts w:ascii="仿宋" w:eastAsia="仿宋"/>
          <w:color w:val="000000"/>
        </w:rPr>
      </w:pPr>
      <w:bookmarkStart w:id="209" w:name="_Toc27752"/>
      <w:bookmarkStart w:id="210" w:name="_Toc32234"/>
      <w:bookmarkStart w:id="211" w:name="_Toc31171"/>
      <w:bookmarkStart w:id="212" w:name="_Toc188350319"/>
      <w:bookmarkStart w:id="213" w:name="_Toc156554724"/>
      <w:bookmarkStart w:id="214" w:name="_Toc188350463"/>
      <w:bookmarkStart w:id="215" w:name="_Toc156554940"/>
      <w:r>
        <w:rPr>
          <w:rFonts w:ascii="仿宋" w:eastAsia="仿宋" w:hint="eastAsia"/>
          <w:b w:val="0"/>
          <w:color w:val="000000"/>
        </w:rPr>
        <w:t>一、收</w:t>
      </w:r>
      <w:r>
        <w:rPr>
          <w:rStyle w:val="2Char"/>
          <w:rFonts w:ascii="仿宋" w:eastAsia="仿宋" w:hint="eastAsia"/>
          <w:b w:val="0"/>
          <w:bCs w:val="0"/>
        </w:rPr>
        <w:t>入支出决算总表</w:t>
      </w:r>
      <w:bookmarkEnd w:id="209"/>
      <w:bookmarkEnd w:id="210"/>
      <w:bookmarkEnd w:id="211"/>
      <w:bookmarkEnd w:id="212"/>
      <w:bookmarkEnd w:id="213"/>
      <w:bookmarkEnd w:id="214"/>
      <w:bookmarkEnd w:id="215"/>
    </w:p>
    <w:p>
      <w:pPr>
        <w:pStyle w:val="2"/>
        <w:rPr>
          <w:rFonts w:ascii="仿宋" w:eastAsia="仿宋"/>
          <w:color w:val="000000"/>
        </w:rPr>
      </w:pPr>
      <w:bookmarkStart w:id="216" w:name="_Toc4634"/>
      <w:bookmarkStart w:id="217" w:name="_Toc156554941"/>
      <w:bookmarkStart w:id="218" w:name="_Toc6086"/>
      <w:bookmarkStart w:id="219" w:name="_Toc188350464"/>
      <w:bookmarkStart w:id="220" w:name="_Toc156554725"/>
      <w:bookmarkStart w:id="221" w:name="_Toc19625"/>
      <w:bookmarkStart w:id="222" w:name="_Toc188350320"/>
      <w:r>
        <w:rPr>
          <w:rFonts w:ascii="仿宋" w:eastAsia="仿宋" w:hint="eastAsia"/>
          <w:b w:val="0"/>
          <w:color w:val="000000"/>
        </w:rPr>
        <w:t>二、收</w:t>
      </w:r>
      <w:r>
        <w:rPr>
          <w:rStyle w:val="2Char"/>
          <w:rFonts w:ascii="仿宋" w:eastAsia="仿宋" w:hint="eastAsia"/>
          <w:b w:val="0"/>
          <w:bCs w:val="0"/>
        </w:rPr>
        <w:t>入总表</w:t>
      </w:r>
      <w:bookmarkEnd w:id="216"/>
      <w:bookmarkEnd w:id="217"/>
      <w:bookmarkEnd w:id="218"/>
      <w:bookmarkEnd w:id="219"/>
      <w:bookmarkEnd w:id="220"/>
      <w:bookmarkEnd w:id="221"/>
      <w:bookmarkEnd w:id="222"/>
    </w:p>
    <w:p>
      <w:pPr>
        <w:pStyle w:val="2"/>
        <w:rPr>
          <w:rFonts w:ascii="仿宋" w:eastAsia="仿宋"/>
          <w:color w:val="000000"/>
        </w:rPr>
      </w:pPr>
      <w:bookmarkStart w:id="223" w:name="_Toc156554726"/>
      <w:bookmarkStart w:id="224" w:name="_Toc188350321"/>
      <w:bookmarkStart w:id="225" w:name="_Toc8140"/>
      <w:bookmarkStart w:id="226" w:name="_Toc156554942"/>
      <w:bookmarkStart w:id="227" w:name="_Toc20334"/>
      <w:bookmarkStart w:id="228" w:name="_Toc188350465"/>
      <w:bookmarkStart w:id="229" w:name="_Toc582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223"/>
      <w:bookmarkEnd w:id="224"/>
      <w:bookmarkEnd w:id="225"/>
      <w:bookmarkEnd w:id="226"/>
      <w:bookmarkEnd w:id="227"/>
      <w:bookmarkEnd w:id="228"/>
      <w:bookmarkEnd w:id="229"/>
    </w:p>
    <w:p>
      <w:pPr>
        <w:pStyle w:val="2"/>
        <w:rPr>
          <w:rFonts w:ascii="仿宋" w:eastAsia="仿宋"/>
          <w:b w:val="0"/>
          <w:color w:val="000000"/>
        </w:rPr>
      </w:pPr>
      <w:bookmarkStart w:id="230" w:name="_Toc156554943"/>
      <w:bookmarkStart w:id="231" w:name="_Toc188350322"/>
      <w:bookmarkStart w:id="232" w:name="_Toc188350466"/>
      <w:bookmarkStart w:id="233" w:name="_Toc17247"/>
      <w:bookmarkStart w:id="234" w:name="_Toc6438"/>
      <w:bookmarkStart w:id="235" w:name="_Toc20976"/>
      <w:bookmarkStart w:id="236" w:name="_Toc156554727"/>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230"/>
      <w:bookmarkEnd w:id="231"/>
      <w:bookmarkEnd w:id="232"/>
      <w:bookmarkEnd w:id="233"/>
      <w:bookmarkEnd w:id="234"/>
      <w:bookmarkEnd w:id="235"/>
      <w:bookmarkEnd w:id="236"/>
    </w:p>
    <w:p>
      <w:pPr>
        <w:pStyle w:val="2"/>
        <w:rPr>
          <w:rFonts w:ascii="仿宋" w:eastAsia="仿宋"/>
          <w:color w:val="000000"/>
        </w:rPr>
      </w:pPr>
      <w:bookmarkStart w:id="237" w:name="_Toc22432"/>
      <w:bookmarkStart w:id="238" w:name="_Toc156554728"/>
      <w:bookmarkStart w:id="239" w:name="_Toc188350323"/>
      <w:bookmarkStart w:id="240" w:name="_Toc156554944"/>
      <w:bookmarkStart w:id="241" w:name="_Toc25194"/>
      <w:bookmarkStart w:id="242" w:name="_Toc13453"/>
      <w:bookmarkStart w:id="243" w:name="_Toc188350467"/>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237"/>
      <w:bookmarkEnd w:id="238"/>
      <w:bookmarkEnd w:id="239"/>
      <w:bookmarkEnd w:id="240"/>
      <w:bookmarkEnd w:id="241"/>
      <w:bookmarkEnd w:id="242"/>
      <w:bookmarkEnd w:id="243"/>
    </w:p>
    <w:p>
      <w:pPr>
        <w:pStyle w:val="2"/>
        <w:rPr>
          <w:rFonts w:ascii="仿宋" w:eastAsia="仿宋"/>
          <w:color w:val="000000"/>
        </w:rPr>
      </w:pPr>
      <w:bookmarkStart w:id="244" w:name="_Toc27561"/>
      <w:bookmarkStart w:id="245" w:name="_Toc188350324"/>
      <w:bookmarkStart w:id="246" w:name="_Toc23584"/>
      <w:bookmarkStart w:id="247" w:name="_Toc156554729"/>
      <w:bookmarkStart w:id="248" w:name="_Toc16291"/>
      <w:bookmarkStart w:id="249" w:name="_Toc156554945"/>
      <w:bookmarkStart w:id="250" w:name="_Toc188350468"/>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244"/>
      <w:bookmarkEnd w:id="245"/>
      <w:bookmarkEnd w:id="246"/>
      <w:bookmarkEnd w:id="247"/>
      <w:bookmarkEnd w:id="248"/>
      <w:bookmarkEnd w:id="249"/>
      <w:bookmarkEnd w:id="250"/>
    </w:p>
    <w:p>
      <w:pPr>
        <w:pStyle w:val="2"/>
        <w:rPr>
          <w:rFonts w:ascii="仿宋" w:eastAsia="仿宋"/>
          <w:color w:val="000000"/>
        </w:rPr>
      </w:pPr>
      <w:bookmarkStart w:id="251" w:name="_Toc156554730"/>
      <w:bookmarkStart w:id="252" w:name="_Toc30641"/>
      <w:bookmarkStart w:id="253" w:name="_Toc188350325"/>
      <w:bookmarkStart w:id="254" w:name="_Toc188350469"/>
      <w:bookmarkStart w:id="255" w:name="_Toc22484"/>
      <w:bookmarkStart w:id="256" w:name="_Toc4168"/>
      <w:bookmarkStart w:id="257" w:name="_Toc156554946"/>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251"/>
      <w:bookmarkEnd w:id="252"/>
      <w:bookmarkEnd w:id="253"/>
      <w:bookmarkEnd w:id="254"/>
      <w:bookmarkEnd w:id="255"/>
      <w:bookmarkEnd w:id="256"/>
      <w:bookmarkEnd w:id="257"/>
    </w:p>
    <w:p>
      <w:pPr>
        <w:pStyle w:val="2"/>
        <w:rPr>
          <w:rFonts w:ascii="仿宋" w:eastAsia="仿宋"/>
          <w:color w:val="000000"/>
        </w:rPr>
      </w:pPr>
      <w:bookmarkStart w:id="258" w:name="_Toc156554731"/>
      <w:bookmarkStart w:id="259" w:name="_Toc12293"/>
      <w:bookmarkStart w:id="260" w:name="_Toc21997"/>
      <w:bookmarkStart w:id="261" w:name="_Toc188350470"/>
      <w:bookmarkStart w:id="262" w:name="_Toc24200"/>
      <w:bookmarkStart w:id="263" w:name="_Toc156554947"/>
      <w:bookmarkStart w:id="264" w:name="_Toc1883503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258"/>
      <w:bookmarkEnd w:id="259"/>
      <w:bookmarkEnd w:id="260"/>
      <w:bookmarkEnd w:id="261"/>
      <w:bookmarkEnd w:id="262"/>
      <w:bookmarkEnd w:id="263"/>
      <w:bookmarkEnd w:id="264"/>
    </w:p>
    <w:p>
      <w:pPr>
        <w:pStyle w:val="2"/>
        <w:rPr>
          <w:rFonts w:ascii="仿宋" w:eastAsia="仿宋"/>
          <w:color w:val="000000"/>
        </w:rPr>
      </w:pPr>
      <w:bookmarkStart w:id="265" w:name="_Toc25746"/>
      <w:bookmarkStart w:id="266" w:name="_Toc188350327"/>
      <w:bookmarkStart w:id="267" w:name="_Toc156554732"/>
      <w:bookmarkStart w:id="268" w:name="_Toc24637"/>
      <w:bookmarkStart w:id="269" w:name="_Toc188350471"/>
      <w:bookmarkStart w:id="270" w:name="_Toc1820"/>
      <w:bookmarkStart w:id="271" w:name="_Toc156554948"/>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265"/>
      <w:bookmarkEnd w:id="266"/>
      <w:bookmarkEnd w:id="267"/>
      <w:bookmarkEnd w:id="268"/>
      <w:bookmarkEnd w:id="269"/>
      <w:bookmarkEnd w:id="270"/>
      <w:bookmarkEnd w:id="271"/>
    </w:p>
    <w:p>
      <w:pPr>
        <w:pStyle w:val="2"/>
        <w:rPr>
          <w:rFonts w:ascii="仿宋" w:eastAsia="仿宋"/>
          <w:color w:val="000000"/>
        </w:rPr>
      </w:pPr>
      <w:bookmarkStart w:id="272" w:name="_Toc5100"/>
      <w:bookmarkStart w:id="273" w:name="_Toc156554733"/>
      <w:bookmarkStart w:id="274" w:name="_Toc11590"/>
      <w:bookmarkStart w:id="275" w:name="_Toc16335"/>
      <w:bookmarkStart w:id="276" w:name="_Toc156554949"/>
      <w:bookmarkStart w:id="277" w:name="_Toc188350328"/>
      <w:bookmarkStart w:id="278" w:name="_Toc188350472"/>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272"/>
      <w:bookmarkEnd w:id="273"/>
      <w:bookmarkEnd w:id="274"/>
      <w:bookmarkEnd w:id="275"/>
      <w:bookmarkEnd w:id="276"/>
      <w:bookmarkEnd w:id="277"/>
      <w:bookmarkEnd w:id="278"/>
    </w:p>
    <w:p>
      <w:pPr>
        <w:pStyle w:val="2"/>
        <w:rPr>
          <w:rFonts w:ascii="仿宋" w:eastAsia="仿宋"/>
          <w:color w:val="000000"/>
        </w:rPr>
      </w:pPr>
      <w:bookmarkStart w:id="279" w:name="_Toc31520"/>
      <w:bookmarkStart w:id="280" w:name="_Toc31755"/>
      <w:bookmarkStart w:id="281" w:name="_Toc188350329"/>
      <w:bookmarkStart w:id="282" w:name="_Toc156554734"/>
      <w:bookmarkStart w:id="283" w:name="_Toc156554950"/>
      <w:bookmarkStart w:id="284" w:name="_Toc188350473"/>
      <w:bookmarkStart w:id="285" w:name="_Toc22566"/>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279"/>
      <w:bookmarkEnd w:id="280"/>
      <w:bookmarkEnd w:id="281"/>
      <w:bookmarkEnd w:id="282"/>
      <w:bookmarkEnd w:id="283"/>
      <w:bookmarkEnd w:id="284"/>
      <w:bookmarkEnd w:id="285"/>
    </w:p>
    <w:p>
      <w:pPr>
        <w:pStyle w:val="2"/>
        <w:rPr>
          <w:rFonts w:ascii="仿宋" w:eastAsia="仿宋"/>
          <w:color w:val="000000"/>
        </w:rPr>
      </w:pPr>
      <w:bookmarkStart w:id="286" w:name="_Toc15396630"/>
      <w:bookmarkStart w:id="287" w:name="_Toc12383"/>
      <w:bookmarkStart w:id="288" w:name="_Toc188350330"/>
      <w:bookmarkStart w:id="289" w:name="_Toc4672"/>
      <w:bookmarkStart w:id="290" w:name="_Toc2454"/>
      <w:bookmarkStart w:id="291" w:name="_Toc156554735"/>
      <w:bookmarkStart w:id="292" w:name="_Toc156554951"/>
      <w:bookmarkStart w:id="293" w:name="_Toc188350474"/>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286"/>
      <w:bookmarkEnd w:id="287"/>
      <w:bookmarkEnd w:id="288"/>
      <w:bookmarkEnd w:id="289"/>
      <w:bookmarkEnd w:id="290"/>
      <w:bookmarkEnd w:id="291"/>
      <w:bookmarkEnd w:id="292"/>
      <w:bookmarkEnd w:id="293"/>
    </w:p>
    <w:p>
      <w:pPr>
        <w:pStyle w:val="2"/>
        <w:rPr>
          <w:rFonts w:ascii="仿宋" w:eastAsia="仿宋"/>
          <w:color w:val="000000"/>
        </w:rPr>
      </w:pPr>
      <w:bookmarkStart w:id="294" w:name="_Toc15396631"/>
      <w:bookmarkStart w:id="295" w:name="_Toc12328"/>
      <w:bookmarkStart w:id="296" w:name="_Toc24811"/>
      <w:bookmarkStart w:id="297" w:name="_Toc188350331"/>
      <w:bookmarkStart w:id="298" w:name="_Toc156554952"/>
      <w:bookmarkStart w:id="299" w:name="_Toc188350475"/>
      <w:bookmarkStart w:id="300" w:name="_Toc15170"/>
      <w:bookmarkStart w:id="301" w:name="_Toc156554736"/>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202"/>
      <w:bookmarkEnd w:id="294"/>
      <w:bookmarkEnd w:id="295"/>
      <w:bookmarkEnd w:id="296"/>
      <w:bookmarkEnd w:id="297"/>
      <w:bookmarkEnd w:id="298"/>
      <w:bookmarkEnd w:id="299"/>
      <w:bookmarkEnd w:id="300"/>
      <w:bookmarkEnd w:id="30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6"/>
    <w:family w:val="auto"/>
    <w:pitch w:val="variable"/>
    <w:sig w:usb0="000002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方正小标宋_GBK">
    <w:altName w:val="微软雅黑"/>
    <w:panose1 w:val="00000000000000000000"/>
    <w:charset w:val="86"/>
    <w:family w:val="auto"/>
    <w:pitch w:val="variable"/>
    <w:sig w:usb0="00000000" w:usb1="0000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Light">
    <w:altName w:val="DejaVu Sans"/>
    <w:panose1 w:val="020F03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82476374"/>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0042D0D6"/>
    <w:multiLevelType w:val="singleLevel"/>
    <w:tmpl w:val="0042D0D6"/>
    <w:lvl w:ilvl="0">
      <w:start w:val="3"/>
      <w:numFmt w:val="chineseCounting"/>
      <w:lvlRestart w:val="0"/>
      <w:suff w:val="nothing"/>
      <w:lvlText w:val="（%1）"/>
      <w:lvlJc w:val="left"/>
      <w:pPr>
        <w:tabs>
          <w:tab w:val="num" w:pos="0"/>
        </w:tabs>
        <w:ind w:left="0" w:hanging="0"/>
      </w:pPr>
      <w:rPr>
        <w:rFonts w:hint="eastAsia"/>
      </w:rPr>
    </w:lvl>
  </w:abstractNum>
  <w:abstractNum w:abstractNumId="5">
    <w:nsid w:val="41E64DC9"/>
    <w:multiLevelType w:val="singleLevel"/>
    <w:tmpl w:val="41E64DC9"/>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GMyMzA0ZTdlZWIxNmQxNWE1OGRlOTgwNTBiZTUxZ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Calibri Light" w:eastAsia="宋体" w:cs="Times New Roman" w:hAnsi="Calibri Light"/>
      <w:b/>
      <w:bCs/>
      <w:sz w:val="28"/>
      <w:szCs w:val="28"/>
    </w:rPr>
  </w:style>
  <w:style w:type="paragraph" w:styleId="5">
    <w:name w:val="heading 5"/>
    <w:basedOn w:val="0"/>
    <w:next w:val="0"/>
    <w:pPr>
      <w:keepNext/>
      <w:keepLines/>
      <w:widowControl w:val="0"/>
      <w:spacing w:before="280" w:after="290" w:line="377" w:lineRule="auto"/>
      <w:outlineLvl w:val="4"/>
    </w:pPr>
    <w:rPr>
      <w:b/>
      <w:bCs/>
      <w:sz w:val="28"/>
      <w:szCs w:val="28"/>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24">
    <w:name w:val="Normal (Web)"/>
    <w:basedOn w:val="0"/>
    <w:pPr>
      <w:widowControl/>
      <w:spacing w:before="100" w:beforeAutospacing="1" w:after="100" w:afterAutospacing="1"/>
      <w:jc w:val="left"/>
    </w:pPr>
    <w:rPr>
      <w:rFonts w:ascii="宋体" w:cs="宋体"/>
      <w:kern w:val="0"/>
      <w:sz w:val="24"/>
    </w:rPr>
  </w:style>
  <w:style w:type="paragraph" w:styleId="25">
    <w:name w:val="Title"/>
    <w:basedOn w:val="0"/>
    <w:next w:val="0"/>
    <w:pPr>
      <w:spacing w:before="240" w:after="60"/>
      <w:jc w:val="center"/>
      <w:outlineLvl w:val="0"/>
    </w:pPr>
    <w:rPr>
      <w:rFonts w:ascii="Cambria" w:hAnsi="Cambria"/>
      <w:b/>
      <w:bCs/>
      <w:sz w:val="32"/>
      <w:szCs w:val="32"/>
    </w:rPr>
  </w:style>
  <w:style w:type="character" w:styleId="26">
    <w:name w:val="Strong"/>
    <w:basedOn w:val="10"/>
    <w:rPr>
      <w:b/>
    </w:rPr>
  </w:style>
  <w:style w:type="character" w:styleId="27">
    <w:name w:val="Hyperlink"/>
    <w:basedOn w:val="10"/>
    <w:rPr>
      <w:color w:val="0000FF"/>
      <w:u w:val="single"/>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WPSOffice手动目录 1"/>
    <w:rPr>
      <w:rFonts w:ascii="Times New Roman" w:eastAsia="宋体" w:cs="Times New Roman" w:hAnsi="Times New Roman"/>
      <w:sz w:val="20"/>
      <w:szCs w:val="20"/>
      <w:lang w:val="en-US" w:eastAsia="zh-CN" w:bidi="ar-SA"/>
    </w:rPr>
  </w:style>
  <w:style w:type="paragraph" w:customStyle="1" w:styleId="35">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6">
    <w:name w:val="WPSOffice手动目录 3"/>
    <w:pPr>
      <w:ind w:leftChars="400" w:left="400"/>
    </w:pPr>
    <w:rPr>
      <w:rFonts w:ascii="Times New Roman" w:eastAsia="宋体" w:cs="Times New Roman" w:hAnsi="Times New Roman"/>
      <w:sz w:val="20"/>
      <w:szCs w:val="20"/>
      <w:lang w:val="en-US" w:eastAsia="zh-CN" w:bidi="ar-SA"/>
    </w:rPr>
  </w:style>
  <w:style w:type="paragraph" w:customStyle="1" w:styleId="141">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7022283"/>
          <c:y val="0.27907547"/>
          <c:w val="0.928375"/>
          <c:h val="0.580477"/>
        </c:manualLayout>
      </c:layout>
      <c:barChart>
        <c:barDir val="col"/>
        <c:grouping val="clustered"/>
        <c:varyColors val="0"/>
        <c:ser>
          <c:idx val="0"/>
          <c:order val="0"/>
          <c:tx>
            <c:strRef>
              <c:f>'Sheet1'!$B$1</c:f>
              <c:strCache>
                <c:ptCount val="1"/>
                <c:pt idx="0">
                  <c:v>总收入</c:v>
                </c:pt>
              </c:strCache>
            </c:strRef>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675"/>
                  <c:y val="-0.0049176295"/>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总收入</a:t>
                    </a:r>
                    <a:r>
                      <a:rPr lang="zh-CN" sz="900" b="0" i="0" u="none" strike="noStrike" baseline="0">
                        <a:solidFill>
                          <a:srgbClr val="404040"/>
                        </a:solidFill>
                        <a:latin typeface="AR PL UKai CN"/>
                        <a:ea typeface="AR PL UKai CN"/>
                        <a:cs typeface="Lucida Sans"/>
                      </a:rPr>
                      <a:t>, 2023</a:t>
                    </a:r>
                    <a:r>
                      <a:rPr lang="zh-CN" sz="900" b="0" i="0" u="none" strike="noStrike" baseline="0">
                        <a:solidFill>
                          <a:srgbClr val="404040"/>
                        </a:solidFill>
                        <a:latin typeface="AR PL UKai CN"/>
                        <a:ea typeface="AR PL UKai CN"/>
                        <a:cs typeface="Lucida Sans"/>
                      </a:rPr>
                      <a:t>年，</a:t>
                    </a:r>
                    <a:r>
                      <a:rPr lang="zh-CN" sz="900" b="0" i="0" u="none" strike="noStrike" baseline="0">
                        <a:solidFill>
                          <a:srgbClr val="404040"/>
                        </a:solidFill>
                        <a:latin typeface="AR PL UKai CN"/>
                        <a:ea typeface="AR PL UKai CN"/>
                        <a:cs typeface="Lucida Sans"/>
                      </a:rPr>
                      <a:t>572.25</a:t>
                    </a:r>
                  </a:p>
                </c:rich>
              </c:tx>
              <c:showLegendKey val="1"/>
              <c:showVal val="1"/>
              <c:showCatName val="1"/>
              <c:showSerName val="1"/>
              <c:showPercent val="1"/>
              <c:showBubbleSize val="1"/>
            </c:dLbl>
            <c:dLbl>
              <c:idx val="1"/>
              <c:layout>
                <c:manualLayout>
                  <c:x val="-0.0275"/>
                  <c:y val="-1.0403329E-16"/>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总收入</a:t>
                    </a:r>
                    <a:r>
                      <a:rPr lang="zh-CN" sz="900" b="0" i="0" u="none" strike="noStrike" baseline="0">
                        <a:solidFill>
                          <a:srgbClr val="404040"/>
                        </a:solidFill>
                        <a:latin typeface="AR PL UKai CN"/>
                        <a:ea typeface="AR PL UKai CN"/>
                        <a:cs typeface="Lucida Sans"/>
                      </a:rPr>
                      <a:t>,</a:t>
                    </a:r>
                    <a:r>
                      <a:rPr lang="zh-CN" sz="900" b="0" i="0" u="none" strike="noStrike" baseline="0">
                        <a:solidFill>
                          <a:srgbClr val="404040"/>
                        </a:solidFill>
                        <a:latin typeface="AR PL UKai CN"/>
                        <a:ea typeface="AR PL UKai CN"/>
                        <a:cs typeface="Lucida Sans"/>
                      </a:rPr>
                      <a:t>2</a:t>
                    </a:r>
                    <a:r>
                      <a:rPr lang="zh-CN" sz="900" b="0" i="0" u="none" strike="noStrike" baseline="0">
                        <a:solidFill>
                          <a:srgbClr val="404040"/>
                        </a:solidFill>
                        <a:latin typeface="AR PL UKai CN"/>
                        <a:ea typeface="AR PL UKai CN"/>
                        <a:cs typeface="Lucida Sans"/>
                      </a:rPr>
                      <a:t>,</a:t>
                    </a:r>
                    <a:r>
                      <a:rPr lang="zh-CN" sz="900" b="0" i="0" u="none" strike="noStrike" baseline="0">
                        <a:solidFill>
                          <a:srgbClr val="404040"/>
                        </a:solidFill>
                        <a:latin typeface="AR PL UKai CN"/>
                        <a:ea typeface="AR PL UKai CN"/>
                        <a:cs typeface="Lucida Sans"/>
                      </a:rPr>
                      <a:t>703.66</a:t>
                    </a:r>
                  </a:p>
                </c:rich>
              </c:tx>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2023年</c:v>
                </c:pt>
                <c:pt idx="1">
                  <c:v>2024年</c:v>
                </c:pt>
              </c:strCache>
            </c:strRef>
          </c:cat>
          <c:val>
            <c:numRef>
              <c:f>'Sheet1'!$B$2:$B$3</c:f>
              <c:numCache>
                <c:formatCode>General</c:formatCode>
                <c:ptCount val="2"/>
                <c:pt idx="0">
                  <c:v>572.25</c:v>
                </c:pt>
                <c:pt idx="1">
                  <c:v>703.66</c:v>
                </c:pt>
              </c:numCache>
            </c:numRef>
          </c:val>
        </c:ser>
        <c:ser>
          <c:idx val="1"/>
          <c:order val="1"/>
          <c:tx>
            <c:strRef>
              <c:f>'Sheet1'!$C$1</c:f>
              <c:strCache>
                <c:ptCount val="1"/>
                <c:pt idx="0">
                  <c:v>总支出</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总支出</a:t>
                    </a:r>
                    <a:r>
                      <a:rPr lang="zh-CN" sz="900" b="0" i="0" u="none" strike="noStrike" baseline="0">
                        <a:solidFill>
                          <a:srgbClr val="404040"/>
                        </a:solidFill>
                        <a:latin typeface="AR PL UKai CN"/>
                        <a:ea typeface="AR PL UKai CN"/>
                        <a:cs typeface="Lucida Sans"/>
                      </a:rPr>
                      <a:t>, 2023</a:t>
                    </a:r>
                    <a:r>
                      <a:rPr lang="zh-CN" sz="900" b="0" i="0" u="none" strike="noStrike" baseline="0">
                        <a:solidFill>
                          <a:srgbClr val="404040"/>
                        </a:solidFill>
                        <a:latin typeface="AR PL UKai CN"/>
                        <a:ea typeface="AR PL UKai CN"/>
                        <a:cs typeface="Lucida Sans"/>
                      </a:rPr>
                      <a:t>年</a:t>
                    </a:r>
                    <a:r>
                      <a:rPr lang="zh-CN" sz="900" b="0" i="0" u="none" strike="noStrike" baseline="0">
                        <a:solidFill>
                          <a:srgbClr val="404040"/>
                        </a:solidFill>
                        <a:latin typeface="AR PL UKai CN"/>
                        <a:ea typeface="AR PL UKai CN"/>
                        <a:cs typeface="Lucida Sans"/>
                      </a:rPr>
                      <a:t>, 572.25</a:t>
                    </a:r>
                  </a:p>
                </c:rich>
              </c:tx>
              <c:showLegendKey val="1"/>
              <c:showVal val="1"/>
              <c:showCatName val="1"/>
              <c:showSerName val="1"/>
              <c:showPercent val="1"/>
              <c:showBubbleSize val="1"/>
            </c:dLbl>
            <c:dLbl>
              <c:idx val="1"/>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2023年</c:v>
                </c:pt>
                <c:pt idx="1">
                  <c:v>2024年</c:v>
                </c:pt>
              </c:strCache>
            </c:strRef>
          </c:cat>
          <c:val>
            <c:numRef>
              <c:f>'Sheet1'!$C$2:$C$3</c:f>
              <c:numCache>
                <c:formatCode>General</c:formatCode>
                <c:ptCount val="2"/>
                <c:pt idx="0">
                  <c:v>572.25</c:v>
                </c:pt>
                <c:pt idx="1">
                  <c:v>703.66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c:spPr>
          <c:dPt>
            <c:idx val="0"/>
            <c:bubble3D val="0"/>
            <c:spPr>
              <a:solidFill>
                <a:srgbClr val="4F81BD"/>
              </a:solidFill>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703.66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c:f>
              <c:strCache>
                <c:ptCount val="1"/>
                <c:pt idx="0">
                  <c:v>一般公共预算财政拨款收入</c:v>
                </c:pt>
              </c:strCache>
            </c:strRef>
          </c:cat>
          <c:val>
            <c:numRef>
              <c:f>Sheet1 (2)!$B$2</c:f>
              <c:numCache>
                <c:formatCode>General</c:formatCode>
                <c:ptCount val="1"/>
                <c:pt idx="0">
                  <c:v>703.66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
              <c:idx val="0"/>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tx>
                <c:rich>
                  <a:bodyPr vert="horz"/>
                  <a:lstStyle/>
                  <a:p>
                    <a:pPr>
                      <a:defRPr sz="1000" b="1" i="0" u="none" strike="noStrike" baseline="0">
                        <a:solidFill>
                          <a:srgbClr val="FFFFFF"/>
                        </a:solidFill>
                        <a:latin typeface="AR PL UKai CN"/>
                        <a:ea typeface="AR PL UKai CN"/>
                        <a:cs typeface="Lucida Sans"/>
                      </a:defRPr>
                    </a:pPr>
                    <a:r>
                      <a:rPr lang="zh-CN"/>
                      <a:t>66%</a:t>
                    </a:r>
                  </a:p>
                </c:rich>
              </c:tx>
              <c:showLegendKey val="0"/>
              <c:showVal val="1"/>
              <c:showCatName val="0"/>
              <c:showSerName val="0"/>
              <c:showPercent val="1"/>
              <c:showBubbleSize val="0"/>
            </c:dLbl>
            <c:dLbl>
              <c:idx val="1"/>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showLegendKey val="0"/>
              <c:showVal val="0"/>
              <c:showCatName val="0"/>
              <c:showSerName val="0"/>
              <c:showPercent val="1"/>
              <c:showBubbleSize val="0"/>
            </c:dLbl>
            <c:dLblPos val="ctr"/>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461.0</c:v>
                </c:pt>
                <c:pt idx="1">
                  <c:v>242.66</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572.25</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572.25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572.25</c:v>
                </c:pt>
                <c:pt idx="1">
                  <c:v>572.25</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703.66</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703.66</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703.66</c:v>
                </c:pt>
                <c:pt idx="1">
                  <c:v>703.66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pt idx="0">
                  <c:v>2023</c:v>
                </c:pt>
                <c:pt idx="1">
                  <c:v>2024</c:v>
                </c:pt>
              </c:numCache>
            </c:numRef>
          </c:cat>
          <c:val>
            <c:numRef>
              <c:f>'Sheet1 (5)'!$B$2:$B$3</c:f>
              <c:numCache>
                <c:formatCode>General</c:formatCode>
                <c:ptCount val="2"/>
                <c:pt idx="0">
                  <c:v>572.25</c:v>
                </c:pt>
                <c:pt idx="1">
                  <c:v>703.66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文化旅游体育与传媒</c:v>
                </c:pt>
                <c:pt idx="1">
                  <c:v>社会保障和就业</c:v>
                </c:pt>
                <c:pt idx="2">
                  <c:v>卫生健康</c:v>
                </c:pt>
                <c:pt idx="3">
                  <c:v>住房保障</c:v>
                </c:pt>
              </c:strCache>
            </c:strRef>
          </c:cat>
          <c:val>
            <c:numRef>
              <c:f>'Sheet1 (6)'!$B$2:$B$5</c:f>
              <c:numCache>
                <c:formatCode>General</c:formatCode>
                <c:ptCount val="4"/>
                <c:pt idx="0">
                  <c:v>572.65</c:v>
                </c:pt>
                <c:pt idx="1">
                  <c:v>67.31</c:v>
                </c:pt>
                <c:pt idx="2">
                  <c:v>27.36</c:v>
                </c:pt>
                <c:pt idx="3">
                  <c:v>36.34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99</TotalTime>
  <Application>Yozo_Office27021597764231179</Application>
  <Pages>21</Pages>
  <Words>7268</Words>
  <Characters>7861</Characters>
  <Lines>482</Lines>
  <Paragraphs>259</Paragraphs>
  <CharactersWithSpaces>8123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11</cp:revision>
  <cp:lastPrinted>2023-08-29T03:04:00Z</cp:lastPrinted>
  <dcterms:created xsi:type="dcterms:W3CDTF">2025-01-21T01:19:00Z</dcterms:created>
  <dcterms:modified xsi:type="dcterms:W3CDTF">2025-08-18T08:12:36Z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2052-12.1.0.19302</vt:lpwstr>
  </property>
  <property fmtid="{D5CDD505-2E9C-101B-9397-08002B2CF9AE}" pid="3" name="ICV">
    <vt:lpwstr>6353DD27F7864B1484DFF8411EE6D4FC</vt:lpwstr>
  </property>
  <property fmtid="{D5CDD505-2E9C-101B-9397-08002B2CF9AE}" pid="4" name="KSOTemplateDocerSaveRecord">
    <vt:lpwstr>eyJoZGlkIjoiYzFkOTkwMzRmYWM3ZWJlNTVmNGIxZWZmZTI4MDA0YjciLCJ1c2VySWQiOiI4ODkzODQ3MDEifQ==</vt:lpwstr>
  </property>
</Properties>
</file>