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金川县融媒体中心</w:t>
      </w:r>
    </w:p>
    <w:p>
      <w:pPr>
        <w:snapToGrid w:val="0"/>
        <w:spacing w:line="360" w:lineRule="auto"/>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2024年部门预算编制说明</w:t>
      </w:r>
    </w:p>
    <w:p>
      <w:pPr>
        <w:snapToGrid w:val="0"/>
        <w:spacing w:line="360" w:lineRule="auto"/>
        <w:rPr>
          <w:rFonts w:ascii="仿宋" w:hAnsi="仿宋" w:eastAsia="仿宋" w:cs="仿宋"/>
          <w:color w:val="0066CC"/>
          <w:kern w:val="0"/>
          <w:sz w:val="30"/>
          <w:szCs w:val="30"/>
        </w:rPr>
      </w:pPr>
      <w:bookmarkStart w:id="0" w:name="_Toc24043"/>
      <w:bookmarkStart w:id="1" w:name="_Toc23360"/>
      <w:bookmarkStart w:id="59" w:name="_GoBack"/>
      <w:bookmarkEnd w:id="59"/>
    </w:p>
    <w:p>
      <w:pPr>
        <w:pStyle w:val="3"/>
      </w:pPr>
      <w:r>
        <w:rPr>
          <w:rFonts w:hint="eastAsia"/>
        </w:rPr>
        <w:t>一、基本职能及主要工作</w:t>
      </w:r>
      <w:bookmarkEnd w:id="0"/>
      <w:bookmarkEnd w:id="1"/>
    </w:p>
    <w:p>
      <w:pPr>
        <w:snapToGrid w:val="0"/>
        <w:spacing w:line="360" w:lineRule="auto"/>
        <w:ind w:firstLine="321" w:firstLineChars="100"/>
        <w:rPr>
          <w:rFonts w:ascii="仿宋_GB2312" w:hAnsi="仿宋_GB2312" w:eastAsia="仿宋_GB2312" w:cs="仿宋_GB2312"/>
          <w:color w:val="333333"/>
          <w:sz w:val="32"/>
          <w:szCs w:val="32"/>
          <w:shd w:val="clear" w:color="auto" w:fill="FFFFFF"/>
        </w:rPr>
      </w:pPr>
      <w:bookmarkStart w:id="2" w:name="_Toc28785"/>
      <w:bookmarkStart w:id="3" w:name="_Toc3113"/>
      <w:r>
        <w:rPr>
          <w:rStyle w:val="18"/>
          <w:rFonts w:hint="eastAsia"/>
        </w:rPr>
        <w:t>（一）、融媒体中心职能简介。</w:t>
      </w:r>
      <w:bookmarkEnd w:id="2"/>
      <w:bookmarkEnd w:id="3"/>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color w:val="000000"/>
          <w:spacing w:val="-14"/>
          <w:kern w:val="0"/>
          <w:sz w:val="32"/>
          <w:szCs w:val="32"/>
        </w:rPr>
        <w:t>根据金编委发﹝2020﹞17号文件规定,我单位主要职责是：负责全县广播电视新闻节目制作、安全推出、安全传输</w:t>
      </w:r>
      <w:r>
        <w:rPr>
          <w:rFonts w:hint="eastAsia" w:ascii="仿宋_GB2312" w:hAnsi="仿宋_GB2312" w:eastAsia="仿宋_GB2312" w:cs="仿宋_GB2312"/>
          <w:color w:val="333333"/>
          <w:sz w:val="32"/>
          <w:szCs w:val="32"/>
          <w:shd w:val="clear" w:color="auto" w:fill="FFFFFF"/>
        </w:rPr>
        <w:t>发射，广电有线网络及新媒体建设等任务，负责拟定全县广播电视事业、产业发展规划。</w:t>
      </w:r>
    </w:p>
    <w:p>
      <w:pPr>
        <w:numPr>
          <w:ilvl w:val="0"/>
          <w:numId w:val="1"/>
        </w:numPr>
        <w:snapToGrid w:val="0"/>
        <w:spacing w:line="360" w:lineRule="auto"/>
        <w:ind w:firstLine="643" w:firstLineChars="200"/>
        <w:rPr>
          <w:rFonts w:ascii="仿宋_GB2312" w:hAnsi="宋体" w:eastAsia="仿宋_GB2312" w:cs="宋体"/>
          <w:color w:val="333333"/>
          <w:kern w:val="0"/>
          <w:sz w:val="28"/>
          <w:szCs w:val="28"/>
        </w:rPr>
      </w:pPr>
      <w:bookmarkStart w:id="4" w:name="_Toc29863"/>
      <w:bookmarkStart w:id="5" w:name="_Toc4331"/>
      <w:r>
        <w:rPr>
          <w:rStyle w:val="18"/>
          <w:rFonts w:hint="eastAsia"/>
        </w:rPr>
        <w:t>融媒体中心2024年重点工作。</w:t>
      </w:r>
      <w:bookmarkEnd w:id="4"/>
      <w:bookmarkEnd w:id="5"/>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1、继续把握正确舆论导向，开展好各项新闻宣传；</w:t>
      </w:r>
    </w:p>
    <w:p>
      <w:pPr>
        <w:numPr>
          <w:ilvl w:val="0"/>
          <w:numId w:val="2"/>
        </w:numPr>
        <w:snapToGrid w:val="0"/>
        <w:spacing w:line="360" w:lineRule="auto"/>
        <w:outlineLvl w:val="0"/>
        <w:rPr>
          <w:rFonts w:ascii="仿宋_GB2312" w:hAnsi="宋体" w:eastAsia="仿宋_GB2312" w:cs="宋体"/>
          <w:color w:val="333333"/>
          <w:kern w:val="0"/>
          <w:sz w:val="28"/>
          <w:szCs w:val="28"/>
        </w:rPr>
      </w:pPr>
      <w:bookmarkStart w:id="6" w:name="_Toc9326"/>
      <w:bookmarkStart w:id="7" w:name="_Toc19019"/>
      <w:bookmarkStart w:id="8" w:name="_Toc14441"/>
      <w:bookmarkStart w:id="9" w:name="_Toc23948"/>
      <w:bookmarkStart w:id="10" w:name="_Toc15656"/>
      <w:bookmarkStart w:id="11" w:name="_Toc2202"/>
      <w:bookmarkStart w:id="12" w:name="_Toc2949"/>
      <w:bookmarkStart w:id="13" w:name="_Toc27778"/>
      <w:bookmarkStart w:id="14" w:name="_Toc29356"/>
      <w:bookmarkStart w:id="15" w:name="_Toc11687"/>
      <w:r>
        <w:rPr>
          <w:rFonts w:hint="eastAsia" w:ascii="仿宋_GB2312" w:hAnsi="宋体" w:eastAsia="仿宋_GB2312" w:cs="宋体"/>
          <w:color w:val="333333"/>
          <w:kern w:val="0"/>
          <w:sz w:val="28"/>
          <w:szCs w:val="28"/>
        </w:rPr>
        <w:t>继续加强多方对接联系，强化新闻策划；</w:t>
      </w:r>
      <w:bookmarkEnd w:id="6"/>
      <w:bookmarkEnd w:id="7"/>
      <w:bookmarkEnd w:id="8"/>
      <w:bookmarkEnd w:id="9"/>
      <w:bookmarkEnd w:id="10"/>
      <w:bookmarkEnd w:id="11"/>
      <w:bookmarkEnd w:id="12"/>
      <w:bookmarkEnd w:id="13"/>
      <w:bookmarkEnd w:id="14"/>
      <w:bookmarkEnd w:id="15"/>
    </w:p>
    <w:p>
      <w:pPr>
        <w:numPr>
          <w:ilvl w:val="0"/>
          <w:numId w:val="2"/>
        </w:numPr>
        <w:snapToGrid w:val="0"/>
        <w:spacing w:line="360" w:lineRule="auto"/>
        <w:outlineLvl w:val="0"/>
        <w:rPr>
          <w:rFonts w:ascii="仿宋_GB2312" w:hAnsi="宋体" w:eastAsia="仿宋_GB2312" w:cs="宋体"/>
          <w:color w:val="333333"/>
          <w:kern w:val="0"/>
          <w:sz w:val="28"/>
          <w:szCs w:val="28"/>
        </w:rPr>
      </w:pPr>
      <w:bookmarkStart w:id="16" w:name="_Toc2180"/>
      <w:bookmarkStart w:id="17" w:name="_Toc8777"/>
      <w:bookmarkStart w:id="18" w:name="_Toc15889"/>
      <w:bookmarkStart w:id="19" w:name="_Toc15317"/>
      <w:bookmarkStart w:id="20" w:name="_Toc1926"/>
      <w:bookmarkStart w:id="21" w:name="_Toc582"/>
      <w:bookmarkStart w:id="22" w:name="_Toc8820"/>
      <w:bookmarkStart w:id="23" w:name="_Toc28242"/>
      <w:bookmarkStart w:id="24" w:name="_Toc9462"/>
      <w:bookmarkStart w:id="25" w:name="_Toc30203"/>
      <w:r>
        <w:rPr>
          <w:rFonts w:hint="eastAsia" w:ascii="仿宋_GB2312" w:hAnsi="宋体" w:eastAsia="仿宋_GB2312" w:cs="宋体"/>
          <w:color w:val="333333"/>
          <w:kern w:val="0"/>
          <w:sz w:val="28"/>
          <w:szCs w:val="28"/>
        </w:rPr>
        <w:t>加强职工教育，提升业务素质；</w:t>
      </w:r>
      <w:bookmarkEnd w:id="16"/>
      <w:bookmarkEnd w:id="17"/>
      <w:bookmarkEnd w:id="18"/>
      <w:bookmarkEnd w:id="19"/>
      <w:bookmarkEnd w:id="20"/>
      <w:bookmarkEnd w:id="21"/>
      <w:bookmarkEnd w:id="22"/>
      <w:bookmarkEnd w:id="23"/>
      <w:bookmarkEnd w:id="24"/>
      <w:bookmarkEnd w:id="25"/>
    </w:p>
    <w:p>
      <w:pPr>
        <w:numPr>
          <w:ilvl w:val="0"/>
          <w:numId w:val="2"/>
        </w:numPr>
        <w:snapToGrid w:val="0"/>
        <w:spacing w:line="360" w:lineRule="auto"/>
        <w:outlineLvl w:val="0"/>
        <w:rPr>
          <w:rFonts w:ascii="仿宋_GB2312" w:hAnsi="宋体" w:eastAsia="仿宋_GB2312" w:cs="宋体"/>
          <w:color w:val="333333"/>
          <w:kern w:val="0"/>
          <w:sz w:val="28"/>
          <w:szCs w:val="28"/>
        </w:rPr>
      </w:pPr>
      <w:bookmarkStart w:id="26" w:name="_Toc17626"/>
      <w:bookmarkStart w:id="27" w:name="_Toc15105"/>
      <w:bookmarkStart w:id="28" w:name="_Toc6672"/>
      <w:bookmarkStart w:id="29" w:name="_Toc10517"/>
      <w:bookmarkStart w:id="30" w:name="_Toc6067"/>
      <w:bookmarkStart w:id="31" w:name="_Toc23803"/>
      <w:bookmarkStart w:id="32" w:name="_Toc1669"/>
      <w:bookmarkStart w:id="33" w:name="_Toc13429"/>
      <w:bookmarkStart w:id="34" w:name="_Toc26265"/>
      <w:bookmarkStart w:id="35" w:name="_Toc24183"/>
      <w:r>
        <w:rPr>
          <w:rFonts w:hint="eastAsia" w:ascii="仿宋_GB2312" w:hAnsi="宋体" w:eastAsia="仿宋_GB2312" w:cs="宋体"/>
          <w:color w:val="333333"/>
          <w:kern w:val="0"/>
          <w:sz w:val="28"/>
          <w:szCs w:val="28"/>
        </w:rPr>
        <w:t>对老旧网络进行改造，升级有线电视网络；</w:t>
      </w:r>
      <w:bookmarkEnd w:id="26"/>
      <w:bookmarkEnd w:id="27"/>
      <w:bookmarkEnd w:id="28"/>
      <w:bookmarkEnd w:id="29"/>
      <w:bookmarkEnd w:id="30"/>
      <w:bookmarkEnd w:id="31"/>
      <w:bookmarkEnd w:id="32"/>
      <w:bookmarkEnd w:id="33"/>
      <w:bookmarkEnd w:id="34"/>
      <w:bookmarkEnd w:id="35"/>
    </w:p>
    <w:p>
      <w:pPr>
        <w:numPr>
          <w:ilvl w:val="0"/>
          <w:numId w:val="2"/>
        </w:numPr>
        <w:snapToGrid w:val="0"/>
        <w:spacing w:line="360" w:lineRule="auto"/>
        <w:outlineLvl w:val="0"/>
        <w:rPr>
          <w:rFonts w:ascii="仿宋_GB2312" w:hAnsi="仿宋_GB2312" w:eastAsia="仿宋_GB2312" w:cs="仿宋_GB2312"/>
          <w:color w:val="000000"/>
          <w:spacing w:val="-14"/>
          <w:kern w:val="0"/>
          <w:sz w:val="32"/>
          <w:szCs w:val="32"/>
        </w:rPr>
      </w:pPr>
      <w:bookmarkStart w:id="36" w:name="_Toc21031"/>
      <w:bookmarkStart w:id="37" w:name="_Toc3459"/>
      <w:bookmarkStart w:id="38" w:name="_Toc26068"/>
      <w:bookmarkStart w:id="39" w:name="_Toc21791"/>
      <w:bookmarkStart w:id="40" w:name="_Toc31984"/>
      <w:bookmarkStart w:id="41" w:name="_Toc17078"/>
      <w:bookmarkStart w:id="42" w:name="_Toc25530"/>
      <w:bookmarkStart w:id="43" w:name="_Toc29854"/>
      <w:bookmarkStart w:id="44" w:name="_Toc20666"/>
      <w:bookmarkStart w:id="45" w:name="_Toc5996"/>
      <w:r>
        <w:rPr>
          <w:rFonts w:hint="eastAsia" w:ascii="仿宋_GB2312" w:hAnsi="宋体" w:eastAsia="仿宋_GB2312" w:cs="宋体"/>
          <w:color w:val="333333"/>
          <w:kern w:val="0"/>
          <w:sz w:val="28"/>
          <w:szCs w:val="28"/>
        </w:rPr>
        <w:t>提升广播电视覆盖率，扩大广播电视传播力、影响力。</w:t>
      </w:r>
      <w:bookmarkEnd w:id="36"/>
      <w:bookmarkEnd w:id="37"/>
      <w:bookmarkEnd w:id="38"/>
      <w:bookmarkEnd w:id="39"/>
      <w:bookmarkEnd w:id="40"/>
      <w:bookmarkEnd w:id="41"/>
      <w:bookmarkEnd w:id="42"/>
      <w:bookmarkEnd w:id="43"/>
      <w:bookmarkEnd w:id="44"/>
      <w:bookmarkEnd w:id="45"/>
      <w:bookmarkStart w:id="46" w:name="_Toc24977"/>
      <w:bookmarkStart w:id="47" w:name="_Toc13433"/>
    </w:p>
    <w:p>
      <w:pPr>
        <w:snapToGrid w:val="0"/>
        <w:spacing w:line="360" w:lineRule="auto"/>
        <w:ind w:firstLine="643" w:firstLineChars="200"/>
        <w:outlineLvl w:val="0"/>
        <w:rPr>
          <w:rFonts w:ascii="仿宋_GB2312" w:hAnsi="仿宋_GB2312" w:eastAsia="仿宋_GB2312" w:cs="仿宋_GB2312"/>
          <w:color w:val="000000"/>
          <w:spacing w:val="-14"/>
          <w:kern w:val="0"/>
          <w:sz w:val="32"/>
          <w:szCs w:val="32"/>
        </w:rPr>
      </w:pPr>
      <w:r>
        <w:rPr>
          <w:rStyle w:val="18"/>
          <w:rFonts w:hint="eastAsia"/>
        </w:rPr>
        <w:t>（三）部门预算单位构成</w:t>
      </w:r>
      <w:bookmarkEnd w:id="46"/>
      <w:bookmarkEnd w:id="47"/>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仿宋_GB2312" w:eastAsia="仿宋_GB2312" w:cs="仿宋_GB2312"/>
          <w:color w:val="333333"/>
          <w:kern w:val="0"/>
          <w:sz w:val="28"/>
          <w:szCs w:val="28"/>
        </w:rPr>
        <w:t xml:space="preserve"> </w:t>
      </w:r>
      <w:r>
        <w:rPr>
          <w:rFonts w:hint="eastAsia" w:ascii="仿宋_GB2312" w:hAnsi="仿宋_GB2312" w:eastAsia="仿宋_GB2312" w:cs="仿宋_GB2312"/>
          <w:color w:val="000000"/>
          <w:spacing w:val="-14"/>
          <w:kern w:val="0"/>
          <w:sz w:val="32"/>
          <w:szCs w:val="32"/>
        </w:rPr>
        <w:t>我单位有1个机构，属事业单位。编制人数29人，在职人数2</w:t>
      </w:r>
      <w:r>
        <w:rPr>
          <w:rFonts w:ascii="仿宋_GB2312" w:hAnsi="仿宋_GB2312" w:eastAsia="仿宋_GB2312" w:cs="仿宋_GB2312"/>
          <w:color w:val="000000"/>
          <w:spacing w:val="-14"/>
          <w:kern w:val="0"/>
          <w:sz w:val="32"/>
          <w:szCs w:val="32"/>
        </w:rPr>
        <w:t>5</w:t>
      </w:r>
      <w:r>
        <w:rPr>
          <w:rFonts w:hint="eastAsia" w:ascii="仿宋_GB2312" w:hAnsi="仿宋_GB2312" w:eastAsia="仿宋_GB2312" w:cs="仿宋_GB2312"/>
          <w:color w:val="000000"/>
          <w:spacing w:val="-14"/>
          <w:kern w:val="0"/>
          <w:sz w:val="32"/>
          <w:szCs w:val="32"/>
        </w:rPr>
        <w:t>人，其中：事业管理</w:t>
      </w:r>
      <w:r>
        <w:rPr>
          <w:rFonts w:ascii="仿宋_GB2312" w:hAnsi="仿宋_GB2312" w:eastAsia="仿宋_GB2312" w:cs="仿宋_GB2312"/>
          <w:color w:val="000000"/>
          <w:spacing w:val="-14"/>
          <w:kern w:val="0"/>
          <w:sz w:val="32"/>
          <w:szCs w:val="32"/>
        </w:rPr>
        <w:t>8</w:t>
      </w:r>
      <w:r>
        <w:rPr>
          <w:rFonts w:hint="eastAsia" w:ascii="仿宋_GB2312" w:hAnsi="仿宋_GB2312" w:eastAsia="仿宋_GB2312" w:cs="仿宋_GB2312"/>
          <w:color w:val="000000"/>
          <w:spacing w:val="-14"/>
          <w:kern w:val="0"/>
          <w:sz w:val="32"/>
          <w:szCs w:val="32"/>
        </w:rPr>
        <w:t>人，事业专技16人, 事业工勤1人。</w:t>
      </w:r>
    </w:p>
    <w:p>
      <w:pPr>
        <w:pStyle w:val="3"/>
        <w:numPr>
          <w:ilvl w:val="0"/>
          <w:numId w:val="3"/>
        </w:numPr>
      </w:pPr>
      <w:bookmarkStart w:id="48" w:name="_Toc27721"/>
      <w:bookmarkStart w:id="49" w:name="_Toc23700"/>
      <w:r>
        <w:rPr>
          <w:rFonts w:hint="eastAsia"/>
        </w:rPr>
        <w:t>收支预算情况说明</w:t>
      </w:r>
      <w:bookmarkEnd w:id="48"/>
      <w:bookmarkEnd w:id="49"/>
    </w:p>
    <w:p>
      <w:pPr>
        <w:snapToGrid w:val="0"/>
        <w:spacing w:line="360" w:lineRule="auto"/>
        <w:ind w:left="420" w:leftChars="200"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按照综合预算的原则，所有收入和支出均纳入部门预算管理。收入包括：文化体育与传媒收入，社会保障和就业收入，医疗卫生与计划生育收入、住房保障收入；支出包括：文化旅游体育与传媒支出、社会保障和就业支出、医疗卫生与计划生育支出、住房保障支出。2024年收支总预算</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万元,比202</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年收支预算总数增加</w:t>
      </w:r>
      <w:r>
        <w:rPr>
          <w:rFonts w:ascii="仿宋_GB2312" w:hAnsi="宋体" w:eastAsia="仿宋_GB2312" w:cs="宋体"/>
          <w:color w:val="333333"/>
          <w:kern w:val="0"/>
          <w:sz w:val="28"/>
          <w:szCs w:val="28"/>
        </w:rPr>
        <w:t>45.53</w:t>
      </w:r>
      <w:r>
        <w:rPr>
          <w:rFonts w:hint="eastAsia" w:ascii="仿宋_GB2312" w:hAnsi="宋体" w:eastAsia="仿宋_GB2312" w:cs="宋体"/>
          <w:color w:val="333333"/>
          <w:kern w:val="0"/>
          <w:sz w:val="28"/>
          <w:szCs w:val="28"/>
        </w:rPr>
        <w:t>万元，主要是因为保险基数的增长。</w:t>
      </w:r>
      <w:r>
        <w:rPr>
          <w:rFonts w:hint="eastAsia" w:ascii="仿宋_GB2312" w:hAnsi="宋体" w:eastAsia="仿宋_GB2312" w:cs="宋体"/>
          <w:color w:val="333333"/>
          <w:kern w:val="0"/>
          <w:sz w:val="28"/>
          <w:szCs w:val="28"/>
        </w:rPr>
        <w:br w:type="textWrapping"/>
      </w:r>
      <w:r>
        <w:rPr>
          <w:rStyle w:val="18"/>
          <w:rFonts w:hint="eastAsia"/>
        </w:rPr>
        <w:t>　（一）收入预算情况。</w:t>
      </w:r>
      <w:r>
        <w:rPr>
          <w:rStyle w:val="18"/>
          <w:rFonts w:hint="eastAsia"/>
        </w:rPr>
        <w:br w:type="textWrapping"/>
      </w:r>
      <w:r>
        <w:rPr>
          <w:rFonts w:hint="eastAsia" w:ascii="仿宋_GB2312" w:hAnsi="宋体" w:eastAsia="仿宋_GB2312" w:cs="宋体"/>
          <w:color w:val="333333"/>
          <w:kern w:val="0"/>
          <w:sz w:val="28"/>
          <w:szCs w:val="28"/>
        </w:rPr>
        <w:t>　　2024年收入预算</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万元，其中：一般公共预算拨款收入</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万元，占100%。</w:t>
      </w:r>
      <w:r>
        <w:rPr>
          <w:rFonts w:hint="eastAsia" w:ascii="仿宋_GB2312" w:hAnsi="宋体" w:eastAsia="仿宋_GB2312" w:cs="宋体"/>
          <w:color w:val="333333"/>
          <w:kern w:val="0"/>
          <w:sz w:val="28"/>
          <w:szCs w:val="28"/>
        </w:rPr>
        <w:br w:type="textWrapping"/>
      </w:r>
      <w:r>
        <w:rPr>
          <w:rStyle w:val="18"/>
          <w:rFonts w:hint="eastAsia"/>
        </w:rPr>
        <w:t>　　（二）支出预算情况。</w:t>
      </w:r>
      <w:r>
        <w:rPr>
          <w:rStyle w:val="18"/>
          <w:rFonts w:hint="eastAsia"/>
        </w:rPr>
        <w:br w:type="textWrapping"/>
      </w:r>
      <w:r>
        <w:rPr>
          <w:rFonts w:hint="eastAsia" w:ascii="仿宋_GB2312" w:hAnsi="宋体" w:eastAsia="仿宋_GB2312" w:cs="宋体"/>
          <w:color w:val="333333"/>
          <w:kern w:val="0"/>
          <w:sz w:val="28"/>
          <w:szCs w:val="28"/>
        </w:rPr>
        <w:t>　　2024年支出预算</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万元，其中：基本支出</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万元，占100%。</w:t>
      </w:r>
    </w:p>
    <w:p>
      <w:pPr>
        <w:widowControl/>
        <w:spacing w:line="480" w:lineRule="atLeast"/>
        <w:ind w:firstLine="643" w:firstLineChars="200"/>
        <w:rPr>
          <w:rFonts w:ascii="仿宋_GB2312" w:hAnsi="宋体" w:eastAsia="仿宋_GB2312" w:cs="宋体"/>
          <w:color w:val="333333"/>
          <w:kern w:val="0"/>
          <w:sz w:val="28"/>
          <w:szCs w:val="28"/>
        </w:rPr>
      </w:pPr>
      <w:bookmarkStart w:id="50" w:name="_Toc25583"/>
      <w:bookmarkStart w:id="51" w:name="_Toc2518"/>
      <w:r>
        <w:rPr>
          <w:rStyle w:val="17"/>
          <w:rFonts w:hint="eastAsia"/>
        </w:rPr>
        <w:t>三、财政拨款收支预算情况说明</w:t>
      </w:r>
      <w:bookmarkEnd w:id="50"/>
      <w:bookmarkEnd w:id="51"/>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2024年财政拨款收支总预算</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万元,比202</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财政拨款收支总预算增加</w:t>
      </w:r>
      <w:r>
        <w:rPr>
          <w:rFonts w:ascii="仿宋_GB2312" w:hAnsi="宋体" w:eastAsia="仿宋_GB2312" w:cs="宋体"/>
          <w:color w:val="333333"/>
          <w:kern w:val="0"/>
          <w:sz w:val="28"/>
          <w:szCs w:val="28"/>
        </w:rPr>
        <w:t>45.53</w:t>
      </w:r>
      <w:r>
        <w:rPr>
          <w:rFonts w:hint="eastAsia" w:ascii="仿宋_GB2312" w:hAnsi="宋体" w:eastAsia="仿宋_GB2312" w:cs="宋体"/>
          <w:color w:val="333333"/>
          <w:kern w:val="0"/>
          <w:sz w:val="28"/>
          <w:szCs w:val="28"/>
        </w:rPr>
        <w:t>万元，主要是因为人员增加，激励性绩效增加。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kern w:val="0"/>
          <w:sz w:val="28"/>
          <w:szCs w:val="28"/>
        </w:rPr>
        <w:t>　　收入包括：本年一般公共预算拨款收入</w:t>
      </w:r>
      <w:r>
        <w:rPr>
          <w:rFonts w:ascii="仿宋_GB2312" w:hAnsi="宋体" w:eastAsia="仿宋_GB2312" w:cs="宋体"/>
          <w:color w:val="333333"/>
          <w:kern w:val="0"/>
          <w:sz w:val="28"/>
          <w:szCs w:val="28"/>
        </w:rPr>
        <w:t>423.21</w:t>
      </w:r>
      <w:r>
        <w:rPr>
          <w:rFonts w:hint="eastAsia" w:ascii="仿宋_GB2312" w:hAnsi="宋体" w:eastAsia="仿宋_GB2312" w:cs="宋体"/>
          <w:kern w:val="0"/>
          <w:sz w:val="28"/>
          <w:szCs w:val="28"/>
        </w:rPr>
        <w:t>万元，支出包括：文化旅游体育与传媒支出</w:t>
      </w:r>
      <w:r>
        <w:rPr>
          <w:rFonts w:ascii="仿宋_GB2312" w:hAnsi="宋体" w:eastAsia="仿宋_GB2312" w:cs="宋体"/>
          <w:kern w:val="0"/>
          <w:sz w:val="28"/>
          <w:szCs w:val="28"/>
        </w:rPr>
        <w:t>288.3</w:t>
      </w:r>
      <w:r>
        <w:rPr>
          <w:rFonts w:hint="eastAsia" w:ascii="仿宋_GB2312" w:hAnsi="宋体" w:eastAsia="仿宋_GB2312" w:cs="宋体"/>
          <w:kern w:val="0"/>
          <w:sz w:val="28"/>
          <w:szCs w:val="28"/>
        </w:rPr>
        <w:t>万元、社会保障和就业支出</w:t>
      </w:r>
      <w:r>
        <w:rPr>
          <w:rFonts w:ascii="仿宋_GB2312" w:hAnsi="宋体" w:eastAsia="仿宋_GB2312" w:cs="宋体"/>
          <w:kern w:val="0"/>
          <w:sz w:val="28"/>
          <w:szCs w:val="28"/>
        </w:rPr>
        <w:t>68.67</w:t>
      </w:r>
      <w:r>
        <w:rPr>
          <w:rFonts w:hint="eastAsia" w:ascii="仿宋_GB2312" w:hAnsi="宋体" w:eastAsia="仿宋_GB2312" w:cs="宋体"/>
          <w:kern w:val="0"/>
          <w:sz w:val="28"/>
          <w:szCs w:val="28"/>
        </w:rPr>
        <w:t>万元，卫生健康支出</w:t>
      </w:r>
      <w:r>
        <w:rPr>
          <w:rFonts w:ascii="仿宋_GB2312" w:hAnsi="宋体" w:eastAsia="仿宋_GB2312" w:cs="宋体"/>
          <w:kern w:val="0"/>
          <w:sz w:val="28"/>
          <w:szCs w:val="28"/>
        </w:rPr>
        <w:t>27.82</w:t>
      </w:r>
      <w:r>
        <w:rPr>
          <w:rFonts w:hint="eastAsia" w:ascii="仿宋_GB2312" w:hAnsi="宋体" w:eastAsia="仿宋_GB2312" w:cs="宋体"/>
          <w:kern w:val="0"/>
          <w:sz w:val="28"/>
          <w:szCs w:val="28"/>
        </w:rPr>
        <w:t>万元，住房保障支出</w:t>
      </w:r>
      <w:r>
        <w:rPr>
          <w:rFonts w:ascii="仿宋_GB2312" w:hAnsi="宋体" w:eastAsia="仿宋_GB2312" w:cs="宋体"/>
          <w:kern w:val="0"/>
          <w:sz w:val="28"/>
          <w:szCs w:val="28"/>
        </w:rPr>
        <w:t>38.42</w:t>
      </w:r>
      <w:r>
        <w:rPr>
          <w:rFonts w:hint="eastAsia" w:ascii="仿宋_GB2312" w:hAnsi="宋体" w:eastAsia="仿宋_GB2312" w:cs="宋体"/>
          <w:kern w:val="0"/>
          <w:sz w:val="28"/>
          <w:szCs w:val="28"/>
        </w:rPr>
        <w:t>万元。</w:t>
      </w:r>
    </w:p>
    <w:p>
      <w:pPr>
        <w:widowControl/>
        <w:spacing w:line="480" w:lineRule="atLeast"/>
        <w:rPr>
          <w:rStyle w:val="17"/>
        </w:rPr>
      </w:pPr>
      <w:bookmarkStart w:id="52" w:name="_Toc22466"/>
      <w:bookmarkStart w:id="53" w:name="_Toc5765"/>
      <w:r>
        <w:rPr>
          <w:rStyle w:val="17"/>
          <w:rFonts w:hint="eastAsia"/>
        </w:rPr>
        <w:t>　四、一般公共预算当年拨款情况说明</w:t>
      </w:r>
      <w:bookmarkEnd w:id="52"/>
    </w:p>
    <w:bookmarkEnd w:id="53"/>
    <w:p>
      <w:pPr>
        <w:widowControl/>
        <w:spacing w:line="480" w:lineRule="atLeast"/>
        <w:rPr>
          <w:rStyle w:val="18"/>
        </w:rPr>
      </w:pPr>
      <w:r>
        <w:rPr>
          <w:rStyle w:val="18"/>
          <w:rFonts w:hint="eastAsia"/>
        </w:rPr>
        <w:t>　</w:t>
      </w:r>
      <w:bookmarkStart w:id="54" w:name="_Toc3523"/>
      <w:r>
        <w:rPr>
          <w:rStyle w:val="18"/>
          <w:rFonts w:hint="eastAsia"/>
        </w:rPr>
        <w:t>（一）一般公共预算当年拨款规模变化情况</w:t>
      </w:r>
      <w:r>
        <w:rPr>
          <w:rStyle w:val="19"/>
          <w:rFonts w:hint="eastAsia"/>
        </w:rPr>
        <w:br w:type="textWrapping"/>
      </w:r>
      <w:bookmarkEnd w:id="54"/>
      <w:r>
        <w:rPr>
          <w:rFonts w:hint="eastAsia"/>
        </w:rPr>
        <w:t>　 　</w:t>
      </w:r>
      <w:r>
        <w:rPr>
          <w:rFonts w:hint="eastAsia" w:ascii="仿宋" w:hAnsi="仿宋" w:eastAsia="仿宋" w:cs="仿宋"/>
          <w:sz w:val="28"/>
          <w:szCs w:val="28"/>
        </w:rPr>
        <w:t>2024年一般公共预算当年拨款</w:t>
      </w:r>
      <w:r>
        <w:rPr>
          <w:rFonts w:ascii="仿宋_GB2312" w:hAnsi="宋体" w:eastAsia="仿宋_GB2312" w:cs="宋体"/>
          <w:color w:val="333333"/>
          <w:kern w:val="0"/>
          <w:sz w:val="28"/>
          <w:szCs w:val="28"/>
        </w:rPr>
        <w:t>423.21</w:t>
      </w:r>
      <w:r>
        <w:rPr>
          <w:rFonts w:hint="eastAsia" w:ascii="仿宋" w:hAnsi="仿宋" w:eastAsia="仿宋" w:cs="仿宋"/>
          <w:sz w:val="28"/>
          <w:szCs w:val="28"/>
        </w:rPr>
        <w:t>万元，比202</w:t>
      </w:r>
      <w:r>
        <w:rPr>
          <w:rFonts w:ascii="仿宋" w:hAnsi="仿宋" w:eastAsia="仿宋" w:cs="仿宋"/>
          <w:sz w:val="28"/>
          <w:szCs w:val="28"/>
        </w:rPr>
        <w:t>3</w:t>
      </w:r>
      <w:r>
        <w:rPr>
          <w:rFonts w:hint="eastAsia" w:ascii="仿宋" w:hAnsi="仿宋" w:eastAsia="仿宋" w:cs="仿宋"/>
          <w:sz w:val="28"/>
          <w:szCs w:val="28"/>
        </w:rPr>
        <w:t>年预算数增加</w:t>
      </w:r>
      <w:r>
        <w:rPr>
          <w:rFonts w:ascii="仿宋" w:hAnsi="仿宋" w:eastAsia="仿宋" w:cs="仿宋"/>
          <w:sz w:val="28"/>
          <w:szCs w:val="28"/>
        </w:rPr>
        <w:t>45.53</w:t>
      </w:r>
      <w:r>
        <w:rPr>
          <w:rFonts w:hint="eastAsia" w:ascii="仿宋" w:hAnsi="仿宋" w:eastAsia="仿宋" w:cs="仿宋"/>
          <w:sz w:val="28"/>
          <w:szCs w:val="28"/>
        </w:rPr>
        <w:t>万元，</w:t>
      </w:r>
      <w:r>
        <w:rPr>
          <w:rFonts w:hint="eastAsia" w:ascii="仿宋_GB2312" w:hAnsi="宋体" w:eastAsia="仿宋_GB2312" w:cs="宋体"/>
          <w:color w:val="333333"/>
          <w:kern w:val="0"/>
          <w:sz w:val="28"/>
          <w:szCs w:val="28"/>
        </w:rPr>
        <w:t>主要是因为保险基数的增长。</w:t>
      </w:r>
    </w:p>
    <w:p>
      <w:pPr>
        <w:widowControl/>
        <w:spacing w:line="480" w:lineRule="atLeast"/>
        <w:ind w:firstLine="643" w:firstLineChars="200"/>
        <w:rPr>
          <w:rFonts w:ascii="仿宋_GB2312" w:hAnsi="宋体" w:eastAsia="仿宋_GB2312" w:cs="宋体"/>
          <w:color w:val="333333"/>
          <w:kern w:val="0"/>
          <w:sz w:val="28"/>
          <w:szCs w:val="28"/>
        </w:rPr>
      </w:pPr>
      <w:r>
        <w:rPr>
          <w:rStyle w:val="18"/>
          <w:rFonts w:hint="eastAsia"/>
        </w:rPr>
        <w:t>（二）一般公共预算当年拨款结构情况</w:t>
      </w:r>
      <w:r>
        <w:rPr>
          <w:rStyle w:val="19"/>
          <w:rFonts w:hint="eastAsia"/>
        </w:rPr>
        <w:br w:type="textWrapping"/>
      </w:r>
      <w:r>
        <w:rPr>
          <w:rFonts w:hint="eastAsia"/>
        </w:rPr>
        <w:t>　　</w:t>
      </w:r>
      <w:r>
        <w:rPr>
          <w:rFonts w:hint="eastAsia" w:ascii="仿宋" w:hAnsi="仿宋" w:eastAsia="仿宋" w:cs="仿宋"/>
          <w:sz w:val="28"/>
          <w:szCs w:val="28"/>
        </w:rPr>
        <w:t>广播电视事务工资性支出</w:t>
      </w:r>
      <w:r>
        <w:rPr>
          <w:rFonts w:ascii="仿宋" w:hAnsi="仿宋" w:eastAsia="仿宋" w:cs="仿宋"/>
          <w:sz w:val="28"/>
          <w:szCs w:val="28"/>
        </w:rPr>
        <w:t>288.3</w:t>
      </w:r>
      <w:r>
        <w:rPr>
          <w:rFonts w:hint="eastAsia" w:ascii="仿宋" w:hAnsi="仿宋" w:eastAsia="仿宋" w:cs="仿宋"/>
          <w:sz w:val="28"/>
          <w:szCs w:val="28"/>
        </w:rPr>
        <w:t>万元，占</w:t>
      </w:r>
      <w:r>
        <w:rPr>
          <w:rFonts w:ascii="仿宋" w:hAnsi="仿宋" w:eastAsia="仿宋" w:cs="仿宋"/>
          <w:sz w:val="28"/>
          <w:szCs w:val="28"/>
        </w:rPr>
        <w:t>68</w:t>
      </w:r>
      <w:r>
        <w:rPr>
          <w:rFonts w:hint="eastAsia" w:ascii="仿宋" w:hAnsi="仿宋" w:eastAsia="仿宋" w:cs="仿宋"/>
          <w:sz w:val="28"/>
          <w:szCs w:val="28"/>
        </w:rPr>
        <w:t>%，社会保障缴费</w:t>
      </w:r>
      <w:r>
        <w:rPr>
          <w:rFonts w:ascii="仿宋" w:hAnsi="仿宋" w:eastAsia="仿宋" w:cs="仿宋"/>
          <w:sz w:val="28"/>
          <w:szCs w:val="28"/>
        </w:rPr>
        <w:t>68.67</w:t>
      </w:r>
      <w:r>
        <w:rPr>
          <w:rFonts w:hint="eastAsia" w:ascii="仿宋" w:hAnsi="仿宋" w:eastAsia="仿宋" w:cs="仿宋"/>
          <w:sz w:val="28"/>
          <w:szCs w:val="28"/>
        </w:rPr>
        <w:t>万元，占</w:t>
      </w:r>
      <w:r>
        <w:rPr>
          <w:rFonts w:ascii="仿宋" w:hAnsi="仿宋" w:eastAsia="仿宋" w:cs="仿宋"/>
          <w:sz w:val="28"/>
          <w:szCs w:val="28"/>
        </w:rPr>
        <w:t>16</w:t>
      </w:r>
      <w:r>
        <w:rPr>
          <w:rFonts w:hint="eastAsia" w:ascii="仿宋" w:hAnsi="仿宋" w:eastAsia="仿宋" w:cs="仿宋"/>
          <w:sz w:val="28"/>
          <w:szCs w:val="28"/>
        </w:rPr>
        <w:t>%，卫生健康支出</w:t>
      </w:r>
      <w:r>
        <w:rPr>
          <w:rFonts w:ascii="仿宋" w:hAnsi="仿宋" w:eastAsia="仿宋" w:cs="仿宋"/>
          <w:sz w:val="28"/>
          <w:szCs w:val="28"/>
        </w:rPr>
        <w:t>27.82</w:t>
      </w:r>
      <w:r>
        <w:rPr>
          <w:rFonts w:hint="eastAsia" w:ascii="仿宋" w:hAnsi="仿宋" w:eastAsia="仿宋" w:cs="仿宋"/>
          <w:sz w:val="28"/>
          <w:szCs w:val="28"/>
        </w:rPr>
        <w:t>万元，占</w:t>
      </w:r>
      <w:r>
        <w:rPr>
          <w:rFonts w:ascii="仿宋" w:hAnsi="仿宋" w:eastAsia="仿宋" w:cs="仿宋"/>
          <w:sz w:val="28"/>
          <w:szCs w:val="28"/>
        </w:rPr>
        <w:t>9</w:t>
      </w:r>
      <w:r>
        <w:rPr>
          <w:rFonts w:hint="eastAsia" w:ascii="仿宋" w:hAnsi="仿宋" w:eastAsia="仿宋" w:cs="仿宋"/>
          <w:sz w:val="28"/>
          <w:szCs w:val="28"/>
        </w:rPr>
        <w:t>%，</w:t>
      </w:r>
      <w:r>
        <w:rPr>
          <w:rFonts w:hint="eastAsia" w:ascii="仿宋_GB2312" w:hAnsi="宋体" w:eastAsia="仿宋_GB2312" w:cs="宋体"/>
          <w:kern w:val="0"/>
          <w:sz w:val="28"/>
          <w:szCs w:val="28"/>
        </w:rPr>
        <w:t>住房保障支出</w:t>
      </w:r>
      <w:r>
        <w:rPr>
          <w:rFonts w:ascii="仿宋_GB2312" w:hAnsi="宋体" w:eastAsia="仿宋_GB2312" w:cs="宋体"/>
          <w:kern w:val="0"/>
          <w:sz w:val="28"/>
          <w:szCs w:val="28"/>
        </w:rPr>
        <w:t>38.42</w:t>
      </w:r>
      <w:r>
        <w:rPr>
          <w:rFonts w:hint="eastAsia" w:ascii="仿宋_GB2312" w:hAnsi="宋体" w:eastAsia="仿宋_GB2312" w:cs="宋体"/>
          <w:kern w:val="0"/>
          <w:sz w:val="28"/>
          <w:szCs w:val="28"/>
        </w:rPr>
        <w:t>万元，占9%。</w:t>
      </w:r>
    </w:p>
    <w:p>
      <w:pPr>
        <w:widowControl/>
        <w:spacing w:line="480" w:lineRule="atLeast"/>
        <w:ind w:firstLine="280" w:firstLineChars="100"/>
        <w:rPr>
          <w:rStyle w:val="18"/>
        </w:rPr>
      </w:pPr>
      <w:r>
        <w:rPr>
          <w:rFonts w:hint="eastAsia" w:ascii="仿宋" w:hAnsi="仿宋" w:eastAsia="仿宋" w:cs="仿宋"/>
          <w:sz w:val="28"/>
          <w:szCs w:val="28"/>
        </w:rPr>
        <w:br w:type="textWrapping"/>
      </w:r>
      <w:r>
        <w:rPr>
          <w:rStyle w:val="18"/>
          <w:rFonts w:hint="eastAsia"/>
        </w:rPr>
        <w:t xml:space="preserve">  （三）一般公共预算当年拨款具体使用情况</w:t>
      </w:r>
    </w:p>
    <w:p>
      <w:pPr>
        <w:widowControl/>
        <w:spacing w:line="480" w:lineRule="atLeast"/>
        <w:ind w:firstLine="562" w:firstLineChars="20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1</w:t>
      </w:r>
      <w:r>
        <w:rPr>
          <w:rFonts w:hint="eastAsia" w:ascii="仿宋_GB2312" w:hAnsi="宋体" w:eastAsia="仿宋_GB2312" w:cs="宋体"/>
          <w:b/>
          <w:bCs/>
          <w:color w:val="333333"/>
          <w:kern w:val="0"/>
          <w:sz w:val="28"/>
        </w:rPr>
        <w:t>.文化旅游体育与传媒支出（类）广播电视（款）广播电视事务（项）</w:t>
      </w:r>
      <w:r>
        <w:rPr>
          <w:rFonts w:hint="eastAsia" w:ascii="仿宋_GB2312" w:hAnsi="宋体" w:eastAsia="仿宋_GB2312" w:cs="宋体"/>
          <w:color w:val="333333"/>
          <w:kern w:val="0"/>
          <w:sz w:val="28"/>
          <w:szCs w:val="28"/>
        </w:rPr>
        <w:t>2024年预算数为</w:t>
      </w:r>
      <w:r>
        <w:rPr>
          <w:rFonts w:ascii="仿宋_GB2312" w:hAnsi="宋体" w:eastAsia="仿宋_GB2312" w:cs="宋体"/>
          <w:color w:val="333333"/>
          <w:kern w:val="0"/>
          <w:sz w:val="28"/>
          <w:szCs w:val="28"/>
        </w:rPr>
        <w:t>288.3</w:t>
      </w:r>
      <w:r>
        <w:rPr>
          <w:rFonts w:hint="eastAsia" w:ascii="仿宋_GB2312" w:hAnsi="宋体" w:eastAsia="仿宋_GB2312" w:cs="宋体"/>
          <w:color w:val="333333"/>
          <w:kern w:val="0"/>
          <w:sz w:val="28"/>
          <w:szCs w:val="28"/>
        </w:rPr>
        <w:t>万元，主要用于：事业单位人员的工资、津贴等基本支出。</w:t>
      </w:r>
    </w:p>
    <w:p>
      <w:pPr>
        <w:widowControl/>
        <w:spacing w:line="480" w:lineRule="atLeast"/>
        <w:ind w:firstLine="562" w:firstLineChars="200"/>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2.社会保障和就业（类）行政事业单位离退休（款）机关事业单位基本养老保险缴费支出（项）</w:t>
      </w:r>
      <w:r>
        <w:rPr>
          <w:rFonts w:hint="eastAsia" w:ascii="仿宋_GB2312" w:hAnsi="宋体" w:eastAsia="仿宋_GB2312" w:cs="宋体"/>
          <w:color w:val="333333"/>
          <w:kern w:val="0"/>
          <w:sz w:val="28"/>
          <w:szCs w:val="28"/>
        </w:rPr>
        <w:t>2024年预算数为</w:t>
      </w:r>
      <w:r>
        <w:rPr>
          <w:rFonts w:ascii="仿宋_GB2312" w:hAnsi="宋体" w:eastAsia="仿宋_GB2312" w:cs="宋体"/>
          <w:color w:val="333333"/>
          <w:kern w:val="0"/>
          <w:sz w:val="28"/>
          <w:szCs w:val="28"/>
        </w:rPr>
        <w:t>45.78</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3.社会保障和就业（类）行政事业单位离退休（款）机关事业单位职业年金缴费支出（项）</w:t>
      </w:r>
      <w:r>
        <w:rPr>
          <w:rFonts w:hint="eastAsia" w:ascii="仿宋_GB2312" w:hAnsi="宋体" w:eastAsia="仿宋_GB2312" w:cs="宋体"/>
          <w:color w:val="333333"/>
          <w:kern w:val="0"/>
          <w:sz w:val="28"/>
          <w:szCs w:val="28"/>
        </w:rPr>
        <w:t>2024年预算数为</w:t>
      </w:r>
      <w:r>
        <w:rPr>
          <w:rFonts w:ascii="仿宋_GB2312" w:hAnsi="宋体" w:eastAsia="仿宋_GB2312" w:cs="宋体"/>
          <w:color w:val="333333"/>
          <w:kern w:val="0"/>
          <w:sz w:val="28"/>
          <w:szCs w:val="28"/>
        </w:rPr>
        <w:t>22.89</w:t>
      </w:r>
      <w:r>
        <w:rPr>
          <w:rFonts w:hint="eastAsia" w:ascii="仿宋_GB2312" w:hAnsi="宋体" w:eastAsia="仿宋_GB2312" w:cs="宋体"/>
          <w:color w:val="333333"/>
          <w:kern w:val="0"/>
          <w:sz w:val="28"/>
          <w:szCs w:val="28"/>
        </w:rPr>
        <w:t>万元，主要用于：实施养老保险制度后，部门按规定由单位缴纳的职业年金支出。</w:t>
      </w:r>
    </w:p>
    <w:p>
      <w:pPr>
        <w:widowControl/>
        <w:spacing w:line="480" w:lineRule="atLeast"/>
        <w:ind w:firstLine="562" w:firstLineChars="200"/>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4.医疗卫生与计划生育（类）行政事业单位医疗（款）事业单位医疗（项）</w:t>
      </w:r>
      <w:r>
        <w:rPr>
          <w:rFonts w:hint="eastAsia" w:ascii="仿宋_GB2312" w:hAnsi="宋体" w:eastAsia="仿宋_GB2312" w:cs="宋体"/>
          <w:color w:val="333333"/>
          <w:kern w:val="0"/>
          <w:sz w:val="28"/>
          <w:szCs w:val="28"/>
        </w:rPr>
        <w:t>2024年预算数为</w:t>
      </w:r>
      <w:r>
        <w:rPr>
          <w:rFonts w:ascii="仿宋_GB2312" w:hAnsi="宋体" w:eastAsia="仿宋_GB2312" w:cs="宋体"/>
          <w:color w:val="333333"/>
          <w:kern w:val="0"/>
          <w:sz w:val="28"/>
          <w:szCs w:val="28"/>
        </w:rPr>
        <w:t>22.41</w:t>
      </w:r>
      <w:r>
        <w:rPr>
          <w:rFonts w:hint="eastAsia" w:ascii="仿宋_GB2312" w:hAnsi="宋体" w:eastAsia="仿宋_GB2312" w:cs="宋体"/>
          <w:color w:val="333333"/>
          <w:kern w:val="0"/>
          <w:sz w:val="28"/>
          <w:szCs w:val="28"/>
        </w:rPr>
        <w:t>万元，主要用于：部门下属事业单位基本医疗保险缴费支出。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5.医疗卫生与计划生育（类）行政事业单位医疗（款）公务员医疗补助（项）</w:t>
      </w:r>
      <w:r>
        <w:rPr>
          <w:rFonts w:hint="eastAsia" w:ascii="仿宋_GB2312" w:hAnsi="宋体" w:eastAsia="仿宋_GB2312" w:cs="宋体"/>
          <w:color w:val="333333"/>
          <w:kern w:val="0"/>
          <w:sz w:val="28"/>
          <w:szCs w:val="28"/>
        </w:rPr>
        <w:t>2024年预算数为</w:t>
      </w:r>
      <w:r>
        <w:rPr>
          <w:rFonts w:ascii="仿宋_GB2312" w:hAnsi="宋体" w:eastAsia="仿宋_GB2312" w:cs="宋体"/>
          <w:color w:val="333333"/>
          <w:kern w:val="0"/>
          <w:sz w:val="28"/>
          <w:szCs w:val="28"/>
        </w:rPr>
        <w:t>5.41</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6.住房保障（类）住房改革支出（款）住房公积金（项）</w:t>
      </w:r>
      <w:r>
        <w:rPr>
          <w:rFonts w:hint="eastAsia" w:ascii="仿宋_GB2312" w:hAnsi="宋体" w:eastAsia="仿宋_GB2312" w:cs="宋体"/>
          <w:color w:val="333333"/>
          <w:kern w:val="0"/>
          <w:sz w:val="28"/>
          <w:szCs w:val="28"/>
        </w:rPr>
        <w:t>2024年预算数为</w:t>
      </w:r>
      <w:r>
        <w:rPr>
          <w:rFonts w:ascii="仿宋_GB2312" w:hAnsi="宋体" w:eastAsia="仿宋_GB2312" w:cs="宋体"/>
          <w:color w:val="333333"/>
          <w:kern w:val="0"/>
          <w:sz w:val="28"/>
          <w:szCs w:val="28"/>
        </w:rPr>
        <w:t>38.42</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w:t>
      </w:r>
      <w:r>
        <w:rPr>
          <w:rStyle w:val="17"/>
          <w:rFonts w:hint="eastAsia"/>
        </w:rPr>
        <w:t xml:space="preserve">  五、一般公共预算基本支出情况说明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2024年一般公共预算基本支出</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万元，其中：人员经费</w:t>
      </w:r>
      <w:r>
        <w:rPr>
          <w:rFonts w:ascii="仿宋_GB2312" w:hAnsi="宋体" w:eastAsia="仿宋_GB2312" w:cs="宋体"/>
          <w:color w:val="333333"/>
          <w:kern w:val="0"/>
          <w:sz w:val="28"/>
          <w:szCs w:val="28"/>
        </w:rPr>
        <w:t>423.21</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Style w:val="17"/>
          <w:rFonts w:hint="eastAsia"/>
        </w:rPr>
        <w:t>　　六、“三公”经费财政拨款预算安排情况说明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2024年未安排“三公”经费财政拨款预算。</w:t>
      </w:r>
    </w:p>
    <w:p>
      <w:pPr>
        <w:widowControl/>
        <w:spacing w:line="480" w:lineRule="atLeast"/>
        <w:ind w:firstLine="643" w:firstLineChars="200"/>
        <w:rPr>
          <w:rFonts w:ascii="仿宋_GB2312" w:hAnsi="宋体" w:eastAsia="仿宋_GB2312" w:cs="宋体"/>
          <w:color w:val="333333"/>
          <w:kern w:val="0"/>
          <w:sz w:val="28"/>
          <w:szCs w:val="28"/>
        </w:rPr>
      </w:pPr>
      <w:bookmarkStart w:id="55" w:name="_Toc58"/>
      <w:bookmarkStart w:id="56" w:name="_Toc6964"/>
      <w:r>
        <w:rPr>
          <w:rStyle w:val="17"/>
          <w:rFonts w:hint="eastAsia"/>
        </w:rPr>
        <w:t>七、政府性基金预算支出情况说明</w:t>
      </w:r>
      <w:bookmarkEnd w:id="55"/>
      <w:bookmarkEnd w:id="56"/>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2024年没有使用政府性基金预算拨款安排的支出。</w:t>
      </w:r>
    </w:p>
    <w:p>
      <w:pPr>
        <w:widowControl/>
        <w:spacing w:line="480" w:lineRule="atLeast"/>
        <w:ind w:firstLine="643" w:firstLineChars="200"/>
        <w:rPr>
          <w:rFonts w:ascii="仿宋_GB2312" w:hAnsi="宋体" w:eastAsia="仿宋_GB2312" w:cs="宋体"/>
          <w:color w:val="333333"/>
          <w:kern w:val="0"/>
          <w:sz w:val="28"/>
          <w:szCs w:val="28"/>
        </w:rPr>
      </w:pPr>
      <w:bookmarkStart w:id="57" w:name="_Toc9837"/>
      <w:bookmarkStart w:id="58" w:name="_Toc20658"/>
      <w:r>
        <w:rPr>
          <w:rStyle w:val="17"/>
          <w:rFonts w:hint="eastAsia"/>
        </w:rPr>
        <w:t>八、国有资本经营预算支出情况说明</w:t>
      </w:r>
      <w:bookmarkEnd w:id="57"/>
      <w:bookmarkEnd w:id="58"/>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2024年没有使用国有资本经营预算拨款安排的支出。</w:t>
      </w:r>
      <w:r>
        <w:rPr>
          <w:rStyle w:val="17"/>
          <w:rFonts w:hint="eastAsia"/>
        </w:rPr>
        <w:br w:type="textWrapping"/>
      </w:r>
      <w:r>
        <w:rPr>
          <w:rStyle w:val="17"/>
          <w:rFonts w:hint="eastAsia"/>
        </w:rPr>
        <w:t xml:space="preserve"> 　 九、名词解释</w:t>
      </w:r>
      <w:r>
        <w:rPr>
          <w:rStyle w:val="17"/>
          <w:rFonts w:hint="eastAsia"/>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w:t>
      </w:r>
      <w:r>
        <w:rPr>
          <w:rFonts w:hint="eastAsia" w:ascii="仿宋_GB2312" w:hAnsi="宋体" w:eastAsia="仿宋_GB2312" w:cs="宋体"/>
          <w:color w:val="333333"/>
          <w:kern w:val="0"/>
          <w:sz w:val="28"/>
        </w:rPr>
        <w:t>文化旅游体育与传媒支出（类）广播电视（款）广播电视事务（项）：指电视台、电视发射台、电视转播台的支出。</w:t>
      </w:r>
    </w:p>
    <w:p>
      <w:r>
        <w:rPr>
          <w:rFonts w:hint="eastAsia" w:ascii="仿宋_GB2312" w:hAnsi="宋体" w:eastAsia="仿宋_GB2312" w:cs="宋体"/>
          <w:color w:val="333333"/>
          <w:kern w:val="0"/>
          <w:sz w:val="28"/>
          <w:szCs w:val="28"/>
        </w:rPr>
        <w:t xml:space="preserve">    3.社会保障和就业（类）行政事业单位离退休（款）机关事业单位基本养老保险缴费支出（项）：指部门实施养老保险制度由单位缴纳的养老保险费的支出。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4.社会保障和就业（类）行政事业单位离退休（款）机关事业单位职业年金缴费支出（项）：指部门实施养老保险制度由单位缴纳的职业年金的支出。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5.医疗卫生与计划生育（类）行政事业单位医疗（款）事业单位医疗（项）：指事业单位用于缴纳单位基本医疗保险支出。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6.医疗卫生与计划生育（类）行政事业单位医疗（款）公务员医疗补助（项）：指机关及参公管理事业单位用于集中缴纳公务员医疗补助支出。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7.住房保障（类）住房改革支出（款）住房公积金（项）：指按照《住房公积金管理条例》的规定，由单位及其在职职工缴存的长期住房储金。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8.基本支出：指为保证机构正常运转，完成日常工作任务而发生的人员支出和公用支出。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4C1F18"/>
    <w:multiLevelType w:val="singleLevel"/>
    <w:tmpl w:val="404C1F18"/>
    <w:lvl w:ilvl="0" w:tentative="0">
      <w:start w:val="2"/>
      <w:numFmt w:val="chineseCounting"/>
      <w:suff w:val="nothing"/>
      <w:lvlText w:val="（%1）"/>
      <w:lvlJc w:val="left"/>
      <w:rPr>
        <w:rFonts w:hint="eastAsia"/>
      </w:rPr>
    </w:lvl>
  </w:abstractNum>
  <w:abstractNum w:abstractNumId="1">
    <w:nsid w:val="54D7101C"/>
    <w:multiLevelType w:val="singleLevel"/>
    <w:tmpl w:val="54D7101C"/>
    <w:lvl w:ilvl="0" w:tentative="0">
      <w:start w:val="2"/>
      <w:numFmt w:val="decimal"/>
      <w:suff w:val="nothing"/>
      <w:lvlText w:val="%1、"/>
      <w:lvlJc w:val="left"/>
      <w:pPr>
        <w:ind w:left="560" w:firstLine="0"/>
      </w:pPr>
    </w:lvl>
  </w:abstractNum>
  <w:abstractNum w:abstractNumId="2">
    <w:nsid w:val="6C423E6B"/>
    <w:multiLevelType w:val="singleLevel"/>
    <w:tmpl w:val="6C423E6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2754B"/>
    <w:rsid w:val="0005228E"/>
    <w:rsid w:val="000573BF"/>
    <w:rsid w:val="00085C89"/>
    <w:rsid w:val="000E1930"/>
    <w:rsid w:val="000F53D6"/>
    <w:rsid w:val="001B02B7"/>
    <w:rsid w:val="002E4274"/>
    <w:rsid w:val="00320EFF"/>
    <w:rsid w:val="00381EFE"/>
    <w:rsid w:val="004A1E06"/>
    <w:rsid w:val="00580430"/>
    <w:rsid w:val="00586F49"/>
    <w:rsid w:val="005F0C88"/>
    <w:rsid w:val="005F6359"/>
    <w:rsid w:val="00600B60"/>
    <w:rsid w:val="00700600"/>
    <w:rsid w:val="0075369A"/>
    <w:rsid w:val="0079144A"/>
    <w:rsid w:val="007D3447"/>
    <w:rsid w:val="008330A3"/>
    <w:rsid w:val="00897239"/>
    <w:rsid w:val="008E6FDA"/>
    <w:rsid w:val="009E20BA"/>
    <w:rsid w:val="00A2229B"/>
    <w:rsid w:val="00A41E30"/>
    <w:rsid w:val="00AB0774"/>
    <w:rsid w:val="00D04CCC"/>
    <w:rsid w:val="00D74B57"/>
    <w:rsid w:val="00D7636D"/>
    <w:rsid w:val="00E01B1E"/>
    <w:rsid w:val="00E32326"/>
    <w:rsid w:val="00E57454"/>
    <w:rsid w:val="00EA6598"/>
    <w:rsid w:val="00ED7B9A"/>
    <w:rsid w:val="00EE1A1A"/>
    <w:rsid w:val="00F10539"/>
    <w:rsid w:val="00F82FEB"/>
    <w:rsid w:val="03115BF6"/>
    <w:rsid w:val="056A62A4"/>
    <w:rsid w:val="05904C57"/>
    <w:rsid w:val="0C640259"/>
    <w:rsid w:val="10FE2F7D"/>
    <w:rsid w:val="13C437E9"/>
    <w:rsid w:val="15901A14"/>
    <w:rsid w:val="162A1134"/>
    <w:rsid w:val="16A63D33"/>
    <w:rsid w:val="16E819F7"/>
    <w:rsid w:val="1D2F518F"/>
    <w:rsid w:val="1EDF4D6B"/>
    <w:rsid w:val="1FA00DC6"/>
    <w:rsid w:val="21521F5E"/>
    <w:rsid w:val="21996376"/>
    <w:rsid w:val="240B22EF"/>
    <w:rsid w:val="24500D7D"/>
    <w:rsid w:val="26433883"/>
    <w:rsid w:val="28C42DAE"/>
    <w:rsid w:val="2FB476AE"/>
    <w:rsid w:val="310B5C8F"/>
    <w:rsid w:val="32CA34E4"/>
    <w:rsid w:val="37F70CE1"/>
    <w:rsid w:val="47700D6B"/>
    <w:rsid w:val="48260620"/>
    <w:rsid w:val="52AF6F7A"/>
    <w:rsid w:val="5BBD1298"/>
    <w:rsid w:val="5E6B0883"/>
    <w:rsid w:val="5EC01A16"/>
    <w:rsid w:val="60120C82"/>
    <w:rsid w:val="610E282E"/>
    <w:rsid w:val="67634260"/>
    <w:rsid w:val="6D255683"/>
    <w:rsid w:val="6D42456A"/>
    <w:rsid w:val="6D8A4400"/>
    <w:rsid w:val="6DE1287C"/>
    <w:rsid w:val="7A604D7B"/>
    <w:rsid w:val="7BD9656F"/>
    <w:rsid w:val="7F05169C"/>
    <w:rsid w:val="7F6B6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6" w:lineRule="auto"/>
      <w:outlineLvl w:val="0"/>
    </w:pPr>
    <w:rPr>
      <w:b/>
      <w:kern w:val="44"/>
      <w:sz w:val="44"/>
    </w:rPr>
  </w:style>
  <w:style w:type="paragraph" w:styleId="3">
    <w:name w:val="heading 2"/>
    <w:basedOn w:val="1"/>
    <w:next w:val="1"/>
    <w:link w:val="17"/>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8"/>
    <w:semiHidden/>
    <w:unhideWhenUsed/>
    <w:qFormat/>
    <w:uiPriority w:val="9"/>
    <w:pPr>
      <w:keepNext/>
      <w:keepLines/>
      <w:spacing w:before="260" w:after="260" w:line="413" w:lineRule="auto"/>
      <w:outlineLvl w:val="2"/>
    </w:pPr>
    <w:rPr>
      <w:b/>
      <w:sz w:val="32"/>
    </w:rPr>
  </w:style>
  <w:style w:type="paragraph" w:styleId="5">
    <w:name w:val="heading 4"/>
    <w:basedOn w:val="1"/>
    <w:next w:val="1"/>
    <w:link w:val="19"/>
    <w:semiHidden/>
    <w:unhideWhenUsed/>
    <w:qFormat/>
    <w:uiPriority w:val="9"/>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semiHidden/>
    <w:unhideWhenUsed/>
    <w:qFormat/>
    <w:uiPriority w:val="39"/>
  </w:style>
  <w:style w:type="paragraph" w:styleId="10">
    <w:name w:val="toc 2"/>
    <w:basedOn w:val="1"/>
    <w:next w:val="1"/>
    <w:unhideWhenUsed/>
    <w:qFormat/>
    <w:uiPriority w:val="39"/>
    <w:pPr>
      <w:ind w:left="420" w:leftChars="200"/>
    </w:pPr>
  </w:style>
  <w:style w:type="character" w:styleId="13">
    <w:name w:val="Strong"/>
    <w:basedOn w:val="12"/>
    <w:qFormat/>
    <w:uiPriority w:val="22"/>
    <w:rPr>
      <w:b/>
      <w:bCs/>
    </w:rPr>
  </w:style>
  <w:style w:type="character" w:customStyle="1" w:styleId="14">
    <w:name w:val="pagetext0031"/>
    <w:basedOn w:val="12"/>
    <w:qFormat/>
    <w:uiPriority w:val="0"/>
    <w:rPr>
      <w:rFonts w:hint="eastAsia" w:ascii="宋体" w:hAnsi="宋体" w:eastAsia="宋体"/>
      <w:color w:val="555555"/>
      <w:sz w:val="21"/>
      <w:szCs w:val="21"/>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7">
    <w:name w:val="标题 2 Char"/>
    <w:link w:val="3"/>
    <w:qFormat/>
    <w:uiPriority w:val="0"/>
    <w:rPr>
      <w:rFonts w:ascii="Arial" w:hAnsi="Arial" w:eastAsia="黑体"/>
      <w:b/>
      <w:sz w:val="32"/>
    </w:rPr>
  </w:style>
  <w:style w:type="character" w:customStyle="1" w:styleId="18">
    <w:name w:val="标题 3 Char"/>
    <w:link w:val="4"/>
    <w:qFormat/>
    <w:uiPriority w:val="0"/>
    <w:rPr>
      <w:b/>
      <w:sz w:val="32"/>
    </w:rPr>
  </w:style>
  <w:style w:type="character" w:customStyle="1" w:styleId="19">
    <w:name w:val="标题 4 Char"/>
    <w:link w:val="5"/>
    <w:qFormat/>
    <w:uiPriority w:val="0"/>
    <w:rPr>
      <w:rFonts w:ascii="Arial" w:hAnsi="Arial" w:eastAsia="黑体"/>
      <w:b/>
      <w:sz w:val="28"/>
    </w:rPr>
  </w:style>
  <w:style w:type="character" w:customStyle="1" w:styleId="2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Pages>
  <Words>511</Words>
  <Characters>2915</Characters>
  <Lines>24</Lines>
  <Paragraphs>6</Paragraphs>
  <TotalTime>57</TotalTime>
  <ScaleCrop>false</ScaleCrop>
  <LinksUpToDate>false</LinksUpToDate>
  <CharactersWithSpaces>3420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平淡无奇</cp:lastModifiedBy>
  <dcterms:modified xsi:type="dcterms:W3CDTF">2024-03-22T07:35:26Z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53A61AF5C05A4A1285275795592FB6B1</vt:lpwstr>
  </property>
</Properties>
</file>