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rPr>
          <w:rFonts w:ascii="方正小标宋简体" w:eastAsia="方正小标宋简体"/>
          <w:color w:val="000000"/>
          <w:sz w:val="72"/>
          <w:szCs w:val="72"/>
        </w:rPr>
      </w:pPr>
      <w:bookmarkStart w:id="0" w:name="_Toc15306267"/>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2808"/>
      <w:bookmarkStart w:id="2" w:name="_Toc13743"/>
      <w:bookmarkStart w:id="3" w:name="_Toc15396597"/>
      <w:bookmarkStart w:id="4" w:name="_Toc15377193"/>
      <w:bookmarkStart w:id="5" w:name="_Toc15377425"/>
      <w:bookmarkStart w:id="6" w:name="_Toc15378441"/>
      <w:bookmarkStart w:id="7" w:name="_Toc15396475"/>
      <w:bookmarkStart w:id="8" w:name="_Toc922"/>
      <w:bookmarkStart w:id="9" w:name="_Toc124325295"/>
      <w:bookmarkStart w:id="10" w:name="_Toc144198903"/>
      <w:bookmarkStart w:id="11" w:name="_Toc144199309"/>
      <w:r>
        <w:rPr>
          <w:rFonts w:ascii="方正小标宋简体" w:eastAsia="方正小标宋简体" w:hint="eastAsia"/>
          <w:color w:val="000000"/>
          <w:sz w:val="72"/>
          <w:szCs w:val="72"/>
        </w:rPr>
        <w:t>202</w:t>
      </w:r>
      <w:r>
        <w:rPr>
          <w:rFonts w:ascii="方正小标宋简体" w:eastAsia="方正小标宋简体"/>
          <w:color w:val="000000"/>
          <w:sz w:val="72"/>
          <w:szCs w:val="72"/>
        </w:rPr>
        <w:t>2</w:t>
      </w:r>
      <w:r>
        <w:rPr>
          <w:rFonts w:ascii="方正小标宋简体" w:eastAsia="方正小标宋简体" w:hint="eastAsia"/>
          <w:color w:val="000000"/>
          <w:sz w:val="72"/>
          <w:szCs w:val="72"/>
        </w:rPr>
        <w:t>年度</w:t>
      </w:r>
      <w:bookmarkEnd w:id="1"/>
      <w:bookmarkEnd w:id="2"/>
      <w:bookmarkEnd w:id="3"/>
      <w:bookmarkEnd w:id="4"/>
      <w:bookmarkEnd w:id="5"/>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72"/>
          <w:szCs w:val="72"/>
        </w:rPr>
      </w:pPr>
      <w:bookmarkStart w:id="12" w:name="_Toc16399"/>
      <w:bookmarkStart w:id="13" w:name="_Toc14326"/>
      <w:bookmarkStart w:id="14" w:name="_Toc26903"/>
      <w:bookmarkStart w:id="15" w:name="_Toc124325296"/>
      <w:bookmarkStart w:id="16" w:name="_Toc15377194"/>
      <w:bookmarkStart w:id="17" w:name="_Toc15377426"/>
      <w:bookmarkStart w:id="18" w:name="_Toc15396598"/>
      <w:bookmarkStart w:id="19" w:name="_Toc15378442"/>
      <w:bookmarkStart w:id="20" w:name="_Toc15396476"/>
      <w:bookmarkStart w:id="21" w:name="_Toc15306268"/>
      <w:bookmarkStart w:id="22" w:name="_Toc144198761"/>
      <w:bookmarkStart w:id="23" w:name="_Toc144198904"/>
      <w:bookmarkStart w:id="24" w:name="_Toc144199310"/>
      <w:bookmarkEnd w:id="0"/>
      <w:r>
        <w:rPr>
          <w:rFonts w:ascii="方正小标宋简体" w:eastAsia="方正小标宋简体" w:hint="eastAsia"/>
          <w:color w:val="000000"/>
          <w:sz w:val="72"/>
          <w:szCs w:val="72"/>
        </w:rPr>
        <w:t>金川县融媒体中心</w:t>
      </w:r>
      <w:bookmarkEnd w:id="12"/>
      <w:bookmarkEnd w:id="13"/>
      <w:bookmarkEnd w:id="14"/>
      <w:bookmarkEnd w:id="15"/>
      <w:bookmarkEnd w:id="22"/>
      <w:bookmarkEnd w:id="23"/>
      <w:bookmarkEnd w:id="24"/>
    </w:p>
    <w:p>
      <w:pPr>
        <w:adjustRightInd w:val="0"/>
        <w:snapToGrid w:val="0"/>
        <w:spacing w:line="360" w:lineRule="auto"/>
        <w:jc w:val="center"/>
        <w:outlineLvl w:val="0"/>
        <w:rPr>
          <w:rFonts w:ascii="方正小标宋简体" w:eastAsia="方正小标宋简体"/>
          <w:color w:val="000000"/>
          <w:sz w:val="72"/>
          <w:szCs w:val="72"/>
        </w:rPr>
      </w:pPr>
      <w:bookmarkStart w:id="25" w:name="_Toc16377"/>
      <w:bookmarkStart w:id="26" w:name="_Toc12938"/>
      <w:bookmarkStart w:id="27" w:name="_Toc6782"/>
      <w:bookmarkStart w:id="28" w:name="_Toc124325297"/>
      <w:bookmarkStart w:id="29" w:name="_Toc144198762"/>
      <w:bookmarkStart w:id="30" w:name="_Toc144198905"/>
      <w:bookmarkStart w:id="31" w:name="_Toc144199311"/>
      <w:r>
        <w:rPr>
          <w:rFonts w:ascii="方正小标宋简体" w:eastAsia="方正小标宋简体" w:hint="eastAsia"/>
          <w:color w:val="000000"/>
          <w:sz w:val="72"/>
          <w:szCs w:val="72"/>
        </w:rPr>
        <w:t>部门决算</w:t>
      </w:r>
      <w:bookmarkEnd w:id="16"/>
      <w:bookmarkEnd w:id="17"/>
      <w:bookmarkEnd w:id="18"/>
      <w:bookmarkEnd w:id="19"/>
      <w:bookmarkEnd w:id="20"/>
      <w:bookmarkEnd w:id="21"/>
      <w:bookmarkEnd w:id="25"/>
      <w:bookmarkEnd w:id="26"/>
      <w:bookmarkEnd w:id="27"/>
      <w:r>
        <w:rPr>
          <w:rFonts w:ascii="方正小标宋简体" w:eastAsia="方正小标宋简体"/>
          <w:color w:val="000000"/>
          <w:sz w:val="72"/>
          <w:szCs w:val="72"/>
        </w:rPr>
        <w:t>分析报告</w:t>
      </w:r>
      <w:bookmarkEnd w:id="28"/>
      <w:bookmarkEnd w:id="29"/>
      <w:bookmarkEnd w:id="30"/>
      <w:bookmarkEnd w:id="3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sdt>
      <w:sdtPr>
        <w:rPr>
          <w:rFonts w:ascii="宋体"/>
        </w:rPr>
        <w:id w:val="1690750871"/>
        <w15:color w:val="DBDBDB"/>
        <w:docPartObj>
          <w:docPartGallery w:val="Table of Contents"/>
          <w:docPartUnique/>
        </w:docPartObj>
      </w:sdtPr>
      <w:sdtEndPr>
        <w:rPr>
          <w:rFonts w:ascii="Times New Roman" w:eastAsia="宋体" w:hAnsi="Times New Roman"/>
          <w:sz w:val="21"/>
          <w:szCs w:val="24"/>
        </w:rPr>
      </w:sdtEndPr>
      <w:sdtContent>
        <w:p>
          <w:pPr>
            <w:pStyle w:val="21"/>
            <w:tabs>
              <w:tab w:val="right" w:leader="dot" w:pos="8296"/>
            </w:tabs>
            <w:jc w:val="both"/>
            <w:rPr>
              <w:rFonts w:ascii="Calibri" w:eastAsia="宋体" w:cs="Arial" w:hAnsi="Calibri"/>
              <w:sz w:val="21"/>
              <w:szCs w:val="22"/>
            </w:rPr>
          </w:pPr>
          <w:r>
            <w:fldChar w:fldCharType="begin"/>
          </w:r>
          <w:r>
            <w:instrText xml:space="preserve">TOC \o "1-3" \h \u </w:instrText>
          </w:r>
          <w:r>
            <w:fldChar w:fldCharType="separate"/>
          </w:r>
        </w:p>
        <w:p>
          <w:pPr>
            <w:pStyle w:val="21"/>
            <w:tabs>
              <w:tab w:val="right" w:leader="dot" w:pos="8296"/>
            </w:tabs>
            <w:rPr>
              <w:rFonts w:ascii="Calibri" w:eastAsia="宋体" w:cs="Arial" w:hAnsi="Calibri"/>
              <w:sz w:val="21"/>
              <w:szCs w:val="22"/>
            </w:rPr>
          </w:pPr>
          <w:r>
            <w:fldChar w:fldCharType="begin"/>
          </w:r>
          <w:r>
            <w:instrText>Hyperlink \l "_Toc144199312"</w:instrText>
          </w:r>
          <w:r>
            <w:fldChar w:fldCharType="separate"/>
          </w:r>
          <w:r>
            <w:rPr>
              <w:rFonts w:ascii="黑体" w:eastAsia="黑体" w:hint="eastAsia"/>
            </w:rPr>
            <w:t>第一部分</w:t>
          </w:r>
          <w:r>
            <w:rPr>
              <w:rFonts w:ascii="黑体" w:eastAsia="黑体"/>
            </w:rPr>
            <w:t xml:space="preserve"> </w:t>
          </w:r>
          <w:r>
            <w:rPr>
              <w:rFonts w:ascii="黑体" w:eastAsia="黑体" w:hint="eastAsia"/>
            </w:rPr>
            <w:t>部门概况</w:t>
          </w:r>
          <w:r>
            <w:tab/>
          </w:r>
          <w:r>
            <w:fldChar w:fldCharType="begin"/>
          </w:r>
          <w:r>
            <w:instrText xml:space="preserve"> PAGEREF _Toc144199312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"_Toc144199313"</w:instrText>
          </w:r>
          <w:r>
            <w:fldChar w:fldCharType="separate"/>
          </w:r>
          <w:r>
            <w:rPr>
              <w:rFonts w:ascii="黑体" w:eastAsia="黑体" w:hint="eastAsia"/>
            </w:rPr>
            <w:t>一、基本职能及主要工作</w:t>
          </w:r>
          <w:r>
            <w:tab/>
          </w:r>
          <w:r>
            <w:fldChar w:fldCharType="begin"/>
          </w:r>
          <w:r>
            <w:instrText xml:space="preserve"> PAGEREF _Toc144199313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"_Toc144199314"</w:instrText>
          </w:r>
          <w:r>
            <w:fldChar w:fldCharType="separate"/>
          </w:r>
          <w:r>
            <w:rPr>
              <w:rFonts w:ascii="楷体" w:eastAsia="楷体" w:cs="楷体" w:hint="eastAsia"/>
            </w:rPr>
            <w:t>（一）主要职能</w:t>
          </w:r>
          <w:r>
            <w:tab/>
          </w:r>
          <w:r>
            <w:fldChar w:fldCharType="begin"/>
          </w:r>
          <w:r>
            <w:instrText xml:space="preserve"> PAGEREF _Toc144199314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"_Toc144199315"</w:instrText>
          </w:r>
          <w:r>
            <w:fldChar w:fldCharType="separate"/>
          </w:r>
          <w:r>
            <w:rPr>
              <w:rFonts w:ascii="楷体" w:eastAsia="楷体" w:cs="楷体" w:hint="eastAsia"/>
            </w:rPr>
            <w:t>（二）</w:t>
          </w:r>
          <w:r>
            <w:rPr>
              <w:rFonts w:ascii="楷体" w:eastAsia="楷体" w:cs="楷体"/>
            </w:rPr>
            <w:t>2022</w:t>
          </w:r>
          <w:r>
            <w:rPr>
              <w:rFonts w:ascii="楷体" w:eastAsia="楷体" w:cs="楷体" w:hint="eastAsia"/>
            </w:rPr>
            <w:t>年重点工作完成情况</w:t>
          </w:r>
          <w:r>
            <w:tab/>
          </w:r>
          <w:r>
            <w:fldChar w:fldCharType="begin"/>
          </w:r>
          <w:r>
            <w:instrText xml:space="preserve"> PAGEREF _Toc144199315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"_Toc144199316"</w:instrText>
          </w:r>
          <w:r>
            <w:fldChar w:fldCharType="separate"/>
          </w:r>
          <w:r>
            <w:rPr>
              <w:rFonts w:ascii="黑体" w:eastAsia="黑体" w:hint="eastAsia"/>
            </w:rPr>
            <w:t>二、机构设置</w:t>
          </w:r>
          <w:r>
            <w:tab/>
          </w:r>
          <w:r>
            <w:fldChar w:fldCharType="begin"/>
          </w:r>
          <w:r>
            <w:instrText xml:space="preserve"> PAGEREF _Toc144199316 \h </w:instrText>
          </w:r>
          <w:r>
            <w:fldChar w:fldCharType="separate"/>
          </w:r>
          <w:r>
            <w:t>4</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"_Toc144199317"</w:instrText>
          </w:r>
          <w:r>
            <w:fldChar w:fldCharType="separate"/>
          </w:r>
          <w:r>
            <w:rPr>
              <w:rFonts w:ascii="黑体" w:eastAsia="黑体" w:hint="eastAsia"/>
            </w:rPr>
            <w:t>第二部分</w:t>
          </w:r>
          <w:r>
            <w:rPr>
              <w:rFonts w:ascii="黑体" w:eastAsia="黑体"/>
            </w:rPr>
            <w:t xml:space="preserve"> 2022</w:t>
          </w:r>
          <w:r>
            <w:rPr>
              <w:rFonts w:ascii="黑体" w:eastAsia="黑体" w:hint="eastAsia"/>
            </w:rPr>
            <w:t>年度部门决算情况说明</w:t>
          </w:r>
          <w:r>
            <w:tab/>
          </w:r>
          <w:r>
            <w:fldChar w:fldCharType="begin"/>
          </w:r>
          <w:r>
            <w:instrText xml:space="preserve"> PAGEREF _Toc144199317 \h </w:instrText>
          </w:r>
          <w:r>
            <w:fldChar w:fldCharType="separate"/>
          </w:r>
          <w:r>
            <w:t>5</w:t>
          </w:r>
          <w:r>
            <w:fldChar w:fldCharType="end"/>
          </w:r>
          <w:r>
            <w:fldChar w:fldCharType="end"/>
          </w:r>
        </w:p>
        <w:p>
          <w:pPr>
            <w:pStyle w:val="22"/>
            <w:tabs>
              <w:tab w:val="left" w:pos="1260"/>
              <w:tab w:val="right" w:leader="dot" w:pos="8296"/>
            </w:tabs>
            <w:rPr>
              <w:rFonts w:ascii="Calibri" w:eastAsia="宋体" w:cs="Arial" w:hAnsi="Calibri"/>
              <w:szCs w:val="22"/>
            </w:rPr>
          </w:pPr>
          <w:r>
            <w:fldChar w:fldCharType="begin"/>
          </w:r>
          <w:r>
            <w:instrText>Hyperlink \l "_Toc144199318"</w:instrText>
          </w:r>
          <w:r>
            <w:fldChar w:fldCharType="separate"/>
          </w:r>
          <w:r>
            <w:rPr>
              <w:rFonts w:ascii="黑体" w:eastAsia="黑体" w:hint="eastAsia"/>
              <w:bCs/>
            </w:rPr>
            <w:t>一、</w:t>
          </w:r>
          <w:r>
            <w:rPr>
              <w:rFonts w:ascii="Calibri" w:eastAsia="宋体" w:cs="Arial" w:hAnsi="Calibri"/>
              <w:szCs w:val="22"/>
            </w:rPr>
            <w:tab/>
          </w:r>
          <w:r>
            <w:rPr>
              <w:rFonts w:ascii="黑体" w:eastAsia="黑体" w:hint="eastAsia"/>
            </w:rPr>
            <w:t>收</w:t>
          </w:r>
          <w:r>
            <w:rPr>
              <w:rFonts w:ascii="黑体" w:eastAsia="黑体" w:hint="eastAsia"/>
              <w:bCs/>
            </w:rPr>
            <w:t>入支出决算总体情况说明</w:t>
          </w:r>
          <w:r>
            <w:tab/>
          </w:r>
          <w:r>
            <w:fldChar w:fldCharType="begin"/>
          </w:r>
          <w:r>
            <w:instrText xml:space="preserve"> PAGEREF _Toc144199318 \h </w:instrText>
          </w:r>
          <w:r>
            <w:fldChar w:fldCharType="separate"/>
          </w:r>
          <w:r>
            <w:t>5</w:t>
          </w:r>
          <w:r>
            <w:fldChar w:fldCharType="end"/>
          </w:r>
          <w:r>
            <w:fldChar w:fldCharType="end"/>
          </w:r>
        </w:p>
        <w:p>
          <w:pPr>
            <w:pStyle w:val="22"/>
            <w:tabs>
              <w:tab w:val="right" w:leader="dot" w:pos="8296"/>
            </w:tabs>
            <w:rPr>
              <w:rFonts w:ascii="Calibri" w:eastAsia="宋体" w:cs="Arial" w:hAnsi="Calibri" w:hint="eastAsia"/>
              <w:szCs w:val="22"/>
            </w:rPr>
          </w:pPr>
          <w:r>
            <w:fldChar w:fldCharType="begin"/>
          </w:r>
          <w:r>
            <w:instrText>Hyperlink \l "_Toc144199319"</w:instrText>
          </w:r>
          <w:r>
            <w:fldChar w:fldCharType="separate"/>
          </w:r>
          <w:r>
            <w:rPr>
              <w:rFonts w:hint="eastAsia"/>
            </w:rPr>
            <w:t>二、收入决</w:t>
          </w:r>
          <w:r>
            <w:rPr>
              <w:rFonts w:ascii="黑体" w:eastAsia="黑体" w:hint="eastAsia"/>
            </w:rPr>
            <w:t>算情况说明</w:t>
          </w:r>
          <w:r>
            <w:tab/>
          </w:r>
          <w:r>
            <w:fldChar w:fldCharType="begin"/>
          </w:r>
          <w:r>
            <w:instrText xml:space="preserve"> PAGEREF _Toc144199319 \h </w:instrText>
          </w:r>
          <w:r>
            <w:fldChar w:fldCharType="separate"/>
          </w:r>
          <w:r>
            <w:t>5</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"_Toc144199321"</w:instrText>
          </w:r>
          <w:r>
            <w:fldChar w:fldCharType="separate"/>
          </w:r>
          <w:r>
            <w:rPr>
              <w:rFonts w:ascii="黑体" w:eastAsia="黑体" w:hint="eastAsia"/>
            </w:rPr>
            <w:t>三、支出决</w:t>
          </w:r>
          <w:r>
            <w:rPr>
              <w:rFonts w:ascii="黑体" w:eastAsia="黑体" w:hint="eastAsia"/>
              <w:bCs/>
            </w:rPr>
            <w:t>算情况说明</w:t>
          </w:r>
          <w:r>
            <w:tab/>
          </w:r>
          <w:r>
            <w:fldChar w:fldCharType="begin"/>
          </w:r>
          <w:r>
            <w:instrText xml:space="preserve"> PAGEREF _Toc144199321 \h </w:instrText>
          </w:r>
          <w:r>
            <w:fldChar w:fldCharType="separate"/>
          </w:r>
          <w:r>
            <w:t>6</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"_Toc144199322"</w:instrText>
          </w:r>
          <w:r>
            <w:fldChar w:fldCharType="separate"/>
          </w:r>
          <w:r>
            <w:rPr>
              <w:rFonts w:hint="eastAsia"/>
            </w:rPr>
            <w:t>四、财</w:t>
          </w:r>
          <w:r>
            <w:rPr>
              <w:rFonts w:ascii="黑体" w:eastAsia="黑体" w:hint="eastAsia"/>
            </w:rPr>
            <w:t>政拨款收入支出决算总体情况说明</w:t>
          </w:r>
          <w:r>
            <w:tab/>
          </w:r>
          <w:r>
            <w:fldChar w:fldCharType="begin"/>
          </w:r>
          <w:r>
            <w:instrText xml:space="preserve"> PAGEREF _Toc144199322 \h </w:instrText>
          </w:r>
          <w:r>
            <w:fldChar w:fldCharType="separate"/>
          </w:r>
          <w:r>
            <w:t>6</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"_Toc144199323"</w:instrText>
          </w:r>
          <w:r>
            <w:fldChar w:fldCharType="separate"/>
          </w:r>
          <w:r>
            <w:rPr>
              <w:rFonts w:hint="eastAsia"/>
            </w:rPr>
            <w:t>五、一般公共预算财政拨款支出决算情况说明</w:t>
          </w:r>
          <w:r>
            <w:tab/>
          </w:r>
          <w:r>
            <w:fldChar w:fldCharType="begin"/>
          </w:r>
          <w:r>
            <w:instrText xml:space="preserve"> PAGEREF _Toc144199323 \h </w:instrText>
          </w:r>
          <w:r>
            <w:fldChar w:fldCharType="separate"/>
          </w:r>
          <w:r>
            <w:t>7</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"_Toc144199327"</w:instrText>
          </w:r>
          <w:r>
            <w:fldChar w:fldCharType="separate"/>
          </w:r>
          <w:r>
            <w:rPr>
              <w:rFonts w:hint="eastAsia"/>
            </w:rPr>
            <w:t>六、一</w:t>
          </w:r>
          <w:r>
            <w:rPr>
              <w:rFonts w:ascii="黑体" w:eastAsia="黑体" w:hint="eastAsia"/>
            </w:rPr>
            <w:t>般公共预算财政拨款基本支出决算情况说明</w:t>
          </w:r>
          <w:r>
            <w:tab/>
          </w:r>
          <w:r>
            <w:fldChar w:fldCharType="begin"/>
          </w:r>
          <w:r>
            <w:instrText xml:space="preserve"> PAGEREF _Toc144199327 \h </w:instrText>
          </w:r>
          <w:r>
            <w:fldChar w:fldCharType="separate"/>
          </w:r>
          <w:r>
            <w:t>10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"_Toc144199328"</w:instrText>
          </w:r>
          <w:r>
            <w:fldChar w:fldCharType="separate"/>
          </w:r>
          <w:r>
            <w:rPr>
              <w:rFonts w:hint="eastAsia"/>
            </w:rPr>
            <w:t>七、</w:t>
          </w:r>
          <w:r>
            <w:rPr>
              <w:rFonts w:ascii="黑体" w:eastAsia="黑体"/>
            </w:rPr>
            <w:t>“</w:t>
          </w:r>
          <w:r>
            <w:rPr>
              <w:rFonts w:ascii="黑体" w:eastAsia="黑体" w:hint="eastAsia"/>
            </w:rPr>
            <w:t>三公”经费财政拨款支出决算情况说明</w:t>
          </w:r>
          <w:r>
            <w:tab/>
          </w:r>
          <w:r>
            <w:fldChar w:fldCharType="begin"/>
          </w:r>
          <w:r>
            <w:instrText xml:space="preserve"> PAGEREF _Toc144199328 \h </w:instrText>
          </w:r>
          <w:r>
            <w:fldChar w:fldCharType="separate"/>
          </w:r>
          <w:r>
            <w:t>10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"_Toc144199332"</w:instrText>
          </w:r>
          <w:r>
            <w:fldChar w:fldCharType="separate"/>
          </w:r>
          <w:r>
            <w:rPr>
              <w:rFonts w:hint="eastAsia"/>
            </w:rPr>
            <w:t>八、</w:t>
          </w:r>
          <w:r>
            <w:rPr>
              <w:rFonts w:ascii="黑体" w:eastAsia="黑体" w:hint="eastAsia"/>
            </w:rPr>
            <w:t>政府性基金预算支出决算情况说明</w:t>
          </w:r>
          <w:r>
            <w:tab/>
          </w:r>
          <w:r>
            <w:fldChar w:fldCharType="begin"/>
          </w:r>
          <w:r>
            <w:instrText xml:space="preserve"> PAGEREF _Toc144199332 \h </w:instrText>
          </w:r>
          <w:r>
            <w:fldChar w:fldCharType="separate"/>
          </w:r>
          <w:r>
            <w:t>11</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"_Toc144199333"</w:instrText>
          </w:r>
          <w:r>
            <w:fldChar w:fldCharType="separate"/>
          </w:r>
          <w:r>
            <w:rPr>
              <w:rFonts w:hint="eastAsia"/>
            </w:rPr>
            <w:t>九、</w:t>
          </w:r>
          <w:r>
            <w:rPr>
              <w:rFonts w:ascii="黑体" w:eastAsia="黑体" w:hint="eastAsia"/>
            </w:rPr>
            <w:t>国有资本经营预算支出决算情况说明</w:t>
          </w:r>
          <w:r>
            <w:tab/>
          </w:r>
          <w:r>
            <w:fldChar w:fldCharType="begin"/>
          </w:r>
          <w:r>
            <w:instrText xml:space="preserve"> PAGEREF _Toc144199333 \h </w:instrText>
          </w:r>
          <w:r>
            <w:fldChar w:fldCharType="separate"/>
          </w:r>
          <w:r>
            <w:t>11</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"_Toc144199335"</w:instrText>
          </w:r>
          <w:r>
            <w:fldChar w:fldCharType="separate"/>
          </w:r>
          <w:r>
            <w:rPr>
              <w:rFonts w:ascii="黑体" w:eastAsia="黑体" w:hint="eastAsia"/>
            </w:rPr>
            <w:t>十、预算绩效情况说明</w:t>
          </w:r>
          <w:r>
            <w:tab/>
          </w:r>
          <w:r>
            <w:fldChar w:fldCharType="begin"/>
          </w:r>
          <w:r>
            <w:instrText xml:space="preserve"> PAGEREF _Toc144199335 \h </w:instrText>
          </w:r>
          <w:r>
            <w:fldChar w:fldCharType="separate"/>
          </w:r>
          <w:r>
            <w:t>11</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"_Toc144199336"</w:instrText>
          </w:r>
          <w:r>
            <w:fldChar w:fldCharType="separate"/>
          </w:r>
          <w:r>
            <w:rPr>
              <w:rFonts w:hint="eastAsia"/>
            </w:rPr>
            <w:t>十</w:t>
          </w:r>
          <w:r>
            <w:rPr>
              <w:rFonts w:ascii="黑体" w:eastAsia="黑体" w:hint="eastAsia"/>
            </w:rPr>
            <w:t>一、其他重要事项的情况说明</w:t>
          </w:r>
          <w:r>
            <w:tab/>
          </w:r>
          <w:r>
            <w:fldChar w:fldCharType="begin"/>
          </w:r>
          <w:r>
            <w:instrText xml:space="preserve"> PAGEREF _Toc144199336 \h </w:instrText>
          </w:r>
          <w:r>
            <w:fldChar w:fldCharType="separate"/>
          </w:r>
          <w:r>
            <w:t>12</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"_Toc144199342"</w:instrText>
          </w:r>
          <w:r>
            <w:fldChar w:fldCharType="separate"/>
          </w:r>
          <w:r>
            <w:rPr>
              <w:rFonts w:ascii="黑体" w:eastAsia="黑体" w:hint="eastAsia"/>
              <w:bCs/>
              <w:kern w:val="44"/>
            </w:rPr>
            <w:t>第三部分</w:t>
          </w:r>
          <w:r>
            <w:rPr>
              <w:rFonts w:ascii="黑体" w:eastAsia="黑体" w:hint="eastAsia"/>
              <w:b/>
            </w:rPr>
            <w:t xml:space="preserve"> 名</w:t>
          </w:r>
          <w:r>
            <w:rPr>
              <w:rFonts w:ascii="黑体" w:eastAsia="黑体" w:hint="eastAsia"/>
              <w:bCs/>
              <w:kern w:val="44"/>
            </w:rPr>
            <w:t>词解释</w:t>
          </w:r>
          <w:r>
            <w:tab/>
          </w:r>
          <w:r>
            <w:fldChar w:fldCharType="begin"/>
          </w:r>
          <w:r>
            <w:instrText xml:space="preserve"> PAGEREF _Toc144199342 \h </w:instrText>
          </w:r>
          <w:r>
            <w:fldChar w:fldCharType="separate"/>
          </w:r>
          <w:r>
            <w:t>12</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"_Toc144199343"</w:instrText>
          </w:r>
          <w:r>
            <w:fldChar w:fldCharType="separate"/>
          </w:r>
          <w:r>
            <w:rPr>
              <w:rFonts w:ascii="黑体" w:eastAsia="黑体" w:hint="eastAsia"/>
              <w:bCs/>
              <w:kern w:val="44"/>
              <w:highlight w:val="lightGray"/>
            </w:rPr>
            <w:t>第四部分</w:t>
          </w:r>
          <w:r>
            <w:rPr>
              <w:rFonts w:ascii="黑体" w:eastAsia="黑体"/>
              <w:bCs/>
              <w:kern w:val="44"/>
            </w:rPr>
            <w:t xml:space="preserve">  </w:t>
          </w:r>
          <w:r>
            <w:rPr>
              <w:rFonts w:ascii="方正小标宋_GBK" w:eastAsia="方正小标宋_GBK" w:cs="方正小标宋_GBK" w:hint="eastAsia"/>
            </w:rPr>
            <w:t>部门整体支出绩效评价报告</w:t>
          </w:r>
          <w:r>
            <w:tab/>
          </w:r>
          <w:r>
            <w:fldChar w:fldCharType="begin"/>
          </w:r>
          <w:r>
            <w:instrText xml:space="preserve"> PAGEREF _Toc144199343 \h </w:instrText>
          </w:r>
          <w:r>
            <w:fldChar w:fldCharType="separate"/>
          </w:r>
          <w:r>
            <w:t>14</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"_Toc144199344"</w:instrText>
          </w:r>
          <w:r>
            <w:fldChar w:fldCharType="separate"/>
          </w:r>
          <w:r>
            <w:rPr>
              <w:rFonts w:hint="eastAsia"/>
            </w:rPr>
            <w:t>第五部分</w:t>
          </w:r>
          <w:r>
            <w:t xml:space="preserve">  </w:t>
          </w:r>
          <w:r>
            <w:rPr>
              <w:rFonts w:hint="eastAsia"/>
            </w:rPr>
            <w:t>附表</w:t>
          </w:r>
          <w:r>
            <w:tab/>
          </w:r>
          <w:r>
            <w:fldChar w:fldCharType="begin"/>
          </w:r>
          <w:r>
            <w:instrText xml:space="preserve"> PAGEREF _Toc144199344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"_Toc144199345"</w:instrText>
          </w:r>
          <w:r>
            <w:fldChar w:fldCharType="separate"/>
          </w:r>
          <w:r>
            <w:rPr>
              <w:rFonts w:ascii="仿宋" w:eastAsia="仿宋" w:hint="eastAsia"/>
            </w:rPr>
            <w:t>一、收入支出决算总表</w:t>
          </w:r>
          <w:r>
            <w:tab/>
          </w:r>
          <w:r>
            <w:fldChar w:fldCharType="begin"/>
          </w:r>
          <w:r>
            <w:instrText xml:space="preserve"> PAGEREF _Toc144199345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"_Toc144199346"</w:instrText>
          </w:r>
          <w:r>
            <w:fldChar w:fldCharType="separate"/>
          </w:r>
          <w:r>
            <w:rPr>
              <w:rFonts w:ascii="仿宋" w:eastAsia="仿宋" w:hint="eastAsia"/>
            </w:rPr>
            <w:t>二、收入总表</w:t>
          </w:r>
          <w:r>
            <w:tab/>
          </w:r>
          <w:r>
            <w:fldChar w:fldCharType="begin"/>
          </w:r>
          <w:r>
            <w:instrText xml:space="preserve"> PAGEREF _Toc144199346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"_Toc144199347"</w:instrText>
          </w:r>
          <w:r>
            <w:fldChar w:fldCharType="separate"/>
          </w:r>
          <w:r>
            <w:rPr>
              <w:rFonts w:ascii="仿宋" w:eastAsia="仿宋" w:hint="eastAsia"/>
            </w:rPr>
            <w:t>三、支出总表</w:t>
          </w:r>
          <w:r>
            <w:tab/>
          </w:r>
          <w:r>
            <w:fldChar w:fldCharType="begin"/>
          </w:r>
          <w:r>
            <w:instrText xml:space="preserve"> PAGEREF _Toc144199347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"_Toc144199348"</w:instrText>
          </w:r>
          <w:r>
            <w:fldChar w:fldCharType="separate"/>
          </w:r>
          <w:r>
            <w:rPr>
              <w:rFonts w:ascii="仿宋" w:eastAsia="仿宋" w:hint="eastAsia"/>
            </w:rPr>
            <w:t>四、财政拨款收入支出决算总表</w:t>
          </w:r>
          <w:r>
            <w:tab/>
          </w:r>
          <w:r>
            <w:fldChar w:fldCharType="begin"/>
          </w:r>
          <w:r>
            <w:instrText xml:space="preserve"> PAGEREF _Toc144199348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"_Toc144199349"</w:instrText>
          </w:r>
          <w:r>
            <w:fldChar w:fldCharType="separate"/>
          </w:r>
          <w:r>
            <w:rPr>
              <w:rFonts w:ascii="仿宋" w:eastAsia="仿宋" w:hint="eastAsia"/>
            </w:rPr>
            <w:t>五、财政拨款支出决算明细表（政府经济分类科目）</w:t>
          </w:r>
          <w:r>
            <w:tab/>
          </w:r>
          <w:r>
            <w:fldChar w:fldCharType="begin"/>
          </w:r>
          <w:r>
            <w:instrText xml:space="preserve"> PAGEREF _Toc144199349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"_Toc144199350"</w:instrText>
          </w:r>
          <w:r>
            <w:fldChar w:fldCharType="separate"/>
          </w:r>
          <w:r>
            <w:rPr>
              <w:rFonts w:ascii="仿宋" w:eastAsia="仿宋" w:hint="eastAsia"/>
            </w:rPr>
            <w:t>六、一般公共预算财政拨款支出决算表</w:t>
          </w:r>
          <w:r>
            <w:tab/>
          </w:r>
          <w:r>
            <w:fldChar w:fldCharType="begin"/>
          </w:r>
          <w:r>
            <w:instrText xml:space="preserve"> PAGEREF _Toc144199350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"_Toc144199351"</w:instrText>
          </w:r>
          <w:r>
            <w:fldChar w:fldCharType="separate"/>
          </w:r>
          <w:r>
            <w:rPr>
              <w:rFonts w:ascii="仿宋" w:eastAsia="仿宋" w:hint="eastAsia"/>
            </w:rPr>
            <w:t>七、一般公共预算财政拨款支出决算明细表</w:t>
          </w:r>
          <w:r>
            <w:tab/>
          </w:r>
          <w:r>
            <w:fldChar w:fldCharType="begin"/>
          </w:r>
          <w:r>
            <w:instrText xml:space="preserve"> PAGEREF _Toc144199351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"_Toc144199352"</w:instrText>
          </w:r>
          <w:r>
            <w:fldChar w:fldCharType="separate"/>
          </w:r>
          <w:r>
            <w:rPr>
              <w:rFonts w:ascii="仿宋" w:eastAsia="仿宋" w:hint="eastAsia"/>
            </w:rPr>
            <w:t>八、一般公共预算财政拨款基本支出决算表</w:t>
          </w:r>
          <w:r>
            <w:tab/>
          </w:r>
          <w:r>
            <w:fldChar w:fldCharType="begin"/>
          </w:r>
          <w:r>
            <w:instrText xml:space="preserve"> PAGEREF _Toc144199352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"_Toc144199353"</w:instrText>
          </w:r>
          <w:r>
            <w:fldChar w:fldCharType="separate"/>
          </w:r>
          <w:r>
            <w:rPr>
              <w:rFonts w:ascii="仿宋" w:eastAsia="仿宋" w:hint="eastAsia"/>
            </w:rPr>
            <w:t>九、一般公共预算财政拨款项目支出决算表</w:t>
          </w:r>
          <w:r>
            <w:tab/>
          </w:r>
          <w:r>
            <w:fldChar w:fldCharType="begin"/>
          </w:r>
          <w:r>
            <w:instrText xml:space="preserve"> PAGEREF _Toc144199353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"_Toc144199354"</w:instrText>
          </w:r>
          <w:r>
            <w:fldChar w:fldCharType="separate"/>
          </w:r>
          <w:r>
            <w:rPr>
              <w:rFonts w:ascii="仿宋" w:eastAsia="仿宋" w:hint="eastAsia"/>
            </w:rPr>
            <w:t>十、一般公共预算财政拨款“三公”经费支出决算表</w:t>
          </w:r>
          <w:r>
            <w:tab/>
          </w:r>
          <w:r>
            <w:fldChar w:fldCharType="begin"/>
          </w:r>
          <w:r>
            <w:instrText xml:space="preserve"> PAGEREF _Toc144199354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"_Toc144199355"</w:instrText>
          </w:r>
          <w:r>
            <w:fldChar w:fldCharType="separate"/>
          </w:r>
          <w:r>
            <w:rPr>
              <w:rFonts w:ascii="仿宋" w:eastAsia="仿宋" w:hint="eastAsia"/>
            </w:rPr>
            <w:t>十一、政府性基金预算财政拨款收入支出决算表</w:t>
          </w:r>
          <w:r>
            <w:tab/>
          </w:r>
          <w:r>
            <w:fldChar w:fldCharType="begin"/>
          </w:r>
          <w:r>
            <w:instrText xml:space="preserve"> PAGEREF _Toc144199355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"_Toc144199356"</w:instrText>
          </w:r>
          <w:r>
            <w:fldChar w:fldCharType="separate"/>
          </w:r>
          <w:r>
            <w:rPr>
              <w:rFonts w:ascii="仿宋" w:eastAsia="仿宋" w:hint="eastAsia"/>
            </w:rPr>
            <w:t>十二、政府性基金预算财政拨款“三公”经费支出决算表</w:t>
          </w:r>
          <w:r>
            <w:tab/>
          </w:r>
          <w:r>
            <w:fldChar w:fldCharType="begin"/>
          </w:r>
          <w:r>
            <w:instrText xml:space="preserve"> PAGEREF _Toc144199356 \h </w:instrText>
          </w:r>
          <w:r>
            <w:fldChar w:fldCharType="separate"/>
          </w:r>
          <w:r>
            <w:t>20</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"_Toc144199357"</w:instrText>
          </w:r>
          <w:r>
            <w:fldChar w:fldCharType="separate"/>
          </w:r>
          <w:r>
            <w:rPr>
              <w:rFonts w:ascii="仿宋" w:eastAsia="仿宋" w:hint="eastAsia"/>
            </w:rPr>
            <w:t>十三、国有资本经营预算支出决算表</w:t>
          </w:r>
          <w:r>
            <w:tab/>
          </w:r>
          <w:r>
            <w:fldChar w:fldCharType="begin"/>
          </w:r>
          <w:r>
            <w:instrText xml:space="preserve"> PAGEREF _Toc144199357 \h </w:instrText>
          </w:r>
          <w:r>
            <w:fldChar w:fldCharType="separate"/>
          </w:r>
          <w:r>
            <w:t>20</w:t>
          </w:r>
          <w:r>
            <w:fldChar w:fldCharType="end"/>
          </w:r>
          <w:r>
            <w:fldChar w:fldCharType="end"/>
          </w:r>
        </w:p>
        <w:p>
          <w:pPr>
            <w:pStyle w:val="15"/>
            <w:rPr>
              <w:rFonts w:ascii="黑体" w:eastAsia="黑体"/>
            </w:rPr>
          </w:pPr>
          <w:r>
            <w:fldChar w:fldCharType="end"/>
          </w:r>
        </w:p>
        <w:bookmarkStart w:id="32" w:name="_Toc16673" w:displacedByCustomXml="next"/>
        <w:bookmarkStart w:id="33" w:name="_Toc15377196" w:displacedByCustomXml="next"/>
      </w:sdtContent>
    </w:sdt>
    <w:p>
      <w:pPr>
        <w:pStyle w:val="1"/>
        <w:jc w:val="center"/>
        <w:rPr>
          <w:rFonts w:ascii="黑体" w:eastAsia="黑体"/>
          <w:color w:val="000000"/>
          <w:sz w:val="32"/>
          <w:szCs w:val="32"/>
        </w:rPr>
      </w:pPr>
      <w:bookmarkStart w:id="34" w:name="_Toc144199312"/>
      <w:r>
        <w:rPr>
          <w:rFonts w:ascii="黑体" w:eastAsia="黑体" w:hint="eastAsia"/>
          <w:b w:val="0"/>
        </w:rPr>
        <w:t xml:space="preserve">第一部分 </w:t>
      </w:r>
      <w:r>
        <w:rPr>
          <w:rStyle w:val="1Char"/>
          <w:rFonts w:ascii="黑体" w:eastAsia="黑体" w:hint="eastAsia"/>
        </w:rPr>
        <w:t>部门概况</w:t>
      </w:r>
      <w:bookmarkEnd w:id="32"/>
      <w:bookmarkEnd w:id="33"/>
      <w:bookmarkEnd w:id="34"/>
    </w:p>
    <w:p>
      <w:pPr>
        <w:pStyle w:val="2"/>
        <w:spacing w:before="0" w:after="0" w:line="240" w:lineRule="auto"/>
        <w:ind w:left="640" w:hangingChars="200" w:hanging="640"/>
        <w:rPr>
          <w:rStyle w:val="2Char"/>
          <w:rFonts w:ascii="黑体" w:eastAsia="黑体"/>
        </w:rPr>
      </w:pPr>
      <w:bookmarkStart w:id="35" w:name="_Toc15377197"/>
      <w:bookmarkStart w:id="36" w:name="_Toc15201"/>
      <w:bookmarkStart w:id="37" w:name="_Toc144198907"/>
      <w:bookmarkStart w:id="38" w:name="_Toc144199313"/>
      <w:r>
        <w:rPr>
          <w:rFonts w:ascii="黑体" w:eastAsia="黑体" w:hint="eastAsia"/>
          <w:b w:val="0"/>
          <w:color w:val="000000"/>
        </w:rPr>
        <w:t>一、基</w:t>
      </w:r>
      <w:r>
        <w:rPr>
          <w:rStyle w:val="2Char"/>
          <w:rFonts w:ascii="黑体" w:eastAsia="黑体" w:hint="eastAsia"/>
        </w:rPr>
        <w:t>本职能及主要工作</w:t>
      </w:r>
      <w:bookmarkStart w:id="39" w:name="_Toc15377198"/>
      <w:bookmarkStart w:id="40" w:name="_Toc15378445"/>
      <w:bookmarkEnd w:id="35"/>
      <w:bookmarkEnd w:id="36"/>
      <w:bookmarkEnd w:id="37"/>
      <w:bookmarkEnd w:id="38"/>
    </w:p>
    <w:p>
      <w:pPr>
        <w:pStyle w:val="2"/>
        <w:spacing w:before="0" w:after="0" w:line="240" w:lineRule="auto"/>
        <w:ind w:leftChars="153" w:left="641" w:hangingChars="100" w:hanging="320"/>
        <w:rPr>
          <w:rFonts w:ascii="楷体" w:eastAsia="楷体" w:cs="楷体"/>
          <w:color w:val="000000"/>
        </w:rPr>
      </w:pPr>
      <w:bookmarkStart w:id="41" w:name="_Toc26135"/>
      <w:bookmarkStart w:id="42" w:name="_Toc144198765"/>
      <w:bookmarkStart w:id="43" w:name="_Toc144198908"/>
      <w:bookmarkStart w:id="44" w:name="_Toc144199314"/>
      <w:r>
        <w:rPr>
          <w:rFonts w:ascii="楷体" w:eastAsia="楷体" w:cs="楷体" w:hint="eastAsia"/>
          <w:color w:val="000000"/>
        </w:rPr>
        <w:t>（一）主要职能</w:t>
      </w:r>
      <w:bookmarkStart w:id="45" w:name="_Toc15378446"/>
      <w:bookmarkStart w:id="46" w:name="_Toc15377199"/>
      <w:bookmarkEnd w:id="39"/>
      <w:bookmarkEnd w:id="40"/>
      <w:bookmarkEnd w:id="41"/>
      <w:bookmarkEnd w:id="42"/>
      <w:bookmarkEnd w:id="43"/>
      <w:bookmarkEnd w:id="44"/>
    </w:p>
    <w:p>
      <w:pPr>
        <w:widowControl/>
        <w:adjustRightInd w:val="0"/>
        <w:snapToGrid w:val="0"/>
        <w:spacing w:line="560" w:lineRule="exact"/>
        <w:ind w:firstLine="720"/>
        <w:jc w:val="left"/>
        <w:rPr>
          <w:rFonts w:ascii="仿宋_GB2312" w:eastAsia="仿宋_GB2312" w:cs="仿宋_GB2312"/>
          <w:color w:val="000000"/>
          <w:spacing w:val="-14"/>
          <w:kern w:val="0"/>
          <w:sz w:val="32"/>
          <w:szCs w:val="32"/>
        </w:rPr>
      </w:pPr>
      <w:r>
        <w:rPr>
          <w:rFonts w:ascii="仿宋_GB2312" w:eastAsia="仿宋_GB2312" w:cs="仿宋_GB2312" w:hint="eastAsia"/>
          <w:kern w:val="0"/>
          <w:sz w:val="32"/>
          <w:szCs w:val="32"/>
        </w:rPr>
        <w:t>我单位主要职责是：</w:t>
      </w:r>
      <w:r>
        <w:rPr>
          <w:rFonts w:ascii="仿宋_GB2312" w:eastAsia="仿宋_GB2312" w:cs="仿宋_GB2312" w:hint="eastAsia"/>
          <w:color w:val="000000"/>
          <w:spacing w:val="-14"/>
          <w:kern w:val="0"/>
          <w:sz w:val="32"/>
          <w:szCs w:val="32"/>
        </w:rPr>
        <w:t>负责全县广播电视新闻节目制作、对外合作交流，安全播出、安全传输发射，广电有线网络及新媒体建设等任务，负责拟定全县广播电视事业、产业发展规划，负责组织审查广告播出，开展相关经营，负责广播电视有线传输网络的设计、建设、维护以及开发应用。负责全县广播电视人才的培训、培养、引进和使用工作。</w:t>
      </w:r>
    </w:p>
    <w:p>
      <w:pPr>
        <w:pStyle w:val="2"/>
        <w:spacing w:before="0" w:after="0" w:line="240" w:lineRule="auto"/>
        <w:ind w:firstLineChars="100" w:firstLine="320"/>
        <w:rPr>
          <w:rFonts w:ascii="楷体" w:eastAsia="楷体" w:cs="楷体"/>
          <w:color w:val="000000"/>
        </w:rPr>
      </w:pPr>
      <w:bookmarkStart w:id="47" w:name="_Toc11712"/>
      <w:bookmarkStart w:id="48" w:name="_Toc144198766"/>
      <w:bookmarkStart w:id="49" w:name="_Toc144198909"/>
      <w:bookmarkStart w:id="50" w:name="_Toc144199315"/>
      <w:r>
        <w:rPr>
          <w:rFonts w:ascii="楷体" w:eastAsia="楷体" w:cs="楷体" w:hint="eastAsia"/>
          <w:color w:val="000000"/>
        </w:rPr>
        <w:t>（二）202</w:t>
      </w:r>
      <w:r>
        <w:rPr>
          <w:rFonts w:ascii="楷体" w:eastAsia="楷体" w:cs="楷体"/>
          <w:color w:val="000000"/>
        </w:rPr>
        <w:t>2</w:t>
      </w:r>
      <w:r>
        <w:rPr>
          <w:rFonts w:ascii="楷体" w:eastAsia="楷体" w:cs="楷体" w:hint="eastAsia"/>
          <w:color w:val="000000"/>
        </w:rPr>
        <w:t>年重点工作完成情况</w:t>
      </w:r>
      <w:bookmarkEnd w:id="45"/>
      <w:bookmarkEnd w:id="46"/>
      <w:bookmarkEnd w:id="47"/>
      <w:bookmarkEnd w:id="48"/>
      <w:bookmarkEnd w:id="49"/>
      <w:bookmarkEnd w:id="50"/>
    </w:p>
    <w:p>
      <w:pPr>
        <w:widowControl/>
        <w:spacing w:line="560" w:lineRule="exact"/>
        <w:ind w:firstLineChars="200" w:firstLine="640"/>
        <w:rPr>
          <w:rFonts w:ascii="楷体_GB2312" w:eastAsia="楷体_GB2312" w:cs="楷体_GB2312"/>
          <w:b/>
          <w:kern w:val="0"/>
          <w:sz w:val="32"/>
          <w:szCs w:val="32"/>
        </w:rPr>
      </w:pPr>
      <w:bookmarkStart w:id="51" w:name="_Toc15377200"/>
      <w:r>
        <w:rPr>
          <w:rFonts w:ascii="楷体_GB2312" w:eastAsia="楷体_GB2312" w:cs="楷体_GB2312" w:hint="eastAsia"/>
          <w:b/>
          <w:kern w:val="0"/>
          <w:sz w:val="32"/>
          <w:szCs w:val="32"/>
        </w:rPr>
        <w:t>1、围绕中心工作，打好宣传主动仗，开创新时代媒体融合宣传新气象</w:t>
      </w:r>
    </w:p>
    <w:p>
      <w:pPr>
        <w:spacing w:line="560" w:lineRule="exact"/>
        <w:ind w:firstLine="570"/>
        <w:rPr>
          <w:rFonts w:ascii="仿宋_GB2312" w:eastAsia="仿宋_GB2312" w:cs="宋体"/>
          <w:kern w:val="0"/>
          <w:sz w:val="32"/>
          <w:szCs w:val="32"/>
        </w:rPr>
      </w:pPr>
      <w:r>
        <w:rPr>
          <w:rFonts w:ascii="仿宋_GB2312" w:eastAsia="仿宋_GB2312" w:cs="宋体" w:hint="eastAsia"/>
          <w:kern w:val="0"/>
          <w:sz w:val="32"/>
          <w:szCs w:val="32"/>
        </w:rPr>
        <w:t>以唱响主旋律，打好主动仗，作为新闻宣传创新的主题。首先，要当好喉舌，为服务内情鼓与呼；其次，要当好耳目，为了解外情视与听；再次，要当好参谋，为掌握实情议与思；最后，要当好助手，为落实政情力与荐。让小球带动大球，让媒体联系实体，让敢想、敢干、敢拼的能人干出一番事业，让新闻创新工程发挥长足的作用。今年来，我单位积极探索，大胆改革，不断丰富荧屏内容，深入挖掘重点题材，广泛开展民生报道，内、外宣传方面均取得了一定成绩。在常规新闻报道方面：主要报道了县委、县政府重大安排部署、重要调研活动；重大项目建设、产业结构调整、民生工程推进情况；各单位、乡镇、村社突出亮点工作报道；典型（正反）社会现象的报道。</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完成了上级单位的约稿任务和县委、县政府交办的专题新闻采播任务，以及其他的特殊情况的采播任务。按时按量完成行业部门交办的字幕、短片等宣传任务。</w:t>
      </w:r>
    </w:p>
    <w:p>
      <w:pPr>
        <w:spacing w:line="560" w:lineRule="exact"/>
        <w:ind w:firstLineChars="200" w:firstLine="640"/>
        <w:rPr>
          <w:rFonts w:ascii="楷体_GB2312" w:eastAsia="楷体_GB2312" w:cs="楷体_GB2312"/>
          <w:b/>
          <w:bCs/>
          <w:kern w:val="0"/>
          <w:sz w:val="32"/>
          <w:szCs w:val="32"/>
        </w:rPr>
      </w:pPr>
      <w:r>
        <w:rPr>
          <w:rFonts w:ascii="楷体_GB2312" w:eastAsia="楷体_GB2312" w:cs="楷体_GB2312" w:hint="eastAsia"/>
          <w:b/>
          <w:bCs/>
          <w:kern w:val="0"/>
          <w:sz w:val="32"/>
          <w:szCs w:val="32"/>
        </w:rPr>
        <w:t>2、强化措施,突出重点,加强广播电视事业建设</w:t>
      </w:r>
    </w:p>
    <w:p>
      <w:pPr>
        <w:spacing w:line="560" w:lineRule="exact"/>
        <w:ind w:firstLineChars="200" w:firstLine="640"/>
        <w:rPr>
          <w:rFonts w:ascii="楷体_GB2312" w:eastAsia="楷体_GB2312" w:cs="楷体_GB2312"/>
          <w:b/>
          <w:sz w:val="32"/>
          <w:szCs w:val="32"/>
        </w:rPr>
      </w:pPr>
      <w:r>
        <w:rPr>
          <w:rFonts w:ascii="仿宋_GB2312" w:eastAsia="仿宋_GB2312" w:cs="宋体" w:hint="eastAsia"/>
          <w:kern w:val="0"/>
          <w:sz w:val="32"/>
          <w:szCs w:val="32"/>
        </w:rPr>
        <w:t>今年维修维护人员完成了城区有线电视及沙尔、咯尔、庆宁、河东、河西无线数字电视各种故障的维修维护；第一时间抢通因灾冲毁的全省主干线和我县环线；机房安全值班做到了24小时值机，随时观测设备正常运行情况，未发生插播节目和干扰情况，设备运行无故障;加强两个无线发射机站的管理，值班人员随时对所有设备进行不定期的检查，确保设备全年能正常运行，保障乡镇群众能看到高质量的电视节目。</w:t>
      </w:r>
    </w:p>
    <w:p>
      <w:pPr>
        <w:spacing w:line="578" w:lineRule="exact"/>
        <w:ind w:firstLineChars="200" w:firstLine="640"/>
        <w:rPr>
          <w:rStyle w:val="2Char"/>
          <w:rFonts w:ascii="黑体" w:eastAsia="黑体"/>
          <w:b w:val="0"/>
          <w:bCs w:val="0"/>
        </w:rPr>
      </w:pPr>
    </w:p>
    <w:p>
      <w:pPr>
        <w:spacing w:line="578" w:lineRule="exact"/>
        <w:ind w:firstLineChars="200" w:firstLine="640"/>
        <w:outlineLvl w:val="1"/>
        <w:rPr>
          <w:rStyle w:val="2Char"/>
          <w:b w:val="0"/>
          <w:bCs w:val="0"/>
        </w:rPr>
      </w:pPr>
      <w:bookmarkStart w:id="52" w:name="_Toc728"/>
      <w:bookmarkStart w:id="53" w:name="_Toc144198910"/>
      <w:bookmarkStart w:id="54" w:name="_Toc144199316"/>
      <w:r>
        <w:rPr>
          <w:rStyle w:val="2Char"/>
          <w:rFonts w:ascii="黑体" w:eastAsia="黑体" w:hint="eastAsia"/>
          <w:b w:val="0"/>
          <w:bCs w:val="0"/>
        </w:rPr>
        <w:t>二、机构设置</w:t>
      </w:r>
      <w:bookmarkEnd w:id="51"/>
      <w:bookmarkEnd w:id="53"/>
      <w:bookmarkEnd w:id="54"/>
    </w:p>
    <w:p>
      <w:pPr>
        <w:spacing w:line="576" w:lineRule="exact"/>
        <w:ind w:firstLineChars="200" w:firstLine="640"/>
        <w:rPr>
          <w:rFonts w:ascii="仿宋_GB2312" w:eastAsia="仿宋_GB2312" w:cs="仿宋_GB2312"/>
          <w:sz w:val="32"/>
          <w:szCs w:val="32"/>
        </w:rPr>
      </w:pPr>
      <w:bookmarkStart w:id="55" w:name="_Toc15377204"/>
      <w:bookmarkEnd w:id="52"/>
      <w:r>
        <w:rPr>
          <w:rFonts w:ascii="仿宋_GB2312" w:eastAsia="仿宋_GB2312" w:hint="eastAsia"/>
          <w:bCs/>
          <w:sz w:val="32"/>
          <w:szCs w:val="32"/>
          <w:shd w:val="clear" w:color="auto" w:fill="FFFFFF"/>
        </w:rPr>
        <w:t>1、机构情况：</w:t>
      </w:r>
      <w:r>
        <w:rPr>
          <w:rFonts w:ascii="仿宋_GB2312" w:eastAsia="仿宋_GB2312" w:hint="eastAsia"/>
          <w:bCs/>
          <w:sz w:val="32"/>
        </w:rPr>
        <w:t>融媒体中心属1个独立编制机构和核算的事业单位。</w:t>
      </w:r>
    </w:p>
    <w:p>
      <w:pPr>
        <w:spacing w:line="600" w:lineRule="exact"/>
        <w:ind w:firstLineChars="200" w:firstLine="640"/>
        <w:rPr>
          <w:rFonts w:ascii="仿宋_GB2312" w:eastAsia="仿宋_GB2312" w:cs="仿宋_GB2312"/>
          <w:sz w:val="32"/>
          <w:szCs w:val="32"/>
          <w:shd w:val="clear" w:color="auto" w:fill="FFFFFF"/>
        </w:rPr>
      </w:pPr>
      <w:r>
        <w:rPr>
          <w:rFonts w:ascii="仿宋_GB2312" w:eastAsia="仿宋_GB2312" w:hint="eastAsia"/>
          <w:bCs/>
          <w:sz w:val="32"/>
        </w:rPr>
        <w:t>2、人员情况：编制数29人，其中：事业编制28人，事业工勤1人。202</w:t>
      </w:r>
      <w:r>
        <w:rPr>
          <w:rFonts w:ascii="仿宋_GB2312" w:eastAsia="仿宋_GB2312"/>
          <w:bCs/>
          <w:sz w:val="32"/>
        </w:rPr>
        <w:t>2</w:t>
      </w:r>
      <w:r>
        <w:rPr>
          <w:rFonts w:ascii="仿宋_GB2312" w:eastAsia="仿宋_GB2312" w:hint="eastAsia"/>
          <w:bCs/>
          <w:sz w:val="32"/>
        </w:rPr>
        <w:t>年末实有在职职工</w:t>
      </w:r>
      <w:r>
        <w:rPr>
          <w:rFonts w:ascii="仿宋_GB2312" w:eastAsia="仿宋_GB2312"/>
          <w:bCs/>
          <w:sz w:val="32"/>
        </w:rPr>
        <w:t>25</w:t>
      </w:r>
      <w:r>
        <w:rPr>
          <w:rFonts w:ascii="仿宋_GB2312" w:eastAsia="仿宋_GB2312" w:hint="eastAsia"/>
          <w:bCs/>
          <w:sz w:val="32"/>
        </w:rPr>
        <w:t>人（其中：事业管理</w:t>
      </w:r>
      <w:r>
        <w:rPr>
          <w:rFonts w:ascii="仿宋_GB2312" w:eastAsia="仿宋_GB2312"/>
          <w:bCs/>
          <w:sz w:val="32"/>
        </w:rPr>
        <w:t>6</w:t>
      </w:r>
      <w:r>
        <w:rPr>
          <w:rFonts w:ascii="仿宋_GB2312" w:eastAsia="仿宋_GB2312" w:hint="eastAsia"/>
          <w:bCs/>
          <w:sz w:val="32"/>
        </w:rPr>
        <w:t>人，事业专技</w:t>
      </w:r>
      <w:r>
        <w:rPr>
          <w:rFonts w:ascii="仿宋_GB2312" w:eastAsia="仿宋_GB2312"/>
          <w:bCs/>
          <w:sz w:val="32"/>
        </w:rPr>
        <w:t>18</w:t>
      </w:r>
      <w:r>
        <w:rPr>
          <w:rFonts w:ascii="仿宋_GB2312" w:eastAsia="仿宋_GB2312" w:hint="eastAsia"/>
          <w:bCs/>
          <w:sz w:val="32"/>
        </w:rPr>
        <w:t>人，事业工勤1人），</w:t>
      </w:r>
      <w:r>
        <w:rPr>
          <w:rFonts w:ascii="仿宋_GB2312" w:eastAsia="仿宋_GB2312" w:cs="仿宋_GB2312" w:hint="eastAsia"/>
          <w:sz w:val="32"/>
          <w:szCs w:val="32"/>
          <w:shd w:val="clear" w:color="auto" w:fill="FFFFFF"/>
        </w:rPr>
        <w:t>比上年减少</w:t>
      </w:r>
      <w:r>
        <w:rPr>
          <w:rFonts w:ascii="仿宋_GB2312" w:eastAsia="仿宋_GB2312" w:cs="仿宋_GB2312"/>
          <w:sz w:val="32"/>
          <w:szCs w:val="32"/>
          <w:shd w:val="clear" w:color="auto" w:fill="FFFFFF"/>
        </w:rPr>
        <w:t>1</w:t>
      </w:r>
      <w:r>
        <w:rPr>
          <w:rFonts w:ascii="仿宋_GB2312" w:eastAsia="仿宋_GB2312" w:cs="仿宋_GB2312" w:hint="eastAsia"/>
          <w:sz w:val="32"/>
          <w:szCs w:val="32"/>
          <w:shd w:val="clear" w:color="auto" w:fill="FFFFFF"/>
        </w:rPr>
        <w:t>人，变动原因是新进人员</w:t>
      </w:r>
      <w:r>
        <w:rPr>
          <w:rFonts w:ascii="仿宋_GB2312" w:eastAsia="仿宋_GB2312" w:cs="仿宋_GB2312"/>
          <w:sz w:val="32"/>
          <w:szCs w:val="32"/>
          <w:shd w:val="clear" w:color="auto" w:fill="FFFFFF"/>
        </w:rPr>
        <w:t>1</w:t>
      </w:r>
      <w:r>
        <w:rPr>
          <w:rFonts w:ascii="仿宋_GB2312" w:eastAsia="仿宋_GB2312" w:cs="仿宋_GB2312" w:hint="eastAsia"/>
          <w:sz w:val="32"/>
          <w:szCs w:val="32"/>
          <w:shd w:val="clear" w:color="auto" w:fill="FFFFFF"/>
        </w:rPr>
        <w:t>人，调进1人，调出人员</w:t>
      </w:r>
      <w:r>
        <w:rPr>
          <w:rFonts w:ascii="仿宋_GB2312" w:eastAsia="仿宋_GB2312" w:cs="仿宋_GB2312"/>
          <w:sz w:val="32"/>
          <w:szCs w:val="32"/>
          <w:shd w:val="clear" w:color="auto" w:fill="FFFFFF"/>
        </w:rPr>
        <w:t>3</w:t>
      </w:r>
      <w:r>
        <w:rPr>
          <w:rFonts w:ascii="仿宋_GB2312" w:eastAsia="仿宋_GB2312" w:cs="仿宋_GB2312" w:hint="eastAsia"/>
          <w:sz w:val="32"/>
          <w:szCs w:val="32"/>
          <w:shd w:val="clear" w:color="auto" w:fill="FFFFFF"/>
        </w:rPr>
        <w:t>人。</w:t>
      </w:r>
    </w:p>
    <w:p>
      <w:pPr>
        <w:pStyle w:val="15"/>
      </w:pPr>
    </w:p>
    <w:p>
      <w:pPr>
        <w:pStyle w:val="1"/>
        <w:ind w:right="440"/>
      </w:pPr>
      <w:r>
        <w:rPr>
          <w:rFonts w:ascii="黑体" w:eastAsia="黑体" w:hint="eastAsia"/>
          <w:b w:val="0"/>
          <w:color w:val="000000"/>
        </w:rPr>
        <w:t xml:space="preserve">  </w:t>
      </w:r>
      <w:bookmarkStart w:id="56" w:name="_Toc13579"/>
      <w:bookmarkStart w:id="57" w:name="_Toc144199317"/>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w:t>
      </w:r>
      <w:r>
        <w:rPr>
          <w:rStyle w:val="1Char"/>
          <w:rFonts w:ascii="黑体" w:eastAsia="黑体"/>
        </w:rPr>
        <w:t>2</w:t>
      </w:r>
      <w:r>
        <w:rPr>
          <w:rStyle w:val="1Char"/>
          <w:rFonts w:ascii="黑体" w:eastAsia="黑体" w:hint="eastAsia"/>
        </w:rPr>
        <w:t>年度部门决算情况说明</w:t>
      </w:r>
      <w:bookmarkEnd w:id="55"/>
      <w:bookmarkEnd w:id="56"/>
      <w:bookmarkEnd w:id="57"/>
    </w:p>
    <w:p>
      <w:pPr>
        <w:pStyle w:val="30"/>
        <w:numPr>
          <w:ilvl w:val="0"/>
          <w:numId w:val="1"/>
        </w:numPr>
        <w:ind w:left="0" w:firstLineChars="0" w:firstLine="0"/>
        <w:outlineLvl w:val="1"/>
        <w:rPr>
          <w:rStyle w:val="2Char"/>
          <w:rFonts w:ascii="黑体" w:eastAsia="黑体"/>
          <w:b w:val="0"/>
        </w:rPr>
      </w:pPr>
      <w:bookmarkStart w:id="58" w:name="_Toc10479"/>
      <w:bookmarkStart w:id="59" w:name="_Toc15377205"/>
      <w:bookmarkStart w:id="60" w:name="_Toc144198912"/>
      <w:bookmarkStart w:id="61" w:name="_Toc144199318"/>
      <w:r>
        <w:rPr>
          <w:rFonts w:ascii="黑体" w:eastAsia="黑体" w:hint="eastAsia"/>
          <w:color w:val="000000"/>
          <w:sz w:val="32"/>
          <w:szCs w:val="32"/>
        </w:rPr>
        <w:t>收</w:t>
      </w:r>
      <w:r>
        <w:rPr>
          <w:rStyle w:val="2Char"/>
          <w:rFonts w:ascii="黑体" w:eastAsia="黑体" w:hint="eastAsia"/>
          <w:b w:val="0"/>
        </w:rPr>
        <w:t>入支出决算总体情况说明</w:t>
      </w:r>
      <w:bookmarkEnd w:id="58"/>
      <w:bookmarkEnd w:id="59"/>
      <w:bookmarkEnd w:id="60"/>
      <w:bookmarkEnd w:id="61"/>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w:t>
      </w:r>
      <w:r>
        <w:rPr>
          <w:rFonts w:ascii="仿宋_GB2312" w:eastAsia="仿宋_GB2312"/>
          <w:color w:val="000000"/>
          <w:spacing w:val="-2"/>
          <w:sz w:val="32"/>
          <w:szCs w:val="32"/>
        </w:rPr>
        <w:t>2</w:t>
      </w:r>
      <w:r>
        <w:rPr>
          <w:rFonts w:ascii="仿宋_GB2312" w:eastAsia="仿宋_GB2312" w:hint="eastAsia"/>
          <w:color w:val="000000"/>
          <w:spacing w:val="-2"/>
          <w:sz w:val="32"/>
          <w:szCs w:val="32"/>
        </w:rPr>
        <w:t>年度总收入</w:t>
      </w:r>
      <w:r>
        <w:rPr>
          <w:rFonts w:ascii="仿宋_GB2312" w:eastAsia="仿宋_GB2312"/>
          <w:color w:val="000000"/>
          <w:spacing w:val="-2"/>
          <w:sz w:val="32"/>
          <w:szCs w:val="32"/>
        </w:rPr>
        <w:t>875.20</w:t>
      </w:r>
      <w:r>
        <w:rPr>
          <w:rFonts w:ascii="仿宋_GB2312" w:eastAsia="仿宋_GB2312" w:hint="eastAsia"/>
          <w:color w:val="000000"/>
          <w:spacing w:val="-2"/>
          <w:sz w:val="32"/>
          <w:szCs w:val="32"/>
        </w:rPr>
        <w:t>万元，较上年收入增加2</w:t>
      </w:r>
      <w:r>
        <w:rPr>
          <w:rFonts w:ascii="仿宋_GB2312" w:eastAsia="仿宋_GB2312"/>
          <w:color w:val="000000"/>
          <w:spacing w:val="-2"/>
          <w:sz w:val="32"/>
          <w:szCs w:val="32"/>
        </w:rPr>
        <w:t>52</w:t>
      </w:r>
      <w:r>
        <w:rPr>
          <w:rFonts w:ascii="仿宋_GB2312" w:eastAsia="仿宋_GB2312" w:hint="eastAsia"/>
          <w:color w:val="000000"/>
          <w:spacing w:val="-2"/>
          <w:sz w:val="32"/>
          <w:szCs w:val="32"/>
        </w:rPr>
        <w:t>万元，增加</w:t>
      </w:r>
      <w:r>
        <w:rPr>
          <w:rFonts w:ascii="仿宋_GB2312" w:eastAsia="仿宋_GB2312"/>
          <w:color w:val="000000"/>
          <w:spacing w:val="-2"/>
          <w:sz w:val="32"/>
          <w:szCs w:val="32"/>
        </w:rPr>
        <w:t>29</w:t>
      </w:r>
      <w:r>
        <w:rPr>
          <w:rFonts w:ascii="仿宋_GB2312" w:eastAsia="仿宋_GB2312" w:hint="eastAsia"/>
          <w:color w:val="000000"/>
          <w:spacing w:val="-2"/>
          <w:sz w:val="32"/>
          <w:szCs w:val="32"/>
        </w:rPr>
        <w:t>%。增加的主要原因是202</w:t>
      </w:r>
      <w:r>
        <w:rPr>
          <w:rFonts w:ascii="仿宋_GB2312" w:eastAsia="仿宋_GB2312"/>
          <w:color w:val="000000"/>
          <w:spacing w:val="-2"/>
          <w:sz w:val="32"/>
          <w:szCs w:val="32"/>
        </w:rPr>
        <w:t>2</w:t>
      </w:r>
      <w:r>
        <w:rPr>
          <w:rFonts w:ascii="仿宋_GB2312" w:eastAsia="仿宋_GB2312" w:hint="eastAsia"/>
          <w:color w:val="000000"/>
          <w:spacing w:val="-2"/>
          <w:sz w:val="32"/>
          <w:szCs w:val="32"/>
        </w:rPr>
        <w:t xml:space="preserve">年项目资金及人员工资、保险的增长。 </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rPr>
        <w:t xml:space="preserve"> 202</w:t>
      </w:r>
      <w:r>
        <w:rPr>
          <w:rFonts w:ascii="仿宋_GB2312" w:eastAsia="仿宋_GB2312"/>
          <w:spacing w:val="-2"/>
          <w:sz w:val="32"/>
          <w:szCs w:val="32"/>
        </w:rPr>
        <w:t>2</w:t>
      </w:r>
      <w:r>
        <w:rPr>
          <w:rFonts w:ascii="仿宋_GB2312" w:eastAsia="仿宋_GB2312" w:hint="eastAsia"/>
          <w:spacing w:val="-2"/>
          <w:sz w:val="32"/>
          <w:szCs w:val="32"/>
        </w:rPr>
        <w:t>年总支出</w:t>
      </w:r>
      <w:r>
        <w:rPr>
          <w:rFonts w:ascii="仿宋_GB2312" w:eastAsia="仿宋_GB2312"/>
          <w:spacing w:val="-2"/>
          <w:sz w:val="32"/>
          <w:szCs w:val="32"/>
        </w:rPr>
        <w:t>918.75</w:t>
      </w:r>
      <w:r>
        <w:rPr>
          <w:rFonts w:ascii="仿宋_GB2312" w:eastAsia="仿宋_GB2312" w:hint="eastAsia"/>
          <w:spacing w:val="-2"/>
          <w:sz w:val="32"/>
          <w:szCs w:val="32"/>
        </w:rPr>
        <w:t>万元，较上年支出减少</w:t>
      </w:r>
      <w:r>
        <w:rPr>
          <w:rFonts w:ascii="仿宋_GB2312" w:eastAsia="仿宋_GB2312"/>
          <w:spacing w:val="-2"/>
          <w:sz w:val="32"/>
          <w:szCs w:val="32"/>
        </w:rPr>
        <w:t>63.67</w:t>
      </w:r>
      <w:r>
        <w:rPr>
          <w:rFonts w:ascii="仿宋_GB2312" w:eastAsia="仿宋_GB2312" w:hint="eastAsia"/>
          <w:spacing w:val="-2"/>
          <w:sz w:val="32"/>
          <w:szCs w:val="32"/>
        </w:rPr>
        <w:t>万元，减少了</w:t>
      </w:r>
      <w:r>
        <w:rPr>
          <w:rFonts w:ascii="仿宋_GB2312" w:eastAsia="仿宋_GB2312"/>
          <w:spacing w:val="-2"/>
          <w:sz w:val="32"/>
          <w:szCs w:val="32"/>
        </w:rPr>
        <w:t>6</w:t>
      </w:r>
      <w:r>
        <w:rPr>
          <w:rFonts w:ascii="仿宋_GB2312" w:eastAsia="仿宋_GB2312" w:hint="eastAsia"/>
          <w:spacing w:val="-2"/>
          <w:sz w:val="32"/>
          <w:szCs w:val="32"/>
        </w:rPr>
        <w:t>%。主要原因是</w:t>
      </w:r>
      <w:r>
        <w:rPr>
          <w:rFonts w:ascii="仿宋_GB2312" w:eastAsia="仿宋_GB2312" w:hint="eastAsia"/>
          <w:color w:val="000000"/>
          <w:spacing w:val="-2"/>
          <w:sz w:val="32"/>
          <w:szCs w:val="32"/>
        </w:rPr>
        <w:t>202</w:t>
      </w:r>
      <w:r>
        <w:rPr>
          <w:rFonts w:ascii="仿宋_GB2312" w:eastAsia="仿宋_GB2312"/>
          <w:color w:val="000000"/>
          <w:spacing w:val="-2"/>
          <w:sz w:val="32"/>
          <w:szCs w:val="32"/>
        </w:rPr>
        <w:t>2</w:t>
      </w:r>
      <w:r>
        <w:rPr>
          <w:rFonts w:ascii="仿宋_GB2312" w:eastAsia="仿宋_GB2312" w:hint="eastAsia"/>
          <w:color w:val="000000"/>
          <w:spacing w:val="-2"/>
          <w:sz w:val="32"/>
          <w:szCs w:val="32"/>
        </w:rPr>
        <w:t>年项目资金支付金额较上年少。</w:t>
      </w:r>
      <w:r>
        <w:rPr>
          <w:rFonts w:ascii="仿宋" w:eastAsia="仿宋"/>
          <w:sz w:val="32"/>
          <w:szCs w:val="32"/>
        </w:rPr>
        <w:t xml:space="preserve"> </w:t>
      </w:r>
    </w:p>
    <w:p>
      <w:pPr>
        <w:pStyle w:val="2"/>
        <w:rPr>
          <w:rStyle w:val="2Char"/>
          <w:rFonts w:ascii="黑体" w:eastAsia="黑体"/>
          <w:b/>
        </w:rPr>
      </w:pPr>
      <w:bookmarkStart w:id="62" w:name="_Toc144199319"/>
      <w:r>
        <w:rPr>
          <w:rFonts w:hint="eastAsia"/>
        </w:rPr>
        <w:drawing>
          <wp:anchor distT="0" distB="0" distL="114300" distR="114300" simplePos="0" relativeHeight="17"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63" w:name="_Toc15377206"/>
      <w:r>
        <w:rPr>
          <w:rFonts w:hint="eastAsia"/>
        </w:rPr>
        <w:t>二、收入决</w:t>
      </w:r>
      <w:r>
        <w:rPr>
          <w:rStyle w:val="2Char"/>
          <w:rFonts w:ascii="黑体" w:eastAsia="黑体" w:hint="eastAsia"/>
        </w:rPr>
        <w:t>算情况说明</w:t>
      </w:r>
      <w:bookmarkEnd w:id="62"/>
      <w:bookmarkEnd w:id="63"/>
    </w:p>
    <w:p>
      <w:pPr>
        <w:spacing w:line="600" w:lineRule="exact"/>
        <w:ind w:firstLineChars="200" w:firstLine="640"/>
        <w:outlineLvl w:val="1"/>
        <w:rPr>
          <w:rFonts w:ascii="仿宋" w:eastAsia="仿宋"/>
          <w:color w:val="000000"/>
          <w:sz w:val="32"/>
          <w:szCs w:val="32"/>
        </w:rPr>
      </w:pPr>
      <w:bookmarkStart w:id="64" w:name="_Toc4342"/>
      <w:bookmarkStart w:id="65" w:name="_Toc8219"/>
      <w:bookmarkStart w:id="66" w:name="_Toc124325305"/>
      <w:bookmarkStart w:id="67" w:name="_Toc144198770"/>
      <w:bookmarkStart w:id="68" w:name="_Toc144198913"/>
      <w:bookmarkStart w:id="69" w:name="_Toc144199320"/>
      <w:r>
        <w:rPr>
          <w:rFonts w:ascii="仿宋" w:eastAsia="仿宋"/>
          <w:color w:val="000000"/>
          <w:sz w:val="32"/>
          <w:szCs w:val="32"/>
        </w:rPr>
        <w:t>20</w:t>
      </w:r>
      <w:r>
        <w:rPr>
          <w:rFonts w:ascii="仿宋" w:eastAsia="仿宋" w:hint="eastAsia"/>
          <w:color w:val="000000"/>
          <w:sz w:val="32"/>
          <w:szCs w:val="32"/>
        </w:rPr>
        <w:t>2</w:t>
      </w:r>
      <w:r>
        <w:rPr>
          <w:rFonts w:ascii="仿宋" w:eastAsia="仿宋"/>
          <w:color w:val="000000"/>
          <w:sz w:val="32"/>
          <w:szCs w:val="32"/>
        </w:rPr>
        <w:t>2</w:t>
      </w:r>
      <w:r>
        <w:rPr>
          <w:rFonts w:ascii="仿宋" w:eastAsia="仿宋" w:hint="eastAsia"/>
          <w:color w:val="000000"/>
          <w:sz w:val="32"/>
          <w:szCs w:val="32"/>
        </w:rPr>
        <w:t>年总收入</w:t>
      </w:r>
      <w:r>
        <w:rPr>
          <w:rFonts w:ascii="仿宋" w:eastAsia="仿宋"/>
          <w:color w:val="000000"/>
          <w:sz w:val="32"/>
          <w:szCs w:val="32"/>
        </w:rPr>
        <w:t>875.20</w:t>
      </w:r>
      <w:r>
        <w:rPr>
          <w:rFonts w:ascii="仿宋" w:eastAsia="仿宋" w:hint="eastAsia"/>
          <w:color w:val="000000"/>
          <w:sz w:val="32"/>
          <w:szCs w:val="32"/>
        </w:rPr>
        <w:t>万元，其中：一般公共预算财政拨款收入</w:t>
      </w:r>
      <w:r>
        <w:rPr>
          <w:rFonts w:ascii="仿宋" w:eastAsia="仿宋"/>
          <w:color w:val="000000"/>
          <w:sz w:val="32"/>
          <w:szCs w:val="32"/>
        </w:rPr>
        <w:t>875.20</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64"/>
      <w:bookmarkEnd w:id="65"/>
      <w:bookmarkEnd w:id="66"/>
      <w:bookmarkEnd w:id="67"/>
      <w:bookmarkEnd w:id="68"/>
      <w:bookmarkEnd w:id="69"/>
    </w:p>
    <w:p>
      <w:pPr>
        <w:spacing w:line="600" w:lineRule="exact"/>
        <w:ind w:firstLineChars="200" w:firstLine="640"/>
        <w:outlineLvl w:val="1"/>
        <w:rPr>
          <w:rStyle w:val="2Char"/>
          <w:rFonts w:ascii="黑体" w:eastAsia="黑体"/>
          <w:b w:val="0"/>
        </w:rPr>
      </w:pPr>
      <w:bookmarkStart w:id="70" w:name="_Toc9274"/>
      <w:bookmarkStart w:id="71" w:name="_Toc144198914"/>
      <w:bookmarkStart w:id="72" w:name="_Toc144199321"/>
      <w:r>
        <w:rPr>
          <w:rFonts w:ascii="黑体" w:eastAsia="黑体" w:hint="eastAsia"/>
          <w:color w:val="000000"/>
          <w:sz w:val="32"/>
          <w:szCs w:val="32"/>
        </w:rPr>
        <w:drawing>
          <wp:anchor distT="0" distB="0" distL="114300" distR="114300" simplePos="0" relativeHeight="19"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73" w:name="_Toc15377207"/>
      <w:r>
        <w:rPr>
          <w:rFonts w:ascii="黑体" w:eastAsia="黑体" w:hint="eastAsia"/>
          <w:color w:val="000000"/>
          <w:sz w:val="32"/>
          <w:szCs w:val="32"/>
        </w:rPr>
        <w:t>三、支出决</w:t>
      </w:r>
      <w:r>
        <w:rPr>
          <w:rStyle w:val="2Char"/>
          <w:rFonts w:ascii="黑体" w:eastAsia="黑体" w:hint="eastAsia"/>
          <w:b w:val="0"/>
        </w:rPr>
        <w:t>算情况说明</w:t>
      </w:r>
      <w:bookmarkEnd w:id="70"/>
      <w:bookmarkEnd w:id="71"/>
      <w:bookmarkEnd w:id="72"/>
      <w:bookmarkEnd w:id="73"/>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w:t>
      </w:r>
      <w:r>
        <w:rPr>
          <w:rFonts w:ascii="仿宋" w:eastAsia="仿宋"/>
          <w:color w:val="000000"/>
          <w:sz w:val="32"/>
          <w:szCs w:val="32"/>
        </w:rPr>
        <w:t>2</w:t>
      </w:r>
      <w:r>
        <w:rPr>
          <w:rFonts w:ascii="仿宋" w:eastAsia="仿宋" w:hint="eastAsia"/>
          <w:color w:val="000000"/>
          <w:sz w:val="32"/>
          <w:szCs w:val="32"/>
        </w:rPr>
        <w:t>年本年总支出</w:t>
      </w:r>
      <w:r>
        <w:rPr>
          <w:rFonts w:ascii="仿宋_GB2312" w:eastAsia="仿宋_GB2312"/>
          <w:spacing w:val="-2"/>
          <w:sz w:val="32"/>
          <w:szCs w:val="32"/>
        </w:rPr>
        <w:t>918.75</w:t>
      </w:r>
      <w:r>
        <w:rPr>
          <w:rFonts w:ascii="仿宋" w:eastAsia="仿宋" w:hint="eastAsia"/>
          <w:color w:val="000000"/>
          <w:sz w:val="32"/>
          <w:szCs w:val="32"/>
        </w:rPr>
        <w:t>万元，其中：基本支出</w:t>
      </w:r>
      <w:r>
        <w:rPr>
          <w:rFonts w:ascii="仿宋" w:eastAsia="仿宋"/>
          <w:color w:val="000000"/>
          <w:sz w:val="32"/>
          <w:szCs w:val="32"/>
        </w:rPr>
        <w:t>447.49</w:t>
      </w:r>
      <w:r>
        <w:rPr>
          <w:rFonts w:ascii="仿宋" w:eastAsia="仿宋" w:hint="eastAsia"/>
          <w:color w:val="000000"/>
          <w:sz w:val="32"/>
          <w:szCs w:val="32"/>
        </w:rPr>
        <w:t>万元，占4</w:t>
      </w:r>
      <w:r>
        <w:rPr>
          <w:rFonts w:ascii="仿宋" w:eastAsia="仿宋"/>
          <w:color w:val="000000"/>
          <w:sz w:val="32"/>
          <w:szCs w:val="32"/>
        </w:rPr>
        <w:t>9</w:t>
      </w:r>
      <w:r>
        <w:rPr>
          <w:rFonts w:ascii="仿宋" w:eastAsia="仿宋" w:hint="eastAsia"/>
          <w:color w:val="000000"/>
          <w:sz w:val="32"/>
          <w:szCs w:val="32"/>
        </w:rPr>
        <w:t>%；项目支出</w:t>
      </w:r>
      <w:r>
        <w:rPr>
          <w:rFonts w:ascii="仿宋" w:eastAsia="仿宋"/>
          <w:color w:val="000000"/>
          <w:sz w:val="32"/>
          <w:szCs w:val="32"/>
        </w:rPr>
        <w:t>471.26</w:t>
      </w:r>
      <w:r>
        <w:rPr>
          <w:rFonts w:ascii="仿宋" w:eastAsia="仿宋" w:hint="eastAsia"/>
          <w:color w:val="000000"/>
          <w:sz w:val="32"/>
          <w:szCs w:val="32"/>
        </w:rPr>
        <w:t>万元，占5</w:t>
      </w:r>
      <w:r>
        <w:rPr>
          <w:rFonts w:ascii="仿宋" w:eastAsia="仿宋"/>
          <w:color w:val="000000"/>
          <w:sz w:val="32"/>
          <w:szCs w:val="32"/>
        </w:rPr>
        <w:t>1</w:t>
      </w:r>
      <w:r>
        <w:rPr>
          <w:rFonts w:ascii="仿宋" w:eastAsia="仿宋" w:hint="eastAsia"/>
          <w:color w:val="000000"/>
          <w:sz w:val="32"/>
          <w:szCs w:val="32"/>
        </w:rPr>
        <w:t>%；上缴上级支出0万元，占0%；经营支出0万元，占0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1" behindDoc="0" locked="0" layoutInCell="1" hidden="0" allowOverlap="1">
            <wp:simplePos x="0" y="0"/>
            <wp:positionH relativeFrom="column">
              <wp:posOffset>-40005</wp:posOffset>
            </wp:positionH>
            <wp:positionV relativeFrom="paragraph">
              <wp:posOffset>203834</wp:posOffset>
            </wp:positionV>
            <wp:extent cx="5061585" cy="2269490"/>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2"/>
        <w:rPr>
          <w:rStyle w:val="2Char"/>
          <w:rFonts w:ascii="黑体" w:eastAsia="黑体"/>
          <w:b/>
        </w:rPr>
      </w:pPr>
      <w:bookmarkStart w:id="74" w:name="_Toc15377208"/>
      <w:bookmarkStart w:id="75" w:name="_Toc1302"/>
      <w:bookmarkStart w:id="76" w:name="_Toc144198915"/>
      <w:bookmarkStart w:id="77" w:name="_Toc144199322"/>
      <w:r>
        <w:rPr>
          <w:rFonts w:hint="eastAsia"/>
          <w:color w:val="000000"/>
        </w:rPr>
        <w:t>四、财</w:t>
      </w:r>
      <w:r>
        <w:rPr>
          <w:rStyle w:val="2Char"/>
          <w:rFonts w:ascii="黑体" w:eastAsia="黑体" w:hint="eastAsia"/>
          <w:b/>
        </w:rPr>
        <w:t>政拨款收入支出决算总体情况说明</w:t>
      </w:r>
      <w:bookmarkEnd w:id="74"/>
      <w:bookmarkEnd w:id="75"/>
      <w:bookmarkEnd w:id="76"/>
      <w:bookmarkEnd w:id="77"/>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rPr>
        <w:t>202</w:t>
      </w:r>
      <w:r>
        <w:rPr>
          <w:rFonts w:ascii="仿宋" w:eastAsia="仿宋"/>
          <w:color w:val="000000"/>
          <w:sz w:val="32"/>
          <w:szCs w:val="32"/>
        </w:rPr>
        <w:t>2</w:t>
      </w:r>
      <w:r>
        <w:rPr>
          <w:rFonts w:ascii="仿宋" w:eastAsia="仿宋" w:hint="eastAsia"/>
          <w:color w:val="000000"/>
          <w:sz w:val="32"/>
          <w:szCs w:val="32"/>
        </w:rPr>
        <w:t>年财政拨款收入</w:t>
      </w:r>
      <w:r>
        <w:rPr>
          <w:rFonts w:ascii="仿宋" w:eastAsia="仿宋"/>
          <w:color w:val="000000"/>
          <w:sz w:val="32"/>
          <w:szCs w:val="32"/>
        </w:rPr>
        <w:t>875.20</w:t>
      </w:r>
      <w:r>
        <w:rPr>
          <w:rFonts w:ascii="仿宋" w:eastAsia="仿宋" w:hint="eastAsia"/>
          <w:color w:val="000000"/>
          <w:sz w:val="32"/>
          <w:szCs w:val="32"/>
        </w:rPr>
        <w:t>万元。与202</w:t>
      </w:r>
      <w:r>
        <w:rPr>
          <w:rFonts w:ascii="仿宋" w:eastAsia="仿宋"/>
          <w:color w:val="000000"/>
          <w:sz w:val="32"/>
          <w:szCs w:val="32"/>
        </w:rPr>
        <w:t>1</w:t>
      </w:r>
      <w:r>
        <w:rPr>
          <w:rFonts w:ascii="仿宋" w:eastAsia="仿宋" w:hint="eastAsia"/>
          <w:color w:val="000000"/>
          <w:sz w:val="32"/>
          <w:szCs w:val="32"/>
        </w:rPr>
        <w:t>年相比，一般公共预算财政拨款收入较上年增加</w:t>
      </w:r>
      <w:r>
        <w:rPr>
          <w:rFonts w:ascii="仿宋" w:eastAsia="仿宋"/>
          <w:color w:val="000000"/>
          <w:sz w:val="32"/>
          <w:szCs w:val="32"/>
        </w:rPr>
        <w:t>252.20</w:t>
      </w:r>
      <w:r>
        <w:rPr>
          <w:rFonts w:ascii="仿宋" w:eastAsia="仿宋" w:hint="eastAsia"/>
          <w:color w:val="000000"/>
          <w:sz w:val="32"/>
          <w:szCs w:val="32"/>
        </w:rPr>
        <w:t>万元，增加</w:t>
      </w:r>
      <w:r>
        <w:rPr>
          <w:rFonts w:ascii="仿宋" w:eastAsia="仿宋"/>
          <w:color w:val="000000"/>
          <w:sz w:val="32"/>
          <w:szCs w:val="32"/>
        </w:rPr>
        <w:t>29</w:t>
      </w:r>
      <w:r>
        <w:rPr>
          <w:rFonts w:ascii="仿宋" w:eastAsia="仿宋" w:hint="eastAsia"/>
          <w:color w:val="000000"/>
          <w:sz w:val="32"/>
          <w:szCs w:val="32"/>
        </w:rPr>
        <w:t>%。</w:t>
      </w:r>
    </w:p>
    <w:p>
      <w:pPr>
        <w:snapToGrid w:val="0"/>
        <w:spacing w:line="520" w:lineRule="exact"/>
        <w:ind w:firstLineChars="200" w:firstLine="640"/>
        <w:rPr>
          <w:rFonts w:ascii="仿宋" w:eastAsia="仿宋"/>
          <w:color w:val="FF0000"/>
          <w:sz w:val="32"/>
          <w:szCs w:val="32"/>
        </w:rPr>
      </w:pPr>
      <w:r>
        <w:rPr>
          <w:rFonts w:ascii="仿宋" w:eastAsia="仿宋" w:hint="eastAsia"/>
          <w:color w:val="000000"/>
          <w:sz w:val="32"/>
          <w:szCs w:val="32"/>
        </w:rPr>
        <w:t>202</w:t>
      </w:r>
      <w:r>
        <w:rPr>
          <w:rFonts w:ascii="仿宋" w:eastAsia="仿宋"/>
          <w:color w:val="000000"/>
          <w:sz w:val="32"/>
          <w:szCs w:val="32"/>
        </w:rPr>
        <w:t>2</w:t>
      </w:r>
      <w:r>
        <w:rPr>
          <w:rFonts w:ascii="仿宋" w:eastAsia="仿宋" w:hint="eastAsia"/>
          <w:color w:val="000000"/>
          <w:sz w:val="32"/>
          <w:szCs w:val="32"/>
        </w:rPr>
        <w:t>年财政拨款支出</w:t>
      </w:r>
      <w:r>
        <w:rPr>
          <w:rFonts w:ascii="仿宋" w:eastAsia="仿宋"/>
          <w:color w:val="000000"/>
          <w:sz w:val="32"/>
          <w:szCs w:val="32"/>
        </w:rPr>
        <w:t>918.75</w:t>
      </w:r>
      <w:r>
        <w:rPr>
          <w:rFonts w:ascii="仿宋" w:eastAsia="仿宋" w:hint="eastAsia"/>
          <w:color w:val="000000"/>
          <w:sz w:val="32"/>
          <w:szCs w:val="32"/>
        </w:rPr>
        <w:t>万元，</w:t>
      </w:r>
      <w:r>
        <w:rPr>
          <w:rFonts w:ascii="仿宋" w:eastAsia="仿宋" w:hint="eastAsia"/>
          <w:sz w:val="32"/>
          <w:szCs w:val="32"/>
        </w:rPr>
        <w:t>较上年支出</w:t>
      </w:r>
      <w:r>
        <w:rPr>
          <w:rFonts w:ascii="仿宋_GB2312" w:eastAsia="仿宋_GB2312" w:hint="eastAsia"/>
          <w:spacing w:val="-2"/>
          <w:sz w:val="32"/>
          <w:szCs w:val="32"/>
        </w:rPr>
        <w:t>202</w:t>
      </w:r>
      <w:r>
        <w:rPr>
          <w:rFonts w:ascii="仿宋_GB2312" w:eastAsia="仿宋_GB2312"/>
          <w:spacing w:val="-2"/>
          <w:sz w:val="32"/>
          <w:szCs w:val="32"/>
        </w:rPr>
        <w:t>1</w:t>
      </w:r>
      <w:r>
        <w:rPr>
          <w:rFonts w:ascii="仿宋_GB2312" w:eastAsia="仿宋_GB2312" w:hint="eastAsia"/>
          <w:spacing w:val="-2"/>
          <w:sz w:val="32"/>
          <w:szCs w:val="32"/>
        </w:rPr>
        <w:t>支出减少</w:t>
      </w:r>
      <w:r>
        <w:rPr>
          <w:rFonts w:ascii="仿宋_GB2312" w:eastAsia="仿宋_GB2312"/>
          <w:spacing w:val="-2"/>
          <w:sz w:val="32"/>
          <w:szCs w:val="32"/>
        </w:rPr>
        <w:t>63.67</w:t>
      </w:r>
      <w:r>
        <w:rPr>
          <w:rFonts w:ascii="仿宋_GB2312" w:eastAsia="仿宋_GB2312" w:hint="eastAsia"/>
          <w:spacing w:val="-2"/>
          <w:sz w:val="32"/>
          <w:szCs w:val="32"/>
        </w:rPr>
        <w:t>万元，减少了</w:t>
      </w:r>
      <w:r>
        <w:rPr>
          <w:rFonts w:ascii="仿宋_GB2312" w:eastAsia="仿宋_GB2312"/>
          <w:spacing w:val="-2"/>
          <w:sz w:val="32"/>
          <w:szCs w:val="32"/>
        </w:rPr>
        <w:t>6</w:t>
      </w:r>
      <w:r>
        <w:rPr>
          <w:rFonts w:ascii="仿宋_GB2312" w:eastAsia="仿宋_GB2312" w:hint="eastAsia"/>
          <w:spacing w:val="-2"/>
          <w:sz w:val="32"/>
          <w:szCs w:val="32"/>
        </w:rPr>
        <w:t>%。</w:t>
      </w:r>
    </w:p>
    <w:p>
      <w:pPr>
        <w:pStyle w:val="2"/>
        <w:rPr>
          <w:rStyle w:val="2Char"/>
          <w:b/>
          <w:bCs/>
        </w:rPr>
      </w:pPr>
      <w:bookmarkStart w:id="78" w:name="_Toc144199323"/>
      <w:r>
        <w:rPr>
          <w:rFonts w:hint="eastAsia"/>
        </w:rPr>
        <w:drawing>
          <wp:anchor distT="0" distB="0" distL="114300" distR="114300" simplePos="0" relativeHeight="23"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79" w:name="_Toc15377209"/>
      <w:r>
        <w:rPr>
          <w:rFonts w:hint="eastAsia"/>
        </w:rPr>
        <w:t>五、一</w:t>
      </w:r>
      <w:r>
        <w:rPr>
          <w:rStyle w:val="2Char"/>
          <w:rFonts w:hint="eastAsia"/>
          <w:b/>
          <w:bCs/>
        </w:rPr>
        <w:t>般公共预算财政拨款支出决算情况说明</w:t>
      </w:r>
      <w:bookmarkEnd w:id="78"/>
      <w:bookmarkEnd w:id="79"/>
    </w:p>
    <w:p>
      <w:pPr>
        <w:spacing w:line="600" w:lineRule="exact"/>
        <w:ind w:firstLineChars="200" w:firstLine="640"/>
        <w:outlineLvl w:val="2"/>
        <w:rPr>
          <w:rFonts w:ascii="仿宋" w:eastAsia="仿宋"/>
          <w:b/>
          <w:color w:val="000000"/>
          <w:sz w:val="32"/>
          <w:szCs w:val="32"/>
        </w:rPr>
      </w:pPr>
      <w:bookmarkStart w:id="80" w:name="_Toc15377210"/>
      <w:bookmarkStart w:id="81" w:name="_Toc144198916"/>
      <w:bookmarkStart w:id="82" w:name="_Toc144199324"/>
      <w:r>
        <w:rPr>
          <w:rFonts w:ascii="仿宋" w:eastAsia="仿宋" w:hint="eastAsia"/>
          <w:b/>
          <w:color w:val="000000"/>
          <w:sz w:val="32"/>
          <w:szCs w:val="32"/>
        </w:rPr>
        <w:t>（一）一般公共预算财政拨款支出决算总体情况</w:t>
      </w:r>
      <w:bookmarkEnd w:id="80"/>
      <w:bookmarkEnd w:id="81"/>
      <w:bookmarkEnd w:id="82"/>
    </w:p>
    <w:p>
      <w:pPr>
        <w:snapToGrid w:val="0"/>
        <w:spacing w:line="520" w:lineRule="exact"/>
        <w:ind w:firstLineChars="200" w:firstLine="640"/>
        <w:rPr>
          <w:rFonts w:ascii="仿宋" w:eastAsia="仿宋"/>
          <w:sz w:val="32"/>
          <w:szCs w:val="32"/>
        </w:rPr>
      </w:pPr>
      <w:r>
        <w:rPr>
          <w:rFonts w:ascii="仿宋_GB2312" w:eastAsia="仿宋_GB2312" w:hint="eastAsia"/>
          <w:color w:val="000000"/>
          <w:sz w:val="32"/>
          <w:szCs w:val="32"/>
        </w:rPr>
        <w:t>融媒体中心202</w:t>
      </w:r>
      <w:r>
        <w:rPr>
          <w:rFonts w:ascii="仿宋_GB2312" w:eastAsia="仿宋_GB2312"/>
          <w:color w:val="000000"/>
          <w:sz w:val="32"/>
          <w:szCs w:val="32"/>
        </w:rPr>
        <w:t>2</w:t>
      </w:r>
      <w:r>
        <w:rPr>
          <w:rFonts w:ascii="仿宋_GB2312" w:eastAsia="仿宋_GB2312" w:hint="eastAsia"/>
          <w:color w:val="000000"/>
          <w:sz w:val="32"/>
          <w:szCs w:val="32"/>
        </w:rPr>
        <w:t>年一般公共预算财政拨款支出</w:t>
      </w:r>
      <w:r>
        <w:rPr>
          <w:rFonts w:ascii="仿宋_GB2312" w:eastAsia="仿宋_GB2312"/>
          <w:color w:val="000000"/>
          <w:sz w:val="32"/>
          <w:szCs w:val="32"/>
        </w:rPr>
        <w:t>918.75</w:t>
      </w:r>
      <w:r>
        <w:rPr>
          <w:rFonts w:ascii="仿宋_GB2312" w:eastAsia="仿宋_GB2312" w:hint="eastAsia"/>
          <w:color w:val="000000"/>
          <w:sz w:val="32"/>
          <w:szCs w:val="32"/>
        </w:rPr>
        <w:t>万元，与202</w:t>
      </w:r>
      <w:r>
        <w:rPr>
          <w:rFonts w:ascii="仿宋_GB2312" w:eastAsia="仿宋_GB2312"/>
          <w:color w:val="000000"/>
          <w:sz w:val="32"/>
          <w:szCs w:val="32"/>
        </w:rPr>
        <w:t>1</w:t>
      </w:r>
      <w:r>
        <w:rPr>
          <w:rFonts w:ascii="仿宋_GB2312" w:eastAsia="仿宋_GB2312" w:hint="eastAsia"/>
          <w:color w:val="000000"/>
          <w:sz w:val="32"/>
          <w:szCs w:val="32"/>
        </w:rPr>
        <w:t>年相比，</w:t>
      </w:r>
      <w:r>
        <w:rPr>
          <w:rFonts w:ascii="仿宋" w:eastAsia="仿宋" w:hint="eastAsia"/>
          <w:sz w:val="32"/>
          <w:szCs w:val="32"/>
        </w:rPr>
        <w:t>一般公共预算财政拨款</w:t>
      </w:r>
      <w:r>
        <w:rPr>
          <w:rFonts w:ascii="仿宋_GB2312" w:eastAsia="仿宋_GB2312" w:hint="eastAsia"/>
          <w:spacing w:val="-2"/>
          <w:sz w:val="32"/>
          <w:szCs w:val="32"/>
        </w:rPr>
        <w:t>支出减少了</w:t>
      </w:r>
      <w:r>
        <w:rPr>
          <w:rFonts w:ascii="仿宋_GB2312" w:eastAsia="仿宋_GB2312"/>
          <w:spacing w:val="-2"/>
          <w:sz w:val="32"/>
          <w:szCs w:val="32"/>
        </w:rPr>
        <w:t>63.67</w:t>
      </w:r>
      <w:r>
        <w:rPr>
          <w:rFonts w:ascii="仿宋_GB2312" w:eastAsia="仿宋_GB2312" w:hint="eastAsia"/>
          <w:color w:val="000000"/>
          <w:sz w:val="32"/>
          <w:szCs w:val="32"/>
        </w:rPr>
        <w:t>万元，减少了</w:t>
      </w:r>
      <w:r>
        <w:rPr>
          <w:rFonts w:ascii="仿宋_GB2312" w:eastAsia="仿宋_GB2312"/>
          <w:color w:val="000000"/>
          <w:sz w:val="32"/>
          <w:szCs w:val="32"/>
        </w:rPr>
        <w:t>6</w:t>
      </w:r>
      <w:r>
        <w:rPr>
          <w:rFonts w:ascii="仿宋_GB2312" w:eastAsia="仿宋_GB2312" w:hint="eastAsia"/>
          <w:color w:val="000000"/>
          <w:sz w:val="32"/>
          <w:szCs w:val="32"/>
        </w:rPr>
        <w:t>%，</w:t>
      </w:r>
      <w:r>
        <w:rPr>
          <w:rFonts w:ascii="仿宋_GB2312" w:eastAsia="仿宋_GB2312" w:hint="eastAsia"/>
          <w:spacing w:val="-2"/>
          <w:sz w:val="32"/>
          <w:szCs w:val="32"/>
        </w:rPr>
        <w:t>主要原因是</w:t>
      </w:r>
      <w:r>
        <w:rPr>
          <w:rFonts w:ascii="仿宋_GB2312" w:eastAsia="仿宋_GB2312" w:hint="eastAsia"/>
          <w:color w:val="000000"/>
          <w:spacing w:val="-2"/>
          <w:sz w:val="32"/>
          <w:szCs w:val="32"/>
        </w:rPr>
        <w:t>202</w:t>
      </w:r>
      <w:r>
        <w:rPr>
          <w:rFonts w:ascii="仿宋_GB2312" w:eastAsia="仿宋_GB2312"/>
          <w:color w:val="000000"/>
          <w:spacing w:val="-2"/>
          <w:sz w:val="32"/>
          <w:szCs w:val="32"/>
        </w:rPr>
        <w:t>2</w:t>
      </w:r>
      <w:r>
        <w:rPr>
          <w:rFonts w:ascii="仿宋_GB2312" w:eastAsia="仿宋_GB2312" w:hint="eastAsia"/>
          <w:color w:val="000000"/>
          <w:spacing w:val="-2"/>
          <w:sz w:val="32"/>
          <w:szCs w:val="32"/>
        </w:rPr>
        <w:t>年项目资金支付金额较上年少。</w:t>
      </w:r>
      <w:r>
        <w:rPr>
          <w:rFonts w:ascii="仿宋" w:eastAsia="仿宋"/>
          <w:sz w:val="32"/>
          <w:szCs w:val="32"/>
        </w:rPr>
        <w:t xml:space="preserve"> </w:t>
      </w:r>
    </w:p>
    <w:p>
      <w:pPr>
        <w:snapToGrid w:val="0"/>
        <w:spacing w:line="520" w:lineRule="exact"/>
        <w:ind w:firstLineChars="200" w:firstLine="632"/>
        <w:rPr>
          <w:rFonts w:ascii="仿宋_GB2312" w:eastAsia="仿宋_GB2312"/>
          <w:spacing w:val="-2"/>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5"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83" w:name="_Toc15377211"/>
      <w:r>
        <w:rPr>
          <w:rFonts w:ascii="仿宋" w:eastAsia="仿宋" w:hint="eastAsia"/>
          <w:b/>
          <w:color w:val="000000"/>
          <w:sz w:val="32"/>
          <w:szCs w:val="32"/>
        </w:rPr>
        <w:t>（二）一般公共预算财政拨款支出决算结构情况</w:t>
      </w:r>
      <w:bookmarkEnd w:id="83"/>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color w:val="000000"/>
          <w:sz w:val="32"/>
          <w:szCs w:val="32"/>
        </w:rPr>
        <w:t>2</w:t>
      </w:r>
      <w:r>
        <w:rPr>
          <w:rFonts w:ascii="仿宋" w:eastAsia="仿宋" w:hint="eastAsia"/>
          <w:color w:val="000000"/>
          <w:sz w:val="32"/>
          <w:szCs w:val="32"/>
        </w:rPr>
        <w:t>年一般公共预算财政拨款支出</w:t>
      </w:r>
      <w:r>
        <w:rPr>
          <w:rFonts w:ascii="仿宋" w:eastAsia="仿宋"/>
          <w:color w:val="000000"/>
          <w:sz w:val="32"/>
          <w:szCs w:val="32"/>
        </w:rPr>
        <w:t>918.75</w:t>
      </w:r>
      <w:r>
        <w:rPr>
          <w:rFonts w:ascii="仿宋" w:eastAsia="仿宋" w:hint="eastAsia"/>
          <w:color w:val="000000"/>
          <w:sz w:val="32"/>
          <w:szCs w:val="32"/>
        </w:rPr>
        <w:t>万元，主要用于以下方面</w:t>
      </w:r>
      <w:r>
        <w:rPr>
          <w:rFonts w:ascii="仿宋" w:eastAsia="仿宋"/>
          <w:color w:val="000000"/>
          <w:sz w:val="32"/>
          <w:szCs w:val="32"/>
        </w:rPr>
        <w:t>:</w:t>
      </w:r>
      <w:r>
        <w:rPr>
          <w:rStyle w:val="24"/>
          <w:rFonts w:ascii="仿宋_GB2312" w:eastAsia="仿宋_GB2312" w:hint="eastAsia"/>
          <w:bCs/>
          <w:sz w:val="32"/>
          <w:szCs w:val="32"/>
        </w:rPr>
        <w:t>文化旅游体育与传媒</w:t>
      </w:r>
      <w:r>
        <w:rPr>
          <w:rFonts w:ascii="仿宋" w:eastAsia="仿宋" w:hint="eastAsia"/>
          <w:b/>
          <w:bCs/>
          <w:color w:val="000000"/>
          <w:sz w:val="32"/>
          <w:szCs w:val="32"/>
        </w:rPr>
        <w:t>支出</w:t>
      </w:r>
      <w:r>
        <w:rPr>
          <w:rFonts w:ascii="仿宋" w:eastAsia="仿宋"/>
          <w:color w:val="000000"/>
          <w:sz w:val="32"/>
          <w:szCs w:val="32"/>
        </w:rPr>
        <w:t>814.52</w:t>
      </w:r>
      <w:r>
        <w:rPr>
          <w:rFonts w:ascii="仿宋" w:eastAsia="仿宋" w:hint="eastAsia"/>
          <w:color w:val="000000"/>
          <w:sz w:val="32"/>
          <w:szCs w:val="32"/>
        </w:rPr>
        <w:t>万元，占</w:t>
      </w:r>
      <w:r>
        <w:rPr>
          <w:rFonts w:ascii="仿宋" w:eastAsia="仿宋"/>
          <w:color w:val="000000"/>
          <w:sz w:val="32"/>
          <w:szCs w:val="32"/>
        </w:rPr>
        <w:t>89%</w:t>
      </w:r>
      <w:r>
        <w:rPr>
          <w:rFonts w:ascii="仿宋" w:eastAsia="仿宋" w:hint="eastAsia"/>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color w:val="000000"/>
          <w:sz w:val="32"/>
          <w:szCs w:val="32"/>
        </w:rPr>
        <w:t>54.09</w:t>
      </w:r>
      <w:r>
        <w:rPr>
          <w:rFonts w:ascii="仿宋" w:eastAsia="仿宋" w:hint="eastAsia"/>
          <w:color w:val="000000"/>
          <w:sz w:val="32"/>
          <w:szCs w:val="32"/>
        </w:rPr>
        <w:t>万元，占</w:t>
      </w:r>
      <w:r>
        <w:rPr>
          <w:rFonts w:ascii="仿宋" w:eastAsia="仿宋"/>
          <w:color w:val="000000"/>
          <w:sz w:val="32"/>
          <w:szCs w:val="32"/>
        </w:rPr>
        <w:t>6%</w:t>
      </w:r>
      <w:r>
        <w:rPr>
          <w:rFonts w:ascii="仿宋" w:eastAsia="仿宋" w:hint="eastAsia"/>
          <w:color w:val="000000"/>
          <w:sz w:val="32"/>
          <w:szCs w:val="32"/>
        </w:rPr>
        <w:t>；</w:t>
      </w:r>
      <w:r>
        <w:rPr>
          <w:rStyle w:val="24"/>
          <w:rFonts w:ascii="仿宋_GB2312" w:eastAsia="仿宋_GB2312" w:hint="eastAsia"/>
          <w:sz w:val="32"/>
          <w:szCs w:val="32"/>
        </w:rPr>
        <w:t>卫生健康支出</w:t>
      </w:r>
      <w:r>
        <w:rPr>
          <w:rStyle w:val="24"/>
          <w:rFonts w:ascii="仿宋_GB2312" w:eastAsia="仿宋_GB2312"/>
          <w:b w:val="0"/>
          <w:bCs/>
          <w:sz w:val="32"/>
          <w:szCs w:val="32"/>
        </w:rPr>
        <w:t>20.24</w:t>
      </w:r>
      <w:r>
        <w:rPr>
          <w:rFonts w:ascii="仿宋" w:eastAsia="仿宋" w:hint="eastAsia"/>
          <w:color w:val="000000"/>
          <w:sz w:val="32"/>
          <w:szCs w:val="32"/>
        </w:rPr>
        <w:t>万元，占2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color w:val="000000"/>
          <w:sz w:val="32"/>
          <w:szCs w:val="32"/>
        </w:rPr>
        <w:t>29.90</w:t>
      </w:r>
      <w:r>
        <w:rPr>
          <w:rFonts w:ascii="仿宋" w:eastAsia="仿宋" w:hint="eastAsia"/>
          <w:color w:val="000000"/>
          <w:sz w:val="32"/>
          <w:szCs w:val="32"/>
        </w:rPr>
        <w:t>万元，占3</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600" w:firstLine="8320"/>
        <w:rPr>
          <w:rFonts w:ascii="仿宋" w:eastAsia="仿宋"/>
          <w:b/>
          <w:color w:val="000000"/>
          <w:sz w:val="32"/>
          <w:szCs w:val="32"/>
        </w:rPr>
      </w:pPr>
      <w:bookmarkStart w:id="84" w:name="_Toc15377444"/>
      <w:bookmarkStart w:id="85" w:name="_Toc15377213"/>
      <w:bookmarkStart w:id="86" w:name="_Toc15378460"/>
      <w:r>
        <w:rPr>
          <w:rFonts w:ascii="仿宋" w:eastAsia="仿宋" w:hint="eastAsia"/>
          <w:color w:val="000000"/>
          <w:sz w:val="32"/>
          <w:szCs w:val="32"/>
        </w:rPr>
        <w:drawing>
          <wp:anchor distT="0" distB="0" distL="114300" distR="114300" simplePos="0" relativeHeight="27" behindDoc="0" locked="0" layoutInCell="1" hidden="0"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87" w:name="_Toc15377212"/>
      <w:bookmarkStart w:id="88" w:name="_Toc144198917"/>
      <w:bookmarkStart w:id="89" w:name="_Toc144199325"/>
      <w:r>
        <w:rPr>
          <w:rFonts w:ascii="仿宋" w:eastAsia="仿宋" w:hint="eastAsia"/>
          <w:b/>
          <w:color w:val="000000"/>
          <w:sz w:val="32"/>
          <w:szCs w:val="32"/>
        </w:rPr>
        <w:t>（三）一般公共预算财政拨款支出决算具体情况</w:t>
      </w:r>
      <w:bookmarkEnd w:id="87"/>
      <w:bookmarkEnd w:id="88"/>
      <w:bookmarkEnd w:id="89"/>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bookmarkStart w:id="90" w:name="_Toc27804"/>
      <w:bookmarkStart w:id="91" w:name="_Toc144198775"/>
      <w:bookmarkStart w:id="92" w:name="_Toc144198918"/>
      <w:bookmarkStart w:id="93" w:name="_Toc144199326"/>
      <w:r>
        <w:rPr>
          <w:rFonts w:ascii="仿宋" w:eastAsia="仿宋" w:hint="eastAsia"/>
          <w:bCs/>
          <w:color w:val="000000"/>
          <w:sz w:val="32"/>
          <w:szCs w:val="32"/>
        </w:rPr>
        <w:t>202</w:t>
      </w:r>
      <w:r>
        <w:rPr>
          <w:rFonts w:ascii="仿宋" w:eastAsia="仿宋"/>
          <w:bCs/>
          <w:color w:val="000000"/>
          <w:sz w:val="32"/>
          <w:szCs w:val="32"/>
        </w:rPr>
        <w:t>2</w:t>
      </w:r>
      <w:r>
        <w:rPr>
          <w:rFonts w:ascii="仿宋" w:eastAsia="仿宋" w:hint="eastAsia"/>
          <w:bCs/>
          <w:color w:val="000000"/>
          <w:sz w:val="32"/>
          <w:szCs w:val="32"/>
        </w:rPr>
        <w:t>年一般公共预算数为</w:t>
      </w:r>
      <w:r>
        <w:rPr>
          <w:rFonts w:ascii="仿宋" w:eastAsia="仿宋"/>
          <w:bCs/>
          <w:color w:val="000000"/>
          <w:sz w:val="32"/>
          <w:szCs w:val="32"/>
        </w:rPr>
        <w:t>875.20</w:t>
      </w:r>
      <w:r>
        <w:rPr>
          <w:rFonts w:ascii="仿宋" w:eastAsia="仿宋" w:hint="eastAsia"/>
          <w:bCs/>
          <w:color w:val="000000"/>
          <w:sz w:val="32"/>
          <w:szCs w:val="32"/>
        </w:rPr>
        <w:t>万元，支出决算数为</w:t>
      </w:r>
      <w:r>
        <w:rPr>
          <w:rFonts w:ascii="仿宋" w:eastAsia="仿宋"/>
          <w:bCs/>
          <w:color w:val="000000"/>
          <w:sz w:val="32"/>
          <w:szCs w:val="32"/>
        </w:rPr>
        <w:t>918.75</w:t>
      </w:r>
      <w:r>
        <w:rPr>
          <w:rFonts w:ascii="仿宋" w:eastAsia="仿宋" w:hint="eastAsia"/>
          <w:bCs/>
          <w:color w:val="000000"/>
          <w:sz w:val="32"/>
          <w:szCs w:val="32"/>
        </w:rPr>
        <w:t>万元</w:t>
      </w:r>
      <w:bookmarkEnd w:id="84"/>
      <w:bookmarkEnd w:id="85"/>
      <w:bookmarkEnd w:id="86"/>
      <w:bookmarkEnd w:id="90"/>
      <w:r>
        <w:rPr>
          <w:rFonts w:ascii="仿宋" w:eastAsia="仿宋" w:hint="eastAsia"/>
          <w:bCs/>
          <w:color w:val="000000"/>
          <w:sz w:val="32"/>
          <w:szCs w:val="32"/>
        </w:rPr>
        <w:t>。</w:t>
      </w:r>
      <w:bookmarkEnd w:id="91"/>
      <w:bookmarkEnd w:id="92"/>
      <w:bookmarkEnd w:id="93"/>
    </w:p>
    <w:p>
      <w:pPr>
        <w:spacing w:line="600" w:lineRule="exact"/>
        <w:rPr>
          <w:rStyle w:val="24"/>
          <w:rFonts w:ascii="仿宋_GB2312" w:eastAsia="仿宋_GB2312"/>
          <w:b w:val="0"/>
          <w:sz w:val="32"/>
          <w:szCs w:val="32"/>
        </w:rPr>
      </w:pPr>
      <w:r>
        <w:rPr>
          <w:rStyle w:val="24"/>
          <w:rFonts w:ascii="仿宋_GB2312" w:eastAsia="仿宋_GB2312" w:hint="eastAsia"/>
          <w:sz w:val="32"/>
          <w:szCs w:val="32"/>
        </w:rPr>
        <w:t>1．文化旅游体育与传媒：</w:t>
      </w:r>
    </w:p>
    <w:p>
      <w:pPr>
        <w:spacing w:line="600" w:lineRule="exact"/>
        <w:ind w:firstLineChars="200" w:firstLine="640"/>
        <w:rPr>
          <w:rStyle w:val="24"/>
          <w:rFonts w:ascii="仿宋_GB2312" w:eastAsia="仿宋_GB2312"/>
          <w:b w:val="0"/>
          <w:sz w:val="32"/>
          <w:szCs w:val="32"/>
        </w:rPr>
      </w:pPr>
      <w:r>
        <w:rPr>
          <w:rStyle w:val="24"/>
          <w:rFonts w:ascii="仿宋_GB2312" w:eastAsia="仿宋_GB2312" w:hint="eastAsia"/>
          <w:b w:val="0"/>
          <w:sz w:val="32"/>
          <w:szCs w:val="32"/>
        </w:rPr>
        <w:t>文化旅游体育与传媒支出207（类）广播电视08（款）广播电视事务08（项）：202</w:t>
      </w:r>
      <w:r>
        <w:rPr>
          <w:rStyle w:val="24"/>
          <w:rFonts w:ascii="仿宋_GB2312" w:eastAsia="仿宋_GB2312"/>
          <w:b w:val="0"/>
          <w:sz w:val="32"/>
          <w:szCs w:val="32"/>
        </w:rPr>
        <w:t>2</w:t>
      </w:r>
      <w:r>
        <w:rPr>
          <w:rStyle w:val="24"/>
          <w:rFonts w:ascii="仿宋_GB2312" w:eastAsia="仿宋_GB2312" w:hint="eastAsia"/>
          <w:b w:val="0"/>
          <w:sz w:val="32"/>
          <w:szCs w:val="32"/>
        </w:rPr>
        <w:t>年决算数为</w:t>
      </w:r>
      <w:r>
        <w:rPr>
          <w:rStyle w:val="24"/>
          <w:rFonts w:ascii="仿宋_GB2312" w:eastAsia="仿宋_GB2312"/>
          <w:b w:val="0"/>
          <w:sz w:val="32"/>
          <w:szCs w:val="32"/>
        </w:rPr>
        <w:t>343.27</w:t>
      </w:r>
      <w:r>
        <w:rPr>
          <w:rStyle w:val="24"/>
          <w:rFonts w:ascii="仿宋_GB2312" w:eastAsia="仿宋_GB2312" w:hint="eastAsia"/>
          <w:b w:val="0"/>
          <w:sz w:val="32"/>
          <w:szCs w:val="32"/>
        </w:rPr>
        <w:t>万元。</w:t>
      </w:r>
    </w:p>
    <w:p>
      <w:pPr>
        <w:spacing w:line="600" w:lineRule="exact"/>
        <w:ind w:firstLineChars="200" w:firstLine="640"/>
        <w:rPr>
          <w:rStyle w:val="24"/>
          <w:rFonts w:ascii="仿宋_GB2312" w:eastAsia="仿宋_GB2312"/>
          <w:b w:val="0"/>
          <w:sz w:val="32"/>
          <w:szCs w:val="32"/>
        </w:rPr>
      </w:pPr>
      <w:r>
        <w:rPr>
          <w:rStyle w:val="24"/>
          <w:rFonts w:ascii="仿宋_GB2312" w:eastAsia="仿宋_GB2312" w:hint="eastAsia"/>
          <w:b w:val="0"/>
          <w:sz w:val="32"/>
          <w:szCs w:val="32"/>
        </w:rPr>
        <w:t>文化旅游体育与传媒支出207（类）广播电视08（款）其他广播电视支出99（项）：202</w:t>
      </w:r>
      <w:r>
        <w:rPr>
          <w:rStyle w:val="24"/>
          <w:rFonts w:ascii="仿宋_GB2312" w:eastAsia="仿宋_GB2312"/>
          <w:b w:val="0"/>
          <w:sz w:val="32"/>
          <w:szCs w:val="32"/>
        </w:rPr>
        <w:t>2</w:t>
      </w:r>
      <w:r>
        <w:rPr>
          <w:rStyle w:val="24"/>
          <w:rFonts w:ascii="仿宋_GB2312" w:eastAsia="仿宋_GB2312" w:hint="eastAsia"/>
          <w:b w:val="0"/>
          <w:sz w:val="32"/>
          <w:szCs w:val="32"/>
        </w:rPr>
        <w:t>年决算数为</w:t>
      </w:r>
      <w:r>
        <w:rPr>
          <w:rStyle w:val="24"/>
          <w:rFonts w:ascii="仿宋_GB2312" w:eastAsia="仿宋_GB2312"/>
          <w:b w:val="0"/>
          <w:sz w:val="32"/>
          <w:szCs w:val="32"/>
        </w:rPr>
        <w:t>160.34</w:t>
      </w:r>
      <w:r>
        <w:rPr>
          <w:rStyle w:val="24"/>
          <w:rFonts w:ascii="仿宋_GB2312" w:eastAsia="仿宋_GB2312" w:hint="eastAsia"/>
          <w:b w:val="0"/>
          <w:sz w:val="32"/>
          <w:szCs w:val="32"/>
        </w:rPr>
        <w:t>万元。</w:t>
      </w:r>
    </w:p>
    <w:p>
      <w:pPr>
        <w:spacing w:line="600" w:lineRule="exact"/>
        <w:rPr>
          <w:rStyle w:val="24"/>
          <w:rFonts w:ascii="仿宋_GB2312" w:eastAsia="仿宋_GB2312"/>
          <w:sz w:val="32"/>
          <w:szCs w:val="32"/>
        </w:rPr>
      </w:pPr>
      <w:r>
        <w:rPr>
          <w:rStyle w:val="24"/>
          <w:rFonts w:ascii="仿宋_GB2312" w:eastAsia="仿宋_GB2312" w:hint="eastAsia"/>
          <w:sz w:val="32"/>
          <w:szCs w:val="32"/>
        </w:rPr>
        <w:t>2.</w:t>
      </w:r>
      <w:r>
        <w:rPr>
          <w:rFonts w:ascii="仿宋_GB2312" w:eastAsia="仿宋_GB2312" w:hint="eastAsia"/>
          <w:b/>
          <w:bCs/>
          <w:sz w:val="32"/>
          <w:szCs w:val="32"/>
        </w:rPr>
        <w:t xml:space="preserve"> 其他文化旅游体育与传媒</w:t>
      </w:r>
      <w:r>
        <w:rPr>
          <w:rStyle w:val="24"/>
          <w:rFonts w:ascii="仿宋_GB2312" w:eastAsia="仿宋_GB2312" w:hint="eastAsia"/>
          <w:sz w:val="32"/>
          <w:szCs w:val="32"/>
        </w:rPr>
        <w:t>:</w:t>
      </w:r>
    </w:p>
    <w:p>
      <w:pPr>
        <w:pStyle w:val="15"/>
        <w:rPr>
          <w:rFonts w:ascii="仿宋_GB2312" w:eastAsia="仿宋_GB2312"/>
          <w:color w:val="000000"/>
          <w:sz w:val="32"/>
          <w:szCs w:val="32"/>
        </w:rPr>
      </w:pPr>
      <w:r>
        <w:rPr>
          <w:rFonts w:ascii="仿宋_GB2312" w:eastAsia="仿宋_GB2312" w:hint="eastAsia"/>
          <w:color w:val="000000"/>
          <w:sz w:val="32"/>
          <w:szCs w:val="32"/>
        </w:rPr>
        <w:t>其他文化旅游体育与传媒支出207（类）广播电视99（款）</w:t>
      </w:r>
    </w:p>
    <w:p>
      <w:pPr>
        <w:pStyle w:val="15"/>
        <w:ind w:leftChars="0" w:left="0" w:firstLineChars="0" w:firstLine="0"/>
        <w:rPr>
          <w:rFonts w:eastAsia="仿宋_GB2312"/>
        </w:rPr>
      </w:pPr>
      <w:r>
        <w:rPr>
          <w:rFonts w:ascii="仿宋_GB2312" w:eastAsia="仿宋_GB2312" w:hint="eastAsia"/>
          <w:color w:val="000000"/>
          <w:sz w:val="32"/>
          <w:szCs w:val="32"/>
        </w:rPr>
        <w:t>其他文化旅游体育与传媒支出99（项）：202</w:t>
      </w:r>
      <w:r>
        <w:rPr>
          <w:rFonts w:ascii="仿宋_GB2312" w:eastAsia="仿宋_GB2312"/>
          <w:color w:val="000000"/>
          <w:sz w:val="32"/>
          <w:szCs w:val="32"/>
        </w:rPr>
        <w:t>2</w:t>
      </w:r>
      <w:r>
        <w:rPr>
          <w:rFonts w:ascii="仿宋_GB2312" w:eastAsia="仿宋_GB2312" w:hint="eastAsia"/>
          <w:color w:val="000000"/>
          <w:sz w:val="32"/>
          <w:szCs w:val="32"/>
        </w:rPr>
        <w:t>年决算数为</w:t>
      </w:r>
      <w:r>
        <w:rPr>
          <w:rFonts w:ascii="仿宋_GB2312" w:eastAsia="仿宋_GB2312"/>
          <w:color w:val="000000"/>
          <w:sz w:val="32"/>
          <w:szCs w:val="32"/>
        </w:rPr>
        <w:t>267.36</w:t>
      </w:r>
      <w:r>
        <w:rPr>
          <w:rFonts w:ascii="仿宋_GB2312" w:eastAsia="仿宋_GB2312" w:hint="eastAsia"/>
          <w:color w:val="000000"/>
          <w:sz w:val="32"/>
          <w:szCs w:val="32"/>
        </w:rPr>
        <w:t>万元。</w:t>
      </w:r>
    </w:p>
    <w:p>
      <w:pPr>
        <w:spacing w:line="600" w:lineRule="exact"/>
        <w:rPr>
          <w:rFonts w:ascii="仿宋_GB2312" w:eastAsia="仿宋_GB2312"/>
          <w:color w:val="000000"/>
          <w:sz w:val="32"/>
          <w:szCs w:val="32"/>
        </w:rPr>
      </w:pPr>
      <w:r>
        <w:rPr>
          <w:rFonts w:ascii="仿宋_GB2312" w:eastAsia="仿宋_GB2312" w:hint="eastAsia"/>
          <w:b/>
          <w:bCs/>
          <w:color w:val="000000"/>
          <w:sz w:val="32"/>
          <w:szCs w:val="32"/>
        </w:rPr>
        <w:t xml:space="preserve"> 3.社会保障和就业支出</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社会保障和就业支出208（类）行政事业单位离退休05（款）机关事业单位基本养老保险缴费05（项）</w:t>
      </w:r>
      <w:r>
        <w:rPr>
          <w:rFonts w:ascii="仿宋_GB2312" w:eastAsia="仿宋_GB2312" w:hint="eastAsia"/>
          <w:sz w:val="32"/>
          <w:szCs w:val="32"/>
        </w:rPr>
        <w:t>：202</w:t>
      </w:r>
      <w:r>
        <w:rPr>
          <w:rFonts w:ascii="仿宋_GB2312" w:eastAsia="仿宋_GB2312"/>
          <w:sz w:val="32"/>
          <w:szCs w:val="32"/>
        </w:rPr>
        <w:t>2</w:t>
      </w:r>
      <w:r>
        <w:rPr>
          <w:rFonts w:ascii="仿宋_GB2312" w:eastAsia="仿宋_GB2312" w:hint="eastAsia"/>
          <w:sz w:val="32"/>
          <w:szCs w:val="32"/>
        </w:rPr>
        <w:t>年决算数为</w:t>
      </w:r>
      <w:r>
        <w:rPr>
          <w:rFonts w:ascii="仿宋_GB2312" w:eastAsia="仿宋_GB2312"/>
          <w:sz w:val="32"/>
          <w:szCs w:val="32"/>
        </w:rPr>
        <w:t>36.06</w:t>
      </w:r>
      <w:r>
        <w:rPr>
          <w:rFonts w:ascii="仿宋_GB2312" w:eastAsia="仿宋_GB2312" w:hint="eastAsia"/>
          <w:sz w:val="32"/>
          <w:szCs w:val="32"/>
        </w:rPr>
        <w:t>万元。</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社会保障和就业支出208（类）行政事业单位离退休05（款）机关事业单位职业年金缴费06（项）</w:t>
      </w:r>
      <w:r>
        <w:rPr>
          <w:rFonts w:ascii="仿宋_GB2312" w:eastAsia="仿宋_GB2312" w:hint="eastAsia"/>
          <w:sz w:val="32"/>
          <w:szCs w:val="32"/>
        </w:rPr>
        <w:t>：20</w:t>
      </w:r>
      <w:r>
        <w:rPr>
          <w:rFonts w:ascii="仿宋_GB2312" w:eastAsia="仿宋_GB2312"/>
          <w:sz w:val="32"/>
          <w:szCs w:val="32"/>
        </w:rPr>
        <w:t>22</w:t>
      </w:r>
      <w:r>
        <w:rPr>
          <w:rFonts w:ascii="仿宋_GB2312" w:eastAsia="仿宋_GB2312" w:hint="eastAsia"/>
          <w:sz w:val="32"/>
          <w:szCs w:val="32"/>
        </w:rPr>
        <w:t>年决算数为</w:t>
      </w:r>
      <w:r>
        <w:rPr>
          <w:rFonts w:ascii="仿宋_GB2312" w:eastAsia="仿宋_GB2312"/>
          <w:sz w:val="32"/>
          <w:szCs w:val="32"/>
        </w:rPr>
        <w:t>18.03</w:t>
      </w:r>
      <w:r>
        <w:rPr>
          <w:rFonts w:ascii="仿宋_GB2312" w:eastAsia="仿宋_GB2312" w:hint="eastAsia"/>
          <w:sz w:val="32"/>
          <w:szCs w:val="32"/>
        </w:rPr>
        <w:t>万元。</w:t>
      </w:r>
    </w:p>
    <w:p>
      <w:pPr>
        <w:spacing w:line="600" w:lineRule="exact"/>
        <w:rPr>
          <w:rStyle w:val="24"/>
          <w:rFonts w:ascii="仿宋_GB2312" w:eastAsia="仿宋_GB2312"/>
          <w:b w:val="0"/>
          <w:sz w:val="32"/>
          <w:szCs w:val="32"/>
        </w:rPr>
      </w:pPr>
      <w:r>
        <w:rPr>
          <w:rStyle w:val="24"/>
          <w:rFonts w:ascii="仿宋_GB2312" w:eastAsia="仿宋_GB2312" w:hint="eastAsia"/>
          <w:sz w:val="32"/>
          <w:szCs w:val="32"/>
        </w:rPr>
        <w:t>4.医疗卫生与计划生育:</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医疗卫生与计划生育支出210（类）行政事业单位医疗11（款）事业单位医疗02（项）：</w:t>
      </w:r>
      <w:r>
        <w:rPr>
          <w:rFonts w:ascii="仿宋_GB2312" w:eastAsia="仿宋_GB2312" w:hint="eastAsia"/>
          <w:sz w:val="32"/>
          <w:szCs w:val="32"/>
        </w:rPr>
        <w:t xml:space="preserve"> 202</w:t>
      </w:r>
      <w:r>
        <w:rPr>
          <w:rFonts w:ascii="仿宋_GB2312" w:eastAsia="仿宋_GB2312"/>
          <w:sz w:val="32"/>
          <w:szCs w:val="32"/>
        </w:rPr>
        <w:t>2</w:t>
      </w:r>
      <w:r>
        <w:rPr>
          <w:rFonts w:ascii="仿宋_GB2312" w:eastAsia="仿宋_GB2312" w:hint="eastAsia"/>
          <w:sz w:val="32"/>
          <w:szCs w:val="32"/>
        </w:rPr>
        <w:t>年决算数为</w:t>
      </w:r>
      <w:r>
        <w:rPr>
          <w:rFonts w:ascii="仿宋_GB2312" w:eastAsia="仿宋_GB2312"/>
          <w:sz w:val="32"/>
          <w:szCs w:val="32"/>
        </w:rPr>
        <w:t>15.61</w:t>
      </w:r>
      <w:r>
        <w:rPr>
          <w:rFonts w:ascii="仿宋_GB2312" w:eastAsia="仿宋_GB2312" w:hint="eastAsia"/>
          <w:sz w:val="32"/>
          <w:szCs w:val="32"/>
        </w:rPr>
        <w:t>万元。</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医疗卫生与计划生育支出210（类）行政事业单位医疗11（款）其他行政事业单位医疗支出99（项）：</w:t>
      </w:r>
      <w:r>
        <w:rPr>
          <w:rFonts w:ascii="仿宋_GB2312" w:eastAsia="仿宋_GB2312" w:hint="eastAsia"/>
          <w:sz w:val="32"/>
          <w:szCs w:val="32"/>
        </w:rPr>
        <w:t xml:space="preserve"> 202</w:t>
      </w:r>
      <w:r>
        <w:rPr>
          <w:rFonts w:ascii="仿宋_GB2312" w:eastAsia="仿宋_GB2312"/>
          <w:sz w:val="32"/>
          <w:szCs w:val="32"/>
        </w:rPr>
        <w:t>2</w:t>
      </w:r>
      <w:r>
        <w:rPr>
          <w:rFonts w:ascii="仿宋_GB2312" w:eastAsia="仿宋_GB2312" w:hint="eastAsia"/>
          <w:sz w:val="32"/>
          <w:szCs w:val="32"/>
        </w:rPr>
        <w:t>年决算数为</w:t>
      </w:r>
      <w:r>
        <w:rPr>
          <w:rFonts w:ascii="仿宋_GB2312" w:eastAsia="仿宋_GB2312"/>
          <w:sz w:val="32"/>
          <w:szCs w:val="32"/>
        </w:rPr>
        <w:t>4.63</w:t>
      </w:r>
      <w:r>
        <w:rPr>
          <w:rFonts w:ascii="仿宋_GB2312" w:eastAsia="仿宋_GB2312" w:hint="eastAsia"/>
          <w:sz w:val="32"/>
          <w:szCs w:val="32"/>
        </w:rPr>
        <w:t>万元。</w:t>
      </w:r>
    </w:p>
    <w:p>
      <w:pPr>
        <w:spacing w:line="600" w:lineRule="exact"/>
        <w:rPr>
          <w:rStyle w:val="24"/>
          <w:rFonts w:ascii="仿宋_GB2312" w:eastAsia="仿宋_GB2312"/>
          <w:sz w:val="32"/>
          <w:szCs w:val="32"/>
        </w:rPr>
      </w:pPr>
      <w:r>
        <w:rPr>
          <w:rStyle w:val="24"/>
          <w:rFonts w:ascii="仿宋_GB2312" w:eastAsia="仿宋_GB2312" w:hint="eastAsia"/>
          <w:sz w:val="32"/>
          <w:szCs w:val="32"/>
        </w:rPr>
        <w:t>5.住房保障支出:</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住房保障支出221（类）住房改革支出02（款）住房公积金01（项）</w:t>
      </w:r>
      <w:r>
        <w:rPr>
          <w:rFonts w:ascii="仿宋_GB2312" w:eastAsia="仿宋_GB2312" w:hint="eastAsia"/>
          <w:sz w:val="32"/>
          <w:szCs w:val="32"/>
        </w:rPr>
        <w:t>： 202</w:t>
      </w:r>
      <w:r>
        <w:rPr>
          <w:rFonts w:ascii="仿宋_GB2312" w:eastAsia="仿宋_GB2312"/>
          <w:sz w:val="32"/>
          <w:szCs w:val="32"/>
        </w:rPr>
        <w:t>2</w:t>
      </w:r>
      <w:r>
        <w:rPr>
          <w:rFonts w:ascii="仿宋_GB2312" w:eastAsia="仿宋_GB2312" w:hint="eastAsia"/>
          <w:sz w:val="32"/>
          <w:szCs w:val="32"/>
        </w:rPr>
        <w:t>年决算数为</w:t>
      </w:r>
      <w:r>
        <w:rPr>
          <w:rFonts w:ascii="仿宋_GB2312" w:eastAsia="仿宋_GB2312"/>
          <w:sz w:val="32"/>
          <w:szCs w:val="32"/>
        </w:rPr>
        <w:t>29.89</w:t>
      </w:r>
      <w:r>
        <w:rPr>
          <w:rFonts w:ascii="仿宋_GB2312" w:eastAsia="仿宋_GB2312" w:hint="eastAsia"/>
          <w:sz w:val="32"/>
          <w:szCs w:val="32"/>
        </w:rPr>
        <w:t>万元。</w:t>
      </w:r>
    </w:p>
    <w:p>
      <w:pPr>
        <w:spacing w:line="600" w:lineRule="exact"/>
        <w:rPr>
          <w:rFonts w:ascii="黑体" w:eastAsia="黑体"/>
          <w:color w:val="000000"/>
          <w:sz w:val="32"/>
          <w:szCs w:val="32"/>
        </w:rPr>
      </w:pPr>
      <w:bookmarkStart w:id="94" w:name="_Toc15377214"/>
    </w:p>
    <w:p>
      <w:pPr>
        <w:pStyle w:val="2"/>
        <w:rPr>
          <w:rStyle w:val="2Char"/>
        </w:rPr>
      </w:pPr>
      <w:bookmarkStart w:id="95" w:name="_Toc144199327"/>
      <w:r>
        <w:rPr>
          <w:rFonts w:hint="eastAsia"/>
          <w:color w:val="000000"/>
        </w:rPr>
        <w:t>六、一</w:t>
      </w:r>
      <w:r>
        <w:rPr>
          <w:rStyle w:val="2Char"/>
          <w:rFonts w:ascii="黑体" w:eastAsia="黑体" w:hint="eastAsia"/>
          <w:b/>
        </w:rPr>
        <w:t>般公共预算财政拨款基本支出决算情况说明</w:t>
      </w:r>
      <w:bookmarkEnd w:id="94"/>
      <w:bookmarkEnd w:id="95"/>
      <w:r>
        <w:rPr>
          <w:rStyle w:val="2Char"/>
          <w:rFonts w:ascii="黑体" w:eastAsia="黑体"/>
          <w:b/>
        </w:rPr>
        <w:tab/>
      </w:r>
    </w:p>
    <w:p>
      <w:pPr>
        <w:spacing w:line="600" w:lineRule="exact"/>
        <w:ind w:firstLine="645"/>
        <w:rPr>
          <w:rFonts w:ascii="仿宋_GB2312" w:eastAsia="仿宋_GB2312"/>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color w:val="000000"/>
          <w:sz w:val="32"/>
          <w:szCs w:val="32"/>
        </w:rPr>
        <w:t>2</w:t>
      </w:r>
      <w:r>
        <w:rPr>
          <w:rFonts w:ascii="仿宋" w:eastAsia="仿宋" w:hint="eastAsia"/>
          <w:color w:val="000000"/>
          <w:sz w:val="32"/>
          <w:szCs w:val="32"/>
        </w:rPr>
        <w:t>年一般公共预算财政拨款基本支出</w:t>
      </w:r>
      <w:r>
        <w:rPr>
          <w:rFonts w:ascii="仿宋_GB2312" w:eastAsia="仿宋_GB2312"/>
          <w:color w:val="000000"/>
          <w:sz w:val="32"/>
          <w:szCs w:val="32"/>
        </w:rPr>
        <w:t>447.49</w:t>
      </w:r>
      <w:r>
        <w:rPr>
          <w:rFonts w:ascii="仿宋_GB2312" w:eastAsia="仿宋_GB2312" w:hint="eastAsia"/>
          <w:color w:val="000000"/>
          <w:sz w:val="32"/>
          <w:szCs w:val="32"/>
        </w:rPr>
        <w:t>万元，其中：人员经费</w:t>
      </w:r>
      <w:r>
        <w:rPr>
          <w:rFonts w:ascii="仿宋_GB2312" w:eastAsia="仿宋_GB2312"/>
          <w:color w:val="000000"/>
          <w:sz w:val="32"/>
          <w:szCs w:val="32"/>
        </w:rPr>
        <w:t>447.49</w:t>
      </w:r>
      <w:r>
        <w:rPr>
          <w:rFonts w:ascii="仿宋_GB2312" w:eastAsia="仿宋_GB2312" w:hint="eastAsia"/>
          <w:color w:val="000000"/>
          <w:sz w:val="32"/>
          <w:szCs w:val="32"/>
        </w:rPr>
        <w:t>万元，主要包括：基本工资</w:t>
      </w:r>
      <w:r>
        <w:rPr>
          <w:rFonts w:ascii="仿宋_GB2312" w:eastAsia="仿宋_GB2312"/>
          <w:color w:val="000000"/>
          <w:sz w:val="32"/>
          <w:szCs w:val="32"/>
        </w:rPr>
        <w:t>83.67</w:t>
      </w:r>
      <w:r>
        <w:rPr>
          <w:rFonts w:ascii="仿宋_GB2312" w:eastAsia="仿宋_GB2312" w:hint="eastAsia"/>
          <w:color w:val="000000"/>
          <w:sz w:val="32"/>
          <w:szCs w:val="32"/>
        </w:rPr>
        <w:t>万元、津贴补贴</w:t>
      </w:r>
      <w:r>
        <w:rPr>
          <w:rFonts w:ascii="仿宋_GB2312" w:eastAsia="仿宋_GB2312"/>
          <w:color w:val="000000"/>
          <w:sz w:val="32"/>
          <w:szCs w:val="32"/>
        </w:rPr>
        <w:t>38.611</w:t>
      </w:r>
      <w:r>
        <w:rPr>
          <w:rFonts w:ascii="仿宋_GB2312" w:eastAsia="仿宋_GB2312" w:hint="eastAsia"/>
          <w:color w:val="000000"/>
          <w:sz w:val="32"/>
          <w:szCs w:val="32"/>
        </w:rPr>
        <w:t>万元、奖金</w:t>
      </w:r>
      <w:r>
        <w:rPr>
          <w:rFonts w:ascii="仿宋_GB2312" w:eastAsia="仿宋_GB2312"/>
          <w:color w:val="000000"/>
          <w:sz w:val="32"/>
          <w:szCs w:val="32"/>
        </w:rPr>
        <w:t>88.28</w:t>
      </w:r>
      <w:r>
        <w:rPr>
          <w:rFonts w:ascii="仿宋_GB2312" w:eastAsia="仿宋_GB2312" w:hint="eastAsia"/>
          <w:color w:val="000000"/>
          <w:sz w:val="32"/>
          <w:szCs w:val="32"/>
        </w:rPr>
        <w:t>万元、绩效工资</w:t>
      </w:r>
      <w:r>
        <w:rPr>
          <w:rFonts w:ascii="仿宋_GB2312" w:eastAsia="仿宋_GB2312"/>
          <w:color w:val="000000"/>
          <w:sz w:val="32"/>
          <w:szCs w:val="32"/>
        </w:rPr>
        <w:t>76.90</w:t>
      </w:r>
      <w:r>
        <w:rPr>
          <w:rFonts w:ascii="仿宋_GB2312" w:eastAsia="仿宋_GB2312" w:hint="eastAsia"/>
          <w:color w:val="000000"/>
          <w:sz w:val="32"/>
          <w:szCs w:val="32"/>
        </w:rPr>
        <w:t>万元、机关事业单位基本养老保险缴费</w:t>
      </w:r>
      <w:r>
        <w:rPr>
          <w:rFonts w:ascii="仿宋_GB2312" w:eastAsia="仿宋_GB2312"/>
          <w:color w:val="000000"/>
          <w:sz w:val="32"/>
          <w:szCs w:val="32"/>
        </w:rPr>
        <w:t>36.06</w:t>
      </w:r>
      <w:r>
        <w:rPr>
          <w:rFonts w:ascii="仿宋_GB2312" w:eastAsia="仿宋_GB2312" w:hint="eastAsia"/>
          <w:color w:val="000000"/>
          <w:sz w:val="32"/>
          <w:szCs w:val="32"/>
        </w:rPr>
        <w:t>万元、职业年金缴费</w:t>
      </w:r>
      <w:r>
        <w:rPr>
          <w:rFonts w:ascii="仿宋_GB2312" w:eastAsia="仿宋_GB2312"/>
          <w:color w:val="000000"/>
          <w:sz w:val="32"/>
          <w:szCs w:val="32"/>
        </w:rPr>
        <w:t>18.03</w:t>
      </w:r>
      <w:r>
        <w:rPr>
          <w:rFonts w:ascii="仿宋_GB2312" w:eastAsia="仿宋_GB2312" w:hint="eastAsia"/>
          <w:color w:val="000000"/>
          <w:sz w:val="32"/>
          <w:szCs w:val="32"/>
        </w:rPr>
        <w:t>万元、职工基本医疗保险缴费</w:t>
      </w:r>
      <w:r>
        <w:rPr>
          <w:rFonts w:ascii="仿宋_GB2312" w:eastAsia="仿宋_GB2312"/>
          <w:color w:val="000000"/>
          <w:sz w:val="32"/>
          <w:szCs w:val="32"/>
        </w:rPr>
        <w:t>15.60</w:t>
      </w:r>
      <w:r>
        <w:rPr>
          <w:rFonts w:ascii="仿宋_GB2312" w:eastAsia="仿宋_GB2312" w:hint="eastAsia"/>
          <w:color w:val="000000"/>
          <w:sz w:val="32"/>
          <w:szCs w:val="32"/>
        </w:rPr>
        <w:t>万元、公务员医疗补助缴费4.6</w:t>
      </w:r>
      <w:r>
        <w:rPr>
          <w:rFonts w:ascii="仿宋_GB2312" w:eastAsia="仿宋_GB2312"/>
          <w:color w:val="000000"/>
          <w:sz w:val="32"/>
          <w:szCs w:val="32"/>
        </w:rPr>
        <w:t>3</w:t>
      </w:r>
      <w:r>
        <w:rPr>
          <w:rFonts w:ascii="仿宋_GB2312" w:eastAsia="仿宋_GB2312" w:hint="eastAsia"/>
          <w:color w:val="000000"/>
          <w:sz w:val="32"/>
          <w:szCs w:val="32"/>
        </w:rPr>
        <w:t>万元、其他社会保障缴费</w:t>
      </w:r>
      <w:r>
        <w:rPr>
          <w:rFonts w:ascii="仿宋_GB2312" w:eastAsia="仿宋_GB2312"/>
          <w:color w:val="000000"/>
          <w:sz w:val="32"/>
          <w:szCs w:val="32"/>
        </w:rPr>
        <w:t>2</w:t>
      </w:r>
      <w:r>
        <w:rPr>
          <w:rFonts w:ascii="仿宋_GB2312" w:eastAsia="仿宋_GB2312" w:hint="eastAsia"/>
          <w:color w:val="000000"/>
          <w:sz w:val="32"/>
          <w:szCs w:val="32"/>
        </w:rPr>
        <w:t>万元、住房公积金</w:t>
      </w:r>
      <w:r>
        <w:rPr>
          <w:rFonts w:ascii="仿宋_GB2312" w:eastAsia="仿宋_GB2312"/>
          <w:color w:val="000000"/>
          <w:sz w:val="32"/>
          <w:szCs w:val="32"/>
        </w:rPr>
        <w:t>29.89</w:t>
      </w:r>
      <w:r>
        <w:rPr>
          <w:rFonts w:ascii="仿宋_GB2312" w:eastAsia="仿宋_GB2312" w:hint="eastAsia"/>
          <w:color w:val="000000"/>
          <w:sz w:val="32"/>
          <w:szCs w:val="32"/>
        </w:rPr>
        <w:t>万元、奖励金</w:t>
      </w:r>
      <w:r>
        <w:rPr>
          <w:rFonts w:ascii="仿宋_GB2312" w:eastAsia="仿宋_GB2312"/>
          <w:color w:val="000000"/>
          <w:sz w:val="32"/>
          <w:szCs w:val="32"/>
        </w:rPr>
        <w:t>53.80</w:t>
      </w:r>
      <w:r>
        <w:rPr>
          <w:rFonts w:ascii="仿宋_GB2312" w:eastAsia="仿宋_GB2312" w:hint="eastAsia"/>
          <w:color w:val="000000"/>
          <w:sz w:val="32"/>
          <w:szCs w:val="32"/>
        </w:rPr>
        <w:t>万元。</w:t>
      </w:r>
    </w:p>
    <w:p>
      <w:pPr>
        <w:pStyle w:val="2"/>
        <w:rPr>
          <w:rStyle w:val="2Char"/>
          <w:rFonts w:ascii="黑体" w:eastAsia="黑体"/>
          <w:b/>
        </w:rPr>
      </w:pPr>
      <w:bookmarkStart w:id="96" w:name="_Toc23670"/>
      <w:bookmarkStart w:id="97" w:name="_Toc15377215"/>
      <w:bookmarkStart w:id="98" w:name="_Toc144198919"/>
      <w:bookmarkStart w:id="99" w:name="_Toc144199328"/>
      <w:r>
        <w:rPr>
          <w:rFonts w:hint="eastAsia"/>
          <w:color w:val="000000"/>
        </w:rPr>
        <w:t>七、</w:t>
      </w:r>
      <w:r>
        <w:rPr>
          <w:rStyle w:val="2Char"/>
          <w:rFonts w:ascii="黑体" w:eastAsia="黑体" w:hint="eastAsia"/>
        </w:rPr>
        <w:t>“</w:t>
      </w:r>
      <w:r>
        <w:rPr>
          <w:rStyle w:val="2Char"/>
          <w:rFonts w:ascii="黑体" w:eastAsia="黑体" w:hint="eastAsia"/>
          <w:b/>
        </w:rPr>
        <w:t>三公”经费财政拨款支出决算情况说明</w:t>
      </w:r>
      <w:bookmarkEnd w:id="96"/>
      <w:bookmarkEnd w:id="97"/>
      <w:bookmarkEnd w:id="98"/>
      <w:bookmarkEnd w:id="99"/>
    </w:p>
    <w:p>
      <w:pPr>
        <w:spacing w:line="600" w:lineRule="exact"/>
        <w:ind w:firstLine="640"/>
        <w:outlineLvl w:val="2"/>
        <w:rPr>
          <w:rFonts w:ascii="仿宋" w:eastAsia="仿宋"/>
          <w:b/>
          <w:color w:val="000000"/>
          <w:sz w:val="32"/>
          <w:szCs w:val="32"/>
        </w:rPr>
      </w:pPr>
      <w:bookmarkStart w:id="100" w:name="_Toc15377216"/>
      <w:bookmarkStart w:id="101" w:name="_Toc144198920"/>
      <w:bookmarkStart w:id="102" w:name="_Toc144199329"/>
      <w:r>
        <w:rPr>
          <w:rFonts w:ascii="仿宋" w:eastAsia="仿宋" w:hint="eastAsia"/>
          <w:b/>
          <w:color w:val="000000"/>
          <w:sz w:val="32"/>
          <w:szCs w:val="32"/>
        </w:rPr>
        <w:t>（一）“三公”经费财政拨款支出决算总体情况说明</w:t>
      </w:r>
      <w:bookmarkEnd w:id="100"/>
      <w:bookmarkEnd w:id="101"/>
      <w:bookmarkEnd w:id="102"/>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21年“三公”经费财政拨款支出决算为0万元，完成预算0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103" w:name="_Toc15377217"/>
      <w:bookmarkStart w:id="104" w:name="_Toc144198921"/>
      <w:bookmarkStart w:id="105" w:name="_Toc144199330"/>
      <w:r>
        <w:rPr>
          <w:rFonts w:ascii="仿宋" w:eastAsia="仿宋" w:hint="eastAsia"/>
          <w:b/>
          <w:color w:val="000000"/>
          <w:sz w:val="32"/>
          <w:szCs w:val="32"/>
        </w:rPr>
        <w:t>（二）“三公”经费财政拨款支出决算具体情况说明</w:t>
      </w:r>
      <w:bookmarkEnd w:id="103"/>
      <w:bookmarkEnd w:id="104"/>
      <w:bookmarkEnd w:id="10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w:t>
      </w:r>
      <w:r>
        <w:rPr>
          <w:rFonts w:ascii="仿宋" w:eastAsia="仿宋" w:hint="eastAsia"/>
          <w:sz w:val="32"/>
          <w:szCs w:val="32"/>
        </w:rPr>
        <w:t>决算0万元。</w:t>
      </w:r>
    </w:p>
    <w:p>
      <w:pPr>
        <w:spacing w:line="600" w:lineRule="exact"/>
        <w:ind w:firstLine="640"/>
        <w:rPr>
          <w:rFonts w:ascii="仿宋_GB2312" w:eastAsia="仿宋_GB2312"/>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4"/>
          <w:rFonts w:ascii="仿宋" w:eastAsia="仿宋" w:hint="eastAsia"/>
          <w:b w:val="0"/>
          <w:bCs/>
          <w:color w:val="000000"/>
          <w:sz w:val="32"/>
          <w:szCs w:val="32"/>
        </w:rPr>
        <w:t>完成预算0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300" w:firstLine="960"/>
        <w:rPr>
          <w:rFonts w:ascii="仿宋_GB2312" w:eastAsia="仿宋_GB2312"/>
          <w:color w:val="000000"/>
          <w:sz w:val="32"/>
          <w:szCs w:val="32"/>
        </w:rPr>
      </w:pPr>
      <w:r>
        <w:rPr>
          <w:rFonts w:ascii="仿宋_GB2312" w:eastAsia="仿宋_GB2312" w:hint="eastAsia"/>
          <w:b/>
          <w:color w:val="000000"/>
          <w:sz w:val="32"/>
          <w:szCs w:val="32"/>
        </w:rPr>
        <w:t>公务用车运行维护费支出0</w:t>
      </w:r>
      <w:r>
        <w:rPr>
          <w:rFonts w:ascii="仿宋_GB2312" w:eastAsia="仿宋_GB2312" w:hint="eastAsia"/>
          <w:sz w:val="32"/>
          <w:szCs w:val="32"/>
        </w:rPr>
        <w:t>万元。</w:t>
      </w:r>
      <w:r>
        <w:rPr>
          <w:rFonts w:ascii="仿宋_GB2312" w:eastAsia="仿宋_GB2312" w:hint="eastAsia"/>
          <w:color w:val="000000"/>
          <w:sz w:val="32"/>
          <w:szCs w:val="32"/>
        </w:rPr>
        <w:t>主要用于所需的公务用车燃料费、维修费、过路过桥费、保险费等支出。</w:t>
      </w:r>
    </w:p>
    <w:p>
      <w:pPr>
        <w:numPr>
          <w:ilvl w:val="0"/>
          <w:numId w:val="2"/>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4"/>
          <w:rFonts w:ascii="仿宋" w:eastAsia="仿宋" w:hint="eastAsia"/>
          <w:b w:val="0"/>
          <w:bCs/>
          <w:color w:val="000000"/>
          <w:sz w:val="32"/>
          <w:szCs w:val="32"/>
        </w:rPr>
        <w:t>完成预算0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公务接待费0万元，较上年减少0万元。</w:t>
      </w:r>
    </w:p>
    <w:p>
      <w:pPr>
        <w:spacing w:line="600" w:lineRule="exact"/>
        <w:ind w:firstLineChars="404" w:firstLine="1293"/>
        <w:outlineLvl w:val="1"/>
        <w:rPr>
          <w:rFonts w:ascii="仿宋_GB2312" w:eastAsia="仿宋_GB2312"/>
          <w:color w:val="000000"/>
          <w:sz w:val="32"/>
          <w:szCs w:val="32"/>
        </w:rPr>
      </w:pPr>
      <w:bookmarkStart w:id="106" w:name="_Toc19116"/>
      <w:bookmarkStart w:id="107" w:name="_Toc23828"/>
      <w:bookmarkStart w:id="108" w:name="_Toc124325314"/>
      <w:bookmarkStart w:id="109" w:name="_Toc144198779"/>
      <w:bookmarkStart w:id="110" w:name="_Toc144198922"/>
      <w:bookmarkStart w:id="111" w:name="_Toc144199331"/>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112" w:name="_Toc15377218"/>
      <w:bookmarkEnd w:id="106"/>
      <w:bookmarkEnd w:id="107"/>
      <w:bookmarkEnd w:id="108"/>
      <w:bookmarkEnd w:id="109"/>
      <w:bookmarkEnd w:id="110"/>
      <w:bookmarkEnd w:id="111"/>
    </w:p>
    <w:p>
      <w:pPr>
        <w:pStyle w:val="2"/>
        <w:rPr>
          <w:rStyle w:val="2Char"/>
          <w:rFonts w:ascii="黑体" w:eastAsia="黑体"/>
        </w:rPr>
      </w:pPr>
      <w:bookmarkStart w:id="113" w:name="_Toc15476"/>
      <w:bookmarkStart w:id="114" w:name="_Toc144198923"/>
      <w:bookmarkStart w:id="115" w:name="_Toc144199332"/>
      <w:r>
        <w:rPr>
          <w:rFonts w:hint="eastAsia"/>
          <w:color w:val="000000"/>
        </w:rPr>
        <w:t>八、</w:t>
      </w:r>
      <w:r>
        <w:rPr>
          <w:rStyle w:val="2Char"/>
          <w:rFonts w:ascii="黑体" w:eastAsia="黑体" w:hint="eastAsia"/>
          <w:b/>
        </w:rPr>
        <w:t>政府性基金预算支出决算情况说明</w:t>
      </w:r>
      <w:bookmarkEnd w:id="112"/>
      <w:bookmarkEnd w:id="113"/>
      <w:bookmarkEnd w:id="114"/>
      <w:bookmarkEnd w:id="115"/>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年政府性基金预算拨款支出0万元。</w:t>
      </w:r>
    </w:p>
    <w:p>
      <w:pPr>
        <w:pStyle w:val="2"/>
        <w:rPr>
          <w:rStyle w:val="2Char"/>
          <w:rFonts w:ascii="黑体" w:eastAsia="黑体"/>
          <w:b/>
        </w:rPr>
      </w:pPr>
      <w:bookmarkStart w:id="116" w:name="_Toc15377219"/>
      <w:bookmarkStart w:id="117" w:name="_Toc9617"/>
      <w:bookmarkStart w:id="118" w:name="_Toc144198924"/>
      <w:bookmarkStart w:id="119" w:name="_Toc144199333"/>
      <w:r>
        <w:rPr>
          <w:rFonts w:hint="eastAsia"/>
        </w:rPr>
        <w:t>九、</w:t>
      </w:r>
      <w:r>
        <w:rPr>
          <w:rStyle w:val="2Char"/>
          <w:rFonts w:ascii="黑体" w:eastAsia="黑体" w:hint="eastAsia"/>
          <w:b/>
        </w:rPr>
        <w:t>国有资本经营预算支出决算情况说明</w:t>
      </w:r>
      <w:bookmarkEnd w:id="116"/>
      <w:bookmarkEnd w:id="117"/>
      <w:bookmarkEnd w:id="118"/>
      <w:bookmarkEnd w:id="119"/>
    </w:p>
    <w:p>
      <w:pPr>
        <w:spacing w:line="600" w:lineRule="exact"/>
        <w:outlineLvl w:val="1"/>
        <w:rPr>
          <w:rFonts w:ascii="黑体" w:eastAsia="黑体"/>
          <w:bCs/>
          <w:sz w:val="32"/>
          <w:szCs w:val="32"/>
        </w:rPr>
      </w:pPr>
      <w:bookmarkStart w:id="120" w:name="_Toc144199334"/>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年国有资本经营预算拨款支出0万元。</w:t>
      </w:r>
      <w:bookmarkEnd w:id="120"/>
    </w:p>
    <w:p>
      <w:pPr>
        <w:pStyle w:val="2"/>
        <w:rPr>
          <w:rFonts w:ascii="仿宋" w:eastAsia="仿宋" w:cs="楷体_GB2312"/>
        </w:rPr>
      </w:pPr>
      <w:bookmarkStart w:id="121" w:name="_Toc5068"/>
      <w:bookmarkStart w:id="122" w:name="_Toc144198925"/>
      <w:bookmarkStart w:id="123" w:name="_Toc144199335"/>
      <w:r>
        <w:rPr>
          <w:rStyle w:val="2Char"/>
          <w:rFonts w:ascii="黑体" w:eastAsia="黑体" w:hint="eastAsia"/>
          <w:b/>
        </w:rPr>
        <w:t>十、预算绩效情况说明</w:t>
      </w:r>
      <w:bookmarkEnd w:id="121"/>
      <w:bookmarkEnd w:id="122"/>
      <w:bookmarkEnd w:id="123"/>
    </w:p>
    <w:p>
      <w:pPr>
        <w:numPr>
          <w:ilvl w:val="0"/>
          <w:numId w:val="3"/>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spacing w:line="600" w:lineRule="atLeast"/>
        <w:ind w:firstLineChars="200" w:firstLine="640"/>
      </w:pPr>
      <w:r>
        <w:rPr>
          <w:rFonts w:ascii="仿宋_GB2312" w:eastAsia="仿宋_GB2312" w:hint="eastAsia"/>
          <w:color w:val="000000"/>
          <w:sz w:val="32"/>
          <w:szCs w:val="32"/>
        </w:rPr>
        <w:t>按照预算绩效管理要求，本部门对202</w:t>
      </w:r>
      <w:r>
        <w:rPr>
          <w:rFonts w:ascii="仿宋_GB2312" w:eastAsia="仿宋_GB2312"/>
          <w:color w:val="000000"/>
          <w:sz w:val="32"/>
          <w:szCs w:val="32"/>
        </w:rPr>
        <w:t>2</w:t>
      </w:r>
      <w:r>
        <w:rPr>
          <w:rFonts w:ascii="仿宋_GB2312" w:eastAsia="仿宋_GB2312" w:hint="eastAsia"/>
          <w:color w:val="000000"/>
          <w:sz w:val="32"/>
          <w:szCs w:val="32"/>
        </w:rPr>
        <w:t>年一般公共预算项目支出开展了绩效目标管理，共编制绩效目标0个，涉及财政资金0万元，覆盖率达到100%。</w:t>
      </w:r>
      <w:r>
        <w:rPr>
          <w:rFonts w:ascii="仿宋_GB2312" w:eastAsia="仿宋_GB2312" w:cs="仿宋_GB2312" w:hint="eastAsia"/>
          <w:sz w:val="32"/>
          <w:szCs w:val="32"/>
        </w:rPr>
        <w:t xml:space="preserve">                                                                                                                                                                     </w:t>
      </w:r>
    </w:p>
    <w:p>
      <w:pPr>
        <w:numPr>
          <w:ilvl w:val="0"/>
          <w:numId w:val="3"/>
        </w:numPr>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rPr>
        <w:t>部门开展绩效评价结果。</w:t>
      </w:r>
    </w:p>
    <w:p>
      <w:pPr>
        <w:spacing w:line="600" w:lineRule="atLeast"/>
        <w:ind w:firstLineChars="200" w:firstLine="640"/>
        <w:rPr>
          <w:rFonts w:ascii="仿宋_GB2312" w:eastAsia="仿宋_GB2312"/>
          <w:b/>
          <w:color w:val="000000"/>
          <w:sz w:val="32"/>
          <w:szCs w:val="32"/>
        </w:rPr>
      </w:pPr>
      <w:bookmarkStart w:id="124" w:name="_Toc15377221"/>
      <w:r>
        <w:rPr>
          <w:rFonts w:ascii="仿宋_GB2312" w:eastAsia="仿宋_GB2312" w:hint="eastAsia"/>
          <w:color w:val="000000"/>
          <w:sz w:val="32"/>
          <w:szCs w:val="32"/>
        </w:rPr>
        <w:t>按照预算绩效管理要求，本部门对202</w:t>
      </w:r>
      <w:r>
        <w:rPr>
          <w:rFonts w:ascii="仿宋_GB2312" w:eastAsia="仿宋_GB2312"/>
          <w:color w:val="000000"/>
          <w:sz w:val="32"/>
          <w:szCs w:val="32"/>
        </w:rPr>
        <w:t>2</w:t>
      </w:r>
      <w:r>
        <w:rPr>
          <w:rFonts w:ascii="仿宋_GB2312" w:eastAsia="仿宋_GB2312" w:hint="eastAsia"/>
          <w:color w:val="000000"/>
          <w:sz w:val="32"/>
          <w:szCs w:val="32"/>
        </w:rPr>
        <w:t>年整体支出开展绩效自评，自评得分95分，存在的问题：</w:t>
      </w:r>
      <w:r>
        <w:rPr>
          <w:rFonts w:ascii="仿宋_GB2312" w:eastAsia="仿宋_GB2312" w:cs="仿宋_GB2312" w:hint="eastAsia"/>
          <w:sz w:val="32"/>
          <w:szCs w:val="32"/>
        </w:rPr>
        <w:t>部门预算、决算上报效率有待提高。下一步改进措施：一是加快完善部门财务规章制度建设；二是加强会计核算和财务管理能力，提升工作效率。</w:t>
      </w:r>
    </w:p>
    <w:p>
      <w:pPr>
        <w:pStyle w:val="2"/>
        <w:rPr>
          <w:rStyle w:val="2Char"/>
          <w:rFonts w:ascii="黑体" w:eastAsia="黑体"/>
        </w:rPr>
      </w:pPr>
      <w:bookmarkStart w:id="125" w:name="_Toc23956"/>
      <w:bookmarkStart w:id="126" w:name="_Toc144198926"/>
      <w:bookmarkStart w:id="127" w:name="_Toc144199336"/>
      <w:r>
        <w:rPr>
          <w:rFonts w:hint="eastAsia"/>
          <w:color w:val="000000"/>
        </w:rPr>
        <w:t>十</w:t>
      </w:r>
      <w:r>
        <w:rPr>
          <w:rStyle w:val="2Char"/>
          <w:rFonts w:ascii="黑体" w:eastAsia="黑体" w:hint="eastAsia"/>
        </w:rPr>
        <w:t>一、</w:t>
      </w:r>
      <w:r>
        <w:rPr>
          <w:rStyle w:val="2Char"/>
          <w:rFonts w:ascii="黑体" w:eastAsia="黑体" w:hint="eastAsia"/>
          <w:b/>
        </w:rPr>
        <w:t>其他重要事项的情况说明</w:t>
      </w:r>
      <w:bookmarkEnd w:id="124"/>
      <w:bookmarkEnd w:id="125"/>
      <w:bookmarkEnd w:id="126"/>
      <w:bookmarkEnd w:id="127"/>
    </w:p>
    <w:p>
      <w:pPr>
        <w:spacing w:line="600" w:lineRule="exact"/>
        <w:ind w:firstLineChars="200" w:firstLine="640"/>
        <w:outlineLvl w:val="2"/>
        <w:rPr>
          <w:rFonts w:ascii="仿宋" w:eastAsia="仿宋"/>
          <w:color w:val="000000"/>
          <w:sz w:val="32"/>
          <w:szCs w:val="32"/>
        </w:rPr>
      </w:pPr>
      <w:bookmarkStart w:id="128" w:name="_Toc15377222"/>
      <w:bookmarkStart w:id="129" w:name="_Toc144198927"/>
      <w:bookmarkStart w:id="130" w:name="_Toc144199337"/>
      <w:r>
        <w:rPr>
          <w:rFonts w:ascii="仿宋" w:eastAsia="仿宋" w:hint="eastAsia"/>
          <w:b/>
          <w:color w:val="000000"/>
          <w:sz w:val="32"/>
          <w:szCs w:val="32"/>
        </w:rPr>
        <w:t>（一）机关运行经费支出情况</w:t>
      </w:r>
      <w:bookmarkEnd w:id="128"/>
      <w:bookmarkEnd w:id="129"/>
      <w:bookmarkEnd w:id="130"/>
    </w:p>
    <w:p>
      <w:pPr>
        <w:autoSpaceDE w:val="0"/>
        <w:autoSpaceDN w:val="0"/>
        <w:adjustRightInd w:val="0"/>
        <w:spacing w:line="600" w:lineRule="exact"/>
        <w:ind w:firstLineChars="200" w:firstLine="640"/>
        <w:jc w:val="left"/>
        <w:outlineLvl w:val="2"/>
        <w:rPr>
          <w:rFonts w:ascii="仿宋_GB2312" w:eastAsia="仿宋_GB2312"/>
          <w:color w:val="000000"/>
          <w:sz w:val="32"/>
          <w:szCs w:val="32"/>
        </w:rPr>
      </w:pPr>
      <w:bookmarkStart w:id="131" w:name="_Toc20784"/>
      <w:bookmarkStart w:id="132" w:name="_Toc16112"/>
      <w:bookmarkStart w:id="133" w:name="_Toc15377223"/>
      <w:bookmarkStart w:id="134" w:name="_Toc144198785"/>
      <w:bookmarkStart w:id="135" w:name="_Toc144198928"/>
      <w:bookmarkStart w:id="136" w:name="_Toc144199338"/>
      <w:r>
        <w:rPr>
          <w:rFonts w:ascii="仿宋_GB2312" w:eastAsia="仿宋_GB2312" w:hint="eastAsia"/>
          <w:color w:val="000000"/>
          <w:sz w:val="32"/>
          <w:szCs w:val="32"/>
        </w:rPr>
        <w:t>我单位无机关运行经费。</w:t>
      </w:r>
      <w:bookmarkEnd w:id="131"/>
      <w:bookmarkEnd w:id="132"/>
      <w:bookmarkEnd w:id="134"/>
      <w:bookmarkEnd w:id="135"/>
      <w:bookmarkEnd w:id="136"/>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37" w:name="_Toc144198929"/>
      <w:bookmarkStart w:id="138" w:name="_Toc144199339"/>
      <w:r>
        <w:rPr>
          <w:rFonts w:ascii="仿宋" w:eastAsia="仿宋" w:hint="eastAsia"/>
          <w:b/>
          <w:color w:val="000000"/>
          <w:sz w:val="32"/>
          <w:szCs w:val="32"/>
        </w:rPr>
        <w:t>（二）政府采购支出情况</w:t>
      </w:r>
      <w:bookmarkEnd w:id="133"/>
      <w:bookmarkEnd w:id="137"/>
      <w:bookmarkEnd w:id="138"/>
    </w:p>
    <w:p>
      <w:pPr>
        <w:autoSpaceDE w:val="0"/>
        <w:autoSpaceDN w:val="0"/>
        <w:adjustRightInd w:val="0"/>
        <w:spacing w:line="600" w:lineRule="exact"/>
        <w:ind w:firstLineChars="200" w:firstLine="640"/>
        <w:jc w:val="left"/>
        <w:outlineLvl w:val="2"/>
        <w:rPr>
          <w:rFonts w:ascii="仿宋_GB2312" w:eastAsia="仿宋_GB2312"/>
          <w:color w:val="000000"/>
          <w:sz w:val="32"/>
          <w:szCs w:val="32"/>
        </w:rPr>
      </w:pPr>
      <w:bookmarkStart w:id="139" w:name="_Toc27555"/>
      <w:bookmarkStart w:id="140" w:name="_Toc21708"/>
      <w:bookmarkStart w:id="141" w:name="_Toc144198787"/>
      <w:bookmarkStart w:id="142" w:name="_Toc144198930"/>
      <w:bookmarkStart w:id="143" w:name="_Toc144199340"/>
      <w:r>
        <w:rPr>
          <w:rFonts w:ascii="仿宋_GB2312" w:eastAsia="仿宋_GB2312" w:hint="eastAsia"/>
          <w:color w:val="000000"/>
          <w:sz w:val="32"/>
          <w:szCs w:val="32"/>
        </w:rPr>
        <w:t>我单位政府采购支出</w:t>
      </w:r>
      <w:bookmarkEnd w:id="139"/>
      <w:r>
        <w:rPr>
          <w:rFonts w:ascii="仿宋_GB2312" w:eastAsia="仿宋_GB2312"/>
          <w:color w:val="000000"/>
          <w:sz w:val="32"/>
          <w:szCs w:val="32"/>
        </w:rPr>
        <w:t>267.36</w:t>
      </w:r>
      <w:r>
        <w:rPr>
          <w:rFonts w:ascii="仿宋_GB2312" w:eastAsia="仿宋_GB2312" w:hint="eastAsia"/>
          <w:color w:val="000000"/>
          <w:sz w:val="32"/>
          <w:szCs w:val="32"/>
        </w:rPr>
        <w:t>万元。</w:t>
      </w:r>
      <w:bookmarkEnd w:id="140"/>
      <w:bookmarkEnd w:id="141"/>
      <w:bookmarkEnd w:id="142"/>
      <w:bookmarkEnd w:id="143"/>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44" w:name="_Toc15377224"/>
      <w:bookmarkStart w:id="145" w:name="_Toc144198931"/>
      <w:bookmarkStart w:id="146" w:name="_Toc144199341"/>
      <w:r>
        <w:rPr>
          <w:rFonts w:ascii="仿宋" w:eastAsia="仿宋" w:hint="eastAsia"/>
          <w:b/>
          <w:color w:val="000000"/>
          <w:sz w:val="32"/>
          <w:szCs w:val="32"/>
        </w:rPr>
        <w:t>（三）国有资产占有使用情况</w:t>
      </w:r>
      <w:bookmarkEnd w:id="144"/>
      <w:bookmarkEnd w:id="145"/>
      <w:bookmarkEnd w:id="146"/>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color w:val="000000"/>
          <w:sz w:val="32"/>
          <w:szCs w:val="32"/>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2</w:t>
      </w:r>
      <w:r>
        <w:rPr>
          <w:rFonts w:ascii="仿宋_GB2312" w:eastAsia="仿宋_GB2312" w:hint="eastAsia"/>
          <w:color w:val="000000"/>
          <w:sz w:val="32"/>
          <w:szCs w:val="32"/>
        </w:rPr>
        <w:t>辆，为日常工作及应急保障用车。</w:t>
      </w:r>
      <w:r>
        <w:rPr>
          <w:rFonts w:ascii="仿宋_GB2312" w:eastAsia="仿宋_GB2312" w:hint="eastAsia"/>
          <w:b/>
          <w:color w:val="000000"/>
          <w:sz w:val="32"/>
          <w:szCs w:val="32"/>
        </w:rPr>
        <w:t xml:space="preserve">    </w:t>
      </w:r>
    </w:p>
    <w:p>
      <w:pPr>
        <w:numPr>
          <w:ilvl w:val="0"/>
          <w:numId w:val="4"/>
        </w:numPr>
        <w:spacing w:line="600" w:lineRule="exact"/>
        <w:ind w:left="0" w:firstLineChars="150" w:firstLine="660"/>
        <w:jc w:val="center"/>
        <w:outlineLvl w:val="0"/>
        <w:rPr>
          <w:rStyle w:val="1Char"/>
          <w:rFonts w:ascii="黑体" w:eastAsia="黑体"/>
          <w:b w:val="0"/>
        </w:rPr>
      </w:pPr>
      <w:bookmarkStart w:id="147" w:name="_Toc20290"/>
      <w:bookmarkStart w:id="148" w:name="_Toc15377225"/>
      <w:bookmarkStart w:id="149" w:name="_Toc144199342"/>
      <w:r>
        <w:rPr>
          <w:rFonts w:ascii="黑体" w:eastAsia="黑体" w:hint="eastAsia"/>
          <w:b/>
          <w:color w:val="000000"/>
          <w:sz w:val="44"/>
          <w:szCs w:val="44"/>
        </w:rPr>
        <w:t>名</w:t>
      </w:r>
      <w:r>
        <w:rPr>
          <w:rStyle w:val="1Char"/>
          <w:rFonts w:ascii="黑体" w:eastAsia="黑体" w:hint="eastAsia"/>
          <w:b w:val="0"/>
        </w:rPr>
        <w:t>词解释</w:t>
      </w:r>
      <w:bookmarkEnd w:id="147"/>
      <w:bookmarkEnd w:id="148"/>
      <w:bookmarkEnd w:id="149"/>
    </w:p>
    <w:p>
      <w:pPr>
        <w:pStyle w:val="29"/>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spacing w:line="600" w:lineRule="exact"/>
        <w:ind w:firstLineChars="200" w:firstLine="640"/>
        <w:rPr>
          <w:rStyle w:val="24"/>
          <w:rFonts w:ascii="仿宋_GB2312" w:eastAsia="仿宋_GB2312"/>
          <w:b w:val="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Style w:val="24"/>
          <w:rFonts w:ascii="仿宋_GB2312" w:eastAsia="仿宋_GB2312" w:hint="eastAsia"/>
          <w:b w:val="0"/>
          <w:sz w:val="32"/>
          <w:szCs w:val="32"/>
        </w:rPr>
        <w:t>文化旅游体育与传媒：反映广播电台、广播发射台、广播转播台及有线广播站的支出。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其他文化旅游体育与传媒支出：其他用于广播电视方面的支出。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ascii="黑体" w:eastAsia="黑体"/>
          <w:color w:val="000000"/>
          <w:sz w:val="44"/>
          <w:szCs w:val="44"/>
        </w:rPr>
      </w:pPr>
      <w:bookmarkStart w:id="150" w:name="_Toc15377226"/>
    </w:p>
    <w:p>
      <w:pPr>
        <w:tabs>
          <w:tab w:val="left" w:pos="0"/>
        </w:tabs>
        <w:spacing w:line="600" w:lineRule="exact"/>
        <w:jc w:val="center"/>
        <w:outlineLvl w:val="0"/>
        <w:rPr>
          <w:rFonts w:ascii="黑体" w:eastAsia="黑体"/>
          <w:bCs/>
          <w:kern w:val="44"/>
          <w:sz w:val="44"/>
          <w:szCs w:val="44"/>
        </w:rPr>
      </w:pPr>
      <w:bookmarkStart w:id="151" w:name="_Toc144199343"/>
      <w:r>
        <w:rPr>
          <w:rStyle w:val="1Char"/>
          <w:rFonts w:ascii="黑体" w:eastAsia="黑体" w:hint="eastAsia"/>
          <w:b w:val="0"/>
          <w:highlight w:val="lightGray"/>
        </w:rPr>
        <w:t>第四部分</w:t>
      </w:r>
      <w:r>
        <w:rPr>
          <w:rStyle w:val="1Char"/>
          <w:rFonts w:ascii="黑体" w:eastAsia="黑体" w:hint="eastAsia"/>
          <w:b w:val="0"/>
        </w:rPr>
        <w:t xml:space="preserve"> </w:t>
      </w:r>
      <w:r>
        <w:rPr>
          <w:rStyle w:val="1Char"/>
          <w:rFonts w:ascii="黑体" w:eastAsia="黑体"/>
          <w:b w:val="0"/>
        </w:rPr>
        <w:t xml:space="preserve"> </w:t>
      </w:r>
      <w:r>
        <w:rPr>
          <w:rFonts w:ascii="方正小标宋_GBK" w:eastAsia="方正小标宋_GBK" w:cs="方正小标宋_GBK" w:hint="eastAsia"/>
          <w:sz w:val="44"/>
          <w:szCs w:val="44"/>
        </w:rPr>
        <w:t>部门整体支出绩效评价报告</w:t>
      </w:r>
      <w:bookmarkEnd w:id="151"/>
    </w:p>
    <w:p>
      <w:pPr>
        <w:pStyle w:val="23"/>
        <w:shd w:val="clear" w:color="auto" w:fill="FFFFFF"/>
        <w:spacing w:before="255" w:beforeAutospacing="0" w:after="255" w:afterAutospacing="0" w:line="580" w:lineRule="exact"/>
        <w:ind w:firstLine="640"/>
        <w:rPr>
          <w:rFonts w:ascii="仿宋" w:eastAsia="仿宋"/>
          <w:color w:val="000000"/>
          <w:sz w:val="32"/>
          <w:szCs w:val="32"/>
        </w:rPr>
      </w:pPr>
      <w:r>
        <w:rPr>
          <w:rFonts w:hint="eastAsia"/>
          <w:kern w:val="2"/>
          <w:sz w:val="28"/>
          <w:szCs w:val="28"/>
        </w:rPr>
        <w:t xml:space="preserve"> </w:t>
      </w:r>
      <w:r>
        <w:rPr>
          <w:rFonts w:ascii="仿宋" w:eastAsia="仿宋" w:hint="eastAsia"/>
          <w:kern w:val="2"/>
          <w:sz w:val="32"/>
          <w:szCs w:val="32"/>
        </w:rPr>
        <w:t>根据金川县财政局关于开展2023年部门、政策和项目支出绩效评价工作的通知金财监绩〔2023〕32号，根据年度绩效评价工作安排，金川县融媒体中心2022年部门整体支出绩效进行了全面综合评价。经全面综合评价，我中心整体支出绩效自评情况报告如下：</w:t>
      </w:r>
    </w:p>
    <w:p>
      <w:pPr>
        <w:pStyle w:val="35"/>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left="0" w:firstLine="640"/>
        <w:rPr>
          <w:rFonts w:ascii="仿宋" w:eastAsia="仿宋" w:cs="宋体"/>
          <w:color w:val="000000"/>
          <w:sz w:val="32"/>
          <w:szCs w:val="32"/>
        </w:rPr>
      </w:pPr>
      <w:r>
        <w:rPr>
          <w:rFonts w:ascii="仿宋" w:eastAsia="仿宋" w:cs="宋体"/>
          <w:color w:val="000000"/>
          <w:sz w:val="32"/>
          <w:szCs w:val="32"/>
        </w:rPr>
        <w:t>部门（单位）概况</w:t>
      </w:r>
    </w:p>
    <w:p>
      <w:pPr>
        <w:pStyle w:val="35"/>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left="0" w:firstLine="640"/>
        <w:rPr>
          <w:rFonts w:ascii="仿宋" w:eastAsia="仿宋" w:cs="宋体"/>
          <w:color w:val="000000"/>
          <w:sz w:val="32"/>
          <w:szCs w:val="32"/>
        </w:rPr>
      </w:pPr>
      <w:r>
        <w:rPr>
          <w:rFonts w:ascii="仿宋" w:eastAsia="仿宋" w:cs="宋体"/>
          <w:color w:val="000000"/>
          <w:sz w:val="32"/>
          <w:szCs w:val="32"/>
        </w:rPr>
        <w:t>机构组成。</w:t>
      </w:r>
    </w:p>
    <w:p>
      <w:pPr>
        <w:spacing w:line="580" w:lineRule="exact"/>
        <w:ind w:firstLineChars="200" w:firstLine="640"/>
        <w:rPr>
          <w:rFonts w:ascii="仿宋" w:eastAsia="仿宋" w:cs="宋体"/>
          <w:sz w:val="32"/>
          <w:szCs w:val="32"/>
        </w:rPr>
      </w:pPr>
      <w:r>
        <w:rPr>
          <w:rFonts w:ascii="仿宋" w:eastAsia="仿宋" w:cs="宋体" w:hint="eastAsia"/>
          <w:sz w:val="32"/>
          <w:szCs w:val="32"/>
        </w:rPr>
        <w:t>金川县融媒体中心机构性质是事业公益一类单位，设统一核算机构1个，独立编制机构1个.</w:t>
      </w:r>
    </w:p>
    <w:p>
      <w:pPr>
        <w:pStyle w:val="35"/>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left="0" w:firstLine="640"/>
        <w:rPr>
          <w:rFonts w:ascii="仿宋" w:eastAsia="仿宋" w:cs="宋体"/>
          <w:color w:val="000000"/>
          <w:sz w:val="32"/>
          <w:szCs w:val="32"/>
        </w:rPr>
      </w:pPr>
      <w:r>
        <w:rPr>
          <w:rFonts w:ascii="仿宋" w:eastAsia="仿宋" w:cs="宋体"/>
          <w:color w:val="000000"/>
          <w:sz w:val="32"/>
          <w:szCs w:val="32"/>
        </w:rPr>
        <w:t>机构职能。</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color w:val="000000"/>
          <w:sz w:val="32"/>
          <w:szCs w:val="32"/>
        </w:rPr>
      </w:pPr>
      <w:r>
        <w:rPr>
          <w:rFonts w:ascii="仿宋" w:eastAsia="仿宋" w:cs="宋体"/>
          <w:color w:val="000000"/>
          <w:sz w:val="32"/>
          <w:szCs w:val="32"/>
        </w:rPr>
        <w:t>1.贯彻落实党的新闻宣传方针政策,宣传党的理论、路线和各项方针政策,把握新闻宣传基调,坚持正面宣传,围绕县委、县人民政府中心工作,为全县经济社会发展提供新闻舆论支持;</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Chars="200" w:firstLine="640"/>
        <w:rPr>
          <w:rFonts w:ascii="仿宋" w:eastAsia="仿宋" w:cs="宋体"/>
          <w:color w:val="000000"/>
          <w:sz w:val="32"/>
          <w:szCs w:val="32"/>
        </w:rPr>
      </w:pPr>
      <w:r>
        <w:rPr>
          <w:rFonts w:ascii="仿宋" w:eastAsia="仿宋" w:cs="宋体"/>
          <w:color w:val="000000"/>
          <w:sz w:val="32"/>
          <w:szCs w:val="32"/>
        </w:rPr>
        <w:t>2.负责采编工作;</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Chars="200" w:firstLine="640"/>
        <w:rPr>
          <w:rFonts w:ascii="仿宋" w:eastAsia="仿宋" w:cs="宋体"/>
          <w:color w:val="000000"/>
          <w:sz w:val="32"/>
          <w:szCs w:val="32"/>
        </w:rPr>
      </w:pPr>
      <w:r>
        <w:rPr>
          <w:rFonts w:ascii="仿宋" w:eastAsia="仿宋" w:cs="宋体"/>
          <w:color w:val="000000"/>
          <w:sz w:val="32"/>
          <w:szCs w:val="32"/>
        </w:rPr>
        <w:t>3.严格执行广播电视行业法规,负责完整传输中央、省、市电视节目;负责电视节目的策划、采制、审查、包装以及播出编排和管理工作;负责电视节目的采、编、播工作;负责创作或制作电视宣传产品用于对外宣传交流工作;</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color w:val="000000"/>
          <w:sz w:val="32"/>
          <w:szCs w:val="32"/>
        </w:rPr>
      </w:pP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Chars="200" w:firstLine="640"/>
        <w:rPr>
          <w:rFonts w:ascii="仿宋" w:eastAsia="仿宋" w:cs="宋体"/>
          <w:color w:val="000000"/>
          <w:sz w:val="32"/>
          <w:szCs w:val="32"/>
        </w:rPr>
      </w:pPr>
      <w:r>
        <w:rPr>
          <w:rFonts w:ascii="仿宋" w:eastAsia="仿宋" w:cs="宋体"/>
          <w:color w:val="000000"/>
          <w:sz w:val="32"/>
          <w:szCs w:val="32"/>
        </w:rPr>
        <w:t>4.整合县级媒体资源,推动传统媒体和新兴媒体融合发展,建设融媒体矩阵;负责运营县级融媒体中心新媒体平台;</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Chars="200" w:firstLine="640"/>
        <w:rPr>
          <w:rFonts w:ascii="仿宋" w:eastAsia="仿宋" w:cs="宋体"/>
          <w:color w:val="000000"/>
          <w:sz w:val="32"/>
          <w:szCs w:val="32"/>
        </w:rPr>
      </w:pPr>
      <w:r>
        <w:rPr>
          <w:rFonts w:ascii="仿宋" w:eastAsia="仿宋" w:cs="宋体"/>
          <w:color w:val="000000"/>
          <w:sz w:val="32"/>
          <w:szCs w:val="32"/>
        </w:rPr>
        <w:t>5.负责与省级、市级媒体业务合作;</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Chars="200" w:firstLine="640"/>
        <w:rPr>
          <w:rFonts w:ascii="仿宋" w:eastAsia="仿宋" w:cs="宋体"/>
          <w:color w:val="000000"/>
          <w:sz w:val="32"/>
          <w:szCs w:val="32"/>
        </w:rPr>
      </w:pPr>
      <w:r>
        <w:rPr>
          <w:rFonts w:ascii="仿宋" w:eastAsia="仿宋" w:cs="宋体"/>
          <w:color w:val="000000"/>
          <w:sz w:val="32"/>
          <w:szCs w:val="32"/>
        </w:rPr>
        <w:t>6.负责全县新闻业务培训、交流和县级媒体人才队伍建设;</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Chars="200" w:firstLine="640"/>
        <w:rPr>
          <w:rFonts w:ascii="仿宋" w:eastAsia="仿宋" w:cs="宋体"/>
          <w:color w:val="000000"/>
          <w:sz w:val="32"/>
          <w:szCs w:val="32"/>
        </w:rPr>
      </w:pPr>
      <w:r>
        <w:rPr>
          <w:rFonts w:ascii="仿宋" w:eastAsia="仿宋" w:cs="宋体"/>
          <w:color w:val="000000"/>
          <w:sz w:val="32"/>
          <w:szCs w:val="32"/>
        </w:rPr>
        <w:t>7.负责广播节目的剪辑、录制、播报工作和行政通告、公告及公益广告的刊播工作;</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Chars="200" w:firstLine="640"/>
        <w:rPr>
          <w:rFonts w:ascii="仿宋" w:eastAsia="仿宋" w:cs="宋体"/>
          <w:color w:val="000000"/>
          <w:sz w:val="32"/>
          <w:szCs w:val="32"/>
        </w:rPr>
      </w:pPr>
      <w:r>
        <w:rPr>
          <w:rFonts w:ascii="仿宋" w:eastAsia="仿宋" w:cs="宋体"/>
          <w:color w:val="000000"/>
          <w:sz w:val="32"/>
          <w:szCs w:val="32"/>
        </w:rPr>
        <w:t>8.完成县委、县人民政府和上级部门交办的宣传工作任务。</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rPr>
          <w:rFonts w:ascii="仿宋" w:eastAsia="仿宋" w:cs="宋体"/>
          <w:color w:val="000000"/>
          <w:sz w:val="32"/>
          <w:szCs w:val="32"/>
        </w:rPr>
      </w:pPr>
      <w:r>
        <w:rPr>
          <w:rFonts w:ascii="仿宋" w:eastAsia="仿宋" w:cs="宋体"/>
          <w:color w:val="000000"/>
          <w:sz w:val="32"/>
          <w:szCs w:val="32"/>
        </w:rPr>
        <w:t>（三）人员概况</w:t>
      </w:r>
    </w:p>
    <w:p>
      <w:pPr>
        <w:spacing w:line="600" w:lineRule="exact"/>
        <w:ind w:firstLineChars="200" w:firstLine="640"/>
        <w:rPr>
          <w:rFonts w:ascii="仿宋" w:eastAsia="仿宋" w:cs="宋体"/>
          <w:sz w:val="32"/>
          <w:szCs w:val="32"/>
          <w:shd w:val="clear" w:color="auto" w:fill="FFFFFF"/>
        </w:rPr>
      </w:pPr>
      <w:r>
        <w:rPr>
          <w:rFonts w:ascii="仿宋" w:eastAsia="仿宋" w:cs="宋体" w:hint="eastAsia"/>
          <w:bCs/>
          <w:sz w:val="32"/>
          <w:szCs w:val="32"/>
        </w:rPr>
        <w:t>编制数29人，其中：事业编制28人，事业工勤1人。2022年末实有在职职工26人（其中：事业管理7人，事业专技18人，事业工勤1人）.</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rPr>
          <w:rFonts w:ascii="仿宋" w:eastAsia="仿宋" w:cs="宋体"/>
          <w:color w:val="000000"/>
          <w:sz w:val="32"/>
          <w:szCs w:val="32"/>
        </w:rPr>
      </w:pPr>
      <w:r>
        <w:rPr>
          <w:rFonts w:ascii="仿宋" w:eastAsia="仿宋" w:cs="宋体"/>
          <w:color w:val="000000"/>
          <w:sz w:val="32"/>
          <w:szCs w:val="32"/>
        </w:rPr>
        <w:t>二、部门财政资金收支情况</w:t>
      </w:r>
    </w:p>
    <w:p>
      <w:pPr>
        <w:pStyle w:val="35"/>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left="0" w:firstLine="640"/>
        <w:rPr>
          <w:rFonts w:ascii="仿宋" w:eastAsia="仿宋" w:cs="宋体"/>
          <w:color w:val="000000"/>
          <w:sz w:val="32"/>
          <w:szCs w:val="32"/>
        </w:rPr>
      </w:pPr>
      <w:r>
        <w:rPr>
          <w:rFonts w:ascii="仿宋" w:eastAsia="仿宋" w:cs="宋体"/>
          <w:color w:val="000000"/>
          <w:sz w:val="32"/>
          <w:szCs w:val="32"/>
        </w:rPr>
        <w:t>部门财政资金收入情况。</w:t>
      </w:r>
    </w:p>
    <w:p>
      <w:pPr>
        <w:widowControl/>
        <w:adjustRightInd w:val="0"/>
        <w:snapToGrid w:val="0"/>
        <w:spacing w:line="600" w:lineRule="exact"/>
        <w:ind w:firstLine="720"/>
        <w:jc w:val="left"/>
        <w:rPr>
          <w:rFonts w:ascii="仿宋" w:eastAsia="仿宋" w:cs="宋体"/>
          <w:color w:val="000000"/>
          <w:kern w:val="0"/>
          <w:sz w:val="32"/>
          <w:szCs w:val="32"/>
          <w:shd w:val="clear" w:color="auto" w:fill="FFFFFF"/>
        </w:rPr>
      </w:pPr>
      <w:r>
        <w:rPr>
          <w:rFonts w:ascii="仿宋" w:eastAsia="仿宋" w:cs="宋体" w:hint="eastAsia"/>
          <w:kern w:val="0"/>
          <w:sz w:val="32"/>
          <w:szCs w:val="32"/>
          <w:shd w:val="clear" w:color="auto" w:fill="FFFFFF"/>
        </w:rPr>
        <w:t>2022年我单位一般公共预算财政拨款收总收入合计875.2万元，其中：财政拨款收入875.2万元。收入预算数总计为875.2万元，分别是文化旅游体育与传媒支出189.05万元、医疗卫生与计划生育支出18.12万元，养老、职业年金保险45.37万元。</w:t>
      </w:r>
      <w:r>
        <w:rPr>
          <w:rFonts w:ascii="仿宋" w:eastAsia="仿宋" w:cs="宋体" w:hint="eastAsia"/>
          <w:color w:val="000000"/>
          <w:sz w:val="32"/>
          <w:szCs w:val="32"/>
        </w:rPr>
        <w:t xml:space="preserve">   </w:t>
      </w:r>
    </w:p>
    <w:p>
      <w:pPr>
        <w:pStyle w:val="35"/>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left="0" w:firstLine="640"/>
        <w:rPr>
          <w:rFonts w:ascii="仿宋" w:eastAsia="仿宋" w:cs="宋体"/>
          <w:color w:val="000000"/>
          <w:sz w:val="32"/>
          <w:szCs w:val="32"/>
        </w:rPr>
      </w:pPr>
      <w:r>
        <w:rPr>
          <w:rFonts w:ascii="仿宋" w:eastAsia="仿宋" w:cs="宋体"/>
          <w:color w:val="000000"/>
          <w:sz w:val="32"/>
          <w:szCs w:val="32"/>
        </w:rPr>
        <w:t>部门财政资金支出情况。</w:t>
      </w:r>
    </w:p>
    <w:p>
      <w:pPr>
        <w:widowControl/>
        <w:adjustRightInd w:val="0"/>
        <w:snapToGrid w:val="0"/>
        <w:spacing w:line="600" w:lineRule="exact"/>
        <w:ind w:firstLine="720"/>
        <w:jc w:val="left"/>
        <w:rPr>
          <w:rFonts w:ascii="仿宋" w:eastAsia="仿宋" w:cs="宋体"/>
          <w:kern w:val="0"/>
          <w:sz w:val="32"/>
          <w:szCs w:val="32"/>
          <w:shd w:val="clear" w:color="auto" w:fill="FFFFFF"/>
        </w:rPr>
      </w:pPr>
      <w:r>
        <w:rPr>
          <w:rFonts w:ascii="仿宋" w:eastAsia="仿宋" w:cs="宋体" w:hint="eastAsia"/>
          <w:kern w:val="0"/>
          <w:sz w:val="32"/>
          <w:szCs w:val="32"/>
          <w:shd w:val="clear" w:color="auto" w:fill="FFFFFF"/>
        </w:rPr>
        <w:t>2022年我单位一般公共预算财政拨款收总收入合计875.2万元，其中：财政拨款收入875.2万元。收入预算数总计为875.2万元，分别是文化旅游体育与传媒支出189.05万元、医疗卫生与计划生育支出18.12万元，养老、职业年金保险45.37万元。</w:t>
      </w:r>
      <w:r>
        <w:rPr>
          <w:rFonts w:ascii="仿宋" w:eastAsia="仿宋" w:cs="宋体" w:hint="eastAsia"/>
          <w:color w:val="000000"/>
          <w:sz w:val="32"/>
          <w:szCs w:val="32"/>
        </w:rPr>
        <w:t xml:space="preserve">     </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color w:val="000000"/>
          <w:sz w:val="32"/>
          <w:szCs w:val="32"/>
        </w:rPr>
      </w:pPr>
      <w:r>
        <w:rPr>
          <w:rFonts w:ascii="仿宋" w:eastAsia="仿宋" w:cs="宋体"/>
          <w:color w:val="000000"/>
          <w:sz w:val="32"/>
          <w:szCs w:val="32"/>
        </w:rPr>
        <w:t>三、部门整体预算绩效管理情况</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sz w:val="32"/>
          <w:szCs w:val="32"/>
        </w:rPr>
      </w:pPr>
      <w:r>
        <w:rPr>
          <w:rFonts w:ascii="仿宋" w:eastAsia="仿宋" w:cs="宋体"/>
          <w:color w:val="000000"/>
          <w:sz w:val="32"/>
          <w:szCs w:val="32"/>
        </w:rPr>
        <w:t>（一）部门预算管理。</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rPr>
        <w:t>1.</w:t>
      </w:r>
      <w:r>
        <w:rPr>
          <w:rStyle w:val="24"/>
          <w:rFonts w:ascii="仿宋" w:eastAsia="仿宋" w:cs="宋体" w:hint="eastAsia"/>
          <w:b w:val="0"/>
          <w:color w:val="000000"/>
          <w:sz w:val="32"/>
          <w:szCs w:val="32"/>
          <w:lang w:val="zh-CN"/>
        </w:rPr>
        <w:t>绩效目标制定</w:t>
      </w:r>
    </w:p>
    <w:p>
      <w:pPr>
        <w:spacing w:line="580" w:lineRule="exact"/>
        <w:ind w:firstLineChars="200" w:firstLine="640"/>
        <w:rPr>
          <w:rStyle w:val="24"/>
          <w:rFonts w:ascii="仿宋" w:eastAsia="仿宋" w:cs="宋体"/>
          <w:b w:val="0"/>
          <w:color w:val="000000"/>
          <w:sz w:val="32"/>
          <w:szCs w:val="32"/>
        </w:rPr>
      </w:pPr>
      <w:r>
        <w:rPr>
          <w:rStyle w:val="24"/>
          <w:rFonts w:ascii="仿宋" w:eastAsia="仿宋" w:cs="宋体" w:hint="eastAsia"/>
          <w:b w:val="0"/>
          <w:color w:val="000000"/>
          <w:sz w:val="32"/>
          <w:szCs w:val="32"/>
        </w:rPr>
        <w:t>绩效目标计划作为绩效管理过程的首要环节，是整个绩效管理的基础，金川县融媒体中心按照县财政的要求及时组织财务人员进行预决的编制，把绩效目标做为对本年度所有项目资金的监督办法贯穿项目的始终。</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rPr>
        <w:t>2.</w:t>
      </w:r>
      <w:r>
        <w:rPr>
          <w:rStyle w:val="24"/>
          <w:rFonts w:ascii="仿宋" w:eastAsia="仿宋" w:cs="宋体" w:hint="eastAsia"/>
          <w:b w:val="0"/>
          <w:color w:val="000000"/>
          <w:sz w:val="32"/>
          <w:szCs w:val="32"/>
          <w:lang w:val="zh-CN"/>
        </w:rPr>
        <w:t>目标实现</w:t>
      </w:r>
    </w:p>
    <w:p>
      <w:pPr>
        <w:spacing w:line="580" w:lineRule="exact"/>
        <w:ind w:firstLineChars="200" w:firstLine="640"/>
        <w:rPr>
          <w:rStyle w:val="24"/>
          <w:rFonts w:ascii="仿宋" w:eastAsia="仿宋" w:cs="宋体"/>
          <w:b w:val="0"/>
          <w:color w:val="000000"/>
          <w:sz w:val="32"/>
          <w:szCs w:val="32"/>
        </w:rPr>
      </w:pPr>
      <w:r>
        <w:rPr>
          <w:rStyle w:val="24"/>
          <w:rFonts w:ascii="仿宋" w:eastAsia="仿宋" w:cs="宋体" w:hint="eastAsia"/>
          <w:b w:val="0"/>
          <w:color w:val="000000"/>
          <w:sz w:val="32"/>
          <w:szCs w:val="32"/>
        </w:rPr>
        <w:t>对绩效目标进行季度梳理和年度分析，及时上报相关报表；对专项预算提前细化，分科目上报，做到收支平衡；结合本部门实际工作情况。</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rPr>
        <w:t>3.</w:t>
      </w:r>
      <w:r>
        <w:rPr>
          <w:rStyle w:val="24"/>
          <w:rFonts w:ascii="仿宋" w:eastAsia="仿宋" w:cs="宋体" w:hint="eastAsia"/>
          <w:b w:val="0"/>
          <w:color w:val="000000"/>
          <w:sz w:val="32"/>
          <w:szCs w:val="32"/>
          <w:lang w:val="zh-CN"/>
        </w:rPr>
        <w:t>预算编制准确</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rPr>
        <w:t>4.</w:t>
      </w:r>
      <w:r>
        <w:rPr>
          <w:rStyle w:val="24"/>
          <w:rFonts w:ascii="仿宋" w:eastAsia="仿宋" w:cs="宋体" w:hint="eastAsia"/>
          <w:b w:val="0"/>
          <w:color w:val="000000"/>
          <w:sz w:val="32"/>
          <w:szCs w:val="32"/>
          <w:lang w:val="zh-CN"/>
        </w:rPr>
        <w:t>支出控制</w:t>
      </w:r>
    </w:p>
    <w:p>
      <w:pPr>
        <w:spacing w:line="580" w:lineRule="exact"/>
        <w:ind w:firstLineChars="200" w:firstLine="640"/>
        <w:rPr>
          <w:rStyle w:val="24"/>
          <w:rFonts w:ascii="仿宋" w:eastAsia="仿宋" w:cs="宋体"/>
          <w:b w:val="0"/>
          <w:color w:val="000000"/>
          <w:sz w:val="32"/>
          <w:szCs w:val="32"/>
        </w:rPr>
      </w:pPr>
      <w:r>
        <w:rPr>
          <w:rStyle w:val="24"/>
          <w:rFonts w:ascii="仿宋" w:eastAsia="仿宋" w:cs="宋体" w:hint="eastAsia"/>
          <w:b w:val="0"/>
          <w:color w:val="000000"/>
          <w:sz w:val="32"/>
          <w:szCs w:val="32"/>
        </w:rPr>
        <w:t>对相应用款进行及时清理和处理，做到账账相符、账实相符、账证相符,先有预算再有支出的原则，及时处理相关事务。</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rPr>
        <w:t>5.</w:t>
      </w:r>
      <w:r>
        <w:rPr>
          <w:rStyle w:val="24"/>
          <w:rFonts w:ascii="仿宋" w:eastAsia="仿宋" w:cs="宋体" w:hint="eastAsia"/>
          <w:b w:val="0"/>
          <w:color w:val="000000"/>
          <w:sz w:val="32"/>
          <w:szCs w:val="32"/>
          <w:lang w:val="zh-CN"/>
        </w:rPr>
        <w:t>预算动态调整</w:t>
      </w:r>
    </w:p>
    <w:p>
      <w:pPr>
        <w:spacing w:line="580" w:lineRule="exact"/>
        <w:ind w:firstLineChars="200" w:firstLine="640"/>
        <w:rPr>
          <w:rStyle w:val="24"/>
          <w:rFonts w:ascii="仿宋" w:eastAsia="仿宋" w:cs="宋体"/>
          <w:b w:val="0"/>
          <w:color w:val="000000"/>
          <w:sz w:val="32"/>
          <w:szCs w:val="32"/>
        </w:rPr>
      </w:pPr>
      <w:r>
        <w:rPr>
          <w:rStyle w:val="24"/>
          <w:rFonts w:ascii="仿宋" w:eastAsia="仿宋" w:cs="宋体" w:hint="eastAsia"/>
          <w:b w:val="0"/>
          <w:color w:val="000000"/>
          <w:sz w:val="32"/>
          <w:szCs w:val="32"/>
          <w:lang w:val="zh-CN"/>
        </w:rPr>
        <w:t>为保证预算与实际情况相符，按照实事求是、客观公正原则当项目发生重大变化时，对预算实行动态调整，预算动态调整实行统一协调。</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rPr>
        <w:t>6.</w:t>
      </w:r>
      <w:r>
        <w:rPr>
          <w:rStyle w:val="24"/>
          <w:rFonts w:ascii="仿宋" w:eastAsia="仿宋" w:cs="宋体" w:hint="eastAsia"/>
          <w:b w:val="0"/>
          <w:color w:val="000000"/>
          <w:sz w:val="32"/>
          <w:szCs w:val="32"/>
          <w:lang w:val="zh-CN"/>
        </w:rPr>
        <w:t>执行进度</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lang w:val="zh-CN"/>
        </w:rPr>
        <w:t>进一步提高加快预算执行进度重要性的认识部门预算一经人大批复即具有法律效力，必须坚决地、不折不扣地执行。要从讲政治、讲大局的高度认识预算执行的重要。预算执行进度缓慢不仅造成财政资金的闲置浪费损失，还会影响全区社会经济发展计划和重大政策的有效落实。因此，要加强单位预算执行的主体责任意识，了解和掌握预算执行管理的要求，切实提高预算执行的刚性和财政资金效益。</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lang w:val="zh-CN"/>
        </w:rPr>
        <w:t>科学细化编制预算，为预算执行打好基础预算编制是财政管理的源头，预算编制是否科学合理直接影响执行效率。一方面在预算编制中要尽可能细化，增强预算的可行性，减少和避免预算调整。另一方面要在预算编制的准确性上下</w:t>
      </w:r>
      <w:r>
        <w:rPr>
          <w:rStyle w:val="24"/>
          <w:rFonts w:ascii="仿宋" w:eastAsia="仿宋" w:cs="宋体"/>
          <w:b w:val="0"/>
          <w:color w:val="000000"/>
          <w:sz w:val="32"/>
          <w:szCs w:val="32"/>
          <w:lang w:val="zh-CN"/>
        </w:rPr>
        <w:t>功</w:t>
      </w:r>
      <w:bookmarkStart w:id="152" w:name="_GoBack"/>
      <w:bookmarkEnd w:id="152"/>
      <w:r>
        <w:rPr>
          <w:rStyle w:val="24"/>
          <w:rFonts w:ascii="仿宋" w:eastAsia="仿宋" w:cs="宋体" w:hint="eastAsia"/>
          <w:b w:val="0"/>
          <w:color w:val="000000"/>
          <w:sz w:val="32"/>
          <w:szCs w:val="32"/>
          <w:lang w:val="zh-CN"/>
        </w:rPr>
        <w:t>夫，通过组织认证、领导决策等程序，确保做实预算。另外对项目实施要有科学的规划，依据项目可完成进度分年度下达预算指标，避免年底出现大量结余资金。</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lang w:val="zh-CN"/>
        </w:rPr>
        <w:t>加快专项资金分解落实工作，凡是预算安排和上级转移支付的专项资金，原则上在二十日内都要分解落实到具体项目；加快重点项目推进工作，努力完成全年建设任加快项目验收和竣工结算，及时按工程进度办理资金支付；强化用款计划管理。</w:t>
      </w:r>
    </w:p>
    <w:p>
      <w:pPr>
        <w:spacing w:line="580" w:lineRule="exact"/>
        <w:ind w:firstLineChars="200" w:firstLine="640"/>
        <w:rPr>
          <w:rStyle w:val="24"/>
          <w:rFonts w:ascii="仿宋" w:eastAsia="仿宋" w:cs="宋体"/>
          <w:b w:val="0"/>
          <w:color w:val="000000"/>
          <w:sz w:val="32"/>
          <w:szCs w:val="32"/>
          <w:lang w:val="zh-CN"/>
        </w:rPr>
      </w:pPr>
      <w:r>
        <w:rPr>
          <w:rStyle w:val="24"/>
          <w:rFonts w:ascii="仿宋" w:eastAsia="仿宋" w:cs="宋体" w:hint="eastAsia"/>
          <w:b w:val="0"/>
          <w:color w:val="000000"/>
          <w:sz w:val="32"/>
          <w:szCs w:val="32"/>
        </w:rPr>
        <w:t>7.</w:t>
      </w:r>
      <w:r>
        <w:rPr>
          <w:rStyle w:val="24"/>
          <w:rFonts w:ascii="仿宋" w:eastAsia="仿宋" w:cs="宋体" w:hint="eastAsia"/>
          <w:b w:val="0"/>
          <w:color w:val="000000"/>
          <w:sz w:val="32"/>
          <w:szCs w:val="32"/>
          <w:lang w:val="zh-CN"/>
        </w:rPr>
        <w:t>预算完成情况和违规记录等情况</w:t>
      </w:r>
    </w:p>
    <w:p>
      <w:pPr>
        <w:spacing w:line="580" w:lineRule="exact"/>
        <w:ind w:firstLineChars="200" w:firstLine="640"/>
        <w:rPr>
          <w:rStyle w:val="24"/>
          <w:rFonts w:ascii="仿宋" w:eastAsia="仿宋" w:cs="宋体"/>
          <w:b w:val="0"/>
          <w:color w:val="000000"/>
          <w:sz w:val="32"/>
          <w:szCs w:val="32"/>
        </w:rPr>
      </w:pPr>
      <w:r>
        <w:rPr>
          <w:rStyle w:val="24"/>
          <w:rFonts w:ascii="仿宋" w:eastAsia="仿宋" w:cs="宋体" w:hint="eastAsia"/>
          <w:b w:val="0"/>
          <w:color w:val="000000"/>
          <w:sz w:val="32"/>
          <w:szCs w:val="32"/>
        </w:rPr>
        <w:t>8.绩效自评结果</w:t>
      </w:r>
    </w:p>
    <w:p>
      <w:pPr>
        <w:spacing w:line="580" w:lineRule="exact"/>
        <w:ind w:firstLineChars="200" w:firstLine="640"/>
        <w:rPr>
          <w:rStyle w:val="24"/>
          <w:rFonts w:ascii="仿宋" w:eastAsia="仿宋" w:cs="宋体"/>
          <w:b w:val="0"/>
          <w:color w:val="000000"/>
          <w:sz w:val="32"/>
          <w:szCs w:val="32"/>
        </w:rPr>
      </w:pPr>
      <w:r>
        <w:rPr>
          <w:rStyle w:val="24"/>
          <w:rFonts w:ascii="仿宋" w:eastAsia="仿宋" w:cs="宋体" w:hint="eastAsia"/>
          <w:b w:val="0"/>
          <w:color w:val="000000"/>
          <w:sz w:val="32"/>
          <w:szCs w:val="32"/>
        </w:rPr>
        <w:t>根据财政局下发的关于开展2023年部门、政策和项目支出绩效评价工作的通知（金财监绩【2023】32号）中附件1-2：2022年度县级部门整体支出绩效评价指标体系，我单位2022年整体支出绩效评价得分为88分。</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sz w:val="32"/>
          <w:szCs w:val="32"/>
        </w:rPr>
      </w:pPr>
      <w:r>
        <w:rPr>
          <w:rFonts w:ascii="仿宋" w:eastAsia="仿宋" w:cs="宋体"/>
          <w:color w:val="000000"/>
          <w:sz w:val="32"/>
          <w:szCs w:val="32"/>
        </w:rPr>
        <w:t>（二）结果应用情况。</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sz w:val="32"/>
          <w:szCs w:val="32"/>
        </w:rPr>
      </w:pPr>
      <w:r>
        <w:rPr>
          <w:rFonts w:ascii="仿宋" w:eastAsia="仿宋" w:cs="宋体"/>
          <w:color w:val="333333"/>
          <w:sz w:val="32"/>
          <w:szCs w:val="32"/>
          <w:shd w:val="clear" w:color="auto" w:fill="FFFFFF"/>
        </w:rPr>
        <w:t>整体支出严格按照财政拨款收入分项支出，有预算、有计划，严格控制三公经费。</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sz w:val="32"/>
          <w:szCs w:val="32"/>
        </w:rPr>
      </w:pPr>
      <w:r>
        <w:rPr>
          <w:rFonts w:ascii="仿宋" w:eastAsia="仿宋" w:cs="宋体"/>
          <w:color w:val="000000"/>
          <w:sz w:val="32"/>
          <w:szCs w:val="32"/>
        </w:rPr>
        <w:t>四、评价结论及建议</w:t>
      </w:r>
    </w:p>
    <w:p>
      <w:pPr>
        <w:pStyle w:val="3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line="580" w:lineRule="exact"/>
        <w:ind w:firstLine="640"/>
        <w:rPr>
          <w:rFonts w:ascii="仿宋" w:eastAsia="仿宋" w:cs="宋体"/>
          <w:sz w:val="32"/>
          <w:szCs w:val="32"/>
        </w:rPr>
      </w:pPr>
      <w:r>
        <w:rPr>
          <w:rFonts w:ascii="仿宋" w:eastAsia="仿宋" w:cs="宋体"/>
          <w:color w:val="000000"/>
          <w:sz w:val="32"/>
          <w:szCs w:val="32"/>
        </w:rPr>
        <w:t>（一）评价结论。</w:t>
      </w:r>
    </w:p>
    <w:p>
      <w:pPr>
        <w:widowControl/>
        <w:shd w:val="clear" w:color="auto" w:fill="FFFFFF"/>
        <w:spacing w:line="580" w:lineRule="exact"/>
        <w:ind w:firstLine="640"/>
        <w:rPr>
          <w:rFonts w:ascii="仿宋" w:eastAsia="仿宋" w:cs="宋体"/>
          <w:color w:val="333333"/>
          <w:sz w:val="32"/>
          <w:szCs w:val="32"/>
        </w:rPr>
      </w:pPr>
      <w:r>
        <w:rPr>
          <w:rFonts w:ascii="仿宋" w:eastAsia="仿宋" w:cs="宋体" w:hint="eastAsia"/>
          <w:color w:val="333333"/>
          <w:kern w:val="0"/>
          <w:sz w:val="32"/>
          <w:szCs w:val="32"/>
          <w:shd w:val="clear" w:color="auto" w:fill="FFFFFF"/>
        </w:rPr>
        <w:t>我会成立了绩效评价工作小组，认真组织对2022年度财政性资金进行绩效自评，自评结果为88分。通过开展财政支出绩效评价，进一步强化了财政支出绩效理念，科学合理编制年度预算，提高财政资金使用效益，实现科学理财。</w:t>
      </w:r>
    </w:p>
    <w:p>
      <w:pPr>
        <w:widowControl/>
        <w:shd w:val="clear" w:color="auto" w:fill="FFFFFF"/>
        <w:spacing w:line="580" w:lineRule="exact"/>
        <w:ind w:firstLine="643"/>
        <w:rPr>
          <w:rFonts w:ascii="仿宋" w:eastAsia="仿宋" w:cs="宋体"/>
          <w:color w:val="333333"/>
          <w:sz w:val="32"/>
          <w:szCs w:val="32"/>
        </w:rPr>
      </w:pPr>
      <w:r>
        <w:rPr>
          <w:rFonts w:ascii="仿宋" w:eastAsia="仿宋" w:cs="宋体" w:hint="eastAsia"/>
          <w:color w:val="333333"/>
          <w:kern w:val="0"/>
          <w:sz w:val="32"/>
          <w:szCs w:val="32"/>
          <w:shd w:val="clear" w:color="auto" w:fill="FFFFFF"/>
        </w:rPr>
        <w:t>（二）存在问题。</w:t>
      </w:r>
    </w:p>
    <w:p>
      <w:pPr>
        <w:widowControl/>
        <w:shd w:val="clear" w:color="auto" w:fill="FFFFFF"/>
        <w:spacing w:line="580" w:lineRule="exact"/>
        <w:ind w:firstLine="640"/>
        <w:rPr>
          <w:rFonts w:ascii="仿宋" w:eastAsia="仿宋" w:cs="宋体"/>
          <w:color w:val="333333"/>
          <w:sz w:val="32"/>
          <w:szCs w:val="32"/>
        </w:rPr>
      </w:pPr>
      <w:r>
        <w:rPr>
          <w:rFonts w:ascii="仿宋" w:eastAsia="仿宋" w:cs="宋体" w:hint="eastAsia"/>
          <w:color w:val="333333"/>
          <w:kern w:val="0"/>
          <w:sz w:val="32"/>
          <w:szCs w:val="32"/>
          <w:shd w:val="clear" w:color="auto" w:fill="FFFFFF"/>
        </w:rPr>
        <w:t>一是预算经费支出明细科目存在误差；二是部门决算上报处理效率还需继续提升。资金使用年度预算理念有待加强。</w:t>
      </w:r>
    </w:p>
    <w:p>
      <w:pPr>
        <w:widowControl/>
        <w:shd w:val="clear" w:color="auto" w:fill="FFFFFF"/>
        <w:spacing w:line="580" w:lineRule="exact"/>
        <w:ind w:firstLine="643"/>
        <w:rPr>
          <w:rFonts w:ascii="仿宋" w:eastAsia="仿宋" w:cs="宋体"/>
          <w:color w:val="333333"/>
          <w:sz w:val="32"/>
          <w:szCs w:val="32"/>
        </w:rPr>
      </w:pPr>
      <w:r>
        <w:rPr>
          <w:rFonts w:ascii="仿宋" w:eastAsia="仿宋" w:cs="宋体" w:hint="eastAsia"/>
          <w:color w:val="333333"/>
          <w:kern w:val="0"/>
          <w:sz w:val="32"/>
          <w:szCs w:val="32"/>
          <w:shd w:val="clear" w:color="auto" w:fill="FFFFFF"/>
        </w:rPr>
        <w:t>（三）改进建议</w:t>
      </w:r>
    </w:p>
    <w:p>
      <w:pPr>
        <w:spacing w:line="580" w:lineRule="exact"/>
        <w:ind w:firstLineChars="300" w:firstLine="960"/>
        <w:rPr>
          <w:rFonts w:ascii="仿宋" w:eastAsia="仿宋" w:cs="宋体"/>
          <w:color w:val="333333"/>
          <w:kern w:val="0"/>
          <w:sz w:val="32"/>
          <w:szCs w:val="32"/>
          <w:shd w:val="clear" w:color="auto" w:fill="FFFFFF"/>
        </w:rPr>
      </w:pPr>
      <w:r>
        <w:rPr>
          <w:rFonts w:ascii="仿宋" w:eastAsia="仿宋" w:cs="宋体" w:hint="eastAsia"/>
          <w:color w:val="333333"/>
          <w:kern w:val="0"/>
          <w:sz w:val="32"/>
          <w:szCs w:val="32"/>
          <w:shd w:val="clear" w:color="auto" w:fill="FFFFFF"/>
        </w:rPr>
        <w:t>科学合理编制年度支出预算，建立健全财务管理机制，依法有效使用财政资金，将有效资金发挥最大效益。</w:t>
      </w:r>
      <w:r>
        <w:rPr>
          <w:rFonts w:ascii="仿宋" w:eastAsia="仿宋" w:cs="宋体" w:hint="eastAsia"/>
          <w:sz w:val="32"/>
          <w:szCs w:val="32"/>
        </w:rPr>
        <w:t>在今后的工作中，</w:t>
      </w:r>
      <w:r>
        <w:rPr>
          <w:rFonts w:ascii="仿宋" w:eastAsia="仿宋" w:cs="宋体" w:hint="eastAsia"/>
          <w:color w:val="333333"/>
          <w:kern w:val="0"/>
          <w:sz w:val="32"/>
          <w:szCs w:val="32"/>
          <w:shd w:val="clear" w:color="auto" w:fill="FFFFFF"/>
        </w:rPr>
        <w:t>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提升部门工作效率。</w:t>
      </w:r>
      <w:r>
        <w:rPr>
          <w:rStyle w:val="1Char"/>
          <w:rFonts w:ascii="仿宋" w:eastAsia="仿宋"/>
          <w:b w:val="0"/>
          <w:sz w:val="32"/>
          <w:szCs w:val="32"/>
        </w:rPr>
        <w:t xml:space="preserve"> </w:t>
      </w:r>
    </w:p>
    <w:p>
      <w:pPr>
        <w:pStyle w:val="1"/>
        <w:jc w:val="center"/>
      </w:pPr>
      <w:bookmarkStart w:id="153" w:name="_Toc11886"/>
      <w:bookmarkStart w:id="154" w:name="_Toc29670"/>
      <w:bookmarkStart w:id="155" w:name="_Toc22652"/>
      <w:bookmarkStart w:id="156" w:name="_Toc144199344"/>
      <w:r>
        <w:rPr>
          <w:rFonts w:hint="eastAsia"/>
        </w:rPr>
        <w:t xml:space="preserve">第五部分 </w:t>
      </w:r>
      <w:r>
        <w:t xml:space="preserve"> </w:t>
      </w:r>
      <w:r>
        <w:rPr>
          <w:rFonts w:hint="eastAsia"/>
        </w:rPr>
        <w:t>附表</w:t>
      </w:r>
      <w:bookmarkEnd w:id="153"/>
      <w:bookmarkEnd w:id="154"/>
      <w:bookmarkEnd w:id="155"/>
      <w:bookmarkEnd w:id="156"/>
    </w:p>
    <w:p>
      <w:pPr>
        <w:pStyle w:val="2"/>
        <w:rPr>
          <w:rFonts w:ascii="仿宋" w:eastAsia="仿宋"/>
          <w:color w:val="000000"/>
        </w:rPr>
      </w:pPr>
      <w:bookmarkStart w:id="157" w:name="_Toc27752"/>
      <w:bookmarkStart w:id="158" w:name="_Toc32234"/>
      <w:bookmarkStart w:id="159" w:name="_Toc31171"/>
      <w:bookmarkStart w:id="160" w:name="_Toc144199345"/>
      <w:r>
        <w:rPr>
          <w:rFonts w:ascii="仿宋" w:eastAsia="仿宋" w:hint="eastAsia"/>
          <w:b w:val="0"/>
          <w:color w:val="000000"/>
        </w:rPr>
        <w:t>一、收</w:t>
      </w:r>
      <w:r>
        <w:rPr>
          <w:rStyle w:val="2Char"/>
          <w:rFonts w:ascii="仿宋" w:eastAsia="仿宋" w:hint="eastAsia"/>
        </w:rPr>
        <w:t>入支出决算总表</w:t>
      </w:r>
      <w:bookmarkEnd w:id="157"/>
      <w:bookmarkEnd w:id="158"/>
      <w:bookmarkEnd w:id="159"/>
      <w:bookmarkEnd w:id="160"/>
    </w:p>
    <w:p>
      <w:pPr>
        <w:pStyle w:val="2"/>
        <w:rPr>
          <w:rFonts w:ascii="仿宋" w:eastAsia="仿宋"/>
          <w:color w:val="000000"/>
        </w:rPr>
      </w:pPr>
      <w:bookmarkStart w:id="161" w:name="_Toc19625"/>
      <w:bookmarkStart w:id="162" w:name="_Toc6086"/>
      <w:bookmarkStart w:id="163" w:name="_Toc4634"/>
      <w:bookmarkStart w:id="164" w:name="_Toc144199346"/>
      <w:r>
        <w:rPr>
          <w:rFonts w:ascii="仿宋" w:eastAsia="仿宋" w:hint="eastAsia"/>
          <w:b w:val="0"/>
          <w:color w:val="000000"/>
        </w:rPr>
        <w:t>二、收</w:t>
      </w:r>
      <w:r>
        <w:rPr>
          <w:rStyle w:val="2Char"/>
          <w:rFonts w:ascii="仿宋" w:eastAsia="仿宋" w:hint="eastAsia"/>
        </w:rPr>
        <w:t>入总表</w:t>
      </w:r>
      <w:bookmarkEnd w:id="161"/>
      <w:bookmarkEnd w:id="162"/>
      <w:bookmarkEnd w:id="163"/>
      <w:bookmarkEnd w:id="164"/>
    </w:p>
    <w:p>
      <w:pPr>
        <w:pStyle w:val="2"/>
        <w:rPr>
          <w:rFonts w:ascii="仿宋" w:eastAsia="仿宋"/>
          <w:color w:val="000000"/>
        </w:rPr>
      </w:pPr>
      <w:bookmarkStart w:id="165" w:name="_Toc8140"/>
      <w:bookmarkStart w:id="166" w:name="_Toc20334"/>
      <w:bookmarkStart w:id="167" w:name="_Toc5828"/>
      <w:bookmarkStart w:id="168" w:name="_Toc144199347"/>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出总表</w:t>
      </w:r>
      <w:bookmarkEnd w:id="165"/>
      <w:bookmarkEnd w:id="166"/>
      <w:bookmarkEnd w:id="167"/>
      <w:bookmarkEnd w:id="168"/>
    </w:p>
    <w:p>
      <w:pPr>
        <w:pStyle w:val="2"/>
        <w:rPr>
          <w:rFonts w:ascii="仿宋" w:eastAsia="仿宋"/>
          <w:b w:val="0"/>
          <w:color w:val="000000"/>
        </w:rPr>
      </w:pPr>
      <w:bookmarkStart w:id="169" w:name="_Toc17247"/>
      <w:bookmarkStart w:id="170" w:name="_Toc20976"/>
      <w:bookmarkStart w:id="171" w:name="_Toc6438"/>
      <w:bookmarkStart w:id="172" w:name="_Toc144199348"/>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169"/>
      <w:bookmarkEnd w:id="170"/>
      <w:bookmarkEnd w:id="171"/>
      <w:bookmarkEnd w:id="172"/>
    </w:p>
    <w:p>
      <w:pPr>
        <w:pStyle w:val="2"/>
        <w:rPr>
          <w:rFonts w:ascii="仿宋" w:eastAsia="仿宋"/>
          <w:color w:val="000000"/>
        </w:rPr>
      </w:pPr>
      <w:bookmarkStart w:id="173" w:name="_Toc22432"/>
      <w:bookmarkStart w:id="174" w:name="_Toc25194"/>
      <w:bookmarkStart w:id="175" w:name="_Toc13453"/>
      <w:bookmarkStart w:id="176" w:name="_Toc144199349"/>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政拨款支出决算明细表（政府经济分类科目）</w:t>
      </w:r>
      <w:bookmarkEnd w:id="173"/>
      <w:bookmarkEnd w:id="174"/>
      <w:bookmarkEnd w:id="175"/>
      <w:bookmarkEnd w:id="176"/>
    </w:p>
    <w:p>
      <w:pPr>
        <w:pStyle w:val="2"/>
        <w:rPr>
          <w:rFonts w:ascii="仿宋" w:eastAsia="仿宋"/>
          <w:color w:val="000000"/>
        </w:rPr>
      </w:pPr>
      <w:bookmarkStart w:id="177" w:name="_Toc23584"/>
      <w:bookmarkStart w:id="178" w:name="_Toc27561"/>
      <w:bookmarkStart w:id="179" w:name="_Toc16291"/>
      <w:bookmarkStart w:id="180" w:name="_Toc144199350"/>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177"/>
      <w:bookmarkEnd w:id="178"/>
      <w:bookmarkEnd w:id="179"/>
      <w:bookmarkEnd w:id="180"/>
    </w:p>
    <w:p>
      <w:pPr>
        <w:pStyle w:val="2"/>
        <w:rPr>
          <w:rFonts w:ascii="仿宋" w:eastAsia="仿宋"/>
          <w:color w:val="000000"/>
        </w:rPr>
      </w:pPr>
      <w:bookmarkStart w:id="181" w:name="_Toc4168"/>
      <w:bookmarkStart w:id="182" w:name="_Toc22484"/>
      <w:bookmarkStart w:id="183" w:name="_Toc30641"/>
      <w:bookmarkStart w:id="184" w:name="_Toc144199351"/>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181"/>
      <w:bookmarkEnd w:id="182"/>
      <w:bookmarkEnd w:id="183"/>
      <w:bookmarkEnd w:id="184"/>
    </w:p>
    <w:p>
      <w:pPr>
        <w:pStyle w:val="2"/>
        <w:rPr>
          <w:rFonts w:ascii="仿宋" w:eastAsia="仿宋"/>
          <w:color w:val="000000"/>
        </w:rPr>
      </w:pPr>
      <w:bookmarkStart w:id="185" w:name="_Toc24200"/>
      <w:bookmarkStart w:id="186" w:name="_Toc21997"/>
      <w:bookmarkStart w:id="187" w:name="_Toc12293"/>
      <w:bookmarkStart w:id="188" w:name="_Toc144199352"/>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185"/>
      <w:bookmarkEnd w:id="186"/>
      <w:bookmarkEnd w:id="187"/>
      <w:bookmarkEnd w:id="188"/>
    </w:p>
    <w:p>
      <w:pPr>
        <w:pStyle w:val="2"/>
        <w:rPr>
          <w:rFonts w:ascii="仿宋" w:eastAsia="仿宋"/>
          <w:color w:val="000000"/>
        </w:rPr>
      </w:pPr>
      <w:bookmarkStart w:id="189" w:name="_Toc25746"/>
      <w:bookmarkStart w:id="190" w:name="_Toc1820"/>
      <w:bookmarkStart w:id="191" w:name="_Toc24637"/>
      <w:bookmarkStart w:id="192" w:name="_Toc144199353"/>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189"/>
      <w:bookmarkEnd w:id="190"/>
      <w:bookmarkEnd w:id="191"/>
      <w:bookmarkEnd w:id="192"/>
    </w:p>
    <w:p>
      <w:pPr>
        <w:pStyle w:val="2"/>
        <w:rPr>
          <w:rFonts w:ascii="仿宋" w:eastAsia="仿宋"/>
          <w:color w:val="000000"/>
        </w:rPr>
      </w:pPr>
      <w:bookmarkStart w:id="193" w:name="_Toc11590"/>
      <w:bookmarkStart w:id="194" w:name="_Toc16335"/>
      <w:bookmarkStart w:id="195" w:name="_Toc5100"/>
      <w:bookmarkStart w:id="196" w:name="_Toc144199354"/>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193"/>
      <w:bookmarkEnd w:id="194"/>
      <w:bookmarkEnd w:id="195"/>
      <w:bookmarkEnd w:id="196"/>
    </w:p>
    <w:p>
      <w:pPr>
        <w:pStyle w:val="2"/>
        <w:rPr>
          <w:rFonts w:ascii="仿宋" w:eastAsia="仿宋"/>
          <w:color w:val="000000"/>
        </w:rPr>
      </w:pPr>
      <w:bookmarkStart w:id="197" w:name="_Toc22566"/>
      <w:bookmarkStart w:id="198" w:name="_Toc31520"/>
      <w:bookmarkStart w:id="199" w:name="_Toc31755"/>
      <w:bookmarkStart w:id="200" w:name="_Toc144199355"/>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197"/>
      <w:bookmarkEnd w:id="198"/>
      <w:bookmarkEnd w:id="199"/>
      <w:bookmarkEnd w:id="200"/>
    </w:p>
    <w:p>
      <w:pPr>
        <w:pStyle w:val="2"/>
        <w:rPr>
          <w:rFonts w:ascii="仿宋" w:eastAsia="仿宋"/>
          <w:color w:val="000000"/>
        </w:rPr>
      </w:pPr>
      <w:bookmarkStart w:id="201" w:name="_Toc15396630"/>
      <w:bookmarkStart w:id="202" w:name="_Toc12383"/>
      <w:bookmarkStart w:id="203" w:name="_Toc4672"/>
      <w:bookmarkStart w:id="204" w:name="_Toc2454"/>
      <w:bookmarkStart w:id="205" w:name="_Toc144199356"/>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201"/>
      <w:bookmarkEnd w:id="202"/>
      <w:bookmarkEnd w:id="203"/>
      <w:bookmarkEnd w:id="204"/>
      <w:bookmarkEnd w:id="205"/>
    </w:p>
    <w:p>
      <w:pPr>
        <w:pStyle w:val="2"/>
        <w:rPr>
          <w:rFonts w:ascii="仿宋" w:eastAsia="仿宋" w:hint="eastAsia"/>
          <w:color w:val="000000"/>
        </w:rPr>
      </w:pPr>
      <w:bookmarkStart w:id="206" w:name="_Toc15396631"/>
      <w:bookmarkStart w:id="207" w:name="_Toc12328"/>
      <w:bookmarkStart w:id="208" w:name="_Toc15170"/>
      <w:bookmarkStart w:id="209" w:name="_Toc24811"/>
      <w:bookmarkStart w:id="210" w:name="_Toc144199357"/>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有资本经营预算支出决算表</w:t>
      </w:r>
      <w:bookmarkEnd w:id="150"/>
      <w:bookmarkEnd w:id="206"/>
      <w:bookmarkEnd w:id="207"/>
      <w:bookmarkEnd w:id="208"/>
      <w:bookmarkEnd w:id="209"/>
      <w:bookmarkEnd w:id="210"/>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0000000000000000000"/>
    <w:charset w:val="86"/>
    <w:family w:val="script"/>
    <w:pitch w:val="variable"/>
    <w:sig w:usb0="00000000" w:usb1="00000000" w:usb2="0000000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auto"/>
    <w:pitch w:val="variable"/>
    <w:sig w:usb0="00007A87" w:usb1="80000000" w:usb2="00000008" w:usb3="00000000" w:csb0="400001FF" w:csb1="FFFF0000"/>
  </w:font>
  <w:font w:name="楷体">
    <w:panose1 w:val="02010609060101010101"/>
    <w:charset w:val="86"/>
    <w:family w:val="modern"/>
    <w:pitch w:val="variable"/>
    <w:sig w:usb0="800002BF" w:usb1="38CF7CFA" w:usb2="00000016" w:usb3="00000000" w:csb0="00040001" w:csb1="00000000"/>
  </w:font>
  <w:font w:name="方正小标宋_GBK">
    <w:altName w:val="微软雅黑"/>
    <w:panose1 w:val="00000000000000000000"/>
    <w:charset w:val="86"/>
    <w:family w:val="auto"/>
    <w:pitch w:val="variable"/>
    <w:sig w:usb0="00000000" w:usb1="0000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995737758"/>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78D72DD4"/>
    <w:multiLevelType w:val="singleLevel"/>
    <w:tmpl w:val="78D72DD4"/>
    <w:lvl w:ilvl="0">
      <w:start w:val="3"/>
      <w:numFmt w:val="decimal"/>
      <w:lvlRestart w:val="0"/>
      <w:lvlText w:val="%1."/>
      <w:lvlJc w:val="left"/>
      <w:pPr>
        <w:ind w:left="0" w:hanging="0"/>
      </w:pPr>
    </w:lvl>
  </w:abstractNum>
  <w:abstractNum w:abstractNumId="2">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3">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4">
    <w:nsid w:val="830B6519"/>
    <w:multiLevelType w:val="singleLevel"/>
    <w:tmpl w:val="830B6519"/>
    <w:lvl w:ilvl="0">
      <w:start w:val="1"/>
      <w:numFmt w:val="chineseCounting"/>
      <w:lvlRestart w:val="0"/>
      <w:suff w:val="nothing"/>
      <w:lvlText w:val="%1、"/>
      <w:lvlJc w:val="left"/>
      <w:pPr>
        <w:ind w:left="0" w:hanging="0"/>
      </w:pPr>
      <w:rPr>
        <w:rFonts w:hint="eastAsia"/>
      </w:rPr>
    </w:lvl>
  </w:abstractNum>
  <w:abstractNum w:abstractNumId="5">
    <w:nsid w:val="935BF7A8"/>
    <w:multiLevelType w:val="singleLevel"/>
    <w:tmpl w:val="935BF7A8"/>
    <w:lvl w:ilvl="0">
      <w:start w:val="1"/>
      <w:numFmt w:val="chineseCounting"/>
      <w:lvlRestart w:val="0"/>
      <w:suff w:val="nothing"/>
      <w:lvlText w:val="（%1）"/>
      <w:lvlJc w:val="left"/>
      <w:pPr>
        <w:ind w:left="0" w:hanging="0"/>
      </w:pPr>
      <w:rPr>
        <w:rFonts w:hint="eastAsia"/>
      </w:rPr>
    </w:lvl>
  </w:abstractNum>
  <w:abstractNum w:abstractNumId="6">
    <w:nsid w:val="09801C83"/>
    <w:multiLevelType w:val="singleLevel"/>
    <w:tmpl w:val="09801C83"/>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NGMyMzA0ZTdlZWIxNmQxNWE1OGRlOTgwNTBiZTUxZ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100" w:beforeAutospacing="1" w:after="100" w:afterAutospacing="1"/>
      <w:jc w:val="left"/>
    </w:pPr>
    <w:rPr>
      <w:rFonts w:ascii="宋体" w:cs="宋体"/>
      <w:kern w:val="0"/>
      <w:sz w:val="24"/>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WPSOffice手动目录 1"/>
    <w:rPr>
      <w:rFonts w:ascii="Times New Roman" w:eastAsia="宋体" w:cs="Times New Roman" w:hAnsi="Times New Roman"/>
      <w:sz w:val="20"/>
      <w:szCs w:val="20"/>
      <w:lang w:val="en-US" w:eastAsia="zh-CN" w:bidi="ar-SA"/>
    </w:rPr>
  </w:style>
  <w:style w:type="paragraph" w:customStyle="1" w:styleId="33">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34">
    <w:name w:val="WPSOffice手动目录 3"/>
    <w:pPr>
      <w:ind w:leftChars="400" w:left="400"/>
    </w:pPr>
    <w:rPr>
      <w:rFonts w:ascii="Times New Roman" w:eastAsia="宋体" w:cs="Times New Roman" w:hAnsi="Times New Roman"/>
      <w:sz w:val="20"/>
      <w:szCs w:val="20"/>
      <w:lang w:val="en-US" w:eastAsia="zh-CN" w:bidi="ar-SA"/>
    </w:rPr>
  </w:style>
  <w:style w:type="paragraph" w:styleId="35">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收、支决算结构图</a:t>
            </a:r>
          </a:p>
        </c:rich>
      </c:tx>
      <c:layout/>
      <c:overlay val="0"/>
      <c:spPr>
        <a:noFill/>
        <a:ln>
          <a:noFill/>
        </a:ln>
      </c:spPr>
    </c:title>
    <c:autoTitleDeleted val="1"/>
    <c:plotArea>
      <c:layout>
        <c:manualLayout>
          <c:layoutTarget val="inner"/>
          <c:xMode val="edge"/>
          <c:yMode val="edge"/>
          <c:x val="0.067875"/>
          <c:y val="0.27907547"/>
          <c:w val="0.928375"/>
          <c:h val="0.580477"/>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
              <c:idx val="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tx>
                <c:rich>
                  <a:bodyPr vert="horz"/>
                  <a:lstStyle/>
                  <a:p>
                    <a:pPr>
                      <a:defRPr sz="900" b="0" i="0" u="none" strike="noStrike" baseline="0">
                        <a:solidFill>
                          <a:srgbClr val="404040"/>
                        </a:solidFill>
                        <a:latin typeface="Times New Roman"/>
                        <a:ea typeface="宋体"/>
                        <a:cs typeface="Arial"/>
                      </a:defRPr>
                    </a:pPr>
                    <a:r>
                      <a:rPr lang="zh-CN" sz="900" b="0" i="0" u="none" strike="noStrike" baseline="0">
                        <a:solidFill>
                          <a:srgbClr val="404040"/>
                        </a:solidFill>
                        <a:latin typeface="Times New Roman"/>
                        <a:ea typeface="宋体"/>
                        <a:cs typeface="Arial"/>
                      </a:rPr>
                      <a:t>总收入</a:t>
                    </a:r>
                    <a:r>
                      <a:rPr lang="zh-CN" sz="900" b="0" i="0" u="none" strike="noStrike" baseline="0">
                        <a:solidFill>
                          <a:srgbClr val="404040"/>
                        </a:solidFill>
                        <a:latin typeface="Times New Roman"/>
                        <a:ea typeface="宋体"/>
                        <a:cs typeface="Arial"/>
                      </a:rPr>
                      <a:t>, 2021</a:t>
                    </a:r>
                    <a:r>
                      <a:rPr lang="zh-CN" sz="900" b="0" i="0" u="none" strike="noStrike" baseline="0">
                        <a:solidFill>
                          <a:srgbClr val="404040"/>
                        </a:solidFill>
                        <a:latin typeface="Times New Roman"/>
                        <a:ea typeface="宋体"/>
                        <a:cs typeface="Arial"/>
                      </a:rPr>
                      <a:t>年。</a:t>
                    </a:r>
                    <a:r>
                      <a:rPr lang="zh-CN" sz="900" b="0" i="0" u="none" strike="noStrike" baseline="0">
                        <a:solidFill>
                          <a:srgbClr val="404040"/>
                        </a:solidFill>
                        <a:latin typeface="Times New Roman"/>
                        <a:ea typeface="宋体"/>
                        <a:cs typeface="Arial"/>
                      </a:rPr>
                      <a:t>623</a:t>
                    </a:r>
                  </a:p>
                </c:rich>
              </c:tx>
              <c:showLegendKey val="1"/>
              <c:showVal val="1"/>
              <c:showCatName val="1"/>
              <c:showSerName val="1"/>
              <c:showPercent val="1"/>
              <c:showBubbleSize val="1"/>
            </c:dLbl>
            <c:dLbl>
              <c:idx val="1"/>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'Sheet1'!$A$2:$A$3</c:f>
              <c:strCache>
                <c:ptCount val="2"/>
                <c:pt idx="0">
                  <c:v>2021年</c:v>
                </c:pt>
                <c:pt idx="1">
                  <c:v>2022年</c:v>
                </c:pt>
              </c:strCache>
            </c:strRef>
          </c:cat>
          <c:val>
            <c:numRef>
              <c:f>'Sheet1'!$B$2:$B$3</c:f>
              <c:numCache>
                <c:formatCode>General</c:formatCode>
                <c:ptCount val="2"/>
                <c:pt idx="0">
                  <c:v>623.0</c:v>
                </c:pt>
                <c:pt idx="1">
                  <c:v>875.2</c:v>
                </c:pt>
              </c:numCache>
            </c:numRef>
          </c:val>
        </c:ser>
        <c:ser>
          <c:idx val="1"/>
          <c:order val="1"/>
          <c:tx>
            <c:strRef>
              <c:f>'Sheet1'!$C$1</c:f>
              <c:strCache>
                <c:ptCount val="1"/>
                <c:pt idx="0">
                  <c:v>总支出</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
              <c:idx val="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tx>
                <c:rich>
                  <a:bodyPr vert="horz"/>
                  <a:lstStyle/>
                  <a:p>
                    <a:pPr>
                      <a:defRPr sz="900" b="0" i="0" u="none" strike="noStrike" baseline="0">
                        <a:solidFill>
                          <a:srgbClr val="404040"/>
                        </a:solidFill>
                        <a:latin typeface="Times New Roman"/>
                        <a:ea typeface="宋体"/>
                        <a:cs typeface="Arial"/>
                      </a:defRPr>
                    </a:pPr>
                    <a:r>
                      <a:rPr lang="zh-CN" sz="900" b="0" i="0" u="none" strike="noStrike" baseline="0">
                        <a:solidFill>
                          <a:srgbClr val="404040"/>
                        </a:solidFill>
                        <a:latin typeface="Times New Roman"/>
                        <a:ea typeface="宋体"/>
                        <a:cs typeface="Arial"/>
                      </a:rPr>
                      <a:t>总支出</a:t>
                    </a:r>
                    <a:r>
                      <a:rPr lang="zh-CN" sz="900" b="0" i="0" u="none" strike="noStrike" baseline="0">
                        <a:solidFill>
                          <a:srgbClr val="404040"/>
                        </a:solidFill>
                        <a:latin typeface="Times New Roman"/>
                        <a:ea typeface="宋体"/>
                        <a:cs typeface="Arial"/>
                      </a:rPr>
                      <a:t>, 2021</a:t>
                    </a:r>
                    <a:r>
                      <a:rPr lang="zh-CN" sz="900" b="0" i="0" u="none" strike="noStrike" baseline="0">
                        <a:solidFill>
                          <a:srgbClr val="404040"/>
                        </a:solidFill>
                        <a:latin typeface="Times New Roman"/>
                        <a:ea typeface="宋体"/>
                        <a:cs typeface="Arial"/>
                      </a:rPr>
                      <a:t>年</a:t>
                    </a:r>
                    <a:r>
                      <a:rPr lang="zh-CN" sz="900" b="0" i="0" u="none" strike="noStrike" baseline="0">
                        <a:solidFill>
                          <a:srgbClr val="404040"/>
                        </a:solidFill>
                        <a:latin typeface="Times New Roman"/>
                        <a:ea typeface="宋体"/>
                        <a:cs typeface="Arial"/>
                      </a:rPr>
                      <a:t>, 982.42</a:t>
                    </a:r>
                  </a:p>
                </c:rich>
              </c:tx>
              <c:showLegendKey val="1"/>
              <c:showVal val="1"/>
              <c:showCatName val="1"/>
              <c:showSerName val="1"/>
              <c:showPercent val="1"/>
              <c:showBubbleSize val="1"/>
            </c:dLbl>
            <c:dLbl>
              <c:idx val="1"/>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'Sheet1'!$A$2:$A$3</c:f>
              <c:strCache>
                <c:ptCount val="2"/>
                <c:pt idx="0">
                  <c:v>2021年</c:v>
                </c:pt>
                <c:pt idx="1">
                  <c:v>2022年</c:v>
                </c:pt>
              </c:strCache>
            </c:strRef>
          </c:cat>
          <c:val>
            <c:numRef>
              <c:f>'Sheet1'!$C$2:$C$3</c:f>
              <c:numCache>
                <c:formatCode>General</c:formatCode>
                <c:ptCount val="2"/>
                <c:pt idx="0">
                  <c:v>982.42</c:v>
                </c:pt>
                <c:pt idx="1">
                  <c:v>918.75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c:spPr>
          <c:dPt>
            <c:idx val="0"/>
            <c:bubble3D val="0"/>
            <c:spPr>
              <a:solidFill>
                <a:srgbClr val="4F81BD"/>
              </a:solidFill>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showLegendKey val="0"/>
            <c:showVal val="1"/>
            <c:showCatName val="0"/>
            <c:showSerName val="0"/>
            <c:showPercent val="0"/>
            <c:showBubbleSize val="0"/>
            <c:showLeaderLines val="1"/>
          </c:dLbls>
          <c:cat>
            <c:strRef>
              <c:f>'Sheet1 (2)'!$A$2</c:f>
              <c:strCache>
                <c:ptCount val="1"/>
                <c:pt idx="0">
                  <c:v>一般公共预算财政拨款收入</c:v>
                </c:pt>
              </c:strCache>
            </c:strRef>
          </c:cat>
          <c:val>
            <c:numRef>
              <c:f>Sheet1 (2)!$B$2</c:f>
              <c:numCache>
                <c:formatCode>General</c:formatCode>
                <c:ptCount val="1"/>
                <c:pt idx="0">
                  <c:v>875.2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a:t>49%</a:t>
                    </a:r>
                  </a:p>
                </c:rich>
              </c:tx>
              <c:showLegendKey val="0"/>
              <c:showVal val="1"/>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showLegendKey val="0"/>
              <c:showVal val="0"/>
              <c:showCatName val="0"/>
              <c:showSerName val="0"/>
              <c:showPercent val="1"/>
              <c:showBubbleSize val="0"/>
            </c:dLbl>
            <c:dLblPos val="ctr"/>
            <c:showLegendKey val="0"/>
            <c:showVal val="1"/>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447.49</c:v>
                </c:pt>
                <c:pt idx="1">
                  <c:v>471.25</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tx>
                <c:rich>
                  <a:bodyPr vert="horz"/>
                  <a:lstStyle/>
                  <a:p>
                    <a:pPr>
                      <a:defRPr sz="1000" b="0" i="0" u="none" strike="noStrike" baseline="0">
                        <a:solidFill>
                          <a:srgbClr val="000000"/>
                        </a:solidFill>
                        <a:latin typeface="AR PL UKai CN"/>
                        <a:ea typeface="AR PL UKai CN"/>
                        <a:cs typeface="Arial"/>
                      </a:defRPr>
                    </a:pPr>
                    <a:r>
                      <a:rPr lang="zh-CN"/>
                      <a:t>623</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tx>
                <c:rich>
                  <a:bodyPr vert="horz"/>
                  <a:lstStyle/>
                  <a:p>
                    <a:pPr>
                      <a:defRPr sz="1000" b="0" i="0" u="none" strike="noStrike" baseline="0">
                        <a:solidFill>
                          <a:srgbClr val="000000"/>
                        </a:solidFill>
                        <a:latin typeface="AR PL UKai CN"/>
                        <a:ea typeface="AR PL UKai CN"/>
                        <a:cs typeface="Arial"/>
                      </a:defRPr>
                    </a:pPr>
                    <a:r>
                      <a:rPr lang="zh-CN"/>
                      <a:t>982.42</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623.0</c:v>
                </c:pt>
                <c:pt idx="1">
                  <c:v>982.42</c:v>
                </c:pt>
              </c:numCache>
            </c:numRef>
          </c:val>
        </c:ser>
        <c:ser>
          <c:idx val="1"/>
          <c:order val="1"/>
          <c:tx>
            <c:strRef>
              <c:f>'Sheet1 (4)'!$A$3</c:f>
              <c:strCache>
                <c:ptCount val="1"/>
                <c:pt idx="0">
                  <c:v>2022年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tx>
                <c:rich>
                  <a:bodyPr vert="horz"/>
                  <a:lstStyle/>
                  <a:p>
                    <a:pPr>
                      <a:defRPr sz="1000" b="0" i="0" u="none" strike="noStrike" baseline="0">
                        <a:solidFill>
                          <a:srgbClr val="000000"/>
                        </a:solidFill>
                        <a:latin typeface="AR PL UKai CN"/>
                        <a:ea typeface="AR PL UKai CN"/>
                        <a:cs typeface="Arial"/>
                      </a:defRPr>
                    </a:pPr>
                    <a:r>
                      <a:rPr lang="zh-CN"/>
                      <a:t>875.2</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tx>
                <c:rich>
                  <a:bodyPr vert="horz"/>
                  <a:lstStyle/>
                  <a:p>
                    <a:pPr>
                      <a:defRPr sz="1000" b="0" i="0" u="none" strike="noStrike" baseline="0">
                        <a:solidFill>
                          <a:srgbClr val="000000"/>
                        </a:solidFill>
                        <a:latin typeface="AR PL UKai CN"/>
                        <a:ea typeface="AR PL UKai CN"/>
                        <a:cs typeface="Arial"/>
                      </a:defRPr>
                    </a:pPr>
                    <a:r>
                      <a:rPr lang="zh-CN"/>
                      <a:t>918.75</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875.2</c:v>
                </c:pt>
                <c:pt idx="1">
                  <c:v>918.75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2021年</c:v>
                </c:pt>
                <c:pt idx="1">
                  <c:v>2022年</c:v>
                </c:pt>
              </c:strCache>
            </c:strRef>
          </c:cat>
          <c:val>
            <c:numRef>
              <c:f>'Sheet1 (5)'!$B$2:$B$3</c:f>
              <c:numCache>
                <c:formatCode>General</c:formatCode>
                <c:ptCount val="2"/>
                <c:pt idx="0">
                  <c:v>982.42</c:v>
                </c:pt>
                <c:pt idx="1">
                  <c:v>918.75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layout>
                <c:manualLayout>
                  <c:x val="-0.020973645"/>
                  <c:y val="0.044190824"/>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2"/>
              <c:layout>
                <c:manualLayout>
                  <c:x val="-0.003778876"/>
                  <c:y val="0.004965708"/>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3"/>
              <c:layout>
                <c:manualLayout>
                  <c:x val="0.027582776"/>
                  <c:y val="-0.04169033"/>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(6)'!$A$2:$A$5</c:f>
              <c:strCache>
                <c:ptCount val="4"/>
                <c:pt idx="0">
                  <c:v>文化旅游体育与传媒</c:v>
                </c:pt>
                <c:pt idx="1">
                  <c:v>社会保障和就业</c:v>
                </c:pt>
                <c:pt idx="2">
                  <c:v>卫生健康</c:v>
                </c:pt>
                <c:pt idx="3">
                  <c:v>住房保障</c:v>
                </c:pt>
              </c:strCache>
            </c:strRef>
          </c:cat>
          <c:val>
            <c:numRef>
              <c:f>'Sheet1 (6)'!$B$2:$B$5</c:f>
              <c:numCache>
                <c:formatCode>General</c:formatCode>
                <c:ptCount val="4"/>
                <c:pt idx="0">
                  <c:v>814.52</c:v>
                </c:pt>
                <c:pt idx="1">
                  <c:v>54.09</c:v>
                </c:pt>
                <c:pt idx="2">
                  <c:v>20.24</c:v>
                </c:pt>
                <c:pt idx="3">
                  <c:v>29.9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19</TotalTime>
  <Application>Yozo_Office27021597764231179</Application>
  <Pages>21</Pages>
  <Words>6871</Words>
  <Characters>7411</Characters>
  <Lines>387</Lines>
  <Paragraphs>193</Paragraphs>
  <CharactersWithSpaces>7660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7</cp:revision>
  <cp:lastPrinted>2023-08-29T03:04:00Z</cp:lastPrinted>
  <dcterms:created xsi:type="dcterms:W3CDTF">2023-08-28T02:46:00Z</dcterms:created>
  <dcterms:modified xsi:type="dcterms:W3CDTF">2023-08-30T07:59:22Z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2052-11.1.0.12302</vt:lpwstr>
  </property>
  <property fmtid="{D5CDD505-2E9C-101B-9397-08002B2CF9AE}" pid="3" name="ICV">
    <vt:lpwstr>6353DD27F7864B1484DFF8411EE6D4FC</vt:lpwstr>
  </property>
</Properties>
</file>