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color w:val="000000"/>
          <w:sz w:val="72"/>
          <w:szCs w:val="72"/>
        </w:rPr>
      </w:pPr>
      <w:bookmarkStart w:id="0" w:name="_Toc15306267"/>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8441"/>
      <w:bookmarkStart w:id="3" w:name="_Toc15396597"/>
      <w:bookmarkStart w:id="4" w:name="_Toc15377425"/>
      <w:bookmarkStart w:id="5" w:name="_Toc15396475"/>
      <w:bookmarkStart w:id="6" w:name="_Toc13743"/>
      <w:bookmarkStart w:id="7" w:name="_Toc922"/>
      <w:r>
        <w:rPr>
          <w:rFonts w:hint="eastAsia" w:ascii="方正小标宋简体" w:eastAsia="方正小标宋简体"/>
          <w:color w:val="000000"/>
          <w:sz w:val="72"/>
          <w:szCs w:val="72"/>
        </w:rPr>
        <w:t>2020年度</w:t>
      </w:r>
      <w:bookmarkEnd w:id="1"/>
      <w:bookmarkEnd w:id="2"/>
      <w:bookmarkEnd w:id="3"/>
      <w:bookmarkEnd w:id="4"/>
      <w:bookmarkEnd w:id="5"/>
      <w:bookmarkEnd w:id="6"/>
      <w:bookmarkEnd w:id="7"/>
    </w:p>
    <w:bookmarkEnd w:id="0"/>
    <w:p>
      <w:pPr>
        <w:adjustRightInd w:val="0"/>
        <w:snapToGrid w:val="0"/>
        <w:spacing w:line="360" w:lineRule="auto"/>
        <w:jc w:val="center"/>
        <w:outlineLvl w:val="0"/>
        <w:rPr>
          <w:rFonts w:ascii="方正小标宋简体" w:eastAsia="方正小标宋简体"/>
          <w:color w:val="000000"/>
          <w:sz w:val="72"/>
          <w:szCs w:val="72"/>
        </w:rPr>
      </w:pPr>
      <w:bookmarkStart w:id="8" w:name="_Toc26903"/>
      <w:bookmarkStart w:id="9" w:name="_Toc14326"/>
      <w:bookmarkStart w:id="10" w:name="_Toc15306268"/>
      <w:bookmarkStart w:id="11" w:name="_Toc15377194"/>
      <w:bookmarkStart w:id="12" w:name="_Toc15377426"/>
      <w:bookmarkStart w:id="13" w:name="_Toc15396476"/>
      <w:bookmarkStart w:id="14" w:name="_Toc15378442"/>
      <w:bookmarkStart w:id="15" w:name="_Toc15396598"/>
      <w:r>
        <w:rPr>
          <w:rFonts w:hint="eastAsia" w:ascii="方正小标宋简体" w:eastAsia="方正小标宋简体"/>
          <w:color w:val="000000"/>
          <w:sz w:val="72"/>
          <w:szCs w:val="72"/>
        </w:rPr>
        <w:t>金川县融媒体中心</w:t>
      </w:r>
      <w:bookmarkEnd w:id="8"/>
      <w:bookmarkEnd w:id="9"/>
    </w:p>
    <w:p>
      <w:pPr>
        <w:adjustRightInd w:val="0"/>
        <w:snapToGrid w:val="0"/>
        <w:spacing w:line="360" w:lineRule="auto"/>
        <w:jc w:val="center"/>
        <w:outlineLvl w:val="0"/>
        <w:rPr>
          <w:rFonts w:ascii="方正小标宋简体" w:eastAsia="方正小标宋简体"/>
          <w:color w:val="000000"/>
          <w:sz w:val="72"/>
          <w:szCs w:val="72"/>
        </w:rPr>
      </w:pPr>
      <w:bookmarkStart w:id="16" w:name="_Toc12938"/>
      <w:bookmarkStart w:id="17" w:name="_Toc6782"/>
      <w:r>
        <w:rPr>
          <w:rFonts w:hint="eastAsia" w:ascii="方正小标宋简体" w:eastAsia="方正小标宋简体"/>
          <w:color w:val="000000"/>
          <w:sz w:val="72"/>
          <w:szCs w:val="72"/>
        </w:rPr>
        <w:t>部门决算</w:t>
      </w:r>
      <w:bookmarkEnd w:id="10"/>
      <w:bookmarkEnd w:id="11"/>
      <w:bookmarkEnd w:id="12"/>
      <w:bookmarkEnd w:id="13"/>
      <w:bookmarkEnd w:id="14"/>
      <w:bookmarkEnd w:id="15"/>
      <w:bookmarkEnd w:id="16"/>
      <w:bookmarkEnd w:id="17"/>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sdt>
      <w:sdtPr>
        <w:rPr>
          <w:rFonts w:ascii="宋体" w:hAnsi="宋体"/>
        </w:rPr>
        <w:id w:val="147475751"/>
        <w:docPartObj>
          <w:docPartGallery w:val="Table of Contents"/>
          <w:docPartUnique/>
        </w:docPartObj>
      </w:sdtPr>
      <w:sdtEndPr>
        <w:rPr>
          <w:rFonts w:ascii="Times New Roman" w:hAnsi="Times New Roman"/>
        </w:rPr>
      </w:sdtEndPr>
      <w:sdtContent>
        <w:p>
          <w:pPr>
            <w:jc w:val="center"/>
          </w:pPr>
        </w:p>
        <w:p>
          <w:pPr>
            <w:pStyle w:val="26"/>
            <w:tabs>
              <w:tab w:val="right" w:leader="dot" w:pos="8306"/>
            </w:tabs>
          </w:pPr>
          <w:r>
            <w:fldChar w:fldCharType="begin"/>
          </w:r>
          <w:r>
            <w:instrText xml:space="preserve">TOC \o "1-3" \h \u </w:instrText>
          </w:r>
          <w:r>
            <w:fldChar w:fldCharType="separate"/>
          </w:r>
        </w:p>
        <w:p>
          <w:pPr>
            <w:pStyle w:val="26"/>
            <w:tabs>
              <w:tab w:val="right" w:leader="dot" w:pos="8306"/>
            </w:tabs>
          </w:pPr>
          <w:r>
            <w:fldChar w:fldCharType="begin"/>
          </w:r>
          <w:r>
            <w:instrText xml:space="preserve"> HYPERLINK \l "_Toc20227" </w:instrText>
          </w:r>
          <w:r>
            <w:fldChar w:fldCharType="separate"/>
          </w:r>
          <w:r>
            <w:rPr>
              <w:rFonts w:hint="eastAsia" w:ascii="黑体" w:eastAsia="黑体"/>
            </w:rPr>
            <w:t>第一部分 部门概况</w:t>
          </w:r>
          <w:r>
            <w:tab/>
          </w:r>
          <w:r>
            <w:fldChar w:fldCharType="begin"/>
          </w:r>
          <w:r>
            <w:instrText xml:space="preserve"> PAGEREF _Toc20227 \h </w:instrText>
          </w:r>
          <w:r>
            <w:fldChar w:fldCharType="separate"/>
          </w:r>
          <w:r>
            <w:t>3</w:t>
          </w:r>
          <w:r>
            <w:fldChar w:fldCharType="end"/>
          </w:r>
          <w:r>
            <w:fldChar w:fldCharType="end"/>
          </w:r>
        </w:p>
        <w:p>
          <w:pPr>
            <w:pStyle w:val="27"/>
            <w:tabs>
              <w:tab w:val="right" w:leader="dot" w:pos="8306"/>
            </w:tabs>
            <w:ind w:left="420"/>
          </w:pPr>
          <w:r>
            <w:fldChar w:fldCharType="begin"/>
          </w:r>
          <w:r>
            <w:instrText xml:space="preserve"> HYPERLINK \l "_Toc25517" </w:instrText>
          </w:r>
          <w:r>
            <w:fldChar w:fldCharType="separate"/>
          </w:r>
          <w:r>
            <w:rPr>
              <w:rFonts w:hint="eastAsia" w:ascii="黑体" w:eastAsia="黑体"/>
            </w:rPr>
            <w:t>一、基本职能及主要工作</w:t>
          </w:r>
          <w:r>
            <w:tab/>
          </w:r>
          <w:r>
            <w:fldChar w:fldCharType="begin"/>
          </w:r>
          <w:r>
            <w:instrText xml:space="preserve"> PAGEREF _Toc25517 \h </w:instrText>
          </w:r>
          <w:r>
            <w:fldChar w:fldCharType="separate"/>
          </w:r>
          <w:r>
            <w:t>3</w:t>
          </w:r>
          <w:r>
            <w:fldChar w:fldCharType="end"/>
          </w:r>
          <w:r>
            <w:fldChar w:fldCharType="end"/>
          </w:r>
        </w:p>
        <w:p>
          <w:pPr>
            <w:pStyle w:val="27"/>
            <w:tabs>
              <w:tab w:val="right" w:leader="dot" w:pos="8306"/>
            </w:tabs>
            <w:ind w:left="420"/>
          </w:pPr>
          <w:r>
            <w:fldChar w:fldCharType="begin"/>
          </w:r>
          <w:r>
            <w:instrText xml:space="preserve"> HYPERLINK \l "_Toc31585" </w:instrText>
          </w:r>
          <w:r>
            <w:fldChar w:fldCharType="separate"/>
          </w:r>
          <w:r>
            <w:rPr>
              <w:rFonts w:hint="eastAsia" w:ascii="楷体" w:eastAsia="楷体" w:cs="楷体"/>
              <w:bCs/>
              <w:szCs w:val="32"/>
            </w:rPr>
            <w:t>（一）主要职能</w:t>
          </w:r>
          <w:r>
            <w:tab/>
          </w:r>
          <w:r>
            <w:fldChar w:fldCharType="begin"/>
          </w:r>
          <w:r>
            <w:instrText xml:space="preserve"> PAGEREF _Toc31585 \h </w:instrText>
          </w:r>
          <w:r>
            <w:fldChar w:fldCharType="separate"/>
          </w:r>
          <w:r>
            <w:t>3</w:t>
          </w:r>
          <w:r>
            <w:fldChar w:fldCharType="end"/>
          </w:r>
          <w:r>
            <w:fldChar w:fldCharType="end"/>
          </w:r>
        </w:p>
        <w:p>
          <w:pPr>
            <w:pStyle w:val="27"/>
            <w:tabs>
              <w:tab w:val="right" w:leader="dot" w:pos="8306"/>
            </w:tabs>
            <w:ind w:left="420"/>
          </w:pPr>
          <w:r>
            <w:fldChar w:fldCharType="begin"/>
          </w:r>
          <w:r>
            <w:instrText xml:space="preserve"> HYPERLINK \l "_Toc14171" </w:instrText>
          </w:r>
          <w:r>
            <w:fldChar w:fldCharType="separate"/>
          </w:r>
          <w:r>
            <w:rPr>
              <w:rFonts w:hint="eastAsia" w:ascii="楷体" w:eastAsia="楷体" w:cs="楷体"/>
              <w:bCs/>
              <w:szCs w:val="32"/>
            </w:rPr>
            <w:t>（二）2020年重点工作完成情况</w:t>
          </w:r>
          <w:r>
            <w:tab/>
          </w:r>
          <w:r>
            <w:fldChar w:fldCharType="begin"/>
          </w:r>
          <w:r>
            <w:instrText xml:space="preserve"> PAGEREF _Toc14171 \h </w:instrText>
          </w:r>
          <w:r>
            <w:fldChar w:fldCharType="separate"/>
          </w:r>
          <w:r>
            <w:t>3</w:t>
          </w:r>
          <w:r>
            <w:fldChar w:fldCharType="end"/>
          </w:r>
          <w:r>
            <w:fldChar w:fldCharType="end"/>
          </w:r>
        </w:p>
        <w:p>
          <w:pPr>
            <w:pStyle w:val="27"/>
            <w:tabs>
              <w:tab w:val="right" w:leader="dot" w:pos="8306"/>
            </w:tabs>
            <w:ind w:left="420"/>
          </w:pPr>
          <w:r>
            <w:fldChar w:fldCharType="begin"/>
          </w:r>
          <w:r>
            <w:instrText xml:space="preserve"> HYPERLINK \l "_Toc11676" </w:instrText>
          </w:r>
          <w:r>
            <w:fldChar w:fldCharType="separate"/>
          </w:r>
          <w:r>
            <w:rPr>
              <w:rFonts w:hint="eastAsia" w:ascii="黑体" w:eastAsia="黑体"/>
            </w:rPr>
            <w:t>二、机构设置</w:t>
          </w:r>
          <w:r>
            <w:tab/>
          </w:r>
          <w:r>
            <w:fldChar w:fldCharType="begin"/>
          </w:r>
          <w:r>
            <w:instrText xml:space="preserve"> PAGEREF _Toc11676 \h </w:instrText>
          </w:r>
          <w:r>
            <w:fldChar w:fldCharType="separate"/>
          </w:r>
          <w:r>
            <w:t>4</w:t>
          </w:r>
          <w:r>
            <w:fldChar w:fldCharType="end"/>
          </w:r>
          <w:r>
            <w:fldChar w:fldCharType="end"/>
          </w:r>
        </w:p>
        <w:p>
          <w:pPr>
            <w:pStyle w:val="26"/>
            <w:tabs>
              <w:tab w:val="right" w:leader="dot" w:pos="8306"/>
            </w:tabs>
          </w:pPr>
          <w:r>
            <w:fldChar w:fldCharType="begin"/>
          </w:r>
          <w:r>
            <w:instrText xml:space="preserve"> HYPERLINK \l "_Toc29183" </w:instrText>
          </w:r>
          <w:r>
            <w:fldChar w:fldCharType="separate"/>
          </w:r>
          <w:r>
            <w:rPr>
              <w:rFonts w:hint="eastAsia" w:ascii="黑体" w:eastAsia="黑体"/>
            </w:rPr>
            <w:t>第二部分 2020年度部门决算情况说明</w:t>
          </w:r>
          <w:r>
            <w:tab/>
          </w:r>
          <w:r>
            <w:fldChar w:fldCharType="begin"/>
          </w:r>
          <w:r>
            <w:instrText xml:space="preserve"> PAGEREF _Toc29183 \h </w:instrText>
          </w:r>
          <w:r>
            <w:fldChar w:fldCharType="separate"/>
          </w:r>
          <w:r>
            <w:t>5</w:t>
          </w:r>
          <w:r>
            <w:fldChar w:fldCharType="end"/>
          </w:r>
          <w:r>
            <w:fldChar w:fldCharType="end"/>
          </w:r>
        </w:p>
        <w:p>
          <w:pPr>
            <w:pStyle w:val="27"/>
            <w:tabs>
              <w:tab w:val="right" w:leader="dot" w:pos="8306"/>
            </w:tabs>
            <w:ind w:left="420"/>
          </w:pPr>
          <w:r>
            <w:fldChar w:fldCharType="begin"/>
          </w:r>
          <w:r>
            <w:instrText xml:space="preserve"> HYPERLINK \l "_Toc32337" </w:instrText>
          </w:r>
          <w:r>
            <w:fldChar w:fldCharType="separate"/>
          </w:r>
          <w:r>
            <w:rPr>
              <w:rFonts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_Toc32337 \h </w:instrText>
          </w:r>
          <w:r>
            <w:fldChar w:fldCharType="separate"/>
          </w:r>
          <w:r>
            <w:t>5</w:t>
          </w:r>
          <w:r>
            <w:fldChar w:fldCharType="end"/>
          </w:r>
          <w:r>
            <w:fldChar w:fldCharType="end"/>
          </w:r>
        </w:p>
        <w:p>
          <w:pPr>
            <w:pStyle w:val="27"/>
            <w:tabs>
              <w:tab w:val="right" w:leader="dot" w:pos="8306"/>
            </w:tabs>
            <w:ind w:left="420"/>
          </w:pPr>
          <w:r>
            <w:fldChar w:fldCharType="begin"/>
          </w:r>
          <w:r>
            <w:instrText xml:space="preserve"> HYPERLINK \l "_Toc11504" </w:instrText>
          </w:r>
          <w:r>
            <w:fldChar w:fldCharType="separate"/>
          </w:r>
          <w:r>
            <w:rPr>
              <w:rFonts w:hint="eastAsia" w:ascii="黑体" w:eastAsia="黑体"/>
              <w:kern w:val="2"/>
              <w:szCs w:val="32"/>
            </w:rPr>
            <w:t>三、支出决</w:t>
          </w:r>
          <w:r>
            <w:rPr>
              <w:rFonts w:hint="eastAsia" w:ascii="黑体" w:eastAsia="黑体"/>
            </w:rPr>
            <w:t>算情况说明</w:t>
          </w:r>
          <w:r>
            <w:tab/>
          </w:r>
          <w:r>
            <w:fldChar w:fldCharType="begin"/>
          </w:r>
          <w:r>
            <w:instrText xml:space="preserve"> PAGEREF _Toc11504 \h </w:instrText>
          </w:r>
          <w:r>
            <w:fldChar w:fldCharType="separate"/>
          </w:r>
          <w:r>
            <w:t>6</w:t>
          </w:r>
          <w:r>
            <w:fldChar w:fldCharType="end"/>
          </w:r>
          <w:r>
            <w:fldChar w:fldCharType="end"/>
          </w:r>
        </w:p>
        <w:p>
          <w:pPr>
            <w:pStyle w:val="27"/>
            <w:tabs>
              <w:tab w:val="right" w:leader="dot" w:pos="8306"/>
            </w:tabs>
            <w:ind w:left="420"/>
          </w:pPr>
          <w:r>
            <w:fldChar w:fldCharType="begin"/>
          </w:r>
          <w:r>
            <w:instrText xml:space="preserve"> HYPERLINK \l "_Toc7303" </w:instrText>
          </w:r>
          <w: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_Toc7303 \h </w:instrText>
          </w:r>
          <w:r>
            <w:fldChar w:fldCharType="separate"/>
          </w:r>
          <w:r>
            <w:t>6</w:t>
          </w:r>
          <w:r>
            <w:fldChar w:fldCharType="end"/>
          </w:r>
          <w:r>
            <w:fldChar w:fldCharType="end"/>
          </w:r>
        </w:p>
        <w:p>
          <w:pPr>
            <w:pStyle w:val="28"/>
            <w:tabs>
              <w:tab w:val="right" w:leader="dot" w:pos="8306"/>
            </w:tabs>
            <w:ind w:left="840"/>
          </w:pPr>
          <w:r>
            <w:fldChar w:fldCharType="begin"/>
          </w:r>
          <w:r>
            <w:instrText xml:space="preserve"> HYPERLINK \l "_Toc1391" </w:instrText>
          </w:r>
          <w:r>
            <w:fldChar w:fldCharType="separate"/>
          </w:r>
          <w:r>
            <w:rPr>
              <w:rFonts w:hint="eastAsia" w:ascii="仿宋" w:eastAsia="仿宋"/>
              <w:szCs w:val="32"/>
            </w:rPr>
            <w:t>（一）一般公共预算财政拨款支出决算总体情况</w:t>
          </w:r>
          <w:r>
            <w:tab/>
          </w:r>
          <w:r>
            <w:fldChar w:fldCharType="begin"/>
          </w:r>
          <w:r>
            <w:instrText xml:space="preserve"> PAGEREF _Toc1391 \h </w:instrText>
          </w:r>
          <w:r>
            <w:fldChar w:fldCharType="separate"/>
          </w:r>
          <w:r>
            <w:t>7</w:t>
          </w:r>
          <w:r>
            <w:fldChar w:fldCharType="end"/>
          </w:r>
          <w:r>
            <w:fldChar w:fldCharType="end"/>
          </w:r>
        </w:p>
        <w:p>
          <w:pPr>
            <w:pStyle w:val="28"/>
            <w:tabs>
              <w:tab w:val="right" w:leader="dot" w:pos="8306"/>
            </w:tabs>
            <w:ind w:left="840"/>
          </w:pPr>
          <w:r>
            <w:fldChar w:fldCharType="begin"/>
          </w:r>
          <w:r>
            <w:instrText xml:space="preserve"> HYPERLINK \l "_Toc30171" </w:instrText>
          </w:r>
          <w:r>
            <w:fldChar w:fldCharType="separate"/>
          </w:r>
          <w:r>
            <w:rPr>
              <w:rFonts w:hint="eastAsia" w:ascii="仿宋" w:eastAsia="仿宋"/>
              <w:szCs w:val="32"/>
            </w:rPr>
            <w:t>（三）一般公共预算财政拨款支出决算具体情况</w:t>
          </w:r>
          <w:r>
            <w:tab/>
          </w:r>
          <w:r>
            <w:fldChar w:fldCharType="begin"/>
          </w:r>
          <w:r>
            <w:instrText xml:space="preserve"> PAGEREF _Toc30171 \h </w:instrText>
          </w:r>
          <w:r>
            <w:fldChar w:fldCharType="separate"/>
          </w:r>
          <w:r>
            <w:t>8</w:t>
          </w:r>
          <w:r>
            <w:fldChar w:fldCharType="end"/>
          </w:r>
          <w:r>
            <w:fldChar w:fldCharType="end"/>
          </w:r>
        </w:p>
        <w:p>
          <w:pPr>
            <w:pStyle w:val="27"/>
            <w:tabs>
              <w:tab w:val="right" w:leader="dot" w:pos="8306"/>
            </w:tabs>
            <w:ind w:left="420"/>
          </w:pPr>
          <w:r>
            <w:fldChar w:fldCharType="begin"/>
          </w:r>
          <w:r>
            <w:instrText xml:space="preserve"> HYPERLINK \l "_Toc5113" </w:instrText>
          </w:r>
          <w: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_Toc5113 \h </w:instrText>
          </w:r>
          <w:r>
            <w:fldChar w:fldCharType="separate"/>
          </w:r>
          <w:r>
            <w:t>10</w:t>
          </w:r>
          <w:r>
            <w:fldChar w:fldCharType="end"/>
          </w:r>
          <w:r>
            <w:fldChar w:fldCharType="end"/>
          </w:r>
        </w:p>
        <w:p>
          <w:pPr>
            <w:pStyle w:val="28"/>
            <w:tabs>
              <w:tab w:val="right" w:leader="dot" w:pos="8306"/>
            </w:tabs>
            <w:ind w:left="840"/>
          </w:pPr>
          <w:r>
            <w:fldChar w:fldCharType="begin"/>
          </w:r>
          <w:r>
            <w:instrText xml:space="preserve"> HYPERLINK \l "_Toc4080" </w:instrText>
          </w:r>
          <w:r>
            <w:fldChar w:fldCharType="separate"/>
          </w:r>
          <w:r>
            <w:rPr>
              <w:rFonts w:hint="eastAsia" w:ascii="仿宋" w:eastAsia="仿宋"/>
              <w:szCs w:val="32"/>
            </w:rPr>
            <w:t>（一）“三公”经费财政拨款支出决算总体情况说明</w:t>
          </w:r>
          <w:r>
            <w:tab/>
          </w:r>
          <w:r>
            <w:fldChar w:fldCharType="begin"/>
          </w:r>
          <w:r>
            <w:instrText xml:space="preserve"> PAGEREF _Toc4080 \h </w:instrText>
          </w:r>
          <w:r>
            <w:fldChar w:fldCharType="separate"/>
          </w:r>
          <w:r>
            <w:t>10</w:t>
          </w:r>
          <w:r>
            <w:fldChar w:fldCharType="end"/>
          </w:r>
          <w:r>
            <w:fldChar w:fldCharType="end"/>
          </w:r>
        </w:p>
        <w:p>
          <w:pPr>
            <w:pStyle w:val="28"/>
            <w:tabs>
              <w:tab w:val="right" w:leader="dot" w:pos="8306"/>
            </w:tabs>
            <w:ind w:left="840"/>
          </w:pPr>
          <w:r>
            <w:fldChar w:fldCharType="begin"/>
          </w:r>
          <w:r>
            <w:instrText xml:space="preserve"> HYPERLINK \l "_Toc18192" </w:instrText>
          </w:r>
          <w:r>
            <w:fldChar w:fldCharType="separate"/>
          </w:r>
          <w:r>
            <w:rPr>
              <w:rFonts w:hint="eastAsia" w:ascii="仿宋" w:eastAsia="仿宋"/>
              <w:szCs w:val="32"/>
            </w:rPr>
            <w:t>（二）“三公”经费财政拨款支出决算具体情况说明</w:t>
          </w:r>
          <w:r>
            <w:tab/>
          </w:r>
          <w:r>
            <w:fldChar w:fldCharType="begin"/>
          </w:r>
          <w:r>
            <w:instrText xml:space="preserve"> PAGEREF _Toc18192 \h </w:instrText>
          </w:r>
          <w:r>
            <w:fldChar w:fldCharType="separate"/>
          </w:r>
          <w:r>
            <w:t>11</w:t>
          </w:r>
          <w:r>
            <w:fldChar w:fldCharType="end"/>
          </w:r>
          <w:r>
            <w:fldChar w:fldCharType="end"/>
          </w:r>
        </w:p>
        <w:p>
          <w:pPr>
            <w:pStyle w:val="27"/>
            <w:tabs>
              <w:tab w:val="right" w:leader="dot" w:pos="8306"/>
            </w:tabs>
            <w:ind w:left="420"/>
          </w:pPr>
          <w:r>
            <w:fldChar w:fldCharType="begin"/>
          </w:r>
          <w:r>
            <w:instrText xml:space="preserve"> HYPERLINK \l "_Toc29584" </w:instrText>
          </w:r>
          <w: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_Toc29584 \h </w:instrText>
          </w:r>
          <w:r>
            <w:fldChar w:fldCharType="separate"/>
          </w:r>
          <w:r>
            <w:t>11</w:t>
          </w:r>
          <w:r>
            <w:fldChar w:fldCharType="end"/>
          </w:r>
          <w:r>
            <w:fldChar w:fldCharType="end"/>
          </w:r>
        </w:p>
        <w:p>
          <w:pPr>
            <w:pStyle w:val="27"/>
            <w:tabs>
              <w:tab w:val="right" w:leader="dot" w:pos="8306"/>
            </w:tabs>
            <w:ind w:left="420"/>
          </w:pPr>
          <w:r>
            <w:fldChar w:fldCharType="begin"/>
          </w:r>
          <w:r>
            <w:instrText xml:space="preserve"> HYPERLINK \l "_Toc18037" </w:instrText>
          </w:r>
          <w:r>
            <w:fldChar w:fldCharType="separate"/>
          </w:r>
          <w:r>
            <w:rPr>
              <w:rFonts w:hint="eastAsia" w:ascii="黑体" w:eastAsia="黑体"/>
            </w:rPr>
            <w:t>九、 国有资本经营预算支出决算情况说明</w:t>
          </w:r>
          <w:r>
            <w:tab/>
          </w:r>
          <w:r>
            <w:fldChar w:fldCharType="begin"/>
          </w:r>
          <w:r>
            <w:instrText xml:space="preserve"> PAGEREF _Toc18037 \h </w:instrText>
          </w:r>
          <w:r>
            <w:fldChar w:fldCharType="separate"/>
          </w:r>
          <w:r>
            <w:t>11</w:t>
          </w:r>
          <w:r>
            <w:fldChar w:fldCharType="end"/>
          </w:r>
          <w:r>
            <w:fldChar w:fldCharType="end"/>
          </w:r>
        </w:p>
        <w:p>
          <w:pPr>
            <w:pStyle w:val="27"/>
            <w:tabs>
              <w:tab w:val="right" w:leader="dot" w:pos="8306"/>
            </w:tabs>
            <w:ind w:left="420"/>
          </w:pPr>
          <w:r>
            <w:fldChar w:fldCharType="begin"/>
          </w:r>
          <w:r>
            <w:instrText xml:space="preserve"> HYPERLINK \l "_Toc27367" </w:instrText>
          </w:r>
          <w:r>
            <w:fldChar w:fldCharType="separate"/>
          </w:r>
          <w:r>
            <w:rPr>
              <w:rFonts w:ascii="仿宋" w:eastAsia="仿宋" w:cs="楷体_GB2312"/>
              <w:bCs/>
              <w:szCs w:val="32"/>
            </w:rPr>
            <w:t xml:space="preserve">十、 </w:t>
          </w:r>
          <w:r>
            <w:rPr>
              <w:rFonts w:hint="eastAsia" w:ascii="黑体" w:eastAsia="黑体"/>
            </w:rPr>
            <w:t>预算绩效情况说明</w:t>
          </w:r>
          <w:r>
            <w:tab/>
          </w:r>
          <w:r>
            <w:fldChar w:fldCharType="begin"/>
          </w:r>
          <w:r>
            <w:instrText xml:space="preserve"> PAGEREF _Toc27367 \h </w:instrText>
          </w:r>
          <w:r>
            <w:fldChar w:fldCharType="separate"/>
          </w:r>
          <w:r>
            <w:t>11</w:t>
          </w:r>
          <w:r>
            <w:fldChar w:fldCharType="end"/>
          </w:r>
          <w:r>
            <w:fldChar w:fldCharType="end"/>
          </w:r>
        </w:p>
        <w:p>
          <w:pPr>
            <w:pStyle w:val="27"/>
            <w:tabs>
              <w:tab w:val="right" w:leader="dot" w:pos="8306"/>
            </w:tabs>
            <w:ind w:left="420"/>
          </w:pPr>
          <w:r>
            <w:fldChar w:fldCharType="begin"/>
          </w:r>
          <w:r>
            <w:instrText xml:space="preserve"> HYPERLINK \l "_Toc17823" </w:instrText>
          </w:r>
          <w:r>
            <w:fldChar w:fldCharType="separate"/>
          </w:r>
          <w:r>
            <w:rPr>
              <w:rFonts w:hint="eastAsia" w:ascii="黑体" w:eastAsia="黑体"/>
              <w:szCs w:val="32"/>
            </w:rPr>
            <w:t>十</w:t>
          </w:r>
          <w:r>
            <w:rPr>
              <w:rFonts w:hint="eastAsia" w:ascii="黑体" w:eastAsia="黑体"/>
            </w:rPr>
            <w:t>一、其他重要事项的情况说明</w:t>
          </w:r>
          <w:r>
            <w:tab/>
          </w:r>
          <w:r>
            <w:fldChar w:fldCharType="begin"/>
          </w:r>
          <w:r>
            <w:instrText xml:space="preserve"> PAGEREF _Toc17823 \h </w:instrText>
          </w:r>
          <w:r>
            <w:fldChar w:fldCharType="separate"/>
          </w:r>
          <w:r>
            <w:t>12</w:t>
          </w:r>
          <w:r>
            <w:fldChar w:fldCharType="end"/>
          </w:r>
          <w:r>
            <w:fldChar w:fldCharType="end"/>
          </w:r>
        </w:p>
        <w:p>
          <w:pPr>
            <w:pStyle w:val="28"/>
            <w:tabs>
              <w:tab w:val="right" w:leader="dot" w:pos="8306"/>
            </w:tabs>
            <w:ind w:left="840"/>
          </w:pPr>
          <w:r>
            <w:fldChar w:fldCharType="begin"/>
          </w:r>
          <w:r>
            <w:instrText xml:space="preserve"> HYPERLINK \l "_Toc16128" </w:instrText>
          </w:r>
          <w:r>
            <w:fldChar w:fldCharType="separate"/>
          </w:r>
          <w:r>
            <w:rPr>
              <w:rFonts w:hint="eastAsia" w:ascii="仿宋" w:eastAsia="仿宋"/>
              <w:szCs w:val="32"/>
            </w:rPr>
            <w:t>（一）机关运行经费支出情况</w:t>
          </w:r>
          <w:r>
            <w:tab/>
          </w:r>
          <w:r>
            <w:fldChar w:fldCharType="begin"/>
          </w:r>
          <w:r>
            <w:instrText xml:space="preserve"> PAGEREF _Toc16128 \h </w:instrText>
          </w:r>
          <w:r>
            <w:fldChar w:fldCharType="separate"/>
          </w:r>
          <w:r>
            <w:t>12</w:t>
          </w:r>
          <w:r>
            <w:fldChar w:fldCharType="end"/>
          </w:r>
          <w:r>
            <w:fldChar w:fldCharType="end"/>
          </w:r>
        </w:p>
        <w:p>
          <w:pPr>
            <w:pStyle w:val="28"/>
            <w:tabs>
              <w:tab w:val="right" w:leader="dot" w:pos="8306"/>
            </w:tabs>
            <w:ind w:left="840"/>
          </w:pPr>
          <w:r>
            <w:fldChar w:fldCharType="begin"/>
          </w:r>
          <w:r>
            <w:instrText xml:space="preserve"> HYPERLINK \l "_Toc3800" </w:instrText>
          </w:r>
          <w:r>
            <w:fldChar w:fldCharType="separate"/>
          </w:r>
          <w:r>
            <w:rPr>
              <w:rFonts w:hint="eastAsia" w:ascii="仿宋" w:eastAsia="仿宋"/>
              <w:szCs w:val="32"/>
            </w:rPr>
            <w:t>（二）政府采购支出情况</w:t>
          </w:r>
          <w:r>
            <w:tab/>
          </w:r>
          <w:r>
            <w:fldChar w:fldCharType="begin"/>
          </w:r>
          <w:r>
            <w:instrText xml:space="preserve"> PAGEREF _Toc3800 \h </w:instrText>
          </w:r>
          <w:r>
            <w:fldChar w:fldCharType="separate"/>
          </w:r>
          <w:r>
            <w:t>12</w:t>
          </w:r>
          <w:r>
            <w:fldChar w:fldCharType="end"/>
          </w:r>
          <w:r>
            <w:fldChar w:fldCharType="end"/>
          </w:r>
        </w:p>
        <w:p>
          <w:pPr>
            <w:pStyle w:val="28"/>
            <w:tabs>
              <w:tab w:val="right" w:leader="dot" w:pos="8306"/>
            </w:tabs>
            <w:ind w:left="840"/>
          </w:pPr>
          <w:r>
            <w:fldChar w:fldCharType="begin"/>
          </w:r>
          <w:r>
            <w:instrText xml:space="preserve"> HYPERLINK \l "_Toc31915" </w:instrText>
          </w:r>
          <w:r>
            <w:fldChar w:fldCharType="separate"/>
          </w:r>
          <w:r>
            <w:rPr>
              <w:rFonts w:hint="eastAsia" w:ascii="仿宋" w:eastAsia="仿宋"/>
              <w:szCs w:val="32"/>
            </w:rPr>
            <w:t>（三）国有资产占有使用情况</w:t>
          </w:r>
          <w:r>
            <w:tab/>
          </w:r>
          <w:r>
            <w:fldChar w:fldCharType="begin"/>
          </w:r>
          <w:r>
            <w:instrText xml:space="preserve"> PAGEREF _Toc31915 \h </w:instrText>
          </w:r>
          <w:r>
            <w:fldChar w:fldCharType="separate"/>
          </w:r>
          <w:r>
            <w:t>12</w:t>
          </w:r>
          <w:r>
            <w:fldChar w:fldCharType="end"/>
          </w:r>
          <w:r>
            <w:fldChar w:fldCharType="end"/>
          </w:r>
        </w:p>
        <w:p>
          <w:pPr>
            <w:pStyle w:val="26"/>
            <w:tabs>
              <w:tab w:val="right" w:leader="dot" w:pos="8306"/>
            </w:tabs>
          </w:pPr>
          <w:r>
            <w:fldChar w:fldCharType="begin"/>
          </w:r>
          <w:r>
            <w:instrText xml:space="preserve"> HYPERLINK \l "_Toc22857" </w:instrText>
          </w:r>
          <w:r>
            <w:fldChar w:fldCharType="separate"/>
          </w:r>
          <w:r>
            <w:rPr>
              <w:rFonts w:hint="eastAsia" w:ascii="黑体" w:eastAsia="黑体"/>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_Toc22857 \h </w:instrText>
          </w:r>
          <w:r>
            <w:fldChar w:fldCharType="separate"/>
          </w:r>
          <w:r>
            <w:t>12</w:t>
          </w:r>
          <w:r>
            <w:fldChar w:fldCharType="end"/>
          </w:r>
          <w:r>
            <w:fldChar w:fldCharType="end"/>
          </w:r>
        </w:p>
        <w:p>
          <w:pPr>
            <w:pStyle w:val="27"/>
            <w:tabs>
              <w:tab w:val="right" w:leader="dot" w:pos="8306"/>
            </w:tabs>
            <w:ind w:left="420"/>
          </w:pPr>
          <w:r>
            <w:fldChar w:fldCharType="begin"/>
          </w:r>
          <w:r>
            <w:instrText xml:space="preserve"> HYPERLINK \l "_Toc17022" </w:instrText>
          </w:r>
          <w:r>
            <w:fldChar w:fldCharType="separate"/>
          </w:r>
          <w:r>
            <w:rPr>
              <w:rFonts w:hint="eastAsia" w:ascii="仿宋" w:eastAsia="仿宋"/>
              <w:szCs w:val="32"/>
            </w:rPr>
            <w:t>附件1</w:t>
          </w:r>
          <w:r>
            <w:tab/>
          </w:r>
          <w:r>
            <w:fldChar w:fldCharType="begin"/>
          </w:r>
          <w:r>
            <w:instrText xml:space="preserve"> PAGEREF _Toc17022 \h </w:instrText>
          </w:r>
          <w:r>
            <w:fldChar w:fldCharType="separate"/>
          </w:r>
          <w:r>
            <w:t>15</w:t>
          </w:r>
          <w:r>
            <w:fldChar w:fldCharType="end"/>
          </w:r>
          <w:r>
            <w:fldChar w:fldCharType="end"/>
          </w:r>
        </w:p>
        <w:p>
          <w:pPr>
            <w:pStyle w:val="26"/>
            <w:tabs>
              <w:tab w:val="right" w:leader="dot" w:pos="8306"/>
            </w:tabs>
          </w:pPr>
          <w:r>
            <w:fldChar w:fldCharType="begin"/>
          </w:r>
          <w:r>
            <w:instrText xml:space="preserve"> HYPERLINK \l "_Toc16163" </w:instrText>
          </w:r>
          <w:r>
            <w:fldChar w:fldCharType="separate"/>
          </w:r>
          <w:r>
            <w:rPr>
              <w:rFonts w:hint="eastAsia" w:ascii="黑体" w:eastAsia="黑体"/>
            </w:rPr>
            <w:t>第四部分 附件</w:t>
          </w:r>
          <w:r>
            <w:tab/>
          </w:r>
          <w:r>
            <w:fldChar w:fldCharType="begin"/>
          </w:r>
          <w:r>
            <w:instrText xml:space="preserve"> PAGEREF _Toc16163 \h </w:instrText>
          </w:r>
          <w:r>
            <w:fldChar w:fldCharType="separate"/>
          </w:r>
          <w:r>
            <w:t>15</w:t>
          </w:r>
          <w:r>
            <w:fldChar w:fldCharType="end"/>
          </w:r>
          <w:r>
            <w:fldChar w:fldCharType="end"/>
          </w:r>
        </w:p>
        <w:p>
          <w:pPr>
            <w:pStyle w:val="27"/>
            <w:tabs>
              <w:tab w:val="right" w:leader="dot" w:pos="8306"/>
            </w:tabs>
            <w:ind w:left="420"/>
          </w:pPr>
          <w:r>
            <w:fldChar w:fldCharType="begin"/>
          </w:r>
          <w:r>
            <w:instrText xml:space="preserve"> HYPERLINK \l "_Toc16407" </w:instrText>
          </w:r>
          <w:r>
            <w:fldChar w:fldCharType="separate"/>
          </w:r>
          <w:r>
            <w:rPr>
              <w:rFonts w:hint="eastAsia" w:ascii="黑体" w:eastAsia="黑体"/>
            </w:rPr>
            <w:t>金川县融媒体中心</w:t>
          </w:r>
          <w:r>
            <w:rPr>
              <w:rFonts w:hint="eastAsia" w:ascii="方正小标宋简体" w:eastAsia="方正小标宋简体"/>
              <w:szCs w:val="44"/>
            </w:rPr>
            <w:t>2020年部门整体支出绩效评价报告</w:t>
          </w:r>
          <w:r>
            <w:tab/>
          </w:r>
          <w:r>
            <w:fldChar w:fldCharType="begin"/>
          </w:r>
          <w:r>
            <w:instrText xml:space="preserve"> PAGEREF _Toc16407 \h </w:instrText>
          </w:r>
          <w:r>
            <w:fldChar w:fldCharType="separate"/>
          </w:r>
          <w:r>
            <w:t>15</w:t>
          </w:r>
          <w:r>
            <w:fldChar w:fldCharType="end"/>
          </w:r>
          <w:r>
            <w:fldChar w:fldCharType="end"/>
          </w:r>
        </w:p>
        <w:p>
          <w:pPr>
            <w:pStyle w:val="27"/>
            <w:tabs>
              <w:tab w:val="right" w:leader="dot" w:pos="8306"/>
            </w:tabs>
            <w:ind w:left="420"/>
          </w:pPr>
          <w:r>
            <w:fldChar w:fldCharType="begin"/>
          </w:r>
          <w:r>
            <w:instrText xml:space="preserve"> HYPERLINK \l "_Toc14720" </w:instrText>
          </w:r>
          <w:r>
            <w:fldChar w:fldCharType="separate"/>
          </w:r>
          <w:r>
            <w:rPr>
              <w:rFonts w:hint="eastAsia" w:ascii="黑体" w:hAnsi="宋体" w:eastAsia="黑体" w:cs="宋体"/>
              <w:szCs w:val="32"/>
            </w:rPr>
            <w:t>一</w:t>
          </w:r>
          <w:r>
            <w:rPr>
              <w:rFonts w:hint="eastAsia" w:ascii="仿宋" w:hAnsi="仿宋" w:eastAsia="仿宋" w:cs="宋体"/>
              <w:szCs w:val="32"/>
            </w:rPr>
            <w:t>、</w:t>
          </w:r>
          <w:r>
            <w:rPr>
              <w:rFonts w:hint="eastAsia" w:ascii="仿宋" w:hAnsi="仿宋" w:eastAsia="仿宋" w:cs="宋体"/>
              <w:szCs w:val="32"/>
              <w:lang w:val="zh-CN"/>
            </w:rPr>
            <w:t>部门（单位）概况</w:t>
          </w:r>
          <w:r>
            <w:tab/>
          </w:r>
          <w:r>
            <w:fldChar w:fldCharType="begin"/>
          </w:r>
          <w:r>
            <w:instrText xml:space="preserve"> PAGEREF _Toc14720 \h </w:instrText>
          </w:r>
          <w:r>
            <w:fldChar w:fldCharType="separate"/>
          </w:r>
          <w:r>
            <w:t>15</w:t>
          </w:r>
          <w:r>
            <w:fldChar w:fldCharType="end"/>
          </w:r>
          <w:r>
            <w:fldChar w:fldCharType="end"/>
          </w:r>
        </w:p>
        <w:p>
          <w:pPr>
            <w:pStyle w:val="28"/>
            <w:tabs>
              <w:tab w:val="right" w:leader="dot" w:pos="8306"/>
            </w:tabs>
            <w:ind w:left="840"/>
          </w:pPr>
          <w:r>
            <w:fldChar w:fldCharType="begin"/>
          </w:r>
          <w:r>
            <w:instrText xml:space="preserve"> HYPERLINK \l "_Toc30118" </w:instrText>
          </w:r>
          <w:r>
            <w:fldChar w:fldCharType="separate"/>
          </w:r>
          <w:r>
            <w:rPr>
              <w:rFonts w:hint="eastAsia" w:ascii="仿宋" w:hAnsi="仿宋" w:eastAsia="仿宋" w:cs="宋体"/>
              <w:szCs w:val="32"/>
              <w:lang w:val="zh-CN"/>
            </w:rPr>
            <w:t>（一）机构组成</w:t>
          </w:r>
          <w:r>
            <w:tab/>
          </w:r>
          <w:r>
            <w:fldChar w:fldCharType="begin"/>
          </w:r>
          <w:r>
            <w:instrText xml:space="preserve"> PAGEREF _Toc30118 \h </w:instrText>
          </w:r>
          <w:r>
            <w:fldChar w:fldCharType="separate"/>
          </w:r>
          <w:r>
            <w:t>15</w:t>
          </w:r>
          <w:r>
            <w:fldChar w:fldCharType="end"/>
          </w:r>
          <w:r>
            <w:fldChar w:fldCharType="end"/>
          </w:r>
        </w:p>
        <w:p>
          <w:pPr>
            <w:pStyle w:val="28"/>
            <w:tabs>
              <w:tab w:val="right" w:leader="dot" w:pos="8306"/>
            </w:tabs>
            <w:ind w:left="840"/>
          </w:pPr>
          <w:r>
            <w:fldChar w:fldCharType="begin"/>
          </w:r>
          <w:r>
            <w:instrText xml:space="preserve"> HYPERLINK \l "_Toc12422" </w:instrText>
          </w:r>
          <w:r>
            <w:fldChar w:fldCharType="separate"/>
          </w:r>
          <w:r>
            <w:rPr>
              <w:rFonts w:hint="eastAsia" w:ascii="仿宋" w:hAnsi="仿宋" w:eastAsia="仿宋" w:cs="宋体"/>
              <w:szCs w:val="32"/>
              <w:lang w:val="zh-CN"/>
            </w:rPr>
            <w:t>（二） 机构职能</w:t>
          </w:r>
          <w:r>
            <w:tab/>
          </w:r>
          <w:r>
            <w:fldChar w:fldCharType="begin"/>
          </w:r>
          <w:r>
            <w:instrText xml:space="preserve"> PAGEREF _Toc12422 \h </w:instrText>
          </w:r>
          <w:r>
            <w:fldChar w:fldCharType="separate"/>
          </w:r>
          <w:r>
            <w:t>15</w:t>
          </w:r>
          <w:r>
            <w:fldChar w:fldCharType="end"/>
          </w:r>
          <w:r>
            <w:fldChar w:fldCharType="end"/>
          </w:r>
        </w:p>
        <w:p>
          <w:pPr>
            <w:pStyle w:val="28"/>
            <w:tabs>
              <w:tab w:val="right" w:leader="dot" w:pos="8306"/>
            </w:tabs>
            <w:ind w:left="840"/>
          </w:pPr>
          <w:r>
            <w:fldChar w:fldCharType="begin"/>
          </w:r>
          <w:r>
            <w:instrText xml:space="preserve"> HYPERLINK \l "_Toc14496" </w:instrText>
          </w:r>
          <w:r>
            <w:fldChar w:fldCharType="separate"/>
          </w:r>
          <w:r>
            <w:rPr>
              <w:rFonts w:hint="eastAsia" w:ascii="仿宋" w:hAnsi="仿宋" w:eastAsia="仿宋" w:cs="宋体"/>
              <w:szCs w:val="32"/>
              <w:lang w:val="zh-CN"/>
            </w:rPr>
            <w:t>（三）人员概况</w:t>
          </w:r>
          <w:r>
            <w:tab/>
          </w:r>
          <w:r>
            <w:fldChar w:fldCharType="begin"/>
          </w:r>
          <w:r>
            <w:instrText xml:space="preserve"> PAGEREF _Toc14496 \h </w:instrText>
          </w:r>
          <w:r>
            <w:fldChar w:fldCharType="separate"/>
          </w:r>
          <w:r>
            <w:t>15</w:t>
          </w:r>
          <w:r>
            <w:fldChar w:fldCharType="end"/>
          </w:r>
          <w:r>
            <w:fldChar w:fldCharType="end"/>
          </w:r>
        </w:p>
        <w:p>
          <w:pPr>
            <w:pStyle w:val="27"/>
            <w:tabs>
              <w:tab w:val="right" w:leader="dot" w:pos="8306"/>
            </w:tabs>
            <w:ind w:left="420"/>
          </w:pPr>
          <w:r>
            <w:fldChar w:fldCharType="begin"/>
          </w:r>
          <w:r>
            <w:instrText xml:space="preserve"> HYPERLINK \l "_Toc8723" </w:instrText>
          </w:r>
          <w:r>
            <w:fldChar w:fldCharType="separate"/>
          </w:r>
          <w:r>
            <w:rPr>
              <w:rFonts w:hint="eastAsia" w:ascii="仿宋" w:hAnsi="仿宋" w:eastAsia="仿宋" w:cs="宋体"/>
              <w:szCs w:val="32"/>
            </w:rPr>
            <w:t>二、部门财政资金收支情况</w:t>
          </w:r>
          <w:r>
            <w:tab/>
          </w:r>
          <w:r>
            <w:fldChar w:fldCharType="begin"/>
          </w:r>
          <w:r>
            <w:instrText xml:space="preserve"> PAGEREF _Toc8723 \h </w:instrText>
          </w:r>
          <w:r>
            <w:fldChar w:fldCharType="separate"/>
          </w:r>
          <w:r>
            <w:t>15</w:t>
          </w:r>
          <w:r>
            <w:fldChar w:fldCharType="end"/>
          </w:r>
          <w:r>
            <w:fldChar w:fldCharType="end"/>
          </w:r>
        </w:p>
        <w:p>
          <w:pPr>
            <w:pStyle w:val="27"/>
            <w:tabs>
              <w:tab w:val="right" w:leader="dot" w:pos="8306"/>
            </w:tabs>
            <w:ind w:left="420"/>
          </w:pPr>
          <w:r>
            <w:fldChar w:fldCharType="begin"/>
          </w:r>
          <w:r>
            <w:instrText xml:space="preserve"> HYPERLINK \l "_Toc7334" </w:instrText>
          </w:r>
          <w:r>
            <w:fldChar w:fldCharType="separate"/>
          </w:r>
          <w:r>
            <w:fldChar w:fldCharType="end"/>
          </w:r>
        </w:p>
        <w:p>
          <w:pPr>
            <w:pStyle w:val="27"/>
            <w:tabs>
              <w:tab w:val="right" w:leader="dot" w:pos="8306"/>
            </w:tabs>
            <w:ind w:left="420"/>
          </w:pPr>
          <w:r>
            <w:fldChar w:fldCharType="begin"/>
          </w:r>
          <w:r>
            <w:instrText xml:space="preserve"> HYPERLINK \l "_Toc5018" </w:instrText>
          </w:r>
          <w:r>
            <w:fldChar w:fldCharType="separate"/>
          </w:r>
          <w:r>
            <w:rPr>
              <w:rFonts w:hint="eastAsia" w:ascii="仿宋" w:hAnsi="仿宋" w:eastAsia="仿宋" w:cs="宋体"/>
              <w:szCs w:val="32"/>
            </w:rPr>
            <w:t>三、</w:t>
          </w:r>
          <w:r>
            <w:rPr>
              <w:rFonts w:hint="eastAsia" w:ascii="仿宋" w:hAnsi="仿宋" w:eastAsia="仿宋" w:cs="宋体"/>
              <w:szCs w:val="32"/>
              <w:shd w:val="clear" w:color="auto" w:fill="FFFFFF"/>
            </w:rPr>
            <w:t>部门整体预算绩效管理情况</w:t>
          </w:r>
          <w:r>
            <w:tab/>
          </w:r>
          <w:r>
            <w:fldChar w:fldCharType="begin"/>
          </w:r>
          <w:r>
            <w:instrText xml:space="preserve"> PAGEREF _Toc5018 \h </w:instrText>
          </w:r>
          <w:r>
            <w:fldChar w:fldCharType="separate"/>
          </w:r>
          <w:r>
            <w:t>16</w:t>
          </w:r>
          <w:r>
            <w:fldChar w:fldCharType="end"/>
          </w:r>
          <w:r>
            <w:fldChar w:fldCharType="end"/>
          </w:r>
        </w:p>
        <w:p>
          <w:pPr>
            <w:pStyle w:val="28"/>
            <w:tabs>
              <w:tab w:val="right" w:leader="dot" w:pos="8306"/>
            </w:tabs>
            <w:ind w:left="840"/>
          </w:pPr>
          <w:r>
            <w:fldChar w:fldCharType="begin"/>
          </w:r>
          <w:r>
            <w:instrText xml:space="preserve"> HYPERLINK \l "_Toc6250" </w:instrText>
          </w:r>
          <w:r>
            <w:fldChar w:fldCharType="separate"/>
          </w:r>
          <w:r>
            <w:rPr>
              <w:rFonts w:hint="eastAsia" w:ascii="仿宋" w:hAnsi="仿宋" w:eastAsia="仿宋" w:cs="宋体"/>
              <w:szCs w:val="32"/>
              <w:lang w:val="zh-CN"/>
            </w:rPr>
            <w:t>（一）部门预算管理</w:t>
          </w:r>
          <w:r>
            <w:tab/>
          </w:r>
          <w:r>
            <w:fldChar w:fldCharType="begin"/>
          </w:r>
          <w:r>
            <w:instrText xml:space="preserve"> PAGEREF _Toc6250 \h </w:instrText>
          </w:r>
          <w:r>
            <w:fldChar w:fldCharType="separate"/>
          </w:r>
          <w:r>
            <w:t>16</w:t>
          </w:r>
          <w:r>
            <w:fldChar w:fldCharType="end"/>
          </w:r>
          <w:r>
            <w:fldChar w:fldCharType="end"/>
          </w:r>
        </w:p>
        <w:p>
          <w:pPr>
            <w:pStyle w:val="28"/>
            <w:tabs>
              <w:tab w:val="right" w:leader="dot" w:pos="8306"/>
            </w:tabs>
            <w:ind w:left="840"/>
          </w:pPr>
          <w:r>
            <w:fldChar w:fldCharType="begin"/>
          </w:r>
          <w:r>
            <w:instrText xml:space="preserve"> HYPERLINK \l "_Toc13282" </w:instrText>
          </w:r>
          <w:r>
            <w:fldChar w:fldCharType="separate"/>
          </w:r>
          <w:r>
            <w:rPr>
              <w:rFonts w:hint="eastAsia" w:ascii="仿宋" w:hAnsi="仿宋" w:eastAsia="仿宋"/>
              <w:szCs w:val="32"/>
              <w:lang w:val="zh-CN"/>
            </w:rPr>
            <w:t>（二）结果应用情况</w:t>
          </w:r>
          <w:r>
            <w:tab/>
          </w:r>
          <w:r>
            <w:fldChar w:fldCharType="begin"/>
          </w:r>
          <w:r>
            <w:instrText xml:space="preserve"> PAGEREF _Toc13282 \h </w:instrText>
          </w:r>
          <w:r>
            <w:fldChar w:fldCharType="separate"/>
          </w:r>
          <w:r>
            <w:t>16</w:t>
          </w:r>
          <w:r>
            <w:fldChar w:fldCharType="end"/>
          </w:r>
          <w:r>
            <w:fldChar w:fldCharType="end"/>
          </w:r>
        </w:p>
        <w:p>
          <w:pPr>
            <w:pStyle w:val="27"/>
            <w:tabs>
              <w:tab w:val="right" w:leader="dot" w:pos="8306"/>
            </w:tabs>
            <w:ind w:left="420"/>
          </w:pPr>
          <w:r>
            <w:fldChar w:fldCharType="begin"/>
          </w:r>
          <w:r>
            <w:instrText xml:space="preserve"> HYPERLINK \l "_Toc28400" </w:instrText>
          </w:r>
          <w:r>
            <w:fldChar w:fldCharType="separate"/>
          </w:r>
          <w:r>
            <w:rPr>
              <w:rFonts w:hint="eastAsia" w:ascii="仿宋" w:hAnsi="仿宋" w:eastAsia="仿宋" w:cs="宋体"/>
              <w:szCs w:val="32"/>
            </w:rPr>
            <w:t>四、</w:t>
          </w:r>
          <w:r>
            <w:rPr>
              <w:rFonts w:hint="eastAsia" w:ascii="仿宋" w:hAnsi="仿宋" w:eastAsia="仿宋" w:cs="宋体"/>
              <w:szCs w:val="32"/>
              <w:lang w:val="zh-CN"/>
            </w:rPr>
            <w:t>评</w:t>
          </w:r>
          <w:r>
            <w:rPr>
              <w:rFonts w:hint="eastAsia" w:ascii="仿宋" w:hAnsi="仿宋" w:eastAsia="仿宋" w:cs="宋体"/>
              <w:szCs w:val="32"/>
            </w:rPr>
            <w:t>价结论及建议</w:t>
          </w:r>
          <w:r>
            <w:tab/>
          </w:r>
          <w:r>
            <w:fldChar w:fldCharType="begin"/>
          </w:r>
          <w:r>
            <w:instrText xml:space="preserve"> PAGEREF _Toc28400 \h </w:instrText>
          </w:r>
          <w:r>
            <w:fldChar w:fldCharType="separate"/>
          </w:r>
          <w:r>
            <w:t>17</w:t>
          </w:r>
          <w:r>
            <w:fldChar w:fldCharType="end"/>
          </w:r>
          <w:r>
            <w:fldChar w:fldCharType="end"/>
          </w:r>
        </w:p>
        <w:p>
          <w:pPr>
            <w:pStyle w:val="28"/>
            <w:tabs>
              <w:tab w:val="right" w:leader="dot" w:pos="8306"/>
            </w:tabs>
            <w:ind w:left="840"/>
          </w:pPr>
          <w:r>
            <w:fldChar w:fldCharType="begin"/>
          </w:r>
          <w:r>
            <w:instrText xml:space="preserve"> HYPERLINK \l "_Toc13272" </w:instrText>
          </w:r>
          <w:r>
            <w:fldChar w:fldCharType="separate"/>
          </w:r>
          <w:r>
            <w:rPr>
              <w:rFonts w:hint="eastAsia" w:ascii="仿宋" w:hAnsi="仿宋" w:eastAsia="仿宋" w:cs="宋体"/>
              <w:szCs w:val="32"/>
              <w:lang w:val="zh-CN"/>
            </w:rPr>
            <w:t>（一）评价结论</w:t>
          </w:r>
          <w:r>
            <w:tab/>
          </w:r>
          <w:r>
            <w:fldChar w:fldCharType="begin"/>
          </w:r>
          <w:r>
            <w:instrText xml:space="preserve"> PAGEREF _Toc13272 \h </w:instrText>
          </w:r>
          <w:r>
            <w:fldChar w:fldCharType="separate"/>
          </w:r>
          <w:r>
            <w:t>17</w:t>
          </w:r>
          <w:r>
            <w:fldChar w:fldCharType="end"/>
          </w:r>
          <w:r>
            <w:fldChar w:fldCharType="end"/>
          </w:r>
        </w:p>
        <w:p>
          <w:pPr>
            <w:pStyle w:val="28"/>
            <w:tabs>
              <w:tab w:val="right" w:leader="dot" w:pos="8306"/>
            </w:tabs>
            <w:ind w:left="840"/>
          </w:pPr>
          <w:r>
            <w:fldChar w:fldCharType="begin"/>
          </w:r>
          <w:r>
            <w:instrText xml:space="preserve"> HYPERLINK \l "_Toc26522" </w:instrText>
          </w:r>
          <w:r>
            <w:fldChar w:fldCharType="separate"/>
          </w:r>
          <w:r>
            <w:rPr>
              <w:rFonts w:hint="eastAsia" w:ascii="仿宋" w:hAnsi="仿宋" w:eastAsia="仿宋" w:cs="宋体"/>
              <w:szCs w:val="32"/>
              <w:lang w:val="zh-CN"/>
            </w:rPr>
            <w:t>（</w:t>
          </w:r>
          <w:r>
            <w:rPr>
              <w:rFonts w:hint="eastAsia" w:ascii="仿宋" w:hAnsi="仿宋" w:eastAsia="仿宋" w:cs="宋体"/>
              <w:szCs w:val="32"/>
            </w:rPr>
            <w:t>二</w:t>
          </w:r>
          <w:r>
            <w:rPr>
              <w:rFonts w:hint="eastAsia" w:ascii="仿宋" w:hAnsi="仿宋" w:eastAsia="仿宋" w:cs="宋体"/>
              <w:szCs w:val="32"/>
              <w:lang w:val="zh-CN"/>
            </w:rPr>
            <w:t>）存在问题</w:t>
          </w:r>
          <w:r>
            <w:tab/>
          </w:r>
          <w:r>
            <w:fldChar w:fldCharType="begin"/>
          </w:r>
          <w:r>
            <w:instrText xml:space="preserve"> PAGEREF _Toc26522 \h </w:instrText>
          </w:r>
          <w:r>
            <w:fldChar w:fldCharType="separate"/>
          </w:r>
          <w:r>
            <w:t>17</w:t>
          </w:r>
          <w:r>
            <w:fldChar w:fldCharType="end"/>
          </w:r>
          <w:r>
            <w:fldChar w:fldCharType="end"/>
          </w:r>
        </w:p>
        <w:p>
          <w:pPr>
            <w:pStyle w:val="28"/>
            <w:tabs>
              <w:tab w:val="right" w:leader="dot" w:pos="8306"/>
            </w:tabs>
            <w:ind w:left="840"/>
          </w:pPr>
          <w:r>
            <w:fldChar w:fldCharType="begin"/>
          </w:r>
          <w:r>
            <w:instrText xml:space="preserve"> HYPERLINK \l "_Toc22225" </w:instrText>
          </w:r>
          <w:r>
            <w:fldChar w:fldCharType="separate"/>
          </w:r>
          <w:r>
            <w:rPr>
              <w:rFonts w:hint="eastAsia" w:ascii="仿宋" w:hAnsi="仿宋" w:eastAsia="仿宋" w:cs="宋体"/>
              <w:szCs w:val="32"/>
              <w:lang w:val="zh-CN"/>
            </w:rPr>
            <w:t>（</w:t>
          </w:r>
          <w:r>
            <w:rPr>
              <w:rFonts w:hint="eastAsia" w:ascii="仿宋" w:hAnsi="仿宋" w:eastAsia="仿宋" w:cs="宋体"/>
              <w:szCs w:val="32"/>
            </w:rPr>
            <w:t>三</w:t>
          </w:r>
          <w:r>
            <w:rPr>
              <w:rFonts w:hint="eastAsia" w:ascii="仿宋" w:hAnsi="仿宋" w:eastAsia="仿宋" w:cs="宋体"/>
              <w:szCs w:val="32"/>
              <w:lang w:val="zh-CN"/>
            </w:rPr>
            <w:t>）改进建议</w:t>
          </w:r>
          <w:r>
            <w:tab/>
          </w:r>
          <w:r>
            <w:fldChar w:fldCharType="begin"/>
          </w:r>
          <w:r>
            <w:instrText xml:space="preserve"> PAGEREF _Toc22225 \h </w:instrText>
          </w:r>
          <w:r>
            <w:fldChar w:fldCharType="separate"/>
          </w:r>
          <w:r>
            <w:t>17</w:t>
          </w:r>
          <w:r>
            <w:fldChar w:fldCharType="end"/>
          </w:r>
          <w:r>
            <w:fldChar w:fldCharType="end"/>
          </w:r>
        </w:p>
        <w:p>
          <w:pPr>
            <w:pStyle w:val="26"/>
            <w:tabs>
              <w:tab w:val="right" w:leader="dot" w:pos="8306"/>
            </w:tabs>
          </w:pPr>
          <w:r>
            <w:fldChar w:fldCharType="begin"/>
          </w:r>
          <w:r>
            <w:instrText xml:space="preserve"> HYPERLINK \l "_Toc29670" </w:instrText>
          </w:r>
          <w:r>
            <w:fldChar w:fldCharType="separate"/>
          </w:r>
          <w:r>
            <w:rPr>
              <w:rFonts w:hint="eastAsia" w:ascii="黑体" w:eastAsia="黑体"/>
              <w:szCs w:val="44"/>
            </w:rPr>
            <w:t>第</w:t>
          </w:r>
          <w:r>
            <w:rPr>
              <w:rFonts w:hint="eastAsia" w:ascii="黑体" w:eastAsia="黑体"/>
            </w:rPr>
            <w:t>五部分 附表</w:t>
          </w:r>
          <w:r>
            <w:tab/>
          </w:r>
          <w:r>
            <w:fldChar w:fldCharType="begin"/>
          </w:r>
          <w:r>
            <w:instrText xml:space="preserve"> PAGEREF _Toc29670 \h </w:instrText>
          </w:r>
          <w:r>
            <w:fldChar w:fldCharType="separate"/>
          </w:r>
          <w:r>
            <w:t>18</w:t>
          </w:r>
          <w:r>
            <w:fldChar w:fldCharType="end"/>
          </w:r>
          <w:r>
            <w:fldChar w:fldCharType="end"/>
          </w:r>
        </w:p>
        <w:p>
          <w:pPr>
            <w:pStyle w:val="2"/>
            <w:ind w:left="840" w:hanging="420"/>
            <w:rPr>
              <w:rFonts w:ascii="黑体" w:eastAsia="黑体"/>
            </w:rPr>
          </w:pPr>
          <w:r>
            <w:fldChar w:fldCharType="end"/>
          </w:r>
        </w:p>
      </w:sdtContent>
    </w:sdt>
    <w:p>
      <w:pPr>
        <w:pStyle w:val="3"/>
        <w:jc w:val="center"/>
        <w:rPr>
          <w:rFonts w:ascii="黑体" w:eastAsia="黑体"/>
          <w:color w:val="000000"/>
          <w:sz w:val="32"/>
          <w:szCs w:val="32"/>
        </w:rPr>
      </w:pPr>
      <w:bookmarkStart w:id="18" w:name="_Toc20227"/>
      <w:bookmarkStart w:id="19" w:name="_Toc16673"/>
      <w:bookmarkStart w:id="20" w:name="_Toc15377196"/>
      <w:r>
        <w:rPr>
          <w:rFonts w:hint="eastAsia" w:ascii="黑体" w:eastAsia="黑体"/>
          <w:b w:val="0"/>
        </w:rPr>
        <w:t xml:space="preserve">第一部分 </w:t>
      </w:r>
      <w:r>
        <w:rPr>
          <w:rStyle w:val="18"/>
          <w:rFonts w:hint="eastAsia" w:ascii="黑体" w:eastAsia="黑体"/>
          <w:b w:val="0"/>
          <w:bCs w:val="0"/>
        </w:rPr>
        <w:t>部门概况</w:t>
      </w:r>
      <w:bookmarkEnd w:id="18"/>
      <w:bookmarkEnd w:id="19"/>
      <w:bookmarkEnd w:id="20"/>
    </w:p>
    <w:p>
      <w:pPr>
        <w:pStyle w:val="4"/>
        <w:spacing w:before="0" w:after="0" w:line="240" w:lineRule="auto"/>
        <w:ind w:left="640" w:hanging="640" w:hangingChars="200"/>
        <w:rPr>
          <w:rStyle w:val="19"/>
          <w:rFonts w:ascii="黑体" w:eastAsia="黑体"/>
          <w:b w:val="0"/>
          <w:bCs w:val="0"/>
        </w:rPr>
      </w:pPr>
      <w:bookmarkStart w:id="21" w:name="_Toc15377197"/>
      <w:bookmarkStart w:id="22" w:name="_Toc15201"/>
      <w:bookmarkStart w:id="23" w:name="_Toc25517"/>
      <w:r>
        <w:rPr>
          <w:rFonts w:hint="eastAsia" w:ascii="黑体" w:eastAsia="黑体"/>
          <w:b w:val="0"/>
          <w:color w:val="000000"/>
        </w:rPr>
        <w:t>一、基</w:t>
      </w:r>
      <w:r>
        <w:rPr>
          <w:rStyle w:val="19"/>
          <w:rFonts w:hint="eastAsia" w:ascii="黑体" w:eastAsia="黑体"/>
          <w:b w:val="0"/>
          <w:bCs w:val="0"/>
        </w:rPr>
        <w:t>本职能及主要工作</w:t>
      </w:r>
      <w:bookmarkEnd w:id="21"/>
      <w:bookmarkEnd w:id="22"/>
      <w:bookmarkEnd w:id="23"/>
      <w:bookmarkStart w:id="24" w:name="_Toc15377198"/>
      <w:bookmarkStart w:id="25" w:name="_Toc15378445"/>
    </w:p>
    <w:p>
      <w:pPr>
        <w:pStyle w:val="4"/>
        <w:spacing w:before="0" w:after="0" w:line="240" w:lineRule="auto"/>
        <w:ind w:left="642" w:leftChars="153" w:hanging="321" w:hangingChars="100"/>
        <w:rPr>
          <w:rFonts w:ascii="楷体" w:eastAsia="楷体" w:cs="楷体"/>
          <w:color w:val="000000"/>
        </w:rPr>
      </w:pPr>
      <w:bookmarkStart w:id="26" w:name="_Toc26135"/>
      <w:bookmarkStart w:id="27" w:name="_Toc31585"/>
      <w:r>
        <w:rPr>
          <w:rFonts w:hint="eastAsia" w:ascii="楷体" w:eastAsia="楷体" w:cs="楷体"/>
          <w:color w:val="000000"/>
        </w:rPr>
        <w:t>（一）主要职能</w:t>
      </w:r>
      <w:bookmarkEnd w:id="24"/>
      <w:bookmarkEnd w:id="25"/>
      <w:bookmarkEnd w:id="26"/>
      <w:bookmarkEnd w:id="27"/>
      <w:bookmarkStart w:id="28" w:name="_Toc15378446"/>
      <w:bookmarkStart w:id="29" w:name="_Toc15377199"/>
    </w:p>
    <w:p>
      <w:pPr>
        <w:widowControl/>
        <w:adjustRightInd w:val="0"/>
        <w:snapToGrid w:val="0"/>
        <w:spacing w:line="560" w:lineRule="exact"/>
        <w:ind w:firstLine="720"/>
        <w:jc w:val="left"/>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kern w:val="0"/>
          <w:sz w:val="32"/>
          <w:szCs w:val="32"/>
        </w:rPr>
        <w:t>我单位主要职责是：</w:t>
      </w:r>
      <w:r>
        <w:rPr>
          <w:rFonts w:hint="eastAsia" w:ascii="仿宋_GB2312" w:hAnsi="仿宋_GB2312" w:eastAsia="仿宋_GB2312" w:cs="仿宋_GB2312"/>
          <w:color w:val="000000"/>
          <w:spacing w:val="-14"/>
          <w:kern w:val="0"/>
          <w:sz w:val="32"/>
          <w:szCs w:val="32"/>
        </w:rPr>
        <w:t>负责全县广播电视新闻节目制作、对外合作交流，安全播出、安全传输发射，广电有线网络及新媒体建设等任务，负责拟定全县广播电视事业、产业发展规划，负责组织审查广告播出，开展相关经营，负责广播电视有线传输网络的设计、建设、维护以及开发应用。负责全县广播电视人才的培训、培养、引进和使用工作。</w:t>
      </w:r>
    </w:p>
    <w:p>
      <w:pPr>
        <w:pStyle w:val="4"/>
        <w:spacing w:before="0" w:after="0" w:line="240" w:lineRule="auto"/>
        <w:ind w:firstLine="321" w:firstLineChars="100"/>
        <w:rPr>
          <w:rFonts w:ascii="楷体" w:eastAsia="楷体" w:cs="楷体"/>
          <w:color w:val="000000"/>
        </w:rPr>
      </w:pPr>
      <w:bookmarkStart w:id="30" w:name="_Toc11712"/>
      <w:bookmarkStart w:id="31" w:name="_Toc14171"/>
      <w:r>
        <w:rPr>
          <w:rFonts w:hint="eastAsia" w:ascii="楷体" w:eastAsia="楷体" w:cs="楷体"/>
          <w:color w:val="000000"/>
        </w:rPr>
        <w:t>（二）2020年重点工作完成情况</w:t>
      </w:r>
      <w:bookmarkEnd w:id="28"/>
      <w:bookmarkEnd w:id="29"/>
      <w:bookmarkEnd w:id="30"/>
      <w:bookmarkEnd w:id="31"/>
    </w:p>
    <w:p>
      <w:pPr>
        <w:widowControl/>
        <w:spacing w:line="560" w:lineRule="exact"/>
        <w:ind w:firstLine="643" w:firstLineChars="200"/>
        <w:rPr>
          <w:rFonts w:ascii="楷体_GB2312" w:hAnsi="楷体_GB2312" w:eastAsia="楷体_GB2312" w:cs="楷体_GB2312"/>
          <w:b/>
          <w:kern w:val="0"/>
          <w:sz w:val="32"/>
          <w:szCs w:val="32"/>
        </w:rPr>
      </w:pPr>
      <w:bookmarkStart w:id="32" w:name="_Toc15377200"/>
      <w:r>
        <w:rPr>
          <w:rFonts w:hint="eastAsia" w:ascii="楷体_GB2312" w:hAnsi="楷体_GB2312" w:eastAsia="楷体_GB2312" w:cs="楷体_GB2312"/>
          <w:b/>
          <w:kern w:val="0"/>
          <w:sz w:val="32"/>
          <w:szCs w:val="32"/>
        </w:rPr>
        <w:t>1、围绕中心工作，打好宣传主动仗，开创新时代媒体融合宣传新气象</w:t>
      </w:r>
    </w:p>
    <w:p>
      <w:pPr>
        <w:spacing w:line="560" w:lineRule="exact"/>
        <w:ind w:firstLine="570"/>
        <w:rPr>
          <w:rFonts w:ascii="仿宋_GB2312" w:hAnsi="宋体" w:eastAsia="仿宋_GB2312" w:cs="宋体"/>
          <w:kern w:val="0"/>
          <w:sz w:val="32"/>
          <w:szCs w:val="32"/>
        </w:rPr>
      </w:pPr>
      <w:r>
        <w:rPr>
          <w:rFonts w:hint="eastAsia" w:ascii="仿宋_GB2312" w:hAnsi="宋体" w:eastAsia="仿宋_GB2312" w:cs="宋体"/>
          <w:kern w:val="0"/>
          <w:sz w:val="32"/>
          <w:szCs w:val="32"/>
        </w:rPr>
        <w:t>以唱响主旋律，打好主动仗，作为新闻宣传创新的主题。首先，要当好喉舌，为服务内情鼓与呼；其次，要当好耳目，为了解外情视与听；再次，要当好参谋，为掌握实情议与思；最后，要当好助手，为落实政情力与荐。让小球带动大球，让媒体联系实体，让敢想、敢干、敢拼的能人干出一番事业，让新闻创新工程发挥长足的作用。今年来，我单位积极探索，大胆改革，不断丰富荧屏内容，深入挖掘重点题材，广泛开展民生报道，内、外宣传方面均取得了一定成绩。在常规新闻报道方面：主要报道了县委、县政府重大安排部署、重要调研活动；重大项目建设、产业结构调整、民生工程推进情况；各单位、乡镇、村社突出亮点工作报道；典型（正反）社会现象的报道。</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完成了上级单位的约稿任务和县委、县政府交办的专题新闻采播任务，以及其他的特殊情况的采播任务。按时按量完成行业部门交办的字幕、短片等宣传任务。</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2、强化措施,突出重点,加强广播电视事业建设</w:t>
      </w:r>
    </w:p>
    <w:p>
      <w:pPr>
        <w:spacing w:line="560" w:lineRule="exact"/>
        <w:ind w:firstLine="640" w:firstLineChars="200"/>
        <w:rPr>
          <w:rFonts w:ascii="楷体_GB2312" w:hAnsi="楷体_GB2312" w:eastAsia="楷体_GB2312" w:cs="楷体_GB2312"/>
          <w:b/>
          <w:sz w:val="32"/>
          <w:szCs w:val="32"/>
        </w:rPr>
      </w:pPr>
      <w:r>
        <w:rPr>
          <w:rFonts w:hint="eastAsia" w:ascii="仿宋_GB2312" w:hAnsi="宋体" w:eastAsia="仿宋_GB2312" w:cs="宋体"/>
          <w:kern w:val="0"/>
          <w:sz w:val="32"/>
          <w:szCs w:val="32"/>
        </w:rPr>
        <w:t>今年维修维护人员完成了城区有线电视及沙尔、咯尔、庆宁、河东、河西无线数字电视各种故障的维修维护；第一时间抢通因灾冲毁的全省主干线和我县环线；机房安全值班做到了24小时值机，随时观测设备正常运行情况，未发生插播节目和干扰情况，设备运行无故障;加强两个无线发射机站的管理，值班人员随时对所有设备进行不定期的检查，确保设备全年能正常运行，保障乡镇群众能看到高质量的电视节目。</w:t>
      </w:r>
    </w:p>
    <w:p>
      <w:pPr>
        <w:spacing w:line="578" w:lineRule="exact"/>
        <w:ind w:firstLine="640" w:firstLineChars="200"/>
        <w:rPr>
          <w:rStyle w:val="19"/>
          <w:rFonts w:ascii="黑体" w:eastAsia="黑体"/>
          <w:b w:val="0"/>
          <w:bCs w:val="0"/>
        </w:rPr>
      </w:pPr>
    </w:p>
    <w:p>
      <w:pPr>
        <w:spacing w:line="578" w:lineRule="exact"/>
        <w:ind w:firstLine="640" w:firstLineChars="200"/>
        <w:outlineLvl w:val="1"/>
        <w:rPr>
          <w:rStyle w:val="19"/>
          <w:b w:val="0"/>
          <w:bCs w:val="0"/>
        </w:rPr>
      </w:pPr>
      <w:bookmarkStart w:id="33" w:name="_Toc11676"/>
      <w:bookmarkStart w:id="34" w:name="_Toc728"/>
      <w:r>
        <w:rPr>
          <w:rStyle w:val="19"/>
          <w:rFonts w:hint="eastAsia" w:ascii="黑体" w:eastAsia="黑体"/>
          <w:b w:val="0"/>
          <w:bCs w:val="0"/>
        </w:rPr>
        <w:t>二、机构设置</w:t>
      </w:r>
      <w:bookmarkEnd w:id="32"/>
      <w:bookmarkEnd w:id="33"/>
    </w:p>
    <w:bookmarkEnd w:id="34"/>
    <w:p>
      <w:pPr>
        <w:spacing w:line="576" w:lineRule="exact"/>
        <w:ind w:firstLine="640" w:firstLineChars="200"/>
        <w:rPr>
          <w:rFonts w:ascii="仿宋_GB2312" w:hAnsi="仿宋_GB2312" w:eastAsia="仿宋_GB2312" w:cs="仿宋_GB2312"/>
          <w:sz w:val="32"/>
          <w:szCs w:val="32"/>
        </w:rPr>
      </w:pPr>
      <w:bookmarkStart w:id="35" w:name="_Toc15377204"/>
      <w:r>
        <w:rPr>
          <w:rFonts w:hint="eastAsia" w:ascii="仿宋_GB2312" w:hAnsi="Albertus Extra Bold" w:eastAsia="仿宋_GB2312"/>
          <w:bCs/>
          <w:sz w:val="32"/>
          <w:szCs w:val="32"/>
          <w:shd w:val="clear" w:color="auto" w:fill="FFFFFF"/>
        </w:rPr>
        <w:t>1、机构情况：</w:t>
      </w:r>
      <w:r>
        <w:rPr>
          <w:rFonts w:hint="eastAsia" w:ascii="仿宋_GB2312" w:hAnsi="宋体" w:eastAsia="仿宋_GB2312"/>
          <w:bCs/>
          <w:sz w:val="32"/>
        </w:rPr>
        <w:t>融媒体中心属1个独立编制机构和核算的事业单位。</w:t>
      </w:r>
    </w:p>
    <w:p>
      <w:pPr>
        <w:spacing w:line="600" w:lineRule="exact"/>
        <w:ind w:firstLine="640" w:firstLineChars="200"/>
        <w:rPr>
          <w:rFonts w:ascii="仿宋_GB2312" w:hAnsi="宋体" w:eastAsia="仿宋_GB2312"/>
          <w:bCs/>
          <w:sz w:val="32"/>
          <w:szCs w:val="32"/>
        </w:rPr>
      </w:pPr>
      <w:r>
        <w:rPr>
          <w:rFonts w:hint="eastAsia" w:ascii="仿宋_GB2312" w:hAnsi="宋体" w:eastAsia="仿宋_GB2312"/>
          <w:bCs/>
          <w:sz w:val="32"/>
        </w:rPr>
        <w:t>2、人员情况：编制数29人，其中：事业编制28人。2020年末实有在职职工22人（其中：事业管理8人，事业专技13人，事业工勤1人），</w:t>
      </w:r>
      <w:r>
        <w:rPr>
          <w:rFonts w:hint="eastAsia" w:ascii="仿宋_GB2312" w:hAnsi="仿宋_GB2312" w:eastAsia="仿宋_GB2312" w:cs="仿宋_GB2312"/>
          <w:sz w:val="32"/>
          <w:szCs w:val="32"/>
          <w:shd w:val="clear" w:color="auto" w:fill="FFFFFF"/>
        </w:rPr>
        <w:t>比上年增加4人，变动原因是新进人员2人，调进人员2人。</w:t>
      </w:r>
    </w:p>
    <w:p>
      <w:pPr>
        <w:pStyle w:val="3"/>
        <w:ind w:right="440"/>
      </w:pPr>
      <w:r>
        <w:rPr>
          <w:rFonts w:hint="eastAsia" w:ascii="黑体" w:eastAsia="黑体"/>
          <w:b w:val="0"/>
          <w:color w:val="000000"/>
        </w:rPr>
        <w:t xml:space="preserve">  </w:t>
      </w:r>
      <w:bookmarkStart w:id="36" w:name="_Toc13579"/>
      <w:bookmarkStart w:id="37" w:name="_Toc29183"/>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35"/>
      <w:bookmarkEnd w:id="36"/>
      <w:bookmarkEnd w:id="37"/>
    </w:p>
    <w:p>
      <w:pPr>
        <w:pStyle w:val="24"/>
        <w:numPr>
          <w:ilvl w:val="0"/>
          <w:numId w:val="1"/>
        </w:numPr>
        <w:ind w:left="0" w:firstLine="0" w:firstLineChars="0"/>
        <w:outlineLvl w:val="1"/>
        <w:rPr>
          <w:rStyle w:val="19"/>
          <w:rFonts w:ascii="黑体" w:eastAsia="黑体"/>
          <w:b w:val="0"/>
        </w:rPr>
      </w:pPr>
      <w:bookmarkStart w:id="38" w:name="_Toc15377205"/>
      <w:bookmarkStart w:id="39" w:name="_Toc10479"/>
      <w:bookmarkStart w:id="40" w:name="_Toc32337"/>
      <w:r>
        <w:rPr>
          <w:rFonts w:hint="eastAsia" w:ascii="黑体" w:eastAsia="黑体"/>
          <w:color w:val="000000"/>
          <w:sz w:val="32"/>
          <w:szCs w:val="32"/>
        </w:rPr>
        <w:t>收</w:t>
      </w:r>
      <w:r>
        <w:rPr>
          <w:rStyle w:val="19"/>
          <w:rFonts w:hint="eastAsia" w:ascii="黑体" w:eastAsia="黑体"/>
          <w:b w:val="0"/>
        </w:rPr>
        <w:t>入支出决算总体情况说明</w:t>
      </w:r>
      <w:bookmarkEnd w:id="38"/>
      <w:bookmarkEnd w:id="39"/>
      <w:bookmarkEnd w:id="40"/>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2020年度总收入1096.88万元，较上年收入减少610.15万元，减少35%。减少的主要原因是2020年更加规范财务核算。</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2020年总支出1605.26万元，较上年支出增加1161.85万元，增加了262%。主要原因一是当年部门预算安排项目经费较上年有增加，二是有新进人员。</w:t>
      </w:r>
    </w:p>
    <w:p>
      <w:pPr>
        <w:spacing w:line="600" w:lineRule="exact"/>
        <w:ind w:firstLine="640" w:firstLineChars="200"/>
        <w:rPr>
          <w:rStyle w:val="19"/>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4445" t="4445" r="20955" b="2286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41" w:name="_Toc15377206"/>
      <w:r>
        <w:rPr>
          <w:rFonts w:hint="eastAsia" w:ascii="黑体" w:eastAsia="黑体"/>
          <w:color w:val="000000"/>
          <w:sz w:val="32"/>
          <w:szCs w:val="32"/>
        </w:rPr>
        <w:t>二、收入决</w:t>
      </w:r>
      <w:r>
        <w:rPr>
          <w:rStyle w:val="19"/>
          <w:rFonts w:hint="eastAsia" w:ascii="黑体" w:eastAsia="黑体"/>
          <w:b w:val="0"/>
        </w:rPr>
        <w:t>算情况说明</w:t>
      </w:r>
      <w:bookmarkEnd w:id="41"/>
    </w:p>
    <w:p>
      <w:pPr>
        <w:spacing w:line="600" w:lineRule="exact"/>
        <w:ind w:firstLine="640" w:firstLineChars="200"/>
        <w:outlineLvl w:val="1"/>
        <w:rPr>
          <w:rFonts w:ascii="仿宋" w:eastAsia="仿宋"/>
          <w:color w:val="000000"/>
          <w:sz w:val="32"/>
          <w:szCs w:val="32"/>
        </w:rPr>
      </w:pPr>
      <w:bookmarkStart w:id="42" w:name="_Toc8219"/>
      <w:bookmarkStart w:id="43" w:name="_Toc4342"/>
      <w:r>
        <w:rPr>
          <w:rFonts w:ascii="仿宋" w:eastAsia="仿宋"/>
          <w:color w:val="000000"/>
          <w:sz w:val="32"/>
          <w:szCs w:val="32"/>
        </w:rPr>
        <w:t>20</w:t>
      </w:r>
      <w:r>
        <w:rPr>
          <w:rFonts w:hint="eastAsia" w:ascii="仿宋" w:eastAsia="仿宋"/>
          <w:color w:val="000000"/>
          <w:sz w:val="32"/>
          <w:szCs w:val="32"/>
        </w:rPr>
        <w:t>20年总收入1096.88万元，其中：一般公共预算财政拨款收入1096.88万元，占100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42"/>
      <w:bookmarkEnd w:id="43"/>
    </w:p>
    <w:p>
      <w:pPr>
        <w:spacing w:line="600" w:lineRule="exact"/>
        <w:ind w:firstLine="640" w:firstLineChars="200"/>
        <w:outlineLvl w:val="1"/>
        <w:rPr>
          <w:rStyle w:val="19"/>
          <w:rFonts w:ascii="黑体" w:eastAsia="黑体"/>
          <w:b w:val="0"/>
        </w:rPr>
      </w:pPr>
      <w:bookmarkStart w:id="44" w:name="_Toc9274"/>
      <w:bookmarkStart w:id="45" w:name="_Toc11504"/>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46" w:name="_Toc15377207"/>
      <w:r>
        <w:rPr>
          <w:rFonts w:hint="eastAsia" w:ascii="黑体" w:eastAsia="黑体"/>
          <w:color w:val="000000"/>
          <w:sz w:val="32"/>
          <w:szCs w:val="32"/>
        </w:rPr>
        <w:t>三、支出决</w:t>
      </w:r>
      <w:r>
        <w:rPr>
          <w:rStyle w:val="19"/>
          <w:rFonts w:hint="eastAsia" w:ascii="黑体" w:eastAsia="黑体"/>
          <w:b w:val="0"/>
        </w:rPr>
        <w:t>算情况说明</w:t>
      </w:r>
      <w:bookmarkEnd w:id="44"/>
      <w:bookmarkEnd w:id="45"/>
      <w:bookmarkEnd w:id="46"/>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w:t>
      </w:r>
      <w:r>
        <w:rPr>
          <w:rFonts w:hint="eastAsia" w:ascii="仿宋_GB2312" w:eastAsia="仿宋_GB2312"/>
          <w:spacing w:val="-2"/>
          <w:sz w:val="32"/>
          <w:szCs w:val="32"/>
        </w:rPr>
        <w:t>1605.26</w:t>
      </w:r>
      <w:r>
        <w:rPr>
          <w:rFonts w:hint="eastAsia" w:ascii="仿宋" w:eastAsia="仿宋"/>
          <w:color w:val="000000"/>
          <w:sz w:val="32"/>
          <w:szCs w:val="32"/>
        </w:rPr>
        <w:t>万元，其中：基本支出274.99万元，占17%；项目支出1330.27万元，占83%；上缴上级支出0万元，占0%；经营支出0万元，占0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-40005</wp:posOffset>
            </wp:positionH>
            <wp:positionV relativeFrom="paragraph">
              <wp:posOffset>203835</wp:posOffset>
            </wp:positionV>
            <wp:extent cx="5061585" cy="2269490"/>
            <wp:effectExtent l="4445" t="4445" r="20320" b="12065"/>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9"/>
          <w:rFonts w:ascii="黑体" w:eastAsia="黑体"/>
          <w:b w:val="0"/>
        </w:rPr>
      </w:pPr>
      <w:bookmarkStart w:id="47" w:name="_Toc15377208"/>
      <w:bookmarkStart w:id="48" w:name="_Toc1302"/>
      <w:bookmarkStart w:id="49" w:name="_Toc7303"/>
      <w:r>
        <w:rPr>
          <w:rFonts w:hint="eastAsia" w:ascii="黑体" w:eastAsia="黑体"/>
          <w:color w:val="000000"/>
          <w:sz w:val="32"/>
          <w:szCs w:val="32"/>
        </w:rPr>
        <w:t>四、财</w:t>
      </w:r>
      <w:r>
        <w:rPr>
          <w:rStyle w:val="19"/>
          <w:rFonts w:hint="eastAsia" w:ascii="黑体" w:eastAsia="黑体"/>
          <w:b w:val="0"/>
        </w:rPr>
        <w:t>政拨款收入支出决算总体情况说明</w:t>
      </w:r>
      <w:bookmarkEnd w:id="47"/>
      <w:bookmarkEnd w:id="48"/>
      <w:bookmarkEnd w:id="49"/>
    </w:p>
    <w:p>
      <w:pPr>
        <w:snapToGrid w:val="0"/>
        <w:spacing w:line="520" w:lineRule="exact"/>
        <w:ind w:firstLine="640" w:firstLineChars="200"/>
        <w:rPr>
          <w:rFonts w:ascii="仿宋_GB2312" w:eastAsia="仿宋_GB2312"/>
          <w:color w:val="000000"/>
          <w:spacing w:val="-2"/>
          <w:sz w:val="32"/>
          <w:szCs w:val="32"/>
        </w:rPr>
      </w:pPr>
      <w:r>
        <w:rPr>
          <w:rFonts w:hint="eastAsia" w:ascii="仿宋" w:eastAsia="仿宋"/>
          <w:color w:val="000000"/>
          <w:sz w:val="32"/>
          <w:szCs w:val="32"/>
        </w:rPr>
        <w:t>2020年财政拨款收入1096.88万元。与2019年相比，一般公共预算财政拨款收入较上年减少610.15万元，减少35%，减少的主要原因是</w:t>
      </w:r>
      <w:r>
        <w:rPr>
          <w:rFonts w:hint="eastAsia" w:ascii="仿宋_GB2312" w:eastAsia="仿宋_GB2312"/>
          <w:color w:val="000000"/>
          <w:spacing w:val="-2"/>
          <w:sz w:val="32"/>
          <w:szCs w:val="32"/>
        </w:rPr>
        <w:t>2020年更加规范财务核算。</w:t>
      </w:r>
    </w:p>
    <w:p>
      <w:pPr>
        <w:snapToGrid w:val="0"/>
        <w:spacing w:line="520" w:lineRule="exact"/>
        <w:ind w:firstLine="640" w:firstLineChars="200"/>
        <w:rPr>
          <w:rFonts w:ascii="仿宋" w:eastAsia="仿宋"/>
          <w:sz w:val="32"/>
          <w:szCs w:val="32"/>
        </w:rPr>
      </w:pPr>
      <w:r>
        <w:rPr>
          <w:rFonts w:hint="eastAsia" w:ascii="仿宋" w:eastAsia="仿宋"/>
          <w:color w:val="000000"/>
          <w:sz w:val="32"/>
          <w:szCs w:val="32"/>
        </w:rPr>
        <w:t>2020年财政拨款支出1605.26万元，</w:t>
      </w:r>
      <w:r>
        <w:rPr>
          <w:rFonts w:hint="eastAsia" w:ascii="仿宋" w:eastAsia="仿宋"/>
          <w:sz w:val="32"/>
          <w:szCs w:val="32"/>
        </w:rPr>
        <w:t>较上年支出</w:t>
      </w:r>
      <w:r>
        <w:rPr>
          <w:rFonts w:hint="eastAsia" w:ascii="仿宋_GB2312" w:eastAsia="仿宋_GB2312"/>
          <w:spacing w:val="-2"/>
          <w:sz w:val="32"/>
          <w:szCs w:val="32"/>
        </w:rPr>
        <w:t>2020支出增加1161.85万元，增加了262%。主要原因一是当年部门预算安排项目经费较上年有增加，二是有新进人员。</w:t>
      </w:r>
    </w:p>
    <w:p>
      <w:pPr>
        <w:snapToGrid w:val="0"/>
        <w:spacing w:line="520" w:lineRule="exact"/>
        <w:ind w:firstLine="640" w:firstLineChars="200"/>
        <w:rPr>
          <w:rFonts w:ascii="仿宋" w:eastAsia="仿宋"/>
          <w:color w:val="FF0000"/>
          <w:sz w:val="32"/>
          <w:szCs w:val="32"/>
        </w:rPr>
      </w:pPr>
    </w:p>
    <w:p>
      <w:pPr>
        <w:spacing w:line="600" w:lineRule="exact"/>
        <w:ind w:firstLine="640" w:firstLineChars="200"/>
        <w:rPr>
          <w:rStyle w:val="19"/>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50" w:name="_Toc15377209"/>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50"/>
    </w:p>
    <w:p>
      <w:pPr>
        <w:spacing w:line="600" w:lineRule="exact"/>
        <w:ind w:firstLine="643" w:firstLineChars="200"/>
        <w:outlineLvl w:val="2"/>
        <w:rPr>
          <w:rFonts w:ascii="仿宋" w:eastAsia="仿宋"/>
          <w:b/>
          <w:color w:val="000000"/>
          <w:sz w:val="32"/>
          <w:szCs w:val="32"/>
        </w:rPr>
      </w:pPr>
      <w:bookmarkStart w:id="51" w:name="_Toc15377210"/>
      <w:bookmarkStart w:id="52" w:name="_Toc1391"/>
      <w:r>
        <w:rPr>
          <w:rFonts w:hint="eastAsia" w:ascii="仿宋" w:eastAsia="仿宋"/>
          <w:b/>
          <w:color w:val="000000"/>
          <w:sz w:val="32"/>
          <w:szCs w:val="32"/>
        </w:rPr>
        <w:t>（一）一般公共预算财政拨款支出决算总体情况</w:t>
      </w:r>
      <w:bookmarkEnd w:id="51"/>
      <w:bookmarkEnd w:id="52"/>
    </w:p>
    <w:p>
      <w:pPr>
        <w:snapToGrid w:val="0"/>
        <w:spacing w:line="520" w:lineRule="exact"/>
        <w:ind w:firstLine="640" w:firstLineChars="200"/>
      </w:pPr>
      <w:r>
        <w:rPr>
          <w:rFonts w:hint="eastAsia" w:ascii="仿宋_GB2312" w:eastAsia="仿宋_GB2312"/>
          <w:color w:val="000000"/>
          <w:sz w:val="32"/>
          <w:szCs w:val="32"/>
        </w:rPr>
        <w:t>融媒体中心2020年一般公共预算财政拨款支出1605.26万元，与2019年相比，</w:t>
      </w:r>
      <w:r>
        <w:rPr>
          <w:rFonts w:hint="eastAsia" w:ascii="仿宋" w:eastAsia="仿宋"/>
          <w:sz w:val="32"/>
          <w:szCs w:val="32"/>
        </w:rPr>
        <w:t>一般公共预算财政拨款</w:t>
      </w:r>
      <w:r>
        <w:rPr>
          <w:rFonts w:hint="eastAsia" w:ascii="仿宋_GB2312" w:eastAsia="仿宋_GB2312"/>
          <w:spacing w:val="-2"/>
          <w:sz w:val="32"/>
          <w:szCs w:val="32"/>
        </w:rPr>
        <w:t>支出增加了1161.85</w:t>
      </w:r>
      <w:r>
        <w:rPr>
          <w:rFonts w:hint="eastAsia" w:ascii="仿宋_GB2312" w:eastAsia="仿宋_GB2312"/>
          <w:color w:val="000000"/>
          <w:sz w:val="32"/>
          <w:szCs w:val="32"/>
        </w:rPr>
        <w:t>万元，增加了262%，</w:t>
      </w:r>
      <w:r>
        <w:rPr>
          <w:rFonts w:hint="eastAsia" w:ascii="仿宋_GB2312" w:eastAsia="仿宋_GB2312"/>
          <w:spacing w:val="-2"/>
          <w:sz w:val="32"/>
          <w:szCs w:val="32"/>
        </w:rPr>
        <w:t>主要原因一是当年部门预算安排项目经费较上年有增加，二是有新进人员。</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53" w:name="_Toc15377211"/>
      <w:r>
        <w:rPr>
          <w:rFonts w:hint="eastAsia" w:ascii="仿宋" w:eastAsia="仿宋"/>
          <w:b/>
          <w:color w:val="000000"/>
          <w:sz w:val="32"/>
          <w:szCs w:val="32"/>
        </w:rPr>
        <w:t>（二）一般公共预算财政拨款支出决算结构情况</w:t>
      </w:r>
      <w:bookmarkEnd w:id="53"/>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20年一般公共预算财政拨款支出1605.26万元，主要用于以下方面</w:t>
      </w:r>
      <w:r>
        <w:rPr>
          <w:rFonts w:ascii="仿宋" w:eastAsia="仿宋"/>
          <w:color w:val="000000"/>
          <w:sz w:val="32"/>
          <w:szCs w:val="32"/>
        </w:rPr>
        <w:t>:</w:t>
      </w:r>
      <w:r>
        <w:rPr>
          <w:rStyle w:val="16"/>
          <w:rFonts w:hint="eastAsia" w:ascii="仿宋_GB2312" w:eastAsia="仿宋_GB2312"/>
          <w:bCs/>
          <w:sz w:val="32"/>
          <w:szCs w:val="32"/>
        </w:rPr>
        <w:t>文化旅游体育与传媒</w:t>
      </w:r>
      <w:r>
        <w:rPr>
          <w:rFonts w:hint="eastAsia" w:ascii="仿宋" w:eastAsia="仿宋"/>
          <w:b/>
          <w:bCs/>
          <w:color w:val="000000"/>
          <w:sz w:val="32"/>
          <w:szCs w:val="32"/>
        </w:rPr>
        <w:t>支出</w:t>
      </w:r>
      <w:r>
        <w:rPr>
          <w:rFonts w:hint="eastAsia" w:ascii="仿宋" w:eastAsia="仿宋"/>
          <w:color w:val="000000"/>
          <w:sz w:val="32"/>
          <w:szCs w:val="32"/>
        </w:rPr>
        <w:t>1526.63万元，占95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bCs/>
          <w:color w:val="000000"/>
          <w:sz w:val="32"/>
          <w:szCs w:val="32"/>
        </w:rPr>
        <w:t>支出</w:t>
      </w:r>
      <w:r>
        <w:rPr>
          <w:rFonts w:hint="eastAsia" w:ascii="仿宋" w:eastAsia="仿宋"/>
          <w:color w:val="000000"/>
          <w:sz w:val="32"/>
          <w:szCs w:val="32"/>
        </w:rPr>
        <w:t>35.19万元，占2</w:t>
      </w:r>
      <w:r>
        <w:rPr>
          <w:rFonts w:ascii="仿宋" w:eastAsia="仿宋"/>
          <w:color w:val="000000"/>
          <w:sz w:val="32"/>
          <w:szCs w:val="32"/>
        </w:rPr>
        <w:t>%</w:t>
      </w:r>
      <w:r>
        <w:rPr>
          <w:rFonts w:hint="eastAsia" w:ascii="仿宋" w:eastAsia="仿宋"/>
          <w:color w:val="000000"/>
          <w:sz w:val="32"/>
          <w:szCs w:val="32"/>
        </w:rPr>
        <w:t>；</w:t>
      </w:r>
      <w:r>
        <w:rPr>
          <w:rStyle w:val="16"/>
          <w:rFonts w:hint="eastAsia" w:ascii="仿宋_GB2312" w:eastAsia="仿宋_GB2312"/>
          <w:sz w:val="32"/>
          <w:szCs w:val="32"/>
        </w:rPr>
        <w:t>卫生健康支出</w:t>
      </w:r>
      <w:r>
        <w:rPr>
          <w:rStyle w:val="16"/>
          <w:rFonts w:hint="eastAsia" w:ascii="仿宋_GB2312" w:eastAsia="仿宋_GB2312"/>
          <w:b w:val="0"/>
          <w:bCs/>
          <w:sz w:val="32"/>
          <w:szCs w:val="32"/>
        </w:rPr>
        <w:t>15.68</w:t>
      </w:r>
      <w:r>
        <w:rPr>
          <w:rFonts w:hint="eastAsia" w:ascii="仿宋" w:eastAsia="仿宋"/>
          <w:color w:val="000000"/>
          <w:sz w:val="32"/>
          <w:szCs w:val="32"/>
        </w:rPr>
        <w:t>万元，占1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27.76万元，占2</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rPr>
          <w:rFonts w:ascii="仿宋" w:eastAsia="仿宋"/>
          <w:b/>
          <w:color w:val="000000"/>
          <w:sz w:val="32"/>
          <w:szCs w:val="32"/>
        </w:rPr>
      </w:pPr>
      <w:bookmarkStart w:id="54" w:name="_Toc15377444"/>
      <w:bookmarkStart w:id="55" w:name="_Toc15377213"/>
      <w:bookmarkStart w:id="56" w:name="_Toc15378460"/>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57" w:name="_Toc15377212"/>
      <w:bookmarkStart w:id="58" w:name="_Toc30171"/>
      <w:r>
        <w:rPr>
          <w:rFonts w:hint="eastAsia" w:ascii="仿宋" w:eastAsia="仿宋"/>
          <w:b/>
          <w:color w:val="000000"/>
          <w:sz w:val="32"/>
          <w:szCs w:val="32"/>
        </w:rPr>
        <w:t>（三）一般公共预算财政拨款支出决算具体情况</w:t>
      </w:r>
      <w:bookmarkEnd w:id="57"/>
      <w:bookmarkEnd w:id="58"/>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bookmarkStart w:id="59" w:name="_Toc27804"/>
      <w:r>
        <w:rPr>
          <w:rFonts w:hint="eastAsia" w:ascii="仿宋" w:eastAsia="仿宋"/>
          <w:bCs/>
          <w:color w:val="000000"/>
          <w:sz w:val="32"/>
          <w:szCs w:val="32"/>
        </w:rPr>
        <w:t>2020年一般公共预算数为1991.92万元，支出决算数为1605.26万元，完</w:t>
      </w:r>
      <w:r>
        <w:rPr>
          <w:rStyle w:val="16"/>
          <w:rFonts w:hint="eastAsia" w:ascii="仿宋" w:eastAsia="仿宋"/>
          <w:b w:val="0"/>
          <w:bCs/>
          <w:color w:val="000000"/>
          <w:sz w:val="32"/>
          <w:szCs w:val="32"/>
        </w:rPr>
        <w:t>成预算81</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。结转下年386.66万元。其中：</w:t>
      </w:r>
      <w:bookmarkEnd w:id="54"/>
      <w:bookmarkEnd w:id="55"/>
      <w:bookmarkEnd w:id="56"/>
      <w:bookmarkEnd w:id="59"/>
    </w:p>
    <w:p>
      <w:pPr>
        <w:spacing w:line="600" w:lineRule="exact"/>
        <w:rPr>
          <w:rStyle w:val="16"/>
          <w:rFonts w:ascii="仿宋_GB2312" w:eastAsia="仿宋_GB2312"/>
          <w:b w:val="0"/>
          <w:sz w:val="32"/>
          <w:szCs w:val="32"/>
        </w:rPr>
      </w:pPr>
      <w:r>
        <w:rPr>
          <w:rStyle w:val="16"/>
          <w:rFonts w:hint="eastAsia" w:ascii="仿宋_GB2312" w:eastAsia="仿宋_GB2312"/>
          <w:sz w:val="32"/>
          <w:szCs w:val="32"/>
        </w:rPr>
        <w:t>1．文化旅游体育与传媒：</w:t>
      </w:r>
    </w:p>
    <w:p>
      <w:pPr>
        <w:spacing w:line="600" w:lineRule="exact"/>
        <w:ind w:firstLine="640" w:firstLineChars="200"/>
        <w:rPr>
          <w:rStyle w:val="16"/>
          <w:rFonts w:ascii="仿宋_GB2312" w:eastAsia="仿宋_GB2312"/>
          <w:b w:val="0"/>
          <w:sz w:val="32"/>
          <w:szCs w:val="32"/>
        </w:rPr>
      </w:pPr>
      <w:r>
        <w:rPr>
          <w:rStyle w:val="16"/>
          <w:rFonts w:hint="eastAsia" w:ascii="仿宋_GB2312" w:eastAsia="仿宋_GB2312"/>
          <w:b w:val="0"/>
          <w:sz w:val="32"/>
          <w:szCs w:val="32"/>
        </w:rPr>
        <w:t>文化旅游体育与传媒支出207（类）广播电视08（款）电视05（项）：2020年决算数为198.17万元。</w:t>
      </w:r>
    </w:p>
    <w:p>
      <w:pPr>
        <w:spacing w:line="600" w:lineRule="exact"/>
        <w:ind w:firstLine="640" w:firstLineChars="200"/>
        <w:rPr>
          <w:rStyle w:val="16"/>
          <w:rFonts w:ascii="仿宋_GB2312" w:eastAsia="仿宋_GB2312"/>
          <w:b w:val="0"/>
          <w:sz w:val="32"/>
          <w:szCs w:val="32"/>
        </w:rPr>
      </w:pPr>
      <w:r>
        <w:rPr>
          <w:rStyle w:val="16"/>
          <w:rFonts w:hint="eastAsia" w:ascii="仿宋_GB2312" w:eastAsia="仿宋_GB2312"/>
          <w:b w:val="0"/>
          <w:sz w:val="32"/>
          <w:szCs w:val="32"/>
        </w:rPr>
        <w:t>文化旅游体育与传媒支出207（类）广播电视08（款）其他文化体育与传媒支出99（项）：2020年决算数为513.03万元。</w:t>
      </w:r>
    </w:p>
    <w:p>
      <w:pPr>
        <w:spacing w:line="600" w:lineRule="exact"/>
        <w:rPr>
          <w:rStyle w:val="16"/>
          <w:rFonts w:ascii="仿宋_GB2312" w:eastAsia="仿宋_GB2312"/>
          <w:sz w:val="32"/>
          <w:szCs w:val="32"/>
        </w:rPr>
      </w:pPr>
      <w:r>
        <w:rPr>
          <w:rStyle w:val="16"/>
          <w:rFonts w:hint="eastAsia" w:ascii="仿宋_GB2312" w:eastAsia="仿宋_GB2312"/>
          <w:sz w:val="32"/>
          <w:szCs w:val="32"/>
        </w:rPr>
        <w:t>2.</w:t>
      </w:r>
      <w:r>
        <w:rPr>
          <w:rFonts w:hint="eastAsia" w:ascii="仿宋_GB2312" w:eastAsia="仿宋_GB2312"/>
          <w:b/>
          <w:bCs/>
          <w:sz w:val="32"/>
          <w:szCs w:val="32"/>
        </w:rPr>
        <w:t xml:space="preserve"> 其他文化体育与传媒</w:t>
      </w:r>
      <w:r>
        <w:rPr>
          <w:rStyle w:val="16"/>
          <w:rFonts w:hint="eastAsia" w:ascii="仿宋_GB2312" w:eastAsia="仿宋_GB2312"/>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其他文化体育与传媒支出207（类）广播电视99（款）宣传文化发展专项支出02（项）：</w:t>
      </w:r>
      <w:r>
        <w:rPr>
          <w:rStyle w:val="16"/>
          <w:rFonts w:hint="eastAsia" w:ascii="仿宋_GB2312" w:eastAsia="仿宋_GB2312"/>
          <w:b w:val="0"/>
          <w:sz w:val="32"/>
          <w:szCs w:val="32"/>
        </w:rPr>
        <w:t>2020年决算数为</w:t>
      </w:r>
      <w:r>
        <w:rPr>
          <w:rFonts w:hint="eastAsia" w:ascii="仿宋_GB2312" w:eastAsia="仿宋_GB2312"/>
          <w:color w:val="000000"/>
          <w:sz w:val="32"/>
          <w:szCs w:val="32"/>
        </w:rPr>
        <w:t>14.26万元。</w:t>
      </w:r>
    </w:p>
    <w:p>
      <w:pPr>
        <w:pStyle w:val="2"/>
        <w:ind w:left="1060" w:hanging="640"/>
        <w:rPr>
          <w:rFonts w:ascii="仿宋_GB2312" w:eastAsia="仿宋_GB2312"/>
          <w:color w:val="000000"/>
          <w:sz w:val="32"/>
          <w:szCs w:val="32"/>
        </w:rPr>
      </w:pPr>
      <w:r>
        <w:rPr>
          <w:rFonts w:hint="eastAsia" w:ascii="仿宋_GB2312" w:eastAsia="仿宋_GB2312"/>
          <w:color w:val="000000"/>
          <w:sz w:val="32"/>
          <w:szCs w:val="32"/>
        </w:rPr>
        <w:t>其他文化旅游体育与传媒支出207（类）广播电视99（款）</w:t>
      </w:r>
    </w:p>
    <w:p>
      <w:pPr>
        <w:pStyle w:val="2"/>
        <w:ind w:left="0" w:leftChars="0" w:firstLine="0" w:firstLineChars="0"/>
        <w:rPr>
          <w:rFonts w:eastAsia="仿宋_GB2312"/>
        </w:rPr>
      </w:pPr>
      <w:r>
        <w:rPr>
          <w:rFonts w:hint="eastAsia" w:ascii="仿宋_GB2312" w:eastAsia="仿宋_GB2312"/>
          <w:color w:val="000000"/>
          <w:sz w:val="32"/>
          <w:szCs w:val="32"/>
        </w:rPr>
        <w:t>其他文化旅游体育与传媒支出99（项）：2020年决算数为801.17万元。</w:t>
      </w:r>
    </w:p>
    <w:p>
      <w:pPr>
        <w:spacing w:line="600" w:lineRule="exact"/>
        <w:rPr>
          <w:rFonts w:ascii="仿宋_GB2312" w:eastAsia="仿宋_GB2312"/>
          <w:color w:val="000000"/>
          <w:sz w:val="32"/>
          <w:szCs w:val="32"/>
        </w:rPr>
      </w:pPr>
      <w:r>
        <w:rPr>
          <w:rFonts w:hint="eastAsia" w:ascii="仿宋_GB2312" w:eastAsia="仿宋_GB2312"/>
          <w:b/>
          <w:bCs/>
          <w:color w:val="000000"/>
          <w:sz w:val="32"/>
          <w:szCs w:val="32"/>
        </w:rPr>
        <w:t xml:space="preserve"> 3.社会保障和就业支出</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社会保障和就业支出208（类）行政事业单位离退休05（款）机关事业单位基本养老保险缴费05（项）</w:t>
      </w:r>
      <w:r>
        <w:rPr>
          <w:rFonts w:hint="eastAsia" w:ascii="仿宋_GB2312" w:eastAsia="仿宋_GB2312"/>
          <w:sz w:val="32"/>
          <w:szCs w:val="32"/>
        </w:rPr>
        <w:t>：2020年决算数为23.46万元。</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社会保障和就业支出208（类）行政事业单位离退休05（款）机关事业单位职业年金缴费06（项）</w:t>
      </w:r>
      <w:r>
        <w:rPr>
          <w:rFonts w:hint="eastAsia" w:ascii="仿宋_GB2312" w:eastAsia="仿宋_GB2312"/>
          <w:sz w:val="32"/>
          <w:szCs w:val="32"/>
        </w:rPr>
        <w:t>：2020年决算数为11.73万元。</w:t>
      </w:r>
    </w:p>
    <w:p>
      <w:pPr>
        <w:spacing w:line="600" w:lineRule="exact"/>
        <w:rPr>
          <w:rStyle w:val="16"/>
          <w:rFonts w:ascii="仿宋_GB2312" w:eastAsia="仿宋_GB2312"/>
          <w:b w:val="0"/>
          <w:sz w:val="32"/>
          <w:szCs w:val="32"/>
        </w:rPr>
      </w:pPr>
      <w:r>
        <w:rPr>
          <w:rStyle w:val="16"/>
          <w:rFonts w:hint="eastAsia" w:ascii="仿宋_GB2312" w:eastAsia="仿宋_GB2312"/>
          <w:sz w:val="32"/>
          <w:szCs w:val="32"/>
        </w:rPr>
        <w:t>4.医疗卫生与计划生育:</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医疗卫生与计划生育支出210（类）行政事业单位医疗11（款）事业单位医疗02（项）：</w:t>
      </w:r>
      <w:r>
        <w:rPr>
          <w:rFonts w:hint="eastAsia" w:ascii="仿宋_GB2312" w:eastAsia="仿宋_GB2312"/>
          <w:sz w:val="32"/>
          <w:szCs w:val="32"/>
        </w:rPr>
        <w:t xml:space="preserve"> 2020年决算数为10.47万元。</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医疗卫生与计划生育支出210（类）行政事业单位医疗11（款）公务员医疗补助03（项）：</w:t>
      </w:r>
      <w:r>
        <w:rPr>
          <w:rFonts w:hint="eastAsia" w:ascii="仿宋_GB2312" w:eastAsia="仿宋_GB2312"/>
          <w:sz w:val="32"/>
          <w:szCs w:val="32"/>
        </w:rPr>
        <w:t xml:space="preserve"> 2020年决算数为3.4万元。</w:t>
      </w:r>
    </w:p>
    <w:p>
      <w:pPr>
        <w:spacing w:line="600" w:lineRule="exact"/>
        <w:rPr>
          <w:rStyle w:val="16"/>
          <w:rFonts w:ascii="仿宋_GB2312" w:eastAsia="仿宋_GB2312"/>
          <w:sz w:val="32"/>
          <w:szCs w:val="32"/>
        </w:rPr>
      </w:pPr>
      <w:r>
        <w:rPr>
          <w:rStyle w:val="16"/>
          <w:rFonts w:hint="eastAsia" w:ascii="仿宋_GB2312" w:eastAsia="仿宋_GB2312"/>
          <w:sz w:val="32"/>
          <w:szCs w:val="32"/>
        </w:rPr>
        <w:t>5.住房保障支出:</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住房保障支出221（类）住房改革支出02（款）住房公积金01（项）</w:t>
      </w:r>
      <w:r>
        <w:rPr>
          <w:rFonts w:hint="eastAsia" w:ascii="仿宋_GB2312" w:eastAsia="仿宋_GB2312"/>
          <w:sz w:val="32"/>
          <w:szCs w:val="32"/>
        </w:rPr>
        <w:t>： 2020年决算数为22.85万元。</w:t>
      </w:r>
    </w:p>
    <w:p>
      <w:pPr>
        <w:spacing w:line="600" w:lineRule="exact"/>
        <w:rPr>
          <w:rFonts w:ascii="黑体" w:eastAsia="黑体"/>
          <w:color w:val="000000"/>
          <w:sz w:val="32"/>
          <w:szCs w:val="32"/>
        </w:rPr>
      </w:pPr>
      <w:bookmarkStart w:id="60" w:name="_Toc15377214"/>
    </w:p>
    <w:p>
      <w:pPr>
        <w:spacing w:line="600" w:lineRule="exact"/>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60"/>
      <w:r>
        <w:rPr>
          <w:rStyle w:val="19"/>
          <w:rFonts w:ascii="黑体" w:eastAsia="黑体"/>
          <w:b w:val="0"/>
        </w:rPr>
        <w:tab/>
      </w:r>
    </w:p>
    <w:p>
      <w:pPr>
        <w:spacing w:line="600" w:lineRule="exact"/>
        <w:ind w:firstLine="645"/>
        <w:rPr>
          <w:rFonts w:ascii="仿宋_GB2312" w:eastAsia="仿宋_GB2312"/>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w:t>
      </w:r>
      <w:r>
        <w:rPr>
          <w:rFonts w:hint="eastAsia" w:ascii="仿宋_GB2312" w:eastAsia="仿宋_GB2312"/>
          <w:color w:val="000000"/>
          <w:sz w:val="32"/>
          <w:szCs w:val="32"/>
        </w:rPr>
        <w:t>274.98万元，其中：人员经费151.75万元，主要包括：基本工资57.39万元、津贴补贴29.51万元、奖金4.8万元、绩效工资60.05万元、机关事业单位基本养老保险缴费23.46万元、职业年金缴费11.73万元、职工基本医疗保险缴费10.47万元、公务员医疗补助缴费3.4万元、其他社会保万元障费1.64万元、住房公积金22.85万元、奖励金44.78万元、退休费4.9万元。</w:t>
      </w:r>
    </w:p>
    <w:p>
      <w:pPr>
        <w:spacing w:line="600" w:lineRule="exact"/>
        <w:outlineLvl w:val="1"/>
        <w:rPr>
          <w:rStyle w:val="19"/>
          <w:rFonts w:ascii="黑体" w:eastAsia="黑体"/>
          <w:b w:val="0"/>
        </w:rPr>
      </w:pPr>
      <w:bookmarkStart w:id="61" w:name="_Toc5113"/>
      <w:bookmarkStart w:id="62" w:name="_Toc23670"/>
      <w:bookmarkStart w:id="63"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61"/>
      <w:bookmarkEnd w:id="62"/>
      <w:bookmarkEnd w:id="63"/>
    </w:p>
    <w:p>
      <w:pPr>
        <w:spacing w:line="600" w:lineRule="exact"/>
        <w:ind w:firstLine="640"/>
        <w:outlineLvl w:val="2"/>
        <w:rPr>
          <w:rFonts w:ascii="仿宋" w:eastAsia="仿宋"/>
          <w:b/>
          <w:color w:val="000000"/>
          <w:sz w:val="32"/>
          <w:szCs w:val="32"/>
        </w:rPr>
      </w:pPr>
      <w:bookmarkStart w:id="64" w:name="_Toc4080"/>
      <w:bookmarkStart w:id="65" w:name="_Toc15377216"/>
      <w:r>
        <w:rPr>
          <w:rFonts w:hint="eastAsia" w:ascii="仿宋" w:eastAsia="仿宋"/>
          <w:b/>
          <w:color w:val="000000"/>
          <w:sz w:val="32"/>
          <w:szCs w:val="32"/>
        </w:rPr>
        <w:t>（一）“三公”经费财政拨款支出决算总体情况说明</w:t>
      </w:r>
      <w:bookmarkEnd w:id="64"/>
      <w:bookmarkEnd w:id="6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20年“三公”经费财政拨款支出决算为2万元，完成预算2</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66" w:name="_Toc18192"/>
      <w:bookmarkStart w:id="67" w:name="_Toc15377217"/>
      <w:r>
        <w:rPr>
          <w:rFonts w:hint="eastAsia" w:ascii="仿宋" w:eastAsia="仿宋"/>
          <w:b/>
          <w:color w:val="000000"/>
          <w:sz w:val="32"/>
          <w:szCs w:val="32"/>
        </w:rPr>
        <w:t>（二）“三公”经费财政拨款支出决算具体情况说明</w:t>
      </w:r>
      <w:bookmarkEnd w:id="66"/>
      <w:bookmarkEnd w:id="67"/>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决算2万元。</w:t>
      </w:r>
    </w:p>
    <w:p>
      <w:pPr>
        <w:spacing w:line="600" w:lineRule="exact"/>
        <w:ind w:firstLine="640"/>
        <w:rPr>
          <w:rFonts w:ascii="仿宋_GB2312" w:eastAsia="仿宋_GB2312"/>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2万元,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964" w:firstLineChars="3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2万元。</w:t>
      </w:r>
      <w:r>
        <w:rPr>
          <w:rFonts w:hint="eastAsia" w:ascii="仿宋_GB2312" w:eastAsia="仿宋_GB2312"/>
          <w:color w:val="000000"/>
          <w:sz w:val="32"/>
          <w:szCs w:val="32"/>
        </w:rPr>
        <w:t>主要用于所需的公务用车燃料费、维修费、过路过桥费、保险费等支出。</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公务接待费0万元，较上年减少0万元。</w:t>
      </w:r>
    </w:p>
    <w:p>
      <w:pPr>
        <w:spacing w:line="600" w:lineRule="exact"/>
        <w:ind w:firstLine="1298" w:firstLineChars="404"/>
        <w:outlineLvl w:val="1"/>
        <w:rPr>
          <w:rFonts w:ascii="仿宋_GB2312" w:eastAsia="仿宋_GB2312"/>
          <w:color w:val="000000"/>
          <w:sz w:val="32"/>
          <w:szCs w:val="32"/>
        </w:rPr>
      </w:pPr>
      <w:bookmarkStart w:id="68" w:name="_Toc19116"/>
      <w:bookmarkStart w:id="69" w:name="_Toc23828"/>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End w:id="68"/>
      <w:bookmarkEnd w:id="69"/>
      <w:bookmarkStart w:id="70" w:name="_Toc15377218"/>
    </w:p>
    <w:p>
      <w:pPr>
        <w:spacing w:line="600" w:lineRule="exact"/>
        <w:ind w:firstLine="640"/>
        <w:outlineLvl w:val="1"/>
        <w:rPr>
          <w:rStyle w:val="19"/>
          <w:rFonts w:ascii="黑体" w:eastAsia="黑体"/>
        </w:rPr>
      </w:pPr>
      <w:bookmarkStart w:id="71" w:name="_Toc15476"/>
      <w:bookmarkStart w:id="72" w:name="_Toc29584"/>
      <w:r>
        <w:rPr>
          <w:rFonts w:hint="eastAsia" w:ascii="黑体" w:eastAsia="黑体"/>
          <w:color w:val="000000"/>
          <w:sz w:val="32"/>
          <w:szCs w:val="32"/>
        </w:rPr>
        <w:t>八、</w:t>
      </w:r>
      <w:r>
        <w:rPr>
          <w:rStyle w:val="19"/>
          <w:rFonts w:hint="eastAsia" w:ascii="黑体" w:eastAsia="黑体"/>
          <w:b w:val="0"/>
        </w:rPr>
        <w:t>政府性基金预算支出决算情况说明</w:t>
      </w:r>
      <w:bookmarkEnd w:id="70"/>
      <w:bookmarkEnd w:id="71"/>
      <w:bookmarkEnd w:id="72"/>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2020年政府性基金预算拨款支出0万元。</w:t>
      </w:r>
    </w:p>
    <w:p>
      <w:pPr>
        <w:numPr>
          <w:ilvl w:val="0"/>
          <w:numId w:val="3"/>
        </w:numPr>
        <w:spacing w:line="600" w:lineRule="exact"/>
        <w:ind w:firstLine="640"/>
        <w:outlineLvl w:val="1"/>
        <w:rPr>
          <w:rStyle w:val="19"/>
          <w:rFonts w:ascii="黑体" w:eastAsia="黑体"/>
          <w:b w:val="0"/>
        </w:rPr>
      </w:pPr>
      <w:bookmarkStart w:id="73" w:name="_Toc9617"/>
      <w:bookmarkStart w:id="74" w:name="_Toc18037"/>
      <w:bookmarkStart w:id="75" w:name="_Toc15377219"/>
      <w:r>
        <w:rPr>
          <w:rStyle w:val="19"/>
          <w:rFonts w:hint="eastAsia" w:ascii="黑体" w:eastAsia="黑体"/>
          <w:b w:val="0"/>
        </w:rPr>
        <w:t>国有资本经营预算支出决算情况说明</w:t>
      </w:r>
      <w:bookmarkEnd w:id="73"/>
      <w:bookmarkEnd w:id="74"/>
      <w:bookmarkEnd w:id="7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2020年国有资本经营预算拨款支出0万元。</w:t>
      </w:r>
    </w:p>
    <w:p>
      <w:pPr>
        <w:pStyle w:val="24"/>
        <w:numPr>
          <w:ilvl w:val="0"/>
          <w:numId w:val="4"/>
        </w:numPr>
        <w:spacing w:line="580" w:lineRule="exact"/>
        <w:ind w:firstLineChars="0"/>
        <w:rPr>
          <w:rFonts w:ascii="仿宋" w:eastAsia="仿宋" w:cs="楷体_GB2312"/>
          <w:b/>
          <w:bCs/>
          <w:sz w:val="32"/>
          <w:szCs w:val="32"/>
        </w:rPr>
      </w:pPr>
      <w:bookmarkStart w:id="76" w:name="_Toc27367"/>
      <w:bookmarkStart w:id="77" w:name="_Toc5068"/>
      <w:r>
        <w:rPr>
          <w:rStyle w:val="19"/>
          <w:rFonts w:hint="eastAsia" w:ascii="黑体" w:eastAsia="黑体"/>
          <w:b w:val="0"/>
        </w:rPr>
        <w:t>预算绩效情况说明</w:t>
      </w:r>
      <w:bookmarkEnd w:id="76"/>
      <w:bookmarkEnd w:id="77"/>
    </w:p>
    <w:p>
      <w:pPr>
        <w:tabs>
          <w:tab w:val="left" w:pos="0"/>
        </w:tabs>
        <w:spacing w:line="580" w:lineRule="exact"/>
        <w:ind w:left="420" w:leftChars="200"/>
        <w:rPr>
          <w:rFonts w:ascii="仿宋" w:eastAsia="仿宋" w:cs="楷体_GB2312"/>
          <w:b/>
          <w:bCs/>
          <w:sz w:val="32"/>
          <w:szCs w:val="32"/>
        </w:rPr>
      </w:pPr>
    </w:p>
    <w:p>
      <w:pPr>
        <w:numPr>
          <w:ilvl w:val="0"/>
          <w:numId w:val="5"/>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spacing w:line="600" w:lineRule="atLeast"/>
        <w:ind w:firstLine="640" w:firstLineChars="200"/>
      </w:pPr>
      <w:r>
        <w:rPr>
          <w:rFonts w:hint="eastAsia" w:ascii="仿宋_GB2312" w:eastAsia="仿宋_GB2312"/>
          <w:color w:val="000000"/>
          <w:sz w:val="32"/>
          <w:szCs w:val="32"/>
        </w:rPr>
        <w:t>按照预算绩效管理要求，本部门对2020年一般公共预算项目支出开展了绩效目标管理，共编制绩效目标0个，涉及财政资金0万元，覆盖率达到100%。</w:t>
      </w:r>
      <w:r>
        <w:rPr>
          <w:rFonts w:hint="eastAsia" w:ascii="仿宋_GB2312" w:eastAsia="仿宋_GB2312" w:cs="仿宋_GB2312"/>
          <w:sz w:val="32"/>
          <w:szCs w:val="32"/>
        </w:rPr>
        <w:t xml:space="preserve">                                                                                                                                                                     </w:t>
      </w: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600" w:lineRule="atLeast"/>
        <w:ind w:firstLine="640" w:firstLineChars="200"/>
        <w:rPr>
          <w:rFonts w:ascii="仿宋_GB2312" w:eastAsia="仿宋_GB2312"/>
          <w:b/>
          <w:color w:val="000000"/>
          <w:sz w:val="32"/>
          <w:szCs w:val="32"/>
        </w:rPr>
      </w:pPr>
      <w:bookmarkStart w:id="78" w:name="_Toc15377221"/>
      <w:r>
        <w:rPr>
          <w:rFonts w:hint="eastAsia" w:ascii="仿宋_GB2312" w:eastAsia="仿宋_GB2312"/>
          <w:color w:val="000000"/>
          <w:sz w:val="32"/>
          <w:szCs w:val="32"/>
        </w:rPr>
        <w:t>按照预算绩效管理要求，本部门对2020年整体支出开展绩效自评，自评得分95分，存在的问题：</w:t>
      </w:r>
      <w:r>
        <w:rPr>
          <w:rFonts w:hint="eastAsia" w:ascii="仿宋_GB2312" w:hAnsi="仿宋_GB2312" w:eastAsia="仿宋_GB2312" w:cs="仿宋_GB2312"/>
          <w:sz w:val="32"/>
          <w:szCs w:val="32"/>
        </w:rPr>
        <w:t>部门预算、决算上报效率有待提高。下一步改进措施：一是加快完善部门财务规章制度建设；二是加强会计核算和财务管理能力，提升工作效率。</w:t>
      </w:r>
    </w:p>
    <w:p>
      <w:pPr>
        <w:spacing w:line="600" w:lineRule="exact"/>
        <w:ind w:firstLine="640" w:firstLineChars="200"/>
        <w:outlineLvl w:val="1"/>
        <w:rPr>
          <w:rStyle w:val="19"/>
          <w:rFonts w:ascii="黑体" w:eastAsia="黑体"/>
        </w:rPr>
      </w:pPr>
      <w:bookmarkStart w:id="79" w:name="_Toc17823"/>
      <w:bookmarkStart w:id="80" w:name="_Toc23956"/>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78"/>
      <w:bookmarkEnd w:id="79"/>
      <w:bookmarkEnd w:id="80"/>
    </w:p>
    <w:p>
      <w:pPr>
        <w:spacing w:line="600" w:lineRule="exact"/>
        <w:ind w:firstLine="643" w:firstLineChars="200"/>
        <w:outlineLvl w:val="2"/>
        <w:rPr>
          <w:rFonts w:ascii="仿宋" w:eastAsia="仿宋"/>
          <w:color w:val="000000"/>
          <w:sz w:val="32"/>
          <w:szCs w:val="32"/>
        </w:rPr>
      </w:pPr>
      <w:bookmarkStart w:id="81" w:name="_Toc15377222"/>
      <w:bookmarkStart w:id="82" w:name="_Toc16128"/>
      <w:r>
        <w:rPr>
          <w:rFonts w:hint="eastAsia" w:ascii="仿宋" w:eastAsia="仿宋"/>
          <w:b/>
          <w:color w:val="000000"/>
          <w:sz w:val="32"/>
          <w:szCs w:val="32"/>
        </w:rPr>
        <w:t>（一）机关运行经费支出情况</w:t>
      </w:r>
      <w:bookmarkEnd w:id="81"/>
      <w:bookmarkEnd w:id="82"/>
    </w:p>
    <w:p>
      <w:pPr>
        <w:autoSpaceDE w:val="0"/>
        <w:autoSpaceDN w:val="0"/>
        <w:adjustRightInd w:val="0"/>
        <w:spacing w:line="600" w:lineRule="exact"/>
        <w:ind w:firstLine="640" w:firstLineChars="200"/>
        <w:jc w:val="left"/>
        <w:outlineLvl w:val="2"/>
        <w:rPr>
          <w:rFonts w:ascii="仿宋_GB2312" w:eastAsia="仿宋_GB2312"/>
          <w:color w:val="000000"/>
          <w:sz w:val="32"/>
          <w:szCs w:val="32"/>
        </w:rPr>
      </w:pPr>
      <w:bookmarkStart w:id="83" w:name="_Toc20784"/>
      <w:bookmarkStart w:id="84" w:name="_Toc15377223"/>
      <w:r>
        <w:rPr>
          <w:rFonts w:hint="eastAsia" w:ascii="仿宋_GB2312" w:eastAsia="仿宋_GB2312"/>
          <w:color w:val="000000"/>
          <w:sz w:val="32"/>
          <w:szCs w:val="32"/>
        </w:rPr>
        <w:t>我单位无机关运行经费。</w:t>
      </w:r>
      <w:bookmarkEnd w:id="83"/>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85" w:name="_Toc3800"/>
      <w:r>
        <w:rPr>
          <w:rFonts w:hint="eastAsia" w:ascii="仿宋" w:eastAsia="仿宋"/>
          <w:b/>
          <w:color w:val="000000"/>
          <w:sz w:val="32"/>
          <w:szCs w:val="32"/>
        </w:rPr>
        <w:t>（二）政府采购支出情况</w:t>
      </w:r>
      <w:bookmarkEnd w:id="84"/>
      <w:bookmarkEnd w:id="85"/>
    </w:p>
    <w:p>
      <w:pPr>
        <w:autoSpaceDE w:val="0"/>
        <w:autoSpaceDN w:val="0"/>
        <w:adjustRightInd w:val="0"/>
        <w:spacing w:line="600" w:lineRule="exact"/>
        <w:ind w:firstLine="640" w:firstLineChars="200"/>
        <w:jc w:val="left"/>
        <w:outlineLvl w:val="2"/>
        <w:rPr>
          <w:rFonts w:ascii="仿宋_GB2312" w:eastAsia="仿宋_GB2312"/>
          <w:color w:val="000000"/>
          <w:sz w:val="32"/>
          <w:szCs w:val="32"/>
        </w:rPr>
      </w:pPr>
      <w:bookmarkStart w:id="86" w:name="_Toc27555"/>
      <w:r>
        <w:rPr>
          <w:rFonts w:hint="eastAsia" w:ascii="仿宋_GB2312" w:eastAsia="仿宋_GB2312"/>
          <w:color w:val="000000"/>
          <w:sz w:val="32"/>
          <w:szCs w:val="32"/>
        </w:rPr>
        <w:t>我单位政府采购支出</w:t>
      </w:r>
      <w:bookmarkEnd w:id="86"/>
      <w:r>
        <w:rPr>
          <w:rFonts w:ascii="仿宋_GB2312" w:eastAsia="仿宋_GB2312"/>
          <w:color w:val="000000"/>
          <w:sz w:val="32"/>
          <w:szCs w:val="32"/>
        </w:rPr>
        <w:t>801.17</w:t>
      </w:r>
      <w:r>
        <w:rPr>
          <w:rFonts w:hint="eastAsia" w:ascii="仿宋_GB2312" w:eastAsia="仿宋_GB2312"/>
          <w:color w:val="000000"/>
          <w:sz w:val="32"/>
          <w:szCs w:val="32"/>
        </w:rPr>
        <w:t>万元，政府采购货物支出</w:t>
      </w:r>
      <w:r>
        <w:rPr>
          <w:rFonts w:ascii="仿宋_GB2312" w:eastAsia="仿宋_GB2312"/>
          <w:color w:val="000000"/>
          <w:sz w:val="32"/>
          <w:szCs w:val="32"/>
        </w:rPr>
        <w:t>801.17</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87" w:name="_Toc31915"/>
      <w:bookmarkStart w:id="88" w:name="_Toc15377224"/>
      <w:r>
        <w:rPr>
          <w:rFonts w:hint="eastAsia" w:ascii="仿宋" w:eastAsia="仿宋"/>
          <w:b/>
          <w:color w:val="000000"/>
          <w:sz w:val="32"/>
          <w:szCs w:val="32"/>
        </w:rPr>
        <w:t>（三）国有资产占有使用情况</w:t>
      </w:r>
      <w:bookmarkEnd w:id="87"/>
      <w:bookmarkEnd w:id="88"/>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日，共有车辆3辆，为日常工作及应急保障用车。</w:t>
      </w:r>
      <w:r>
        <w:rPr>
          <w:rFonts w:hint="eastAsia" w:ascii="仿宋_GB2312" w:eastAsia="仿宋_GB2312"/>
          <w:b/>
          <w:color w:val="000000"/>
          <w:sz w:val="32"/>
          <w:szCs w:val="32"/>
        </w:rPr>
        <w:t xml:space="preserve">    </w:t>
      </w:r>
    </w:p>
    <w:p>
      <w:pPr>
        <w:numPr>
          <w:ilvl w:val="0"/>
          <w:numId w:val="6"/>
        </w:numPr>
        <w:spacing w:line="600" w:lineRule="exact"/>
        <w:ind w:firstLine="663" w:firstLineChars="150"/>
        <w:jc w:val="center"/>
        <w:outlineLvl w:val="0"/>
        <w:rPr>
          <w:rStyle w:val="18"/>
          <w:rFonts w:ascii="黑体" w:eastAsia="黑体"/>
          <w:b w:val="0"/>
        </w:rPr>
      </w:pPr>
      <w:bookmarkStart w:id="89" w:name="_Toc15377225"/>
      <w:bookmarkStart w:id="90" w:name="_Toc20290"/>
      <w:bookmarkStart w:id="91" w:name="_Toc22857"/>
      <w:r>
        <w:rPr>
          <w:rFonts w:hint="eastAsia" w:ascii="黑体" w:eastAsia="黑体"/>
          <w:b/>
          <w:color w:val="000000"/>
          <w:sz w:val="44"/>
          <w:szCs w:val="44"/>
        </w:rPr>
        <w:t>名</w:t>
      </w:r>
      <w:r>
        <w:rPr>
          <w:rStyle w:val="18"/>
          <w:rFonts w:hint="eastAsia" w:ascii="黑体" w:eastAsia="黑体"/>
          <w:b w:val="0"/>
        </w:rPr>
        <w:t>词解释</w:t>
      </w:r>
      <w:bookmarkEnd w:id="89"/>
      <w:bookmarkEnd w:id="90"/>
      <w:bookmarkEnd w:id="91"/>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spacing w:line="600" w:lineRule="exact"/>
        <w:ind w:firstLine="640" w:firstLineChars="200"/>
        <w:rPr>
          <w:rStyle w:val="16"/>
          <w:rFonts w:ascii="仿宋_GB2312" w:eastAsia="仿宋_GB2312"/>
          <w:b w:val="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Style w:val="16"/>
          <w:rFonts w:hint="eastAsia" w:ascii="仿宋_GB2312" w:eastAsia="仿宋_GB2312"/>
          <w:b w:val="0"/>
          <w:sz w:val="32"/>
          <w:szCs w:val="32"/>
        </w:rPr>
        <w:t>文化旅游体育与传媒：反映广播电台、广播发射台、广播转播台及有线广播站的支出。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其他文化旅游体育与传媒支出：其他用于广播电视方面的支出。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ascii="黑体" w:eastAsia="黑体"/>
          <w:color w:val="000000"/>
          <w:sz w:val="44"/>
          <w:szCs w:val="44"/>
        </w:rPr>
      </w:pPr>
      <w:bookmarkStart w:id="92" w:name="_Toc15377226"/>
    </w:p>
    <w:p>
      <w:pPr>
        <w:spacing w:line="600" w:lineRule="exact"/>
        <w:jc w:val="center"/>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rPr>
          <w:rFonts w:ascii="黑体" w:eastAsia="黑体"/>
          <w:color w:val="000000"/>
          <w:sz w:val="44"/>
          <w:szCs w:val="44"/>
        </w:rPr>
      </w:pPr>
    </w:p>
    <w:p>
      <w:pPr>
        <w:pStyle w:val="4"/>
        <w:rPr>
          <w:rStyle w:val="18"/>
          <w:rFonts w:ascii="仿宋" w:eastAsia="仿宋"/>
          <w:b w:val="0"/>
          <w:bCs w:val="0"/>
          <w:sz w:val="32"/>
          <w:szCs w:val="32"/>
        </w:rPr>
      </w:pPr>
      <w:bookmarkStart w:id="93" w:name="_Toc17022"/>
      <w:bookmarkStart w:id="94" w:name="_Toc10196"/>
      <w:r>
        <w:rPr>
          <w:rStyle w:val="18"/>
          <w:rFonts w:hint="eastAsia" w:ascii="仿宋" w:eastAsia="仿宋"/>
          <w:b w:val="0"/>
          <w:bCs w:val="0"/>
          <w:sz w:val="32"/>
          <w:szCs w:val="32"/>
        </w:rPr>
        <w:t>附件1</w:t>
      </w:r>
      <w:bookmarkEnd w:id="93"/>
      <w:bookmarkEnd w:id="94"/>
    </w:p>
    <w:p>
      <w:pPr>
        <w:numPr>
          <w:ilvl w:val="0"/>
          <w:numId w:val="6"/>
        </w:numPr>
        <w:spacing w:line="600" w:lineRule="exact"/>
        <w:ind w:firstLine="660" w:firstLineChars="150"/>
        <w:jc w:val="center"/>
        <w:outlineLvl w:val="0"/>
        <w:rPr>
          <w:rStyle w:val="18"/>
          <w:rFonts w:ascii="黑体" w:eastAsia="黑体"/>
          <w:b w:val="0"/>
        </w:rPr>
      </w:pPr>
      <w:bookmarkStart w:id="95" w:name="_Toc1341"/>
      <w:bookmarkStart w:id="96" w:name="_Toc16163"/>
      <w:r>
        <w:rPr>
          <w:rStyle w:val="18"/>
          <w:rFonts w:hint="eastAsia" w:ascii="黑体" w:eastAsia="黑体"/>
          <w:b w:val="0"/>
        </w:rPr>
        <w:t>附件</w:t>
      </w:r>
      <w:bookmarkEnd w:id="95"/>
      <w:bookmarkEnd w:id="96"/>
    </w:p>
    <w:bookmarkEnd w:id="92"/>
    <w:p>
      <w:pPr>
        <w:spacing w:line="560" w:lineRule="exact"/>
        <w:jc w:val="center"/>
        <w:outlineLvl w:val="1"/>
        <w:rPr>
          <w:rStyle w:val="18"/>
          <w:rFonts w:ascii="黑体" w:eastAsia="黑体"/>
          <w:b w:val="0"/>
        </w:rPr>
      </w:pPr>
      <w:bookmarkStart w:id="97" w:name="_Toc10199"/>
      <w:bookmarkStart w:id="98" w:name="_Toc16407"/>
      <w:r>
        <w:rPr>
          <w:rStyle w:val="18"/>
          <w:rFonts w:hint="eastAsia" w:ascii="黑体" w:eastAsia="黑体"/>
          <w:b w:val="0"/>
        </w:rPr>
        <w:t>金川县融媒体中心</w:t>
      </w:r>
      <w:bookmarkEnd w:id="97"/>
    </w:p>
    <w:p>
      <w:pPr>
        <w:spacing w:line="560" w:lineRule="exact"/>
        <w:jc w:val="center"/>
        <w:outlineLvl w:val="1"/>
        <w:rPr>
          <w:rFonts w:ascii="方正小标宋简体" w:eastAsia="方正小标宋简体"/>
          <w:sz w:val="44"/>
          <w:szCs w:val="44"/>
        </w:rPr>
      </w:pPr>
      <w:r>
        <w:rPr>
          <w:rFonts w:hint="eastAsia" w:ascii="方正小标宋简体" w:eastAsia="方正小标宋简体"/>
          <w:sz w:val="44"/>
          <w:szCs w:val="44"/>
        </w:rPr>
        <w:t>2020年部门整体支出绩效评价报告</w:t>
      </w:r>
      <w:bookmarkEnd w:id="98"/>
    </w:p>
    <w:p>
      <w:pPr>
        <w:ind w:firstLine="640" w:firstLineChars="200"/>
        <w:rPr>
          <w:rFonts w:ascii="仿宋_GB2312" w:eastAsia="仿宋_GB2312"/>
          <w:sz w:val="32"/>
          <w:szCs w:val="32"/>
        </w:rPr>
      </w:pPr>
    </w:p>
    <w:p>
      <w:pPr>
        <w:widowControl/>
        <w:adjustRightInd w:val="0"/>
        <w:snapToGrid w:val="0"/>
        <w:spacing w:line="480" w:lineRule="exact"/>
        <w:jc w:val="left"/>
        <w:outlineLvl w:val="1"/>
        <w:rPr>
          <w:rFonts w:ascii="仿宋" w:hAnsi="仿宋" w:eastAsia="仿宋" w:cs="宋体"/>
          <w:color w:val="000000"/>
          <w:kern w:val="0"/>
          <w:sz w:val="32"/>
          <w:szCs w:val="32"/>
          <w:lang w:val="zh-CN"/>
        </w:rPr>
      </w:pPr>
      <w:bookmarkStart w:id="99" w:name="_Toc14720"/>
      <w:r>
        <w:rPr>
          <w:rFonts w:hint="eastAsia" w:ascii="黑体" w:hAnsi="宋体" w:eastAsia="黑体" w:cs="宋体"/>
          <w:color w:val="000000"/>
          <w:kern w:val="0"/>
          <w:sz w:val="32"/>
          <w:szCs w:val="32"/>
        </w:rPr>
        <w:t>一</w:t>
      </w:r>
      <w:r>
        <w:rPr>
          <w:rFonts w:hint="eastAsia" w:ascii="仿宋" w:hAnsi="仿宋" w:eastAsia="仿宋" w:cs="宋体"/>
          <w:color w:val="000000"/>
          <w:kern w:val="0"/>
          <w:sz w:val="32"/>
          <w:szCs w:val="32"/>
        </w:rPr>
        <w:t>、</w:t>
      </w:r>
      <w:r>
        <w:rPr>
          <w:rFonts w:hint="eastAsia" w:ascii="仿宋" w:hAnsi="仿宋" w:eastAsia="仿宋" w:cs="宋体"/>
          <w:b/>
          <w:color w:val="000000"/>
          <w:kern w:val="0"/>
          <w:sz w:val="32"/>
          <w:szCs w:val="32"/>
          <w:lang w:val="zh-CN"/>
        </w:rPr>
        <w:t>部门（单位）概况</w:t>
      </w:r>
      <w:bookmarkEnd w:id="99"/>
    </w:p>
    <w:p>
      <w:pPr>
        <w:widowControl/>
        <w:adjustRightInd w:val="0"/>
        <w:snapToGrid w:val="0"/>
        <w:spacing w:line="480" w:lineRule="exact"/>
        <w:ind w:firstLine="720"/>
        <w:jc w:val="left"/>
        <w:outlineLvl w:val="2"/>
        <w:rPr>
          <w:rFonts w:ascii="仿宋" w:hAnsi="仿宋" w:eastAsia="仿宋" w:cs="宋体"/>
          <w:color w:val="000000"/>
          <w:kern w:val="0"/>
          <w:sz w:val="32"/>
          <w:szCs w:val="32"/>
          <w:lang w:val="zh-CN"/>
        </w:rPr>
      </w:pPr>
      <w:bookmarkStart w:id="100" w:name="_Toc30118"/>
      <w:r>
        <w:rPr>
          <w:rFonts w:hint="eastAsia" w:ascii="仿宋" w:hAnsi="仿宋" w:eastAsia="仿宋" w:cs="宋体"/>
          <w:color w:val="000000"/>
          <w:kern w:val="0"/>
          <w:sz w:val="32"/>
          <w:szCs w:val="32"/>
          <w:lang w:val="zh-CN"/>
        </w:rPr>
        <w:t>（一）机构组成</w:t>
      </w:r>
      <w:bookmarkEnd w:id="100"/>
    </w:p>
    <w:p>
      <w:pPr>
        <w:widowControl/>
        <w:adjustRightInd w:val="0"/>
        <w:snapToGrid w:val="0"/>
        <w:spacing w:line="480" w:lineRule="exact"/>
        <w:ind w:firstLine="720"/>
        <w:jc w:val="left"/>
        <w:rPr>
          <w:rFonts w:ascii="仿宋" w:hAnsi="仿宋" w:eastAsia="仿宋" w:cs="宋体"/>
          <w:color w:val="000000"/>
          <w:kern w:val="0"/>
          <w:sz w:val="32"/>
          <w:szCs w:val="32"/>
          <w:lang w:val="zh-CN"/>
        </w:rPr>
      </w:pPr>
      <w:r>
        <w:rPr>
          <w:rFonts w:hint="eastAsia" w:ascii="仿宋" w:hAnsi="仿宋" w:eastAsia="仿宋" w:cs="仿宋_GB2312"/>
          <w:color w:val="000000"/>
          <w:sz w:val="32"/>
          <w:szCs w:val="32"/>
          <w:shd w:val="clear" w:color="auto" w:fill="FFFFFF"/>
        </w:rPr>
        <w:t>金川县融媒体中心是</w:t>
      </w:r>
      <w:r>
        <w:rPr>
          <w:rFonts w:hint="eastAsia" w:ascii="仿宋" w:hAnsi="仿宋" w:eastAsia="仿宋"/>
          <w:bCs/>
          <w:sz w:val="32"/>
          <w:szCs w:val="32"/>
        </w:rPr>
        <w:t>独立编制机构和核算的事业单位，2020年末实有在职职工22人。</w:t>
      </w:r>
    </w:p>
    <w:p>
      <w:pPr>
        <w:widowControl/>
        <w:numPr>
          <w:ilvl w:val="0"/>
          <w:numId w:val="7"/>
        </w:numPr>
        <w:adjustRightInd w:val="0"/>
        <w:snapToGrid w:val="0"/>
        <w:spacing w:line="480" w:lineRule="exact"/>
        <w:ind w:firstLine="640" w:firstLineChars="200"/>
        <w:jc w:val="left"/>
        <w:outlineLvl w:val="2"/>
        <w:rPr>
          <w:rFonts w:ascii="仿宋" w:hAnsi="仿宋" w:eastAsia="仿宋" w:cs="宋体"/>
          <w:color w:val="000000"/>
          <w:kern w:val="0"/>
          <w:sz w:val="32"/>
          <w:szCs w:val="32"/>
          <w:lang w:val="zh-CN"/>
        </w:rPr>
      </w:pPr>
      <w:bookmarkStart w:id="101" w:name="_Toc12422"/>
      <w:r>
        <w:rPr>
          <w:rFonts w:hint="eastAsia" w:ascii="仿宋" w:hAnsi="仿宋" w:eastAsia="仿宋" w:cs="宋体"/>
          <w:color w:val="000000"/>
          <w:kern w:val="0"/>
          <w:sz w:val="32"/>
          <w:szCs w:val="32"/>
          <w:lang w:val="zh-CN"/>
        </w:rPr>
        <w:t>机构职能</w:t>
      </w:r>
      <w:bookmarkEnd w:id="101"/>
    </w:p>
    <w:p>
      <w:pPr>
        <w:widowControl/>
        <w:adjustRightInd w:val="0"/>
        <w:snapToGrid w:val="0"/>
        <w:spacing w:line="560" w:lineRule="exact"/>
        <w:ind w:firstLine="800" w:firstLineChars="250"/>
        <w:jc w:val="left"/>
        <w:rPr>
          <w:rFonts w:ascii="仿宋" w:hAnsi="仿宋" w:eastAsia="仿宋" w:cs="仿宋_GB2312"/>
          <w:color w:val="000000"/>
          <w:spacing w:val="-14"/>
          <w:kern w:val="0"/>
          <w:sz w:val="32"/>
          <w:szCs w:val="32"/>
        </w:rPr>
      </w:pPr>
      <w:r>
        <w:rPr>
          <w:rFonts w:hint="eastAsia" w:ascii="仿宋" w:hAnsi="仿宋" w:eastAsia="仿宋" w:cs="仿宋_GB2312"/>
          <w:kern w:val="0"/>
          <w:sz w:val="32"/>
          <w:szCs w:val="32"/>
        </w:rPr>
        <w:t>我单位主要职责是：</w:t>
      </w:r>
      <w:r>
        <w:rPr>
          <w:rFonts w:hint="eastAsia" w:ascii="仿宋" w:hAnsi="仿宋" w:eastAsia="仿宋" w:cs="仿宋_GB2312"/>
          <w:color w:val="000000"/>
          <w:spacing w:val="-14"/>
          <w:kern w:val="0"/>
          <w:sz w:val="32"/>
          <w:szCs w:val="32"/>
        </w:rPr>
        <w:t>负责全县广播电视新闻节目制作、对外合作交流，安全播出、安全传输发射，广电有线网络及新媒体建设等任务，负责拟定全县广播电视事业、产业发展规划，负责组织审查广告播出，开展相关经营，负责广播电视有线传输网络的设计、建设、维护以及开发应用。负责全县广播电视人才的培训、培养、引进和使用工作。</w:t>
      </w:r>
    </w:p>
    <w:p>
      <w:pPr>
        <w:widowControl/>
        <w:adjustRightInd w:val="0"/>
        <w:snapToGrid w:val="0"/>
        <w:spacing w:line="480" w:lineRule="exact"/>
        <w:ind w:firstLine="720"/>
        <w:jc w:val="left"/>
        <w:outlineLvl w:val="2"/>
        <w:rPr>
          <w:rFonts w:ascii="仿宋" w:hAnsi="仿宋" w:eastAsia="仿宋" w:cs="宋体"/>
          <w:color w:val="000000"/>
          <w:kern w:val="0"/>
          <w:sz w:val="32"/>
          <w:szCs w:val="32"/>
          <w:lang w:val="zh-CN"/>
        </w:rPr>
      </w:pPr>
      <w:bookmarkStart w:id="102" w:name="_Toc14496"/>
      <w:r>
        <w:rPr>
          <w:rFonts w:hint="eastAsia" w:ascii="仿宋" w:hAnsi="仿宋" w:eastAsia="仿宋" w:cs="宋体"/>
          <w:color w:val="000000"/>
          <w:kern w:val="0"/>
          <w:sz w:val="32"/>
          <w:szCs w:val="32"/>
          <w:lang w:val="zh-CN"/>
        </w:rPr>
        <w:t>（三）人员概况</w:t>
      </w:r>
      <w:bookmarkEnd w:id="102"/>
    </w:p>
    <w:p>
      <w:pPr>
        <w:spacing w:line="560" w:lineRule="exact"/>
        <w:ind w:firstLine="800" w:firstLineChars="250"/>
        <w:rPr>
          <w:rFonts w:ascii="仿宋" w:hAnsi="仿宋" w:eastAsia="仿宋" w:cs="仿宋_GB2312"/>
          <w:color w:val="333333"/>
          <w:sz w:val="32"/>
          <w:szCs w:val="32"/>
          <w:shd w:val="clear" w:color="auto" w:fill="FFFFFF"/>
        </w:rPr>
      </w:pPr>
      <w:r>
        <w:rPr>
          <w:rFonts w:hint="eastAsia" w:ascii="仿宋" w:hAnsi="仿宋" w:eastAsia="仿宋" w:cs="仿宋_GB2312"/>
          <w:color w:val="333333"/>
          <w:sz w:val="32"/>
          <w:szCs w:val="32"/>
          <w:shd w:val="clear" w:color="auto" w:fill="FFFFFF"/>
        </w:rPr>
        <w:t>金川县融媒体中心是一级预算单位，编制数为29人，在编人数22人，</w:t>
      </w:r>
      <w:r>
        <w:rPr>
          <w:rFonts w:hint="eastAsia" w:ascii="仿宋" w:hAnsi="仿宋" w:eastAsia="仿宋"/>
          <w:bCs/>
          <w:sz w:val="32"/>
          <w:szCs w:val="32"/>
        </w:rPr>
        <w:t>其中：事业管理8人，事业专技13人，事业工勤1人</w:t>
      </w:r>
      <w:r>
        <w:rPr>
          <w:rFonts w:hint="eastAsia" w:ascii="仿宋" w:hAnsi="仿宋" w:eastAsia="仿宋" w:cs="仿宋_GB2312"/>
          <w:color w:val="333333"/>
          <w:sz w:val="32"/>
          <w:szCs w:val="32"/>
          <w:shd w:val="clear" w:color="auto" w:fill="FFFFFF"/>
        </w:rPr>
        <w:t>。</w:t>
      </w:r>
    </w:p>
    <w:p>
      <w:pPr>
        <w:widowControl/>
        <w:adjustRightInd w:val="0"/>
        <w:snapToGrid w:val="0"/>
        <w:spacing w:line="480" w:lineRule="exact"/>
        <w:jc w:val="left"/>
        <w:outlineLvl w:val="1"/>
        <w:rPr>
          <w:rFonts w:ascii="仿宋" w:hAnsi="仿宋" w:eastAsia="仿宋" w:cs="宋体"/>
          <w:b/>
          <w:color w:val="000000"/>
          <w:kern w:val="0"/>
          <w:sz w:val="32"/>
          <w:szCs w:val="32"/>
        </w:rPr>
      </w:pPr>
      <w:bookmarkStart w:id="103" w:name="_Toc8723"/>
      <w:r>
        <w:rPr>
          <w:rFonts w:hint="eastAsia" w:ascii="仿宋" w:hAnsi="仿宋" w:eastAsia="仿宋" w:cs="宋体"/>
          <w:b/>
          <w:color w:val="000000"/>
          <w:kern w:val="0"/>
          <w:sz w:val="32"/>
          <w:szCs w:val="32"/>
        </w:rPr>
        <w:t>二、部门财政资金收支情况</w:t>
      </w:r>
      <w:bookmarkEnd w:id="103"/>
    </w:p>
    <w:p>
      <w:pPr>
        <w:widowControl/>
        <w:adjustRightInd w:val="0"/>
        <w:snapToGrid w:val="0"/>
        <w:spacing w:line="48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（一）部门财政资金收入情况</w:t>
      </w:r>
    </w:p>
    <w:p>
      <w:pPr>
        <w:spacing w:line="600" w:lineRule="exact"/>
        <w:ind w:firstLine="640" w:firstLineChars="200"/>
        <w:outlineLvl w:val="1"/>
        <w:rPr>
          <w:rFonts w:ascii="仿宋" w:hAnsi="仿宋" w:eastAsia="仿宋"/>
          <w:color w:val="000000"/>
          <w:sz w:val="32"/>
          <w:szCs w:val="32"/>
        </w:rPr>
      </w:pPr>
      <w:r>
        <w:rPr>
          <w:rFonts w:hint="eastAsia" w:ascii="仿宋" w:hAnsi="仿宋" w:eastAsia="仿宋" w:cs="宋体"/>
          <w:color w:val="000000"/>
          <w:kern w:val="0"/>
          <w:sz w:val="32"/>
          <w:szCs w:val="32"/>
        </w:rPr>
        <w:t xml:space="preserve"> </w:t>
      </w:r>
      <w:bookmarkStart w:id="104" w:name="_Toc32506"/>
      <w:bookmarkStart w:id="105" w:name="_Toc7334"/>
      <w:r>
        <w:rPr>
          <w:rFonts w:ascii="仿宋" w:hAnsi="仿宋" w:eastAsia="仿宋"/>
          <w:color w:val="000000"/>
          <w:sz w:val="32"/>
          <w:szCs w:val="32"/>
        </w:rPr>
        <w:t>20</w:t>
      </w:r>
      <w:r>
        <w:rPr>
          <w:rFonts w:hint="eastAsia" w:ascii="仿宋" w:hAnsi="仿宋" w:eastAsia="仿宋"/>
          <w:color w:val="000000"/>
          <w:sz w:val="32"/>
          <w:szCs w:val="32"/>
        </w:rPr>
        <w:t>20年本年收入合计1096.88万元，其中：一般公共预算财政拨款收入1096.88万元。</w:t>
      </w:r>
      <w:bookmarkEnd w:id="104"/>
      <w:bookmarkEnd w:id="105"/>
      <w:r>
        <w:rPr>
          <w:rFonts w:ascii="仿宋" w:hAnsi="仿宋" w:eastAsia="仿宋"/>
          <w:color w:val="000000"/>
          <w:sz w:val="32"/>
          <w:szCs w:val="32"/>
        </w:rPr>
        <w:t xml:space="preserve"> </w:t>
      </w:r>
    </w:p>
    <w:p>
      <w:pPr>
        <w:widowControl/>
        <w:adjustRightInd w:val="0"/>
        <w:snapToGrid w:val="0"/>
        <w:spacing w:line="48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w:t>
      </w:r>
      <w:r>
        <w:rPr>
          <w:rFonts w:hint="eastAsia" w:ascii="仿宋" w:hAnsi="仿宋" w:eastAsia="仿宋" w:cs="宋体"/>
          <w:color w:val="000000"/>
          <w:kern w:val="0"/>
          <w:sz w:val="32"/>
          <w:szCs w:val="32"/>
        </w:rPr>
        <w:t>二</w:t>
      </w:r>
      <w:r>
        <w:rPr>
          <w:rFonts w:hint="eastAsia" w:ascii="仿宋" w:hAnsi="仿宋" w:eastAsia="仿宋" w:cs="宋体"/>
          <w:color w:val="000000"/>
          <w:kern w:val="0"/>
          <w:sz w:val="32"/>
          <w:szCs w:val="32"/>
          <w:lang w:val="zh-CN"/>
        </w:rPr>
        <w:t>）部门财政资金支出情况</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20年本年支出合计1605.26万元，其中：基本支出274.99万元，项目支出1330.27万元。</w:t>
      </w:r>
    </w:p>
    <w:p>
      <w:pPr>
        <w:widowControl/>
        <w:adjustRightInd w:val="0"/>
        <w:snapToGrid w:val="0"/>
        <w:spacing w:line="480" w:lineRule="exact"/>
        <w:jc w:val="left"/>
        <w:outlineLvl w:val="1"/>
        <w:rPr>
          <w:rFonts w:ascii="仿宋" w:hAnsi="仿宋" w:eastAsia="仿宋" w:cs="宋体"/>
          <w:color w:val="000000"/>
          <w:kern w:val="0"/>
          <w:sz w:val="32"/>
          <w:szCs w:val="32"/>
        </w:rPr>
      </w:pPr>
      <w:bookmarkStart w:id="106" w:name="_Toc5018"/>
      <w:r>
        <w:rPr>
          <w:rFonts w:hint="eastAsia" w:ascii="仿宋" w:hAnsi="仿宋" w:eastAsia="仿宋" w:cs="宋体"/>
          <w:b/>
          <w:color w:val="000000"/>
          <w:kern w:val="0"/>
          <w:sz w:val="32"/>
          <w:szCs w:val="32"/>
        </w:rPr>
        <w:t>三、</w:t>
      </w:r>
      <w:r>
        <w:rPr>
          <w:rFonts w:hint="eastAsia" w:ascii="仿宋" w:hAnsi="仿宋" w:eastAsia="仿宋" w:cs="宋体"/>
          <w:b/>
          <w:color w:val="000000"/>
          <w:kern w:val="0"/>
          <w:sz w:val="32"/>
          <w:szCs w:val="32"/>
          <w:shd w:val="clear" w:color="auto" w:fill="FFFFFF"/>
        </w:rPr>
        <w:t>部门整体预算绩效管理情况</w:t>
      </w:r>
      <w:bookmarkEnd w:id="106"/>
    </w:p>
    <w:p>
      <w:pPr>
        <w:widowControl/>
        <w:adjustRightInd w:val="0"/>
        <w:snapToGrid w:val="0"/>
        <w:spacing w:line="480" w:lineRule="exact"/>
        <w:ind w:firstLine="720"/>
        <w:jc w:val="left"/>
        <w:outlineLvl w:val="2"/>
        <w:rPr>
          <w:rFonts w:ascii="仿宋" w:hAnsi="仿宋" w:eastAsia="仿宋" w:cs="宋体"/>
          <w:color w:val="000000"/>
          <w:kern w:val="0"/>
          <w:sz w:val="32"/>
          <w:szCs w:val="32"/>
          <w:lang w:val="zh-CN"/>
        </w:rPr>
      </w:pPr>
      <w:bookmarkStart w:id="107" w:name="_Toc6250"/>
      <w:r>
        <w:rPr>
          <w:rFonts w:hint="eastAsia" w:ascii="仿宋" w:hAnsi="仿宋" w:eastAsia="仿宋" w:cs="宋体"/>
          <w:color w:val="000000"/>
          <w:kern w:val="0"/>
          <w:sz w:val="32"/>
          <w:szCs w:val="32"/>
          <w:lang w:val="zh-CN"/>
        </w:rPr>
        <w:t>（一）部门预算管理</w:t>
      </w:r>
      <w:bookmarkEnd w:id="107"/>
    </w:p>
    <w:p>
      <w:pPr>
        <w:pStyle w:val="13"/>
        <w:spacing w:before="0" w:beforeAutospacing="0"/>
        <w:ind w:firstLine="960" w:firstLineChars="300"/>
        <w:rPr>
          <w:rFonts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金川县融媒体中心2020年度总收入为1,096.88万元。其中：一般公共预算财政拨款收入为1,096.88万元，占比100.00%；本年度总支出为1,605.26万元。其中：文化旅游体育与传媒支出为1,526.64万元，占比95.10%；社会保障和就业支出为35.19万元，占比2.19%；卫生健康支出为15.67万元，占比0.98%；住房保障支出为27.76万元，占比1.73%。</w:t>
      </w:r>
    </w:p>
    <w:p>
      <w:pPr>
        <w:pStyle w:val="13"/>
        <w:spacing w:before="0" w:beforeAutospacing="0"/>
        <w:ind w:firstLine="640" w:firstLineChars="200"/>
        <w:outlineLvl w:val="2"/>
        <w:rPr>
          <w:rFonts w:ascii="仿宋" w:hAnsi="仿宋" w:eastAsia="仿宋"/>
          <w:color w:val="000000"/>
          <w:sz w:val="32"/>
          <w:szCs w:val="32"/>
          <w:lang w:val="zh-CN"/>
        </w:rPr>
      </w:pPr>
      <w:bookmarkStart w:id="108" w:name="_Toc13282"/>
      <w:r>
        <w:rPr>
          <w:rFonts w:hint="eastAsia" w:ascii="仿宋" w:hAnsi="仿宋" w:eastAsia="仿宋"/>
          <w:color w:val="000000"/>
          <w:sz w:val="32"/>
          <w:szCs w:val="32"/>
          <w:lang w:val="zh-CN"/>
        </w:rPr>
        <w:t>（二）结果应用情况</w:t>
      </w:r>
      <w:bookmarkEnd w:id="108"/>
    </w:p>
    <w:p>
      <w:pPr>
        <w:pStyle w:val="13"/>
        <w:spacing w:before="0" w:beforeAutospacing="0"/>
        <w:ind w:firstLine="640" w:firstLineChars="200"/>
        <w:rPr>
          <w:rFonts w:ascii="仿宋" w:hAnsi="仿宋" w:eastAsia="仿宋"/>
          <w:color w:val="000000"/>
          <w:sz w:val="32"/>
          <w:szCs w:val="32"/>
          <w:lang w:val="zh-CN"/>
        </w:rPr>
      </w:pPr>
      <w:r>
        <w:rPr>
          <w:rFonts w:hint="eastAsia" w:ascii="仿宋" w:hAnsi="仿宋" w:eastAsia="仿宋" w:cs="仿宋_GB2312"/>
          <w:sz w:val="32"/>
          <w:szCs w:val="32"/>
        </w:rPr>
        <w:t>金川县融媒体中心预算安排支出主要用于保障本单位部门机构正常运转以及完成日常工作任务。</w:t>
      </w:r>
      <w:r>
        <w:rPr>
          <w:rFonts w:hint="eastAsia" w:ascii="仿宋" w:hAnsi="仿宋" w:eastAsia="仿宋"/>
          <w:color w:val="000000"/>
          <w:sz w:val="32"/>
          <w:szCs w:val="32"/>
        </w:rPr>
        <w:t>融媒体中心2020年一般公共预算财政拨款基本支出274.98万元，其中：人员经费151.75万元，主要包括：基本工资57.39万元、津贴补贴29.51万元、奖金4.8万元、绩效工资60.05万元、机关事业单位基本养老保险缴费23.46万元、职业年金缴费11.73万元、职工基本医疗保险缴费10.47万元、公务员医疗补助缴费3.4万元、其他社会保万元障费1.64万元、住房公积金22.85万元、奖励金44.78万元、退休费4.9万元</w:t>
      </w:r>
      <w:r>
        <w:rPr>
          <w:rFonts w:hint="eastAsia" w:ascii="仿宋" w:hAnsi="仿宋" w:eastAsia="仿宋" w:cs="仿宋_GB2312"/>
          <w:sz w:val="32"/>
          <w:szCs w:val="32"/>
        </w:rPr>
        <w:t xml:space="preserve">。     </w:t>
      </w:r>
      <w:r>
        <w:rPr>
          <w:rFonts w:hint="eastAsia" w:ascii="仿宋" w:hAnsi="仿宋" w:eastAsia="仿宋"/>
          <w:color w:val="000000"/>
          <w:sz w:val="32"/>
          <w:szCs w:val="32"/>
          <w:lang w:val="zh-CN"/>
        </w:rPr>
        <w:t>我</w:t>
      </w:r>
      <w:r>
        <w:rPr>
          <w:rFonts w:hint="eastAsia" w:ascii="仿宋" w:hAnsi="仿宋" w:eastAsia="仿宋"/>
          <w:color w:val="000000"/>
          <w:sz w:val="32"/>
          <w:szCs w:val="32"/>
        </w:rPr>
        <w:t>单位</w:t>
      </w:r>
      <w:r>
        <w:rPr>
          <w:rFonts w:hint="eastAsia" w:ascii="仿宋" w:hAnsi="仿宋" w:eastAsia="仿宋"/>
          <w:color w:val="000000"/>
          <w:sz w:val="32"/>
          <w:szCs w:val="32"/>
          <w:lang w:val="zh-CN"/>
        </w:rPr>
        <w:t>认真履行职责，较好地完成了年初确定的各项工作任务，为推进</w:t>
      </w:r>
      <w:r>
        <w:rPr>
          <w:rFonts w:hint="eastAsia" w:ascii="仿宋" w:hAnsi="仿宋" w:eastAsia="仿宋"/>
          <w:color w:val="000000"/>
          <w:sz w:val="32"/>
          <w:szCs w:val="32"/>
        </w:rPr>
        <w:t>金川县融媒体中心</w:t>
      </w:r>
      <w:r>
        <w:rPr>
          <w:rFonts w:hint="eastAsia" w:ascii="仿宋" w:hAnsi="仿宋" w:eastAsia="仿宋"/>
          <w:color w:val="000000"/>
          <w:sz w:val="32"/>
          <w:szCs w:val="32"/>
          <w:lang w:val="zh-CN"/>
        </w:rPr>
        <w:t>建设事业和全</w:t>
      </w:r>
      <w:r>
        <w:rPr>
          <w:rFonts w:hint="eastAsia" w:ascii="仿宋" w:hAnsi="仿宋" w:eastAsia="仿宋"/>
          <w:color w:val="000000"/>
          <w:sz w:val="32"/>
          <w:szCs w:val="32"/>
        </w:rPr>
        <w:t>县</w:t>
      </w:r>
      <w:r>
        <w:rPr>
          <w:rFonts w:hint="eastAsia" w:ascii="仿宋" w:hAnsi="仿宋" w:eastAsia="仿宋"/>
          <w:color w:val="000000"/>
          <w:sz w:val="32"/>
          <w:szCs w:val="32"/>
          <w:lang w:val="zh-CN"/>
        </w:rPr>
        <w:t>经济社会发展作出了积极贡献。</w:t>
      </w:r>
      <w:bookmarkStart w:id="109" w:name="_Toc28400"/>
    </w:p>
    <w:p>
      <w:pPr>
        <w:pStyle w:val="13"/>
        <w:spacing w:before="0" w:beforeAutospacing="0"/>
        <w:rPr>
          <w:rFonts w:ascii="仿宋" w:hAnsi="仿宋" w:eastAsia="仿宋"/>
          <w:color w:val="000000"/>
          <w:sz w:val="32"/>
          <w:szCs w:val="32"/>
        </w:rPr>
      </w:pPr>
      <w:r>
        <w:rPr>
          <w:rFonts w:hint="eastAsia" w:ascii="仿宋" w:hAnsi="仿宋" w:eastAsia="仿宋"/>
          <w:color w:val="000000"/>
          <w:sz w:val="32"/>
          <w:szCs w:val="32"/>
        </w:rPr>
        <w:t>四、</w:t>
      </w:r>
      <w:r>
        <w:rPr>
          <w:rFonts w:hint="eastAsia" w:ascii="仿宋" w:hAnsi="仿宋" w:eastAsia="仿宋"/>
          <w:color w:val="000000"/>
          <w:sz w:val="32"/>
          <w:szCs w:val="32"/>
          <w:lang w:val="zh-CN"/>
        </w:rPr>
        <w:t>评</w:t>
      </w:r>
      <w:r>
        <w:rPr>
          <w:rFonts w:hint="eastAsia" w:ascii="仿宋" w:hAnsi="仿宋" w:eastAsia="仿宋"/>
          <w:color w:val="000000"/>
          <w:sz w:val="32"/>
          <w:szCs w:val="32"/>
        </w:rPr>
        <w:t>价结论及建议</w:t>
      </w:r>
      <w:bookmarkEnd w:id="109"/>
    </w:p>
    <w:p>
      <w:pPr>
        <w:widowControl/>
        <w:adjustRightInd w:val="0"/>
        <w:snapToGrid w:val="0"/>
        <w:spacing w:line="480" w:lineRule="exact"/>
        <w:jc w:val="left"/>
        <w:outlineLvl w:val="2"/>
        <w:rPr>
          <w:rFonts w:ascii="仿宋" w:hAnsi="仿宋" w:eastAsia="仿宋" w:cs="宋体"/>
          <w:color w:val="000000"/>
          <w:kern w:val="0"/>
          <w:sz w:val="32"/>
          <w:szCs w:val="32"/>
          <w:lang w:val="zh-CN"/>
        </w:rPr>
      </w:pPr>
      <w:bookmarkStart w:id="110" w:name="_Toc13272"/>
      <w:r>
        <w:rPr>
          <w:rFonts w:hint="eastAsia" w:ascii="仿宋" w:hAnsi="仿宋" w:eastAsia="仿宋" w:cs="宋体"/>
          <w:color w:val="000000"/>
          <w:kern w:val="0"/>
          <w:sz w:val="32"/>
          <w:szCs w:val="32"/>
          <w:lang w:val="zh-CN"/>
        </w:rPr>
        <w:t>（一）评价结论</w:t>
      </w:r>
      <w:bookmarkEnd w:id="110"/>
    </w:p>
    <w:p>
      <w:pPr>
        <w:ind w:firstLine="960" w:firstLineChars="300"/>
        <w:rPr>
          <w:rFonts w:ascii="仿宋" w:eastAsia="仿宋" w:cs="仿宋"/>
          <w:sz w:val="32"/>
          <w:szCs w:val="32"/>
          <w:lang w:val="zh-CN"/>
        </w:rPr>
      </w:pPr>
      <w:r>
        <w:rPr>
          <w:rFonts w:hint="eastAsia" w:ascii="仿宋" w:eastAsia="仿宋" w:cs="仿宋"/>
          <w:sz w:val="32"/>
          <w:szCs w:val="32"/>
          <w:lang w:val="zh-CN"/>
        </w:rPr>
        <w:t>综上所述，</w:t>
      </w:r>
      <w:r>
        <w:rPr>
          <w:rFonts w:hint="eastAsia" w:ascii="仿宋" w:eastAsia="仿宋" w:cs="仿宋"/>
          <w:sz w:val="32"/>
          <w:szCs w:val="32"/>
        </w:rPr>
        <w:t>我部门预算支出绩效自评得分95分。</w:t>
      </w:r>
    </w:p>
    <w:p>
      <w:pPr>
        <w:widowControl/>
        <w:adjustRightInd w:val="0"/>
        <w:snapToGrid w:val="0"/>
        <w:spacing w:line="48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rPr>
        <w:t>金川县融媒体中心</w:t>
      </w:r>
      <w:r>
        <w:rPr>
          <w:rFonts w:hint="eastAsia" w:ascii="仿宋" w:hAnsi="仿宋" w:eastAsia="仿宋" w:cs="宋体"/>
          <w:color w:val="000000"/>
          <w:kern w:val="0"/>
          <w:sz w:val="32"/>
          <w:szCs w:val="32"/>
          <w:lang w:val="zh-CN"/>
        </w:rPr>
        <w:t>在预算编制、预算执行和支出绩效方面，都按照规定严格执行，合理安排支出，使财政资金发挥最大效益。</w:t>
      </w:r>
    </w:p>
    <w:p>
      <w:pPr>
        <w:widowControl/>
        <w:adjustRightInd w:val="0"/>
        <w:snapToGrid w:val="0"/>
        <w:spacing w:line="480" w:lineRule="exact"/>
        <w:jc w:val="left"/>
        <w:outlineLvl w:val="2"/>
        <w:rPr>
          <w:rFonts w:ascii="仿宋" w:hAnsi="仿宋" w:eastAsia="仿宋" w:cs="宋体"/>
          <w:color w:val="000000"/>
          <w:kern w:val="0"/>
          <w:sz w:val="32"/>
          <w:szCs w:val="32"/>
          <w:lang w:val="zh-CN"/>
        </w:rPr>
      </w:pPr>
      <w:bookmarkStart w:id="111" w:name="_Toc26522"/>
      <w:r>
        <w:rPr>
          <w:rFonts w:hint="eastAsia" w:ascii="仿宋" w:hAnsi="仿宋" w:eastAsia="仿宋" w:cs="宋体"/>
          <w:color w:val="000000"/>
          <w:kern w:val="0"/>
          <w:sz w:val="32"/>
          <w:szCs w:val="32"/>
          <w:lang w:val="zh-CN"/>
        </w:rPr>
        <w:t>（</w:t>
      </w:r>
      <w:r>
        <w:rPr>
          <w:rFonts w:hint="eastAsia" w:ascii="仿宋" w:hAnsi="仿宋" w:eastAsia="仿宋" w:cs="宋体"/>
          <w:color w:val="000000"/>
          <w:kern w:val="0"/>
          <w:sz w:val="32"/>
          <w:szCs w:val="32"/>
        </w:rPr>
        <w:t>二</w:t>
      </w:r>
      <w:r>
        <w:rPr>
          <w:rFonts w:hint="eastAsia" w:ascii="仿宋" w:hAnsi="仿宋" w:eastAsia="仿宋" w:cs="宋体"/>
          <w:color w:val="000000"/>
          <w:kern w:val="0"/>
          <w:sz w:val="32"/>
          <w:szCs w:val="32"/>
          <w:lang w:val="zh-CN"/>
        </w:rPr>
        <w:t>）存在问题</w:t>
      </w:r>
      <w:bookmarkEnd w:id="111"/>
    </w:p>
    <w:p>
      <w:pPr>
        <w:widowControl/>
        <w:adjustRightInd w:val="0"/>
        <w:snapToGrid w:val="0"/>
        <w:spacing w:line="48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预算编制细化程度不够。</w:t>
      </w:r>
    </w:p>
    <w:p>
      <w:pPr>
        <w:widowControl/>
        <w:adjustRightInd w:val="0"/>
        <w:snapToGrid w:val="0"/>
        <w:spacing w:line="480" w:lineRule="exact"/>
        <w:jc w:val="left"/>
        <w:outlineLvl w:val="2"/>
        <w:rPr>
          <w:rFonts w:ascii="仿宋" w:hAnsi="仿宋" w:eastAsia="仿宋" w:cs="宋体"/>
          <w:color w:val="000000"/>
          <w:kern w:val="0"/>
          <w:sz w:val="32"/>
          <w:szCs w:val="32"/>
          <w:lang w:val="zh-CN"/>
        </w:rPr>
      </w:pPr>
      <w:bookmarkStart w:id="112" w:name="_Toc22225"/>
      <w:r>
        <w:rPr>
          <w:rFonts w:hint="eastAsia" w:ascii="仿宋" w:hAnsi="仿宋" w:eastAsia="仿宋" w:cs="宋体"/>
          <w:color w:val="000000"/>
          <w:kern w:val="0"/>
          <w:sz w:val="32"/>
          <w:szCs w:val="32"/>
          <w:lang w:val="zh-CN"/>
        </w:rPr>
        <w:t>（</w:t>
      </w:r>
      <w:r>
        <w:rPr>
          <w:rFonts w:hint="eastAsia" w:ascii="仿宋" w:hAnsi="仿宋" w:eastAsia="仿宋" w:cs="宋体"/>
          <w:color w:val="000000"/>
          <w:kern w:val="0"/>
          <w:sz w:val="32"/>
          <w:szCs w:val="32"/>
        </w:rPr>
        <w:t>三</w:t>
      </w:r>
      <w:r>
        <w:rPr>
          <w:rFonts w:hint="eastAsia" w:ascii="仿宋" w:hAnsi="仿宋" w:eastAsia="仿宋" w:cs="宋体"/>
          <w:color w:val="000000"/>
          <w:kern w:val="0"/>
          <w:sz w:val="32"/>
          <w:szCs w:val="32"/>
          <w:lang w:val="zh-CN"/>
        </w:rPr>
        <w:t>）改进建议</w:t>
      </w:r>
      <w:bookmarkEnd w:id="112"/>
    </w:p>
    <w:p>
      <w:pPr>
        <w:ind w:firstLine="640" w:firstLineChars="200"/>
        <w:rPr>
          <w:rFonts w:ascii="仿宋_GB2312" w:eastAsia="仿宋_GB2312"/>
          <w:sz w:val="32"/>
          <w:szCs w:val="32"/>
        </w:rPr>
      </w:pPr>
      <w:r>
        <w:rPr>
          <w:rFonts w:hint="eastAsia" w:ascii="仿宋" w:hAnsi="仿宋" w:eastAsia="仿宋" w:cs="宋体"/>
          <w:color w:val="000000"/>
          <w:kern w:val="0"/>
          <w:sz w:val="32"/>
          <w:szCs w:val="32"/>
        </w:rPr>
        <w:t>金川县融媒体中心</w:t>
      </w:r>
      <w:r>
        <w:rPr>
          <w:rFonts w:hint="eastAsia" w:ascii="仿宋" w:hAnsi="仿宋" w:eastAsia="仿宋" w:cs="宋体"/>
          <w:color w:val="000000"/>
          <w:kern w:val="0"/>
          <w:sz w:val="32"/>
          <w:szCs w:val="32"/>
          <w:lang w:val="zh-CN"/>
        </w:rPr>
        <w:t>将进一步重视预算编制工作，提高预算编制的精确度。需要进一步加强财务管理，严格财务审核，控制超支现象发生，</w:t>
      </w:r>
      <w:r>
        <w:rPr>
          <w:rFonts w:hint="eastAsia" w:ascii="仿宋_GB2312" w:eastAsia="仿宋_GB2312"/>
          <w:sz w:val="32"/>
          <w:szCs w:val="32"/>
        </w:rPr>
        <w:t>严格执行国库集中支付、公务卡等相关管理制度，规范各项支出审核，严防超支，不断促进财务管理的</w:t>
      </w:r>
      <w:r>
        <w:rPr>
          <w:rFonts w:hint="eastAsia" w:ascii="仿宋_GB2312" w:eastAsia="仿宋_GB2312"/>
          <w:sz w:val="32"/>
          <w:szCs w:val="32"/>
          <w:lang w:eastAsia="zh-CN"/>
        </w:rPr>
        <w:t>法治化</w:t>
      </w:r>
      <w:bookmarkStart w:id="143" w:name="_GoBack"/>
      <w:bookmarkEnd w:id="143"/>
      <w:r>
        <w:rPr>
          <w:rFonts w:hint="eastAsia" w:ascii="仿宋_GB2312" w:eastAsia="仿宋_GB2312"/>
          <w:sz w:val="32"/>
          <w:szCs w:val="32"/>
        </w:rPr>
        <w:t>、科学化、合理化运行。</w:t>
      </w:r>
    </w:p>
    <w:p>
      <w:pPr>
        <w:rPr>
          <w:rFonts w:ascii="仿宋" w:hAnsi="仿宋" w:eastAsia="仿宋"/>
          <w:sz w:val="32"/>
          <w:szCs w:val="32"/>
        </w:rPr>
      </w:pPr>
    </w:p>
    <w:p>
      <w:pPr>
        <w:jc w:val="right"/>
        <w:rPr>
          <w:rFonts w:ascii="仿宋" w:hAnsi="仿宋" w:eastAsia="仿宋"/>
          <w:sz w:val="32"/>
          <w:szCs w:val="32"/>
        </w:rPr>
      </w:pPr>
    </w:p>
    <w:p>
      <w:pPr>
        <w:rPr>
          <w:rFonts w:ascii="楷体_GB2312" w:eastAsia="楷体_GB2312"/>
          <w:b/>
          <w:sz w:val="32"/>
          <w:szCs w:val="32"/>
          <w:lang w:val="zh-CN"/>
        </w:rPr>
      </w:pPr>
    </w:p>
    <w:p>
      <w:pPr>
        <w:spacing w:line="600" w:lineRule="exact"/>
        <w:rPr>
          <w:rFonts w:ascii="仿宋" w:eastAsia="仿宋"/>
          <w:b/>
          <w:color w:val="000000"/>
          <w:sz w:val="44"/>
          <w:szCs w:val="44"/>
        </w:rPr>
      </w:pPr>
    </w:p>
    <w:p>
      <w:pPr>
        <w:spacing w:line="600" w:lineRule="exact"/>
        <w:jc w:val="center"/>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rPr>
          <w:rFonts w:ascii="黑体" w:eastAsia="黑体"/>
          <w:color w:val="000000"/>
          <w:sz w:val="44"/>
          <w:szCs w:val="44"/>
        </w:rPr>
      </w:pPr>
    </w:p>
    <w:p>
      <w:pPr>
        <w:spacing w:line="600" w:lineRule="exact"/>
        <w:jc w:val="center"/>
        <w:rPr>
          <w:rFonts w:ascii="黑体" w:eastAsia="黑体"/>
          <w:color w:val="000000"/>
          <w:sz w:val="44"/>
          <w:szCs w:val="44"/>
        </w:rPr>
      </w:pPr>
    </w:p>
    <w:p>
      <w:pPr>
        <w:spacing w:line="600" w:lineRule="exact"/>
        <w:jc w:val="center"/>
        <w:outlineLvl w:val="0"/>
        <w:rPr>
          <w:rStyle w:val="18"/>
          <w:rFonts w:ascii="黑体" w:eastAsia="黑体"/>
          <w:b w:val="0"/>
        </w:rPr>
      </w:pPr>
      <w:bookmarkStart w:id="113" w:name="_Toc11886"/>
      <w:bookmarkStart w:id="114" w:name="_Toc29670"/>
      <w:r>
        <w:rPr>
          <w:rFonts w:hint="eastAsia" w:ascii="黑体" w:eastAsia="黑体"/>
          <w:color w:val="000000"/>
          <w:sz w:val="44"/>
          <w:szCs w:val="44"/>
        </w:rPr>
        <w:t>第</w:t>
      </w:r>
      <w:r>
        <w:rPr>
          <w:rStyle w:val="18"/>
          <w:rFonts w:hint="eastAsia" w:ascii="黑体" w:eastAsia="黑体"/>
          <w:b w:val="0"/>
        </w:rPr>
        <w:t>五部分 附表</w:t>
      </w:r>
      <w:bookmarkEnd w:id="113"/>
      <w:bookmarkEnd w:id="114"/>
    </w:p>
    <w:p>
      <w:pPr>
        <w:pStyle w:val="4"/>
        <w:rPr>
          <w:rFonts w:ascii="仿宋" w:eastAsia="仿宋"/>
          <w:color w:val="000000"/>
        </w:rPr>
      </w:pPr>
      <w:bookmarkStart w:id="115" w:name="_Toc32234"/>
      <w:bookmarkStart w:id="116" w:name="_Toc27752"/>
      <w:r>
        <w:rPr>
          <w:rFonts w:hint="eastAsia" w:ascii="仿宋" w:eastAsia="仿宋"/>
          <w:b w:val="0"/>
          <w:color w:val="000000"/>
        </w:rPr>
        <w:t>一、收</w:t>
      </w:r>
      <w:r>
        <w:rPr>
          <w:rStyle w:val="19"/>
          <w:rFonts w:hint="eastAsia" w:ascii="仿宋" w:eastAsia="仿宋"/>
          <w:b w:val="0"/>
          <w:bCs w:val="0"/>
        </w:rPr>
        <w:t>入支出决算总表</w:t>
      </w:r>
      <w:bookmarkEnd w:id="115"/>
      <w:bookmarkEnd w:id="116"/>
    </w:p>
    <w:p>
      <w:pPr>
        <w:pStyle w:val="4"/>
        <w:rPr>
          <w:rFonts w:ascii="仿宋" w:eastAsia="仿宋"/>
          <w:color w:val="000000"/>
        </w:rPr>
      </w:pPr>
      <w:bookmarkStart w:id="117" w:name="_Toc19625"/>
      <w:bookmarkStart w:id="118" w:name="_Toc6086"/>
      <w:r>
        <w:rPr>
          <w:rFonts w:hint="eastAsia" w:ascii="仿宋" w:eastAsia="仿宋"/>
          <w:b w:val="0"/>
          <w:color w:val="000000"/>
        </w:rPr>
        <w:t>二、收</w:t>
      </w:r>
      <w:r>
        <w:rPr>
          <w:rStyle w:val="19"/>
          <w:rFonts w:hint="eastAsia" w:ascii="仿宋" w:eastAsia="仿宋"/>
          <w:b w:val="0"/>
          <w:bCs w:val="0"/>
        </w:rPr>
        <w:t>入总表</w:t>
      </w:r>
      <w:bookmarkEnd w:id="117"/>
      <w:bookmarkEnd w:id="118"/>
    </w:p>
    <w:p>
      <w:pPr>
        <w:pStyle w:val="4"/>
        <w:rPr>
          <w:rFonts w:ascii="仿宋" w:eastAsia="仿宋"/>
          <w:color w:val="000000"/>
        </w:rPr>
      </w:pPr>
      <w:bookmarkStart w:id="119" w:name="_Toc8140"/>
      <w:bookmarkStart w:id="120" w:name="_Toc20334"/>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119"/>
      <w:bookmarkEnd w:id="120"/>
    </w:p>
    <w:p>
      <w:pPr>
        <w:pStyle w:val="4"/>
        <w:rPr>
          <w:rFonts w:ascii="仿宋" w:eastAsia="仿宋"/>
          <w:b w:val="0"/>
          <w:color w:val="000000"/>
        </w:rPr>
      </w:pPr>
      <w:bookmarkStart w:id="121" w:name="_Toc17247"/>
      <w:bookmarkStart w:id="122" w:name="_Toc20976"/>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121"/>
      <w:bookmarkEnd w:id="122"/>
    </w:p>
    <w:p>
      <w:pPr>
        <w:pStyle w:val="4"/>
        <w:rPr>
          <w:rFonts w:ascii="仿宋" w:eastAsia="仿宋"/>
          <w:color w:val="000000"/>
        </w:rPr>
      </w:pPr>
      <w:bookmarkStart w:id="123" w:name="_Toc25194"/>
      <w:bookmarkStart w:id="124" w:name="_Toc22432"/>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123"/>
      <w:bookmarkEnd w:id="124"/>
    </w:p>
    <w:p>
      <w:pPr>
        <w:pStyle w:val="4"/>
        <w:rPr>
          <w:rFonts w:ascii="仿宋" w:eastAsia="仿宋"/>
          <w:color w:val="000000"/>
        </w:rPr>
      </w:pPr>
      <w:bookmarkStart w:id="125" w:name="_Toc23584"/>
      <w:bookmarkStart w:id="126" w:name="_Toc27561"/>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125"/>
      <w:bookmarkEnd w:id="126"/>
    </w:p>
    <w:p>
      <w:pPr>
        <w:pStyle w:val="4"/>
        <w:rPr>
          <w:rFonts w:ascii="仿宋" w:eastAsia="仿宋"/>
          <w:color w:val="000000"/>
        </w:rPr>
      </w:pPr>
      <w:bookmarkStart w:id="127" w:name="_Toc4168"/>
      <w:bookmarkStart w:id="128" w:name="_Toc22484"/>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127"/>
      <w:bookmarkEnd w:id="128"/>
    </w:p>
    <w:p>
      <w:pPr>
        <w:pStyle w:val="4"/>
        <w:rPr>
          <w:rFonts w:ascii="仿宋" w:eastAsia="仿宋"/>
          <w:color w:val="000000"/>
        </w:rPr>
      </w:pPr>
      <w:bookmarkStart w:id="129" w:name="_Toc24200"/>
      <w:bookmarkStart w:id="130" w:name="_Toc21997"/>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129"/>
      <w:bookmarkEnd w:id="130"/>
    </w:p>
    <w:p>
      <w:pPr>
        <w:pStyle w:val="4"/>
        <w:rPr>
          <w:rFonts w:ascii="仿宋" w:eastAsia="仿宋"/>
          <w:color w:val="000000"/>
        </w:rPr>
      </w:pPr>
      <w:bookmarkStart w:id="131" w:name="_Toc25746"/>
      <w:bookmarkStart w:id="132" w:name="_Toc1820"/>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131"/>
      <w:bookmarkEnd w:id="132"/>
    </w:p>
    <w:p>
      <w:pPr>
        <w:pStyle w:val="4"/>
        <w:rPr>
          <w:rFonts w:ascii="仿宋" w:eastAsia="仿宋"/>
          <w:color w:val="000000"/>
        </w:rPr>
      </w:pPr>
      <w:bookmarkStart w:id="133" w:name="_Toc16335"/>
      <w:bookmarkStart w:id="134" w:name="_Toc11590"/>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133"/>
      <w:bookmarkEnd w:id="134"/>
    </w:p>
    <w:p>
      <w:pPr>
        <w:pStyle w:val="4"/>
        <w:rPr>
          <w:rFonts w:ascii="仿宋" w:eastAsia="仿宋"/>
          <w:color w:val="000000"/>
        </w:rPr>
      </w:pPr>
      <w:bookmarkStart w:id="135" w:name="_Toc22566"/>
      <w:bookmarkStart w:id="136" w:name="_Toc31520"/>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135"/>
      <w:bookmarkEnd w:id="136"/>
    </w:p>
    <w:p>
      <w:pPr>
        <w:pStyle w:val="4"/>
        <w:rPr>
          <w:rFonts w:ascii="仿宋" w:eastAsia="仿宋"/>
          <w:color w:val="000000"/>
        </w:rPr>
      </w:pPr>
      <w:bookmarkStart w:id="137" w:name="_Toc12383"/>
      <w:bookmarkStart w:id="138" w:name="_Toc4672"/>
      <w:bookmarkStart w:id="139"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137"/>
      <w:bookmarkEnd w:id="138"/>
      <w:bookmarkEnd w:id="139"/>
    </w:p>
    <w:p>
      <w:pPr>
        <w:pStyle w:val="4"/>
        <w:rPr>
          <w:rFonts w:ascii="仿宋" w:eastAsia="仿宋"/>
          <w:color w:val="000000"/>
        </w:rPr>
      </w:pPr>
      <w:bookmarkStart w:id="140" w:name="_Toc15396631"/>
      <w:bookmarkStart w:id="141" w:name="_Toc12328"/>
      <w:bookmarkStart w:id="142" w:name="_Toc15170"/>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140"/>
      <w:bookmarkEnd w:id="141"/>
      <w:bookmarkEnd w:id="14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Albertus Extra Bold">
    <w:altName w:val="Lucida Sans Unicode"/>
    <w:panose1 w:val="00000000000000000000"/>
    <w:charset w:val="00"/>
    <w:family w:val="auto"/>
    <w:pitch w:val="default"/>
    <w:sig w:usb0="00000000" w:usb1="00000000" w:usb2="00000000" w:usb3="00000000" w:csb0="00000093" w:csb1="00000000"/>
  </w:font>
  <w:font w:name="Lucida Sans Unicode">
    <w:panose1 w:val="020B0602030504020204"/>
    <w:charset w:val="00"/>
    <w:family w:val="auto"/>
    <w:pitch w:val="default"/>
    <w:sig w:usb0="80001AFF" w:usb1="0000396B" w:usb2="00000000" w:usb3="00000000" w:csb0="200000BF" w:csb1="D7F7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8A634AC"/>
    <w:multiLevelType w:val="singleLevel"/>
    <w:tmpl w:val="D8A634AC"/>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6"/>
  </w:num>
  <w:num w:numId="3">
    <w:abstractNumId w:val="0"/>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F369CD"/>
    <w:rsid w:val="00071F68"/>
    <w:rsid w:val="009E0DA2"/>
    <w:rsid w:val="00F369CD"/>
    <w:rsid w:val="039C5A38"/>
    <w:rsid w:val="04300AFA"/>
    <w:rsid w:val="05373A54"/>
    <w:rsid w:val="06541186"/>
    <w:rsid w:val="09853EEA"/>
    <w:rsid w:val="0C047F00"/>
    <w:rsid w:val="0E6561EC"/>
    <w:rsid w:val="13D81B3B"/>
    <w:rsid w:val="14934BF4"/>
    <w:rsid w:val="17D6275A"/>
    <w:rsid w:val="18AA75AB"/>
    <w:rsid w:val="1AA94044"/>
    <w:rsid w:val="1D341855"/>
    <w:rsid w:val="25893AEF"/>
    <w:rsid w:val="26A84E27"/>
    <w:rsid w:val="296A1F99"/>
    <w:rsid w:val="2EA95140"/>
    <w:rsid w:val="2F3D1A16"/>
    <w:rsid w:val="3C2E7294"/>
    <w:rsid w:val="3E3C0187"/>
    <w:rsid w:val="471B7996"/>
    <w:rsid w:val="487218B2"/>
    <w:rsid w:val="49356A53"/>
    <w:rsid w:val="4B3D0503"/>
    <w:rsid w:val="4C42176F"/>
    <w:rsid w:val="537D3FA4"/>
    <w:rsid w:val="598279D6"/>
    <w:rsid w:val="5A935272"/>
    <w:rsid w:val="5DDD7B0E"/>
    <w:rsid w:val="5F4E3999"/>
    <w:rsid w:val="5F8F6E72"/>
    <w:rsid w:val="605F67B0"/>
    <w:rsid w:val="61F20F03"/>
    <w:rsid w:val="65F45E1E"/>
    <w:rsid w:val="67883982"/>
    <w:rsid w:val="694217E0"/>
    <w:rsid w:val="78546E73"/>
    <w:rsid w:val="7B6721AA"/>
    <w:rsid w:val="7BB65693"/>
    <w:rsid w:val="7C19094D"/>
    <w:rsid w:val="7D9C5163"/>
    <w:rsid w:val="7DF10309"/>
    <w:rsid w:val="7EE837F4"/>
    <w:rsid w:val="7FB83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6">
    <w:name w:val="Body Text"/>
    <w:basedOn w:val="1"/>
    <w:uiPriority w:val="0"/>
    <w:pPr>
      <w:spacing w:beforeLines="30"/>
    </w:pPr>
    <w:rPr>
      <w:rFonts w:ascii="仿宋_GB2312" w:eastAsia="仿宋_GB2312"/>
      <w:kern w:val="0"/>
      <w:sz w:val="30"/>
    </w:rPr>
  </w:style>
  <w:style w:type="paragraph" w:styleId="7">
    <w:name w:val="toc 3"/>
    <w:basedOn w:val="1"/>
    <w:next w:val="1"/>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6">
    <w:name w:val="Strong"/>
    <w:basedOn w:val="15"/>
    <w:uiPriority w:val="0"/>
    <w:rPr>
      <w:b/>
    </w:rPr>
  </w:style>
  <w:style w:type="character" w:styleId="17">
    <w:name w:val="Hyperlink"/>
    <w:basedOn w:val="15"/>
    <w:uiPriority w:val="0"/>
    <w:rPr>
      <w:color w:val="0000FF"/>
      <w:u w:val="single"/>
    </w:rPr>
  </w:style>
  <w:style w:type="character" w:customStyle="1" w:styleId="18">
    <w:name w:val="标题 1 Char"/>
    <w:basedOn w:val="15"/>
    <w:link w:val="3"/>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uiPriority w:val="0"/>
    <w:rPr>
      <w:rFonts w:ascii="Cambria" w:hAnsi="Cambria" w:eastAsia="宋体" w:cs="Times New Roman"/>
      <w:b/>
      <w:bCs/>
      <w:kern w:val="2"/>
      <w:sz w:val="32"/>
      <w:szCs w:val="32"/>
      <w:lang w:val="en-US" w:eastAsia="zh-CN" w:bidi="ar-SA"/>
    </w:rPr>
  </w:style>
  <w:style w:type="character" w:customStyle="1" w:styleId="20">
    <w:name w:val="Header Char"/>
    <w:basedOn w:val="15"/>
    <w:uiPriority w:val="0"/>
    <w:rPr>
      <w:rFonts w:ascii="Times New Roman" w:hAnsi="Times New Roman"/>
      <w:sz w:val="18"/>
      <w:szCs w:val="18"/>
    </w:rPr>
  </w:style>
  <w:style w:type="character" w:customStyle="1" w:styleId="21">
    <w:name w:val="Footer Char"/>
    <w:basedOn w:val="15"/>
    <w:uiPriority w:val="0"/>
    <w:rPr>
      <w:rFonts w:ascii="Times New Roman" w:hAnsi="Times New Roman"/>
      <w:sz w:val="18"/>
      <w:szCs w:val="18"/>
    </w:rPr>
  </w:style>
  <w:style w:type="character" w:customStyle="1" w:styleId="22">
    <w:name w:val="Body Text Char"/>
    <w:basedOn w:val="15"/>
    <w:uiPriority w:val="0"/>
    <w:rPr>
      <w:rFonts w:ascii="Times New Roman" w:hAnsi="Times New Roman"/>
      <w:szCs w:val="24"/>
    </w:rPr>
  </w:style>
  <w:style w:type="paragraph" w:customStyle="1" w:styleId="23">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uiPriority w:val="0"/>
    <w:pPr>
      <w:ind w:firstLine="200" w:firstLineChars="200"/>
    </w:pPr>
  </w:style>
  <w:style w:type="paragraph" w:customStyle="1" w:styleId="25">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WPSOffice手动目录 1"/>
    <w:uiPriority w:val="0"/>
    <w:rPr>
      <w:rFonts w:ascii="Times New Roman" w:hAnsi="Times New Roman" w:eastAsia="宋体" w:cs="Times New Roman"/>
      <w:lang w:val="en-US" w:eastAsia="zh-CN" w:bidi="ar-SA"/>
    </w:rPr>
  </w:style>
  <w:style w:type="paragraph" w:customStyle="1" w:styleId="27">
    <w:name w:val="WPSOffice手动目录 2"/>
    <w:uiPriority w:val="0"/>
    <w:pPr>
      <w:ind w:left="200" w:leftChars="200"/>
    </w:pPr>
    <w:rPr>
      <w:rFonts w:ascii="Times New Roman" w:hAnsi="Times New Roman" w:eastAsia="宋体" w:cs="Times New Roman"/>
      <w:lang w:val="en-US" w:eastAsia="zh-CN" w:bidi="ar-SA"/>
    </w:rPr>
  </w:style>
  <w:style w:type="paragraph" w:customStyle="1" w:styleId="28">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cap="all" spc="120" normalizeH="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Lbl>
              <c:idx val="0"/>
              <c:layout/>
              <c:numFmt formatCode="General" sourceLinked="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1"/>
              <c:showVal val="1"/>
              <c:showCatName val="1"/>
              <c:showSerName val="1"/>
              <c:showPercent val="1"/>
              <c:showBubbleSize val="1"/>
              <c:extLst>
                <c:ext xmlns:c15="http://schemas.microsoft.com/office/drawing/2012/chart" uri="{CE6537A1-D6FC-4f65-9D91-7224C49458BB}"/>
              </c:extLst>
            </c:dLbl>
            <c:dLbl>
              <c:idx val="1"/>
              <c:layout/>
              <c:numFmt formatCode="General" sourceLinked="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2019年</c:v>
                </c:pt>
                <c:pt idx="1">
                  <c:v>2020年</c:v>
                </c:pt>
              </c:strCache>
            </c:strRef>
          </c:cat>
          <c:val>
            <c:numRef>
              <c:f>Sheet1!$B$2:$B$3</c:f>
              <c:numCache>
                <c:formatCode>General</c:formatCode>
                <c:ptCount val="2"/>
                <c:pt idx="0">
                  <c:v>1707.03</c:v>
                </c:pt>
                <c:pt idx="1">
                  <c:v>1096.88</c:v>
                </c:pt>
              </c:numCache>
            </c:numRef>
          </c:val>
        </c:ser>
        <c:ser>
          <c:idx val="1"/>
          <c:order val="1"/>
          <c:tx>
            <c:strRef>
              <c:f>Sheet1!$C$1</c:f>
              <c:strCache>
                <c:ptCount val="1"/>
                <c:pt idx="0">
                  <c:v>总支出</c:v>
                </c:pt>
              </c:strCache>
            </c:strRef>
          </c:tx>
          <c:spPr>
            <a:solidFill>
              <a:schemeClr val="accent2"/>
            </a:solidFill>
            <a:ln>
              <a:noFill/>
            </a:ln>
            <a:effectLst/>
          </c:spPr>
          <c:invertIfNegative val="0"/>
          <c:dLbls>
            <c:dLbl>
              <c:idx val="0"/>
              <c:layout/>
              <c:numFmt formatCode="General" sourceLinked="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1"/>
              <c:showVal val="1"/>
              <c:showCatName val="1"/>
              <c:showSerName val="1"/>
              <c:showPercent val="1"/>
              <c:showBubbleSize val="1"/>
              <c:extLst>
                <c:ext xmlns:c15="http://schemas.microsoft.com/office/drawing/2012/chart" uri="{CE6537A1-D6FC-4f65-9D91-7224C49458BB}"/>
              </c:extLst>
            </c:dLbl>
            <c:dLbl>
              <c:idx val="1"/>
              <c:layout/>
              <c:numFmt formatCode="General" sourceLinked="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2019年</c:v>
                </c:pt>
                <c:pt idx="1">
                  <c:v>2020年</c:v>
                </c:pt>
              </c:strCache>
            </c:strRef>
          </c:cat>
          <c:val>
            <c:numRef>
              <c:f>Sheet1!$C$2:$C$3</c:f>
              <c:numCache>
                <c:formatCode>General</c:formatCode>
                <c:ptCount val="2"/>
                <c:pt idx="0">
                  <c:v>443.41</c:v>
                </c:pt>
                <c:pt idx="1">
                  <c:v>1605.26</c:v>
                </c:pt>
              </c:numCache>
            </c:numRef>
          </c:val>
        </c:ser>
        <c:dLbls>
          <c:showLegendKey val="0"/>
          <c:showVal val="1"/>
          <c:showCatName val="0"/>
          <c:showSerName val="0"/>
          <c:showPercent val="0"/>
          <c:showBubbleSize val="0"/>
        </c:dLbls>
        <c:gapWidth val="444"/>
        <c:overlap val="-90"/>
        <c:axId val="121833728"/>
        <c:axId val="121880576"/>
      </c:barChart>
      <c:catAx>
        <c:axId val="121833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121880576"/>
        <c:crosses val="autoZero"/>
        <c:auto val="1"/>
        <c:lblAlgn val="ctr"/>
        <c:lblOffset val="100"/>
        <c:noMultiLvlLbl val="0"/>
      </c:catAx>
      <c:valAx>
        <c:axId val="121880576"/>
        <c:scaling>
          <c:orientation val="minMax"/>
          <c:max val="4500"/>
          <c:min val="0"/>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833728"/>
        <c:crossesAt val="1"/>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c:f>
              <c:strCache>
                <c:ptCount val="1"/>
                <c:pt idx="0">
                  <c:v>一般公共预算财政拨款收入</c:v>
                </c:pt>
              </c:strCache>
            </c:strRef>
          </c:cat>
          <c:val>
            <c:numRef>
              <c:f>'Sheet1 (2)'!$B$2</c:f>
              <c:numCache>
                <c:formatCode>General</c:formatCode>
                <c:ptCount val="1"/>
                <c:pt idx="0">
                  <c:v>1096.88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274.99</c:v>
                </c:pt>
                <c:pt idx="1">
                  <c:v>1330.27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1707.03</c:v>
                </c:pt>
                <c:pt idx="1">
                  <c:v>443.41</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1096.88</c:v>
                </c:pt>
                <c:pt idx="1">
                  <c:v>1605.26</c:v>
                </c:pt>
              </c:numCache>
            </c:numRef>
          </c:val>
        </c:ser>
        <c:dLbls>
          <c:showLegendKey val="0"/>
          <c:showVal val="1"/>
          <c:showCatName val="0"/>
          <c:showSerName val="0"/>
          <c:showPercent val="0"/>
          <c:showBubbleSize val="0"/>
        </c:dLbls>
        <c:gapWidth val="219"/>
        <c:overlap val="-27"/>
        <c:axId val="123542912"/>
        <c:axId val="123544704"/>
      </c:barChart>
      <c:catAx>
        <c:axId val="12354291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3544704"/>
        <c:crosses val="autoZero"/>
        <c:auto val="1"/>
        <c:lblAlgn val="ctr"/>
        <c:lblOffset val="100"/>
        <c:noMultiLvlLbl val="0"/>
      </c:catAx>
      <c:valAx>
        <c:axId val="123544704"/>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354291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443.41</c:v>
                </c:pt>
                <c:pt idx="1">
                  <c:v>1605.26</c:v>
                </c:pt>
              </c:numCache>
            </c:numRef>
          </c:val>
        </c:ser>
        <c:dLbls>
          <c:showLegendKey val="0"/>
          <c:showVal val="1"/>
          <c:showCatName val="0"/>
          <c:showSerName val="0"/>
          <c:showPercent val="0"/>
          <c:showBubbleSize val="0"/>
        </c:dLbls>
        <c:gapWidth val="219"/>
        <c:overlap val="-27"/>
        <c:axId val="123499648"/>
        <c:axId val="123501184"/>
      </c:barChart>
      <c:catAx>
        <c:axId val="123499648"/>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3501184"/>
        <c:crosses val="autoZero"/>
        <c:auto val="1"/>
        <c:lblAlgn val="ctr"/>
        <c:lblOffset val="100"/>
        <c:noMultiLvlLbl val="0"/>
      </c:catAx>
      <c:valAx>
        <c:axId val="123501184"/>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3499648"/>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文化旅游体育与传媒</c:v>
                </c:pt>
                <c:pt idx="1">
                  <c:v>社会保障和就业</c:v>
                </c:pt>
                <c:pt idx="2">
                  <c:v>卫生健康</c:v>
                </c:pt>
                <c:pt idx="3">
                  <c:v>住房保障</c:v>
                </c:pt>
              </c:strCache>
            </c:strRef>
          </c:cat>
          <c:val>
            <c:numRef>
              <c:f>'Sheet1 (6)'!$B$2:$B$5</c:f>
              <c:numCache>
                <c:formatCode>General</c:formatCode>
                <c:ptCount val="4"/>
                <c:pt idx="0">
                  <c:v>1526.63</c:v>
                </c:pt>
                <c:pt idx="1">
                  <c:v>35.19</c:v>
                </c:pt>
                <c:pt idx="2">
                  <c:v>15.68</c:v>
                </c:pt>
                <c:pt idx="3">
                  <c:v>27.76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1345</Words>
  <Characters>7667</Characters>
  <Lines>63</Lines>
  <Paragraphs>17</Paragraphs>
  <TotalTime>20</TotalTime>
  <ScaleCrop>false</ScaleCrop>
  <LinksUpToDate>false</LinksUpToDate>
  <CharactersWithSpaces>8995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2021-09-17T01:03:00Z</cp:lastPrinted>
  <dcterms:modified xsi:type="dcterms:W3CDTF">2021-09-27T08:30:04Z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