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2026年就业服务中心部门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6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 年，我单位部门预算 338.06 万元，均严格按绩效管理要求实现项目绩效目标管理，其中重点项目预算 0 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 2026 年本级部门预算整体绩效目标申报，结合年度重点工作和职能职责，细化绩效指标设置，强化预算资金与绩效目标的关联性，确保预算执行全程可监控、可考核。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二、单位整体绩效目标</w:t>
      </w:r>
    </w:p>
    <w:p>
      <w:pPr>
        <w:pStyle w:val="16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color w:val="000000"/>
          <w:sz w:val="16"/>
          <w:szCs w:val="16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（一）整体绩效目标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全面落实应急管理、安全生产和综合防灾减灾救灾各项工作部署，严厉查处安全生产非法违法行为，精准预警各类自然灾害，有效遏制重特大安全事故发生，最大限度降低灾害造成的生命财产损失，提升应急管理综合能力和公共安全保障水平。</w:t>
      </w:r>
    </w:p>
    <w:p>
      <w:pPr>
        <w:pStyle w:val="16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（二）年度主要任务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楷体" w:eastAsia="楷体" w:cs="楷体" w:hint="eastAsia"/>
          <w:b/>
          <w:bCs/>
          <w:sz w:val="32"/>
          <w:szCs w:val="32"/>
        </w:rPr>
        <w:t>（一）深化岗位供给提质</w:t>
      </w:r>
      <w:r>
        <w:rPr>
          <w:rFonts w:ascii="楷体" w:eastAsia="楷体" w:cs="楷体" w:hint="eastAsia"/>
          <w:b/>
          <w:bCs/>
          <w:sz w:val="32"/>
          <w:szCs w:val="32"/>
          <w:lang w:eastAsia="zh-CN"/>
        </w:rPr>
        <w:t>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围绕文旅融合、现代农业、清洁能源等重点产业，开发更多高质量就业岗位，力争新增岗位300个以上。持续推进就业车间、非遗工坊提质扩容，打造金川厨师特色劳务品牌。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楷体" w:eastAsia="楷体" w:cs="楷体" w:hint="eastAsia"/>
          <w:b/>
          <w:bCs/>
          <w:sz w:val="32"/>
          <w:szCs w:val="32"/>
        </w:rPr>
        <w:t>（二）强化技能培训精准度</w:t>
      </w:r>
      <w:r>
        <w:rPr>
          <w:rFonts w:ascii="楷体" w:eastAsia="楷体" w:cs="楷体" w:hint="eastAsia"/>
          <w:b/>
          <w:bCs/>
          <w:sz w:val="32"/>
          <w:szCs w:val="32"/>
          <w:lang w:eastAsia="zh-CN"/>
        </w:rPr>
        <w:t>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新增无人机操作、直播电商等新兴培训项目，开展订单式培训20期以上，覆盖800人次。加强本土技能人才培育，破解“人才引进难、留不住”问题。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楷体" w:eastAsia="楷体" w:cs="楷体" w:hint="eastAsia"/>
          <w:b/>
          <w:bCs/>
          <w:sz w:val="32"/>
          <w:szCs w:val="32"/>
        </w:rPr>
        <w:t>（三）加大创业扶持力度</w:t>
      </w:r>
      <w:r>
        <w:rPr>
          <w:rFonts w:ascii="楷体" w:eastAsia="楷体" w:cs="楷体" w:hint="eastAsia"/>
          <w:b/>
          <w:bCs/>
          <w:sz w:val="32"/>
          <w:szCs w:val="32"/>
          <w:lang w:eastAsia="zh-CN"/>
        </w:rPr>
        <w:t>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简化创业担保贷款审批流程，继续推进财政全额贴息，计划发放创业担保贷款220万元以上，培育创业带动就业示范项目2个。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楷体" w:eastAsia="楷体" w:cs="楷体" w:hint="eastAsia"/>
          <w:b/>
          <w:bCs/>
          <w:sz w:val="32"/>
          <w:szCs w:val="32"/>
        </w:rPr>
        <w:t>（四）提升服务保障水平</w:t>
      </w:r>
      <w:r>
        <w:rPr>
          <w:rFonts w:ascii="楷体" w:eastAsia="楷体" w:cs="楷体" w:hint="eastAsia"/>
          <w:b/>
          <w:bCs/>
          <w:sz w:val="32"/>
          <w:szCs w:val="32"/>
          <w:lang w:eastAsia="zh-CN"/>
        </w:rPr>
        <w:t>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加强基层就业服务人员培训，完善“县乡村”三级服务体系，推进就业服务信息化建设。持续深化民族团结进步教育，将就业创业与铸牢中华民族共同体意识深度融合，让石榴花在就业创业的沃土上更加绚丽绽放，为建设民族地区高质量发展阿坝典范贡献金川力量。</w:t>
      </w:r>
    </w:p>
    <w:p>
      <w:pPr>
        <w:pStyle w:val="16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（三）部门整体绩效情况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tLeast"/>
        <w:ind w:left="0" w:right="0" w:firstLineChars="200" w:firstLine="640"/>
        <w:jc w:val="left"/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共设置六个整体绩效目标，其中产出指标中设置数量指标三个、质量指标一个、时效指标一个、社会效益指标一个。</w:t>
      </w:r>
    </w:p>
    <w:p>
      <w:pPr>
        <w:pStyle w:val="16"/>
        <w:tabs>
          <w:tab w:val="center" w:pos="4153"/>
          <w:tab w:val="right" w:pos="8306"/>
        </w:tabs>
        <w:jc w:val="center"/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16"/>
        <w:tabs>
          <w:tab w:val="center" w:pos="4153"/>
          <w:tab w:val="right" w:pos="8306"/>
        </w:tabs>
        <w:jc w:val="center"/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  <w:t>金川县就业服务中心2026 年度部门整体绩效目标</w:t>
      </w:r>
    </w:p>
    <w:tbl>
      <w:tblPr>
        <w:jc w:val="left"/>
        <w:tblInd w:w="0" w:type="dxa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81"/>
        <w:gridCol w:w="884"/>
        <w:gridCol w:w="1244"/>
        <w:gridCol w:w="1343"/>
        <w:gridCol w:w="877"/>
        <w:gridCol w:w="883"/>
        <w:gridCol w:w="883"/>
        <w:gridCol w:w="884"/>
      </w:tblGrid>
      <w:tr>
        <w:trPr>
          <w:trHeight w:val="542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部门名称：</w:t>
            </w:r>
          </w:p>
        </w:tc>
        <w:tc>
          <w:tcPr>
            <w:tcW w:w="30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金川县公共就业和人才交流服务中心本级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sz="0" w:space="0" w:color="auto"/>
                <w:lang w:val="en-US" w:eastAsia="zh-CN"/>
              </w:rPr>
              <w:t>单位：万元</w:t>
            </w:r>
          </w:p>
        </w:tc>
      </w:tr>
      <w:tr>
        <w:trPr>
          <w:trHeight w:val="569"/>
        </w:trPr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年度部门整体预算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资金总额</w:t>
            </w:r>
          </w:p>
        </w:tc>
        <w:tc>
          <w:tcPr>
            <w:tcW w:w="1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财政拨款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其他资金</w:t>
            </w:r>
          </w:p>
        </w:tc>
      </w:tr>
      <w:tr>
        <w:trPr>
          <w:trHeight w:val="569"/>
        </w:trPr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收入预算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338.06</w:t>
            </w:r>
          </w:p>
        </w:tc>
        <w:tc>
          <w:tcPr>
            <w:tcW w:w="1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338.06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0.00</w:t>
            </w:r>
          </w:p>
        </w:tc>
      </w:tr>
      <w:tr>
        <w:trPr>
          <w:trHeight w:val="569"/>
        </w:trPr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支出预算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338.06</w:t>
            </w:r>
          </w:p>
        </w:tc>
        <w:tc>
          <w:tcPr>
            <w:tcW w:w="1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338.06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0.00</w:t>
            </w:r>
          </w:p>
        </w:tc>
      </w:tr>
      <w:tr>
        <w:trPr>
          <w:trHeight w:val="1145"/>
        </w:trPr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年度总体目标</w:t>
            </w:r>
          </w:p>
        </w:tc>
        <w:tc>
          <w:tcPr>
            <w:tcW w:w="35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推进“一帮一”技能培训工作落地落实，全面组织劳动力参加各类职业培训，；加强与对口援建省、市对接，根据工作实际，联合举办各类线上、线下招聘会和送岗位下乡等招聘活动组织劳动力输出；积极落实援企稳岗扩就业系列政策，推动失业保险稳定岗位、促进技能提升等政策落地见效，帮助企业减轻负担，稳定就业岗位；加强高校毕业生创业指导服务，开展创业培训，积极帮助他们成功创业；促进高校毕业生等青年群体就业，；及时落实社保补贴和岗位补贴等就业援助政策，重点促进城镇就业困难人员、未就业“9+3”毕业生等群体就业，确保零就业家庭动态消零。</w:t>
            </w:r>
          </w:p>
        </w:tc>
      </w:tr>
      <w:tr>
        <w:trPr>
          <w:trHeight w:val="52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管理效率</w:t>
            </w:r>
          </w:p>
        </w:tc>
      </w:tr>
      <w:tr>
        <w:trPr>
          <w:trHeight w:val="286"/>
        </w:trPr>
        <w:tc>
          <w:tcPr>
            <w:tcW w:w="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序号</w:t>
            </w:r>
          </w:p>
        </w:tc>
        <w:tc>
          <w:tcPr>
            <w:tcW w:w="5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5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指标值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指标参考值</w:t>
            </w:r>
          </w:p>
        </w:tc>
      </w:tr>
      <w:tr>
        <w:trPr>
          <w:trHeight w:val="286"/>
        </w:trPr>
        <w:tc>
          <w:tcPr>
            <w:tcW w:w="3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5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5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三年均值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2023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2024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2025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财政拨款预算偏离度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305.12%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305.12%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322.83%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272.77%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319.77%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预算年终结余率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0.99%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0.99%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0.99%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0.32%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1.67%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一般性支出金额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13.74万元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13.74万元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13.74万元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4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财务管理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财务管理规范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优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资产管理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资产配置预算偏离度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0.9%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6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采购管理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采购执行率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512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履职效能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序号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指标值（包括数字及文字描述）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各项资金拨付及时率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≥100%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全县就业困难人员就业人数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≥9人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全县失业保险参保人数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≥4555人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4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全县城镇失业人员再就业人数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≥35人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全县登记失业率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≤3.8%</w:t>
            </w:r>
          </w:p>
        </w:tc>
      </w:tr>
      <w:tr>
        <w:trPr>
          <w:trHeight w:val="286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6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重点群体就业稳定率</w:t>
            </w:r>
          </w:p>
        </w:tc>
        <w:tc>
          <w:tcPr>
            <w:tcW w:w="20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≥90%</w:t>
            </w:r>
          </w:p>
        </w:tc>
      </w:tr>
    </w:tbl>
    <w:p>
      <w:pPr>
        <w:pStyle w:val="16"/>
        <w:tabs>
          <w:tab w:val="center" w:pos="4153"/>
          <w:tab w:val="right" w:pos="8306"/>
        </w:tabs>
        <w:jc w:val="center"/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16"/>
        <w:tabs>
          <w:tab w:val="center" w:pos="4153"/>
          <w:tab w:val="right" w:pos="8306"/>
        </w:tabs>
        <w:jc w:val="center"/>
        <w:rPr>
          <w:rFonts w:ascii="仿宋_GB2312" w:eastAsia="仿宋_GB2312" w:cs="仿宋_GB2312" w:hint="eastAsia"/>
          <w:b/>
          <w:bCs/>
          <w:kern w:val="2"/>
          <w:sz w:val="10"/>
          <w:szCs w:val="10"/>
          <w:lang w:val="en-US" w:eastAsia="zh-CN" w:bidi="ar-SA"/>
        </w:rPr>
      </w:pP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tLeast"/>
        <w:ind w:left="0" w:right="0" w:firstLineChars="200" w:firstLine="640"/>
        <w:jc w:val="left"/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无。</w:t>
      </w:r>
    </w:p>
    <w:p>
      <w:pPr>
        <w:pStyle w:val="16"/>
        <w:tabs>
          <w:tab w:val="center" w:pos="4153"/>
          <w:tab w:val="right" w:pos="8306"/>
        </w:tabs>
        <w:jc w:val="left"/>
      </w:pPr>
    </w:p>
    <w:p>
      <w:pPr>
        <w:pStyle w:val="16"/>
        <w:tabs>
          <w:tab w:val="center" w:pos="4153"/>
          <w:tab w:val="right" w:pos="8306"/>
        </w:tabs>
        <w:jc w:val="left"/>
      </w:pPr>
    </w:p>
    <w:p>
      <w:pPr>
        <w:pStyle w:val="16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color w:val="0000FF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2000000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altName w:val="楷体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BA"/>
    <w:family w:val="auto"/>
    <w:pitch w:val="variable"/>
    <w:sig w:usb0="E0002AFF" w:usb1="C0007841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0"/>
    <w:next w:val="0"/>
    <w:pPr>
      <w:spacing w:before="0" w:beforeAutospacing="1" w:after="0" w:afterAutospacing="1"/>
      <w:jc w:val="left"/>
      <w:outlineLvl w:val="3"/>
    </w:pPr>
    <w:rPr>
      <w:rFonts w:asci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10">
    <w:name w:val="Default Paragraph Font"/>
  </w:style>
  <w:style w:type="paragraph" w:styleId="15">
    <w:name w:val="Body Text Indent"/>
    <w:basedOn w:val="0"/>
    <w:pPr>
      <w:spacing w:after="120"/>
      <w:ind w:leftChars="200" w:left="200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8">
    <w:name w:val="Body Text First Indent 2"/>
    <w:basedOn w:val="15"/>
    <w:pPr>
      <w:ind w:firstLineChars="200" w:firstLine="200"/>
    </w:pPr>
  </w:style>
  <w:style w:type="character" w:styleId="19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</TotalTime>
  <Application>Yozo_Office27021597764231179</Application>
  <Pages>3</Pages>
  <Words>1397</Words>
  <Characters>1538</Characters>
  <Lines>212</Lines>
  <Paragraphs>121</Paragraphs>
  <CharactersWithSpaces>1546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2023-02-06T22:46:00Z</dcterms:created>
  <dcterms:modified xsi:type="dcterms:W3CDTF">2026-03-18T08:06:42Z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2E8CDE7C5A1FC8975FD0E265B42FEB2C</vt:lpwstr>
  </property>
  <property fmtid="{D5CDD505-2E9C-101B-9397-08002B2CF9AE}" pid="4" name="KSOTemplateDocerSaveRecord">
    <vt:lpwstr>eyJoZGlkIjoiNTg2YmRhMTJjN2NjOGQ4MzBiNDQ2Y2Y2ZDNmYjhkNGUiLCJ1c2VySWQiOiIxNTMxOTgzMDc3In0=</vt:lpwstr>
  </property>
</Properties>
</file>