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193"/>
      <w:bookmarkStart w:id="2" w:name="_Toc15396475"/>
      <w:bookmarkStart w:id="3" w:name="_Toc15396597"/>
      <w:bookmarkStart w:id="4" w:name="_Toc15377425"/>
      <w:bookmarkStart w:id="5" w:name="_Toc15378441"/>
      <w:r>
        <w:rPr>
          <w:rFonts w:ascii="黑体" w:eastAsia="黑体"/>
          <w:color w:val="000000"/>
          <w:sz w:val="72"/>
          <w:szCs w:val="72"/>
        </w:rPr>
        <w:t>20</w:t>
      </w:r>
      <w:r>
        <w:rPr>
          <w:rFonts w:hint="eastAsia" w:ascii="黑体" w:eastAsia="黑体"/>
          <w:color w:val="000000"/>
          <w:sz w:val="72"/>
          <w:szCs w:val="72"/>
        </w:rPr>
        <w:t>20</w:t>
      </w:r>
      <w:r>
        <w:rPr>
          <w:rFonts w:hint="eastAsia" w:ascii="方正小标宋简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ascii="方正小标宋简体" w:eastAsia="方正小标宋简体"/>
          <w:color w:val="000000"/>
          <w:sz w:val="72"/>
          <w:szCs w:val="72"/>
        </w:rPr>
      </w:pPr>
      <w:bookmarkStart w:id="6" w:name="_Toc15306268"/>
      <w:bookmarkStart w:id="7" w:name="_Toc15378442"/>
      <w:bookmarkStart w:id="8" w:name="_Toc15377426"/>
      <w:bookmarkStart w:id="9" w:name="_Toc15396476"/>
      <w:bookmarkStart w:id="10" w:name="_Toc15396598"/>
      <w:bookmarkStart w:id="11" w:name="_Toc15377194"/>
      <w:r>
        <w:rPr>
          <w:rFonts w:hint="eastAsia" w:ascii="方正小标宋简体" w:eastAsia="方正小标宋简体"/>
          <w:color w:val="000000"/>
          <w:sz w:val="72"/>
          <w:szCs w:val="72"/>
        </w:rPr>
        <w:t>金川县公共就业和人才交流服务中心部门决算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1"/>
      </w:pPr>
      <w:r>
        <w:rPr>
          <w:rFonts w:hint="eastAsia"/>
        </w:rPr>
        <w:t>公开时间：2021年8月3日</w:t>
      </w:r>
    </w:p>
    <w:p/>
    <w:p/>
    <w:p/>
    <w:p/>
    <w:p>
      <w:pPr>
        <w:pStyle w:val="11"/>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1"/>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7</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2"/>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2"/>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2"/>
        <w:ind w:left="420"/>
        <w:rPr>
          <w:rFonts w:ascii="仿宋" w:eastAsia="仿宋"/>
          <w:sz w:val="28"/>
          <w:szCs w:val="28"/>
        </w:rPr>
      </w:pPr>
      <w:r>
        <w:rPr>
          <w:rStyle w:val="16"/>
          <w:rFonts w:hint="eastAsia" w:ascii="仿宋" w:eastAsia="仿宋"/>
          <w:bCs/>
          <w:sz w:val="28"/>
          <w:szCs w:val="28"/>
        </w:rPr>
        <w:t xml:space="preserve"> 十、预算绩效情况说明..................................15</w:t>
      </w:r>
    </w:p>
    <w:p/>
    <w:p>
      <w:pPr>
        <w:pStyle w:val="12"/>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1"/>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2</w:t>
      </w:r>
      <w:r>
        <w:rPr>
          <w:rFonts w:hint="eastAsia"/>
        </w:rPr>
        <w:fldChar w:fldCharType="end"/>
      </w:r>
      <w:r>
        <w:rPr>
          <w:rFonts w:hint="eastAsia"/>
        </w:rPr>
        <w:t>5</w:t>
      </w:r>
    </w:p>
    <w:p>
      <w:pPr>
        <w:pStyle w:val="11"/>
        <w:rPr>
          <w:rFonts w:cs="Arial"/>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rPr>
        <w:t>2</w:t>
      </w:r>
      <w:r>
        <w:rPr>
          <w:rFonts w:hint="eastAsia"/>
        </w:rPr>
        <w:fldChar w:fldCharType="end"/>
      </w:r>
      <w:r>
        <w:rPr>
          <w:rFonts w:hint="eastAsia"/>
        </w:rPr>
        <w:t>8</w:t>
      </w:r>
    </w:p>
    <w:p>
      <w:pPr>
        <w:pStyle w:val="12"/>
        <w:ind w:left="420"/>
        <w:rPr>
          <w:rFonts w:ascii="仿宋" w:eastAsia="仿宋" w:cs="Arial"/>
          <w:sz w:val="28"/>
          <w:szCs w:val="28"/>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8</w:t>
      </w:r>
    </w:p>
    <w:p>
      <w:pPr>
        <w:pStyle w:val="11"/>
        <w:rPr>
          <w:rFonts w:cs="Arial"/>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t>2</w:t>
      </w:r>
      <w:r>
        <w:rPr>
          <w:rFonts w:hint="eastAsia"/>
        </w:rPr>
        <w:fldChar w:fldCharType="end"/>
      </w:r>
      <w:r>
        <w:rPr>
          <w:rFonts w:hint="eastAsia"/>
        </w:rPr>
        <w:t>8</w:t>
      </w:r>
    </w:p>
    <w:p>
      <w:pPr>
        <w:pStyle w:val="12"/>
        <w:ind w:left="420"/>
        <w:rPr>
          <w:rFonts w:ascii="仿宋" w:eastAsia="仿宋" w:cs="Arial"/>
          <w:sz w:val="28"/>
          <w:szCs w:val="28"/>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sz w:val="28"/>
          <w:szCs w:val="28"/>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rPr>
        <w:t>封面代码</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96599"/>
      <w:bookmarkStart w:id="13" w:name="_Toc15377196"/>
      <w:r>
        <w:rPr>
          <w:rFonts w:ascii="黑体" w:eastAsia="黑体"/>
          <w:b/>
        </w:rPr>
        <w:br w:type="page"/>
      </w:r>
    </w:p>
    <w:p>
      <w:pPr>
        <w:pStyle w:val="3"/>
        <w:jc w:val="center"/>
        <w:rPr>
          <w:rFonts w:ascii="黑体" w:eastAsia="黑体"/>
          <w:color w:val="000000"/>
          <w:sz w:val="32"/>
          <w:szCs w:val="32"/>
        </w:rPr>
      </w:pPr>
      <w:r>
        <w:rPr>
          <w:rFonts w:hint="eastAsia" w:ascii="黑体" w:eastAsia="黑体"/>
          <w:b w:val="0"/>
        </w:rPr>
        <w:t xml:space="preserve">第一部分 </w:t>
      </w:r>
      <w:r>
        <w:rPr>
          <w:rStyle w:val="17"/>
          <w:rFonts w:hint="eastAsia" w:ascii="黑体" w:eastAsia="黑体"/>
          <w:b w:val="0"/>
          <w:bCs w:val="0"/>
        </w:rPr>
        <w:t>部门概况</w:t>
      </w:r>
      <w:bookmarkEnd w:id="12"/>
      <w:bookmarkEnd w:id="13"/>
    </w:p>
    <w:p>
      <w:pPr>
        <w:pStyle w:val="4"/>
        <w:spacing w:before="0" w:after="0" w:line="240" w:lineRule="auto"/>
        <w:ind w:left="640" w:hanging="640" w:hangingChars="200"/>
        <w:rPr>
          <w:rStyle w:val="18"/>
          <w:rFonts w:ascii="黑体" w:eastAsia="黑体"/>
          <w:b w:val="0"/>
          <w:bCs w:val="0"/>
        </w:rPr>
      </w:pPr>
      <w:bookmarkStart w:id="14" w:name="_Toc15396600"/>
      <w:bookmarkStart w:id="15" w:name="_Toc15377197"/>
      <w:r>
        <w:rPr>
          <w:rFonts w:hint="eastAsia" w:ascii="黑体" w:eastAsia="黑体"/>
          <w:b w:val="0"/>
          <w:color w:val="000000"/>
        </w:rPr>
        <w:t>一、基</w:t>
      </w:r>
      <w:r>
        <w:rPr>
          <w:rStyle w:val="18"/>
          <w:rFonts w:hint="eastAsia" w:ascii="黑体" w:eastAsia="黑体"/>
          <w:b w:val="0"/>
          <w:bCs w:val="0"/>
        </w:rPr>
        <w:t>本职能及主要工作</w:t>
      </w:r>
      <w:bookmarkEnd w:id="14"/>
      <w:bookmarkEnd w:id="15"/>
      <w:bookmarkStart w:id="16" w:name="_Toc15377198"/>
      <w:bookmarkStart w:id="17" w:name="_Toc15378445"/>
    </w:p>
    <w:p>
      <w:pPr>
        <w:pStyle w:val="4"/>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6"/>
      <w:bookmarkEnd w:id="17"/>
      <w:bookmarkStart w:id="18" w:name="_Toc15378446"/>
      <w:bookmarkStart w:id="19" w:name="_Toc15377199"/>
    </w:p>
    <w:p>
      <w:pPr>
        <w:widowControl/>
        <w:spacing w:line="500" w:lineRule="exact"/>
        <w:ind w:firstLine="640" w:firstLineChars="200"/>
        <w:jc w:val="left"/>
        <w:rPr>
          <w:rFonts w:ascii="仿宋" w:hAnsi="仿宋" w:eastAsia="仿宋" w:cs="仿宋"/>
          <w:sz w:val="32"/>
          <w:szCs w:val="32"/>
        </w:rPr>
      </w:pPr>
      <w:r>
        <w:rPr>
          <w:rFonts w:hint="eastAsia" w:ascii="仿宋" w:hAnsi="仿宋" w:eastAsia="仿宋" w:cs="仿宋"/>
          <w:kern w:val="0"/>
          <w:sz w:val="32"/>
          <w:szCs w:val="32"/>
        </w:rPr>
        <w:t>1、贯彻落实国家促进就业的方针、政策和有关法律法规；分析、了解、掌握全县就业失业的基本状况，建立健全就业失业监控管理体系，控制失业率，维护就业局势基本稳定。</w:t>
      </w:r>
    </w:p>
    <w:p>
      <w:pPr>
        <w:widowControl/>
        <w:spacing w:line="500" w:lineRule="exact"/>
        <w:ind w:firstLine="640" w:firstLineChars="200"/>
        <w:jc w:val="left"/>
        <w:rPr>
          <w:rFonts w:ascii="仿宋" w:hAnsi="仿宋" w:eastAsia="仿宋" w:cs="仿宋"/>
          <w:sz w:val="32"/>
          <w:szCs w:val="32"/>
        </w:rPr>
      </w:pPr>
      <w:r>
        <w:rPr>
          <w:rFonts w:hint="eastAsia" w:ascii="仿宋" w:hAnsi="仿宋" w:eastAsia="仿宋" w:cs="仿宋"/>
          <w:kern w:val="0"/>
          <w:sz w:val="32"/>
          <w:szCs w:val="32"/>
        </w:rPr>
        <w:t>2、协助县人力资源和社会保障局拟定公共就业服务发展规划和政策措施并具体实施。负责落实就业再就业年度工作计划。</w:t>
      </w:r>
    </w:p>
    <w:p>
      <w:pPr>
        <w:widowControl/>
        <w:spacing w:line="500" w:lineRule="exact"/>
        <w:ind w:firstLine="640" w:firstLineChars="200"/>
        <w:jc w:val="left"/>
        <w:rPr>
          <w:rFonts w:ascii="仿宋" w:hAnsi="仿宋" w:eastAsia="仿宋" w:cs="仿宋"/>
          <w:sz w:val="32"/>
          <w:szCs w:val="32"/>
        </w:rPr>
      </w:pPr>
      <w:r>
        <w:rPr>
          <w:rFonts w:hint="eastAsia" w:ascii="仿宋" w:hAnsi="仿宋" w:eastAsia="仿宋" w:cs="仿宋"/>
          <w:kern w:val="0"/>
          <w:sz w:val="32"/>
          <w:szCs w:val="32"/>
        </w:rPr>
        <w:t>3、负责落实全县人力资源市场发展规划，建立健全运行机制，扩展服务功能，改善服务手段，提升服务能力。</w:t>
      </w:r>
    </w:p>
    <w:p>
      <w:pPr>
        <w:widowControl/>
        <w:spacing w:line="500" w:lineRule="exact"/>
        <w:ind w:firstLine="640" w:firstLineChars="200"/>
        <w:jc w:val="left"/>
        <w:rPr>
          <w:rFonts w:ascii="仿宋" w:hAnsi="仿宋" w:eastAsia="仿宋" w:cs="仿宋"/>
          <w:sz w:val="32"/>
          <w:szCs w:val="32"/>
        </w:rPr>
      </w:pPr>
      <w:r>
        <w:rPr>
          <w:rFonts w:hint="eastAsia" w:ascii="仿宋" w:hAnsi="仿宋" w:eastAsia="仿宋" w:cs="仿宋"/>
          <w:kern w:val="0"/>
          <w:sz w:val="32"/>
          <w:szCs w:val="32"/>
        </w:rPr>
        <w:t>4、负责组织开展各类公共就业服务专项行动，认真落实各类积极就业政策，做好就业再就业援助工作。</w:t>
      </w:r>
    </w:p>
    <w:p>
      <w:pPr>
        <w:widowControl/>
        <w:spacing w:line="500" w:lineRule="exact"/>
        <w:ind w:firstLine="640" w:firstLineChars="200"/>
        <w:jc w:val="left"/>
        <w:rPr>
          <w:rFonts w:ascii="仿宋" w:hAnsi="仿宋" w:eastAsia="仿宋" w:cs="仿宋"/>
          <w:sz w:val="32"/>
          <w:szCs w:val="32"/>
        </w:rPr>
      </w:pPr>
      <w:r>
        <w:rPr>
          <w:rFonts w:hint="eastAsia" w:ascii="仿宋" w:hAnsi="仿宋" w:eastAsia="仿宋" w:cs="仿宋"/>
          <w:kern w:val="0"/>
          <w:sz w:val="32"/>
          <w:szCs w:val="32"/>
        </w:rPr>
        <w:t>5、负责全县镇街乡就业和社会保障服务平台建设工作；负责指导“充分就业社区”、“充分就业转移村”的创建和就业与社会保障服务工作。</w:t>
      </w:r>
    </w:p>
    <w:p>
      <w:pPr>
        <w:widowControl/>
        <w:spacing w:line="500" w:lineRule="exact"/>
        <w:ind w:firstLine="640" w:firstLineChars="200"/>
        <w:jc w:val="left"/>
        <w:rPr>
          <w:rFonts w:ascii="仿宋" w:hAnsi="仿宋" w:eastAsia="仿宋" w:cs="仿宋"/>
          <w:sz w:val="32"/>
          <w:szCs w:val="32"/>
        </w:rPr>
      </w:pPr>
      <w:r>
        <w:rPr>
          <w:rFonts w:hint="eastAsia" w:ascii="仿宋" w:hAnsi="仿宋" w:eastAsia="仿宋" w:cs="仿宋"/>
          <w:kern w:val="0"/>
          <w:sz w:val="32"/>
          <w:szCs w:val="32"/>
        </w:rPr>
        <w:t>6、承担劳动力就业能力建设工作责任。负责全县就业训练、就业再就业培训管理，组织指导开展下岗失业人员就业再就业和农民工岗前就业培训，提升人力资源能力。</w:t>
      </w:r>
    </w:p>
    <w:p>
      <w:pPr>
        <w:widowControl/>
        <w:spacing w:line="500" w:lineRule="exact"/>
        <w:ind w:firstLine="640" w:firstLineChars="200"/>
        <w:jc w:val="left"/>
        <w:rPr>
          <w:rFonts w:ascii="仿宋" w:hAnsi="仿宋" w:eastAsia="仿宋" w:cs="仿宋"/>
          <w:sz w:val="32"/>
          <w:szCs w:val="32"/>
        </w:rPr>
      </w:pPr>
      <w:r>
        <w:rPr>
          <w:rFonts w:hint="eastAsia" w:ascii="仿宋" w:hAnsi="仿宋" w:eastAsia="仿宋" w:cs="仿宋"/>
          <w:kern w:val="0"/>
          <w:sz w:val="32"/>
          <w:szCs w:val="32"/>
        </w:rPr>
        <w:t>7、承担城乡劳动力创业促就业指导服务工作责任。负责全县再就业小额担保贷款工作，开展创业培训、创业指导、政策咨询、开业后续支持服务，引导全民创业。</w:t>
      </w:r>
    </w:p>
    <w:p>
      <w:pPr>
        <w:widowControl/>
        <w:spacing w:line="500" w:lineRule="exact"/>
        <w:ind w:firstLine="640" w:firstLineChars="200"/>
        <w:jc w:val="left"/>
        <w:rPr>
          <w:rFonts w:ascii="仿宋" w:hAnsi="仿宋" w:eastAsia="仿宋" w:cs="仿宋"/>
          <w:sz w:val="32"/>
          <w:szCs w:val="32"/>
        </w:rPr>
      </w:pPr>
      <w:r>
        <w:rPr>
          <w:rFonts w:hint="eastAsia" w:ascii="仿宋" w:hAnsi="仿宋" w:eastAsia="仿宋" w:cs="仿宋"/>
          <w:kern w:val="0"/>
          <w:sz w:val="32"/>
          <w:szCs w:val="32"/>
        </w:rPr>
        <w:t>8、承担农村劳务开发就业工作责任。负责组织农村劳动力进城务工有序流动；负责发展劳务经济，牵头协调农村劳动力转移培训，促进农村剩余劳动力就业；负责统筹城乡就业，促进城乡公共就业服务同质均等。</w:t>
      </w:r>
    </w:p>
    <w:p>
      <w:pPr>
        <w:widowControl/>
        <w:spacing w:line="500" w:lineRule="exact"/>
        <w:ind w:firstLine="640" w:firstLineChars="200"/>
        <w:jc w:val="left"/>
        <w:rPr>
          <w:rFonts w:ascii="仿宋" w:hAnsi="仿宋" w:eastAsia="仿宋" w:cs="仿宋"/>
          <w:sz w:val="32"/>
          <w:szCs w:val="32"/>
        </w:rPr>
      </w:pPr>
      <w:r>
        <w:rPr>
          <w:rFonts w:hint="eastAsia" w:ascii="仿宋" w:hAnsi="仿宋" w:eastAsia="仿宋" w:cs="仿宋"/>
          <w:kern w:val="0"/>
          <w:sz w:val="32"/>
          <w:szCs w:val="32"/>
        </w:rPr>
        <w:t>9、承担全县失业保险工作责任。负责组织实施全县失业保险目标计划，负责失业保险基金内控制度和失业保险与就业指导互动建设，负责失业保险经办的业务管理、失业动态监测、指导 “破产、兼并、解散、关闭”企业失业保险工作。</w:t>
      </w:r>
    </w:p>
    <w:p>
      <w:pPr>
        <w:widowControl/>
        <w:spacing w:line="500" w:lineRule="exact"/>
        <w:ind w:firstLine="640" w:firstLineChars="200"/>
        <w:jc w:val="left"/>
        <w:rPr>
          <w:rFonts w:ascii="仿宋" w:hAnsi="仿宋" w:eastAsia="仿宋" w:cs="仿宋"/>
          <w:sz w:val="32"/>
          <w:szCs w:val="32"/>
        </w:rPr>
      </w:pPr>
      <w:r>
        <w:rPr>
          <w:rFonts w:hint="eastAsia" w:ascii="仿宋" w:hAnsi="仿宋" w:eastAsia="仿宋" w:cs="仿宋"/>
          <w:kern w:val="0"/>
          <w:sz w:val="32"/>
          <w:szCs w:val="32"/>
        </w:rPr>
        <w:t xml:space="preserve">10、负责办理《职工失业证》、《城镇登记失业人员失业证》、技能培训《结业证》及审验工作。接收并管理下岗失业职工、城镇失业人员及企业职工的个人档案。  </w:t>
      </w:r>
    </w:p>
    <w:p>
      <w:pPr>
        <w:pStyle w:val="4"/>
        <w:spacing w:before="0" w:after="0" w:line="240" w:lineRule="auto"/>
        <w:ind w:firstLine="321" w:firstLineChars="100"/>
        <w:rPr>
          <w:rFonts w:ascii="楷体" w:eastAsia="楷体" w:cs="楷体"/>
          <w:color w:val="000000"/>
        </w:rPr>
      </w:pPr>
      <w:r>
        <w:rPr>
          <w:rFonts w:hint="eastAsia" w:ascii="楷体" w:eastAsia="楷体" w:cs="楷体"/>
          <w:color w:val="000000"/>
        </w:rPr>
        <w:t>（二）2020年重点工作完成情况</w:t>
      </w:r>
      <w:bookmarkEnd w:id="18"/>
      <w:bookmarkEnd w:id="19"/>
    </w:p>
    <w:p>
      <w:pPr>
        <w:widowControl/>
        <w:numPr>
          <w:ilvl w:val="0"/>
          <w:numId w:val="1"/>
        </w:numPr>
        <w:spacing w:line="576" w:lineRule="exact"/>
        <w:ind w:firstLine="643" w:firstLineChars="200"/>
        <w:jc w:val="left"/>
        <w:rPr>
          <w:rFonts w:ascii="仿宋" w:hAnsi="仿宋" w:eastAsia="仿宋" w:cs="仿宋"/>
          <w:color w:val="000000"/>
          <w:sz w:val="32"/>
          <w:szCs w:val="32"/>
        </w:rPr>
      </w:pPr>
      <w:bookmarkStart w:id="20" w:name="_Toc15377200"/>
      <w:bookmarkStart w:id="21" w:name="_Toc15396601"/>
      <w:r>
        <w:rPr>
          <w:rFonts w:hint="eastAsia" w:ascii="楷体_GB2312" w:hAnsi="楷体_GB2312" w:eastAsia="楷体_GB2312" w:cs="楷体_GB2312"/>
          <w:b/>
          <w:bCs/>
          <w:sz w:val="32"/>
          <w:szCs w:val="32"/>
        </w:rPr>
        <w:t>科学防疫情，多措并举做好重点群体就业工作，助力企业复工复产</w:t>
      </w:r>
      <w:r>
        <w:rPr>
          <w:rFonts w:hint="eastAsia" w:ascii="仿宋" w:hAnsi="仿宋" w:eastAsia="仿宋" w:cs="仿宋"/>
          <w:sz w:val="32"/>
          <w:szCs w:val="32"/>
        </w:rPr>
        <w:t>广泛收集浙川援建、眉山援建、省内、州内、县内招聘岗位2000余个，岗位需求人数10000余人、开通“春风行动”返岗复工专车7辆，输送劳动力219人到成都，开通“净土阿坝•鉴水绍兴”点对点、一站式集中输送就业大巴两批50名金川籍农民工前往诸暨、柯桥金海环境、亿衡袜业、华为科技等7家企业返岗务工、开通“春风行动”返岗复工专车7辆，输送劳动力219人到成都，开通“净土阿坝•鉴水绍兴”点对点、一站式集中输送就业大巴两批50名金川籍农民工前往诸暨、柯桥金海环境、亿衡袜业、华为科技等7家企业返岗务工、对符合条件的企业启动参保企业失业保险费返还，对中小微企业、参与疫情防控的重点单位、面临暂时性生产经营困难且恢复有望、坚持不裁员或少裁员的参保企业，给予稳岗补贴政策倾斜，为21余家企业发放普惠性稳岗补贴资金46.5万余元，惠及员工400余人，将濠江建筑、众合创美文化等10家符合条件的企业认定为临时性生产困难企业，发放困难企业稳岗返还89.7万余元、开展下岗失业人员帮扶，</w:t>
      </w:r>
      <w:r>
        <w:rPr>
          <w:rFonts w:hint="eastAsia" w:ascii="仿宋" w:hAnsi="仿宋" w:eastAsia="仿宋" w:cs="仿宋"/>
          <w:color w:val="000000"/>
          <w:sz w:val="32"/>
          <w:szCs w:val="32"/>
        </w:rPr>
        <w:t>对生活困难且面临暂时失业的下岗失业人员，在疫情防控期间给予临时价格补贴，为27名失业人员发放临时价格补贴2839余元。</w:t>
      </w:r>
    </w:p>
    <w:p>
      <w:pPr>
        <w:numPr>
          <w:ilvl w:val="0"/>
          <w:numId w:val="1"/>
        </w:numPr>
        <w:spacing w:line="560" w:lineRule="exact"/>
        <w:ind w:firstLine="643" w:firstLineChars="200"/>
        <w:rPr>
          <w:rFonts w:eastAsia="仿宋_GB2312"/>
          <w:sz w:val="32"/>
          <w:szCs w:val="32"/>
          <w:shd w:val="clear" w:color="auto" w:fill="FFFFFF"/>
        </w:rPr>
      </w:pPr>
      <w:r>
        <w:rPr>
          <w:rFonts w:hint="eastAsia" w:ascii="楷体_GB2312" w:hAnsi="楷体_GB2312" w:eastAsia="楷体_GB2312" w:cs="楷体_GB2312"/>
          <w:b/>
          <w:bCs/>
          <w:sz w:val="32"/>
          <w:szCs w:val="32"/>
        </w:rPr>
        <w:t>稳中求进，高质量完成全年就业创业目标任务</w:t>
      </w:r>
      <w:r>
        <w:rPr>
          <w:rFonts w:hint="eastAsia" w:eastAsia="仿宋_GB2312"/>
          <w:sz w:val="32"/>
          <w:szCs w:val="32"/>
          <w:shd w:val="clear" w:color="auto" w:fill="FFFFFF"/>
        </w:rPr>
        <w:t>城镇新增就业人数为620人，完成目标任务580人的106%；城镇登记失业率为3.6%，严格控制在目标任务3.8%以内；城镇失业人员再就业38人，完成目标任务35人的108%；就业困难人员再就业20人，完成目标任务18的111%；农村劳动力转移1.61万人，完成目标任务1.60万人的100%；发放创业担保贷款215万元，完成目标任务180万元的119%；青年就业见习30名，完成目标任务18人的166%；创业培训60人，完成目标任务53人的113 %；品牌培训370人，完成目标任务370人的100%；失业保险参保人数4064人，完成目标任务4100人的99%。</w:t>
      </w:r>
    </w:p>
    <w:p>
      <w:pPr>
        <w:pStyle w:val="9"/>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3、就业扶贫不松劲，促进贫困劳动力就业创业，助力全面小康</w:t>
      </w:r>
      <w:r>
        <w:rPr>
          <w:rFonts w:hint="eastAsia" w:ascii="仿宋_GB2312" w:hAnsi="仿宋" w:eastAsia="仿宋_GB2312" w:cs="仿宋_GB2312"/>
          <w:sz w:val="32"/>
          <w:szCs w:val="32"/>
        </w:rPr>
        <w:t>根据贫困劳动者就业创业和技能培训意愿，“量身定制”帮扶措施，有针对性地开展就业创业服务，已全面动态更新“一库五名单”；</w:t>
      </w:r>
      <w:r>
        <w:rPr>
          <w:rFonts w:hint="eastAsia" w:ascii="仿宋_GB2312" w:hAnsi="仿宋_GB2312" w:eastAsia="仿宋_GB2312" w:cs="仿宋_GB2312"/>
          <w:sz w:val="32"/>
          <w:szCs w:val="32"/>
        </w:rPr>
        <w:t>依托省内省外对口援助机制，引导贫困劳动力到省内省外就业，截止目前已有50名金川籍农民工前往诸暨、柯桥金海环境、亿衡袜业等7家企业返岗务工，其中贫困劳动力30人；</w:t>
      </w:r>
      <w:r>
        <w:rPr>
          <w:rFonts w:hint="eastAsia" w:ascii="仿宋_GB2312" w:hAnsi="仿宋" w:eastAsia="仿宋_GB2312" w:cs="仿宋_GB2312"/>
          <w:sz w:val="32"/>
          <w:szCs w:val="32"/>
        </w:rPr>
        <w:t>大力开发公益性岗位托底安置贫困劳动力，截止目前共计安置211人；</w:t>
      </w:r>
      <w:r>
        <w:rPr>
          <w:rFonts w:hint="eastAsia" w:ascii="Times New Roman" w:hAnsi="Times New Roman" w:eastAsia="仿宋_GB2312"/>
          <w:color w:val="000000"/>
          <w:kern w:val="21"/>
          <w:sz w:val="32"/>
          <w:szCs w:val="32"/>
        </w:rPr>
        <w:t>开通“春风行动”返岗复工专车7辆，输送劳动力219人到成都茶店子，其中贫困劳动力25人；联合县脱贫攻坚办，组织全县1980名建档立卡贫困户帮扶干部，以进村入户、进家见人等方式，分别深入全县建档立卡贫困户家摸底调查全覆盖工作，</w:t>
      </w:r>
      <w:r>
        <w:rPr>
          <w:rFonts w:hint="eastAsia" w:ascii="仿宋_GB2312" w:eastAsia="仿宋_GB2312" w:cs="Calibri"/>
          <w:sz w:val="32"/>
          <w:szCs w:val="32"/>
        </w:rPr>
        <w:t>收集全县</w:t>
      </w:r>
      <w:r>
        <w:rPr>
          <w:rFonts w:hint="eastAsia" w:ascii="Times New Roman" w:hAnsi="Times New Roman" w:eastAsia="仿宋_GB2312"/>
          <w:color w:val="000000"/>
          <w:kern w:val="21"/>
          <w:sz w:val="32"/>
          <w:szCs w:val="32"/>
        </w:rPr>
        <w:t>2531</w:t>
      </w:r>
      <w:r>
        <w:rPr>
          <w:rFonts w:hint="eastAsia" w:ascii="仿宋_GB2312" w:eastAsia="仿宋_GB2312" w:cs="Calibri"/>
          <w:sz w:val="32"/>
          <w:szCs w:val="32"/>
        </w:rPr>
        <w:t>户建档立卡贫困户，有外出意愿</w:t>
      </w:r>
      <w:r>
        <w:rPr>
          <w:rFonts w:hint="eastAsia" w:ascii="Times New Roman" w:hAnsi="Times New Roman" w:eastAsia="仿宋_GB2312"/>
          <w:color w:val="000000"/>
          <w:kern w:val="21"/>
          <w:sz w:val="32"/>
          <w:szCs w:val="32"/>
        </w:rPr>
        <w:t>409</w:t>
      </w:r>
      <w:r>
        <w:rPr>
          <w:rFonts w:hint="eastAsia" w:ascii="仿宋_GB2312" w:eastAsia="仿宋_GB2312" w:cs="Calibri"/>
          <w:sz w:val="32"/>
          <w:szCs w:val="32"/>
        </w:rPr>
        <w:t>人，有技能培训意愿</w:t>
      </w:r>
      <w:r>
        <w:rPr>
          <w:rFonts w:hint="eastAsia" w:ascii="Times New Roman" w:hAnsi="Times New Roman" w:eastAsia="仿宋_GB2312"/>
          <w:color w:val="000000"/>
          <w:kern w:val="21"/>
          <w:sz w:val="32"/>
          <w:szCs w:val="32"/>
        </w:rPr>
        <w:t>746</w:t>
      </w:r>
      <w:r>
        <w:rPr>
          <w:rFonts w:hint="eastAsia" w:ascii="仿宋_GB2312" w:eastAsia="仿宋_GB2312" w:cs="Calibri"/>
          <w:sz w:val="32"/>
          <w:szCs w:val="32"/>
        </w:rPr>
        <w:t>人；</w:t>
      </w:r>
      <w:r>
        <w:rPr>
          <w:rFonts w:hint="eastAsia" w:ascii="仿宋_GB2312" w:hAnsi="仿宋_GB2312" w:eastAsia="仿宋_GB2312" w:cs="仿宋_GB2312"/>
          <w:sz w:val="32"/>
          <w:szCs w:val="32"/>
        </w:rPr>
        <w:t>通过“送培训下乡</w:t>
      </w:r>
      <w:r>
        <w:rPr>
          <w:rFonts w:hint="eastAsia" w:ascii="Times New Roman" w:hAnsi="Times New Roman" w:eastAsia="仿宋_GB2312"/>
          <w:color w:val="000000"/>
          <w:kern w:val="21"/>
          <w:sz w:val="32"/>
          <w:szCs w:val="32"/>
        </w:rPr>
        <w:t>”“扶贫专班”等方式，广泛开展技能扶贫培训，共计培训1724人，其中省内对口一帮一培训44人，东西部扶贫对口帮扶培训1680人。</w:t>
      </w:r>
    </w:p>
    <w:p>
      <w:pPr>
        <w:spacing w:line="578" w:lineRule="exact"/>
        <w:ind w:firstLine="640" w:firstLineChars="200"/>
        <w:rPr>
          <w:rStyle w:val="18"/>
          <w:b w:val="0"/>
          <w:bCs w:val="0"/>
        </w:rPr>
      </w:pPr>
      <w:r>
        <w:rPr>
          <w:rStyle w:val="18"/>
          <w:rFonts w:hint="eastAsia" w:ascii="黑体" w:eastAsia="黑体"/>
          <w:b w:val="0"/>
          <w:bCs w:val="0"/>
        </w:rPr>
        <w:t>二、机构设置</w:t>
      </w:r>
      <w:bookmarkEnd w:id="20"/>
      <w:bookmarkEnd w:id="21"/>
    </w:p>
    <w:p>
      <w:pPr>
        <w:ind w:firstLine="640" w:firstLineChars="200"/>
        <w:rPr>
          <w:rFonts w:ascii="仿宋" w:hAnsi="仿宋" w:eastAsia="仿宋_GB2312"/>
          <w:color w:val="000000"/>
          <w:kern w:val="0"/>
          <w:sz w:val="32"/>
          <w:szCs w:val="32"/>
        </w:rPr>
      </w:pPr>
      <w:r>
        <w:rPr>
          <w:rFonts w:hint="eastAsia" w:ascii="仿宋_GB2312" w:hAnsi="仿宋_GB2312" w:eastAsia="仿宋_GB2312" w:cs="仿宋_GB2312"/>
          <w:sz w:val="32"/>
          <w:szCs w:val="32"/>
        </w:rPr>
        <w:t>金川县公共就业和人才交流服务中心是一级预算的事业参公单位，</w:t>
      </w:r>
      <w:r>
        <w:rPr>
          <w:rFonts w:hint="eastAsia" w:ascii="仿宋_GB2312" w:eastAsia="仿宋_GB2312"/>
          <w:color w:val="000000"/>
          <w:sz w:val="32"/>
          <w:szCs w:val="32"/>
        </w:rPr>
        <w:t>独立编制单位机构数1个。</w:t>
      </w:r>
    </w:p>
    <w:p>
      <w:pPr>
        <w:pStyle w:val="3"/>
        <w:ind w:right="440"/>
        <w:jc w:val="right"/>
      </w:pPr>
      <w:bookmarkStart w:id="22" w:name="_Toc15396602"/>
      <w:bookmarkStart w:id="23" w:name="_Toc15377204"/>
      <w:r>
        <w:rPr>
          <w:rFonts w:hint="eastAsia" w:ascii="黑体" w:eastAsia="黑体"/>
          <w:b w:val="0"/>
          <w:color w:val="000000"/>
        </w:rPr>
        <w:t>第二部分</w:t>
      </w:r>
      <w:r>
        <w:rPr>
          <w:rFonts w:hint="eastAsia" w:ascii="黑体" w:eastAsia="黑体"/>
          <w:color w:val="000000"/>
        </w:rPr>
        <w:t xml:space="preserve"> </w:t>
      </w:r>
      <w:r>
        <w:rPr>
          <w:rStyle w:val="17"/>
          <w:rFonts w:hint="eastAsia" w:ascii="黑体" w:eastAsia="黑体"/>
          <w:b w:val="0"/>
          <w:bCs w:val="0"/>
        </w:rPr>
        <w:t>2020年度部门决算情况说明</w:t>
      </w:r>
      <w:bookmarkEnd w:id="22"/>
      <w:bookmarkEnd w:id="23"/>
    </w:p>
    <w:p>
      <w:pPr>
        <w:pStyle w:val="23"/>
        <w:numPr>
          <w:ilvl w:val="0"/>
          <w:numId w:val="2"/>
        </w:numPr>
        <w:ind w:left="0" w:firstLine="0" w:firstLineChars="0"/>
        <w:outlineLvl w:val="1"/>
        <w:rPr>
          <w:rStyle w:val="18"/>
          <w:rFonts w:ascii="黑体" w:eastAsia="黑体"/>
          <w:b w:val="0"/>
        </w:rPr>
      </w:pPr>
      <w:bookmarkStart w:id="24" w:name="_Toc15377205"/>
      <w:bookmarkStart w:id="25" w:name="_Toc15396603"/>
      <w:r>
        <w:rPr>
          <w:rFonts w:hint="eastAsia" w:ascii="黑体" w:eastAsia="黑体"/>
          <w:color w:val="000000"/>
          <w:sz w:val="32"/>
          <w:szCs w:val="32"/>
        </w:rPr>
        <w:t>收</w:t>
      </w:r>
      <w:r>
        <w:rPr>
          <w:rStyle w:val="18"/>
          <w:rFonts w:hint="eastAsia" w:ascii="黑体" w:eastAsia="黑体"/>
          <w:b w:val="0"/>
        </w:rPr>
        <w:t>入支出决算总体情况说明</w:t>
      </w:r>
      <w:bookmarkEnd w:id="24"/>
      <w:bookmarkEnd w:id="25"/>
    </w:p>
    <w:p>
      <w:pPr>
        <w:snapToGrid w:val="0"/>
        <w:spacing w:line="520" w:lineRule="exact"/>
        <w:ind w:firstLine="632" w:firstLineChars="200"/>
        <w:rPr>
          <w:rFonts w:ascii="仿宋_GB2312" w:eastAsia="仿宋_GB2312"/>
          <w:color w:val="000000"/>
          <w:spacing w:val="-2"/>
          <w:sz w:val="32"/>
          <w:szCs w:val="32"/>
        </w:rPr>
      </w:pPr>
      <w:r>
        <w:rPr>
          <w:rFonts w:hint="eastAsia" w:ascii="仿宋_GB2312" w:eastAsia="仿宋_GB2312"/>
          <w:color w:val="000000"/>
          <w:spacing w:val="-2"/>
          <w:sz w:val="32"/>
          <w:szCs w:val="32"/>
        </w:rPr>
        <w:t>2020年度总收入939.95万元，较上年收入减少127.97万元，减少13.61%。减少的主要原因是2020年就业创业补助资金减少</w:t>
      </w:r>
    </w:p>
    <w:p>
      <w:pPr>
        <w:snapToGrid w:val="0"/>
        <w:spacing w:line="520" w:lineRule="exact"/>
        <w:ind w:firstLine="632" w:firstLineChars="200"/>
        <w:rPr>
          <w:rFonts w:ascii="仿宋" w:eastAsia="仿宋"/>
          <w:sz w:val="32"/>
          <w:szCs w:val="32"/>
        </w:rPr>
      </w:pPr>
      <w:r>
        <w:rPr>
          <w:rFonts w:hint="eastAsia" w:ascii="仿宋_GB2312" w:eastAsia="仿宋_GB2312"/>
          <w:spacing w:val="-2"/>
          <w:sz w:val="32"/>
          <w:szCs w:val="32"/>
        </w:rPr>
        <w:t>2020年总支出939.99万元，较上年支出减少162.19万元，减少17.25%。主要原因当年安排就业创业补助项目资金较上年有所减少。</w:t>
      </w:r>
    </w:p>
    <w:p>
      <w:pPr>
        <w:snapToGrid w:val="0"/>
        <w:spacing w:line="520" w:lineRule="exact"/>
        <w:ind w:firstLine="640" w:firstLineChars="200"/>
        <w:rPr>
          <w:rFonts w:ascii="仿宋" w:eastAsia="仿宋"/>
          <w:sz w:val="32"/>
          <w:szCs w:val="32"/>
        </w:rPr>
      </w:pPr>
    </w:p>
    <w:p>
      <w:pPr>
        <w:spacing w:line="600" w:lineRule="exact"/>
        <w:ind w:firstLine="640" w:firstLineChars="200"/>
        <w:rPr>
          <w:rStyle w:val="18"/>
          <w:rFonts w:ascii="黑体" w:eastAsia="黑体"/>
          <w:b w:val="0"/>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314960</wp:posOffset>
            </wp:positionH>
            <wp:positionV relativeFrom="paragraph">
              <wp:posOffset>45720</wp:posOffset>
            </wp:positionV>
            <wp:extent cx="5080000" cy="2582545"/>
            <wp:effectExtent l="0" t="0" r="0" b="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26" w:name="_Toc15377206"/>
      <w:bookmarkStart w:id="27" w:name="_Toc15396604"/>
      <w:r>
        <w:rPr>
          <w:rFonts w:hint="eastAsia" w:ascii="黑体" w:eastAsia="黑体"/>
          <w:color w:val="000000"/>
          <w:sz w:val="32"/>
          <w:szCs w:val="32"/>
        </w:rPr>
        <w:t>二、收入决</w:t>
      </w:r>
      <w:r>
        <w:rPr>
          <w:rStyle w:val="18"/>
          <w:rFonts w:hint="eastAsia" w:ascii="黑体" w:eastAsia="黑体"/>
          <w:b w:val="0"/>
        </w:rPr>
        <w:t>算情况说明</w:t>
      </w:r>
      <w:bookmarkEnd w:id="26"/>
      <w:bookmarkEnd w:id="27"/>
    </w:p>
    <w:p>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20年总收入939.95万元，其中：一般公共预算财政拨款收入939.95万元，占100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p>
    <w:p>
      <w:pPr>
        <w:spacing w:line="600" w:lineRule="exact"/>
        <w:ind w:firstLine="640" w:firstLineChars="200"/>
        <w:outlineLvl w:val="1"/>
        <w:rPr>
          <w:rStyle w:val="18"/>
          <w:rFonts w:ascii="黑体" w:eastAsia="黑体"/>
          <w:b w:val="0"/>
        </w:rPr>
      </w:pPr>
      <w:r>
        <w:rPr>
          <w:rFonts w:hint="eastAsia" w:ascii="黑体" w:eastAsia="黑体"/>
          <w:color w:val="000000"/>
          <w:sz w:val="32"/>
          <w:szCs w:val="32"/>
        </w:rPr>
        <w:drawing>
          <wp:anchor distT="0" distB="0" distL="114300" distR="114300" simplePos="0" relativeHeight="251660288" behindDoc="0" locked="0" layoutInCell="1" allowOverlap="1">
            <wp:simplePos x="0" y="0"/>
            <wp:positionH relativeFrom="column">
              <wp:posOffset>177165</wp:posOffset>
            </wp:positionH>
            <wp:positionV relativeFrom="paragraph">
              <wp:posOffset>134620</wp:posOffset>
            </wp:positionV>
            <wp:extent cx="5373370" cy="2648585"/>
            <wp:effectExtent l="0" t="0" r="0" b="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28" w:name="_Toc15396605"/>
      <w:bookmarkStart w:id="29" w:name="_Toc15377207"/>
      <w:r>
        <w:rPr>
          <w:rFonts w:hint="eastAsia" w:ascii="黑体" w:eastAsia="黑体"/>
          <w:color w:val="000000"/>
          <w:sz w:val="32"/>
          <w:szCs w:val="32"/>
        </w:rPr>
        <w:t>三、支出决</w:t>
      </w:r>
      <w:r>
        <w:rPr>
          <w:rStyle w:val="18"/>
          <w:rFonts w:hint="eastAsia" w:ascii="黑体" w:eastAsia="黑体"/>
          <w:b w:val="0"/>
        </w:rPr>
        <w:t>算情况说明</w:t>
      </w:r>
      <w:bookmarkEnd w:id="28"/>
      <w:bookmarkEnd w:id="29"/>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2020年本年总支出939.99万元，其中：基本支出187.62万元，占19.8%；项目支出752.37万元，占80.2%；上缴上级支出0万元，占0%；经营支出0万元，占0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61312" behindDoc="0" locked="0" layoutInCell="1" allowOverlap="1">
            <wp:simplePos x="0" y="0"/>
            <wp:positionH relativeFrom="column">
              <wp:posOffset>64770</wp:posOffset>
            </wp:positionH>
            <wp:positionV relativeFrom="paragraph">
              <wp:posOffset>136525</wp:posOffset>
            </wp:positionV>
            <wp:extent cx="5061585" cy="1984375"/>
            <wp:effectExtent l="0" t="0" r="0" b="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18"/>
          <w:rFonts w:ascii="黑体" w:eastAsia="黑体"/>
          <w:b w:val="0"/>
        </w:rPr>
      </w:pPr>
      <w:bookmarkStart w:id="30" w:name="_Toc15377208"/>
      <w:bookmarkStart w:id="31" w:name="_Toc15396606"/>
      <w:r>
        <w:rPr>
          <w:rFonts w:hint="eastAsia" w:ascii="黑体" w:eastAsia="黑体"/>
          <w:color w:val="000000"/>
          <w:sz w:val="32"/>
          <w:szCs w:val="32"/>
        </w:rPr>
        <w:t>四、财</w:t>
      </w:r>
      <w:r>
        <w:rPr>
          <w:rStyle w:val="18"/>
          <w:rFonts w:hint="eastAsia" w:ascii="黑体" w:eastAsia="黑体"/>
          <w:b w:val="0"/>
        </w:rPr>
        <w:t>政拨款收入支出决算总体情况说明</w:t>
      </w:r>
      <w:bookmarkEnd w:id="30"/>
      <w:bookmarkEnd w:id="31"/>
    </w:p>
    <w:p>
      <w:pPr>
        <w:snapToGrid w:val="0"/>
        <w:spacing w:line="520" w:lineRule="exact"/>
        <w:ind w:firstLine="640" w:firstLineChars="200"/>
        <w:rPr>
          <w:rFonts w:ascii="仿宋" w:eastAsia="仿宋"/>
          <w:color w:val="FF0000"/>
          <w:sz w:val="32"/>
          <w:szCs w:val="32"/>
        </w:rPr>
      </w:pPr>
      <w:r>
        <w:rPr>
          <w:rFonts w:hint="eastAsia" w:ascii="仿宋" w:eastAsia="仿宋"/>
          <w:color w:val="000000"/>
          <w:sz w:val="32"/>
          <w:szCs w:val="32"/>
        </w:rPr>
        <w:t>2020年财政拨款收入939.95万元。与2019年相比，一般公共预算财政拨款收入较上年减少127.97万元，减少13.61%。减少的主要原因是</w:t>
      </w:r>
      <w:r>
        <w:rPr>
          <w:rFonts w:hint="eastAsia" w:ascii="仿宋_GB2312" w:eastAsia="仿宋_GB2312"/>
          <w:color w:val="000000"/>
          <w:spacing w:val="-2"/>
          <w:sz w:val="32"/>
          <w:szCs w:val="32"/>
        </w:rPr>
        <w:t>2020年就业创业补助资金减少</w:t>
      </w:r>
      <w:r>
        <w:rPr>
          <w:rFonts w:hint="eastAsia" w:ascii="仿宋" w:eastAsia="仿宋"/>
          <w:color w:val="000000"/>
          <w:sz w:val="32"/>
          <w:szCs w:val="32"/>
        </w:rPr>
        <w:t>。2020年财政拨款支出939.99万元，</w:t>
      </w:r>
      <w:r>
        <w:rPr>
          <w:rFonts w:hint="eastAsia" w:ascii="仿宋" w:eastAsia="仿宋"/>
          <w:sz w:val="32"/>
          <w:szCs w:val="32"/>
        </w:rPr>
        <w:t>较上年支出减少162.19万元，减少17.25%</w:t>
      </w:r>
      <w:r>
        <w:rPr>
          <w:rFonts w:hint="eastAsia" w:ascii="仿宋_GB2312" w:eastAsia="仿宋_GB2312"/>
          <w:spacing w:val="-2"/>
          <w:sz w:val="32"/>
          <w:szCs w:val="32"/>
        </w:rPr>
        <w:t>。</w:t>
      </w:r>
    </w:p>
    <w:p>
      <w:pPr>
        <w:spacing w:line="600" w:lineRule="exact"/>
        <w:ind w:firstLine="640" w:firstLineChars="200"/>
        <w:rPr>
          <w:rStyle w:val="18"/>
          <w:rFonts w:ascii="黑体" w:eastAsia="黑体"/>
          <w:b w:val="0"/>
        </w:rPr>
      </w:pPr>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2" w:name="_Toc15377209"/>
      <w:bookmarkStart w:id="33" w:name="_Toc15396607"/>
      <w:r>
        <w:rPr>
          <w:rFonts w:hint="eastAsia" w:ascii="黑体" w:eastAsia="黑体"/>
          <w:color w:val="000000"/>
          <w:sz w:val="32"/>
          <w:szCs w:val="32"/>
        </w:rPr>
        <w:t>五、</w:t>
      </w:r>
      <w:r>
        <w:rPr>
          <w:rFonts w:hint="eastAsia" w:ascii="黑体" w:eastAsia="黑体"/>
          <w:b/>
          <w:color w:val="000000"/>
          <w:sz w:val="32"/>
          <w:szCs w:val="32"/>
        </w:rPr>
        <w:t>一</w:t>
      </w:r>
      <w:r>
        <w:rPr>
          <w:rStyle w:val="18"/>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napToGrid w:val="0"/>
        <w:spacing w:line="520" w:lineRule="exact"/>
        <w:ind w:firstLine="640" w:firstLineChars="200"/>
        <w:rPr>
          <w:rFonts w:ascii="仿宋_GB2312" w:eastAsia="仿宋_GB2312"/>
          <w:color w:val="FF0000"/>
          <w:spacing w:val="-2"/>
          <w:sz w:val="32"/>
          <w:szCs w:val="32"/>
        </w:rPr>
      </w:pPr>
      <w:r>
        <w:rPr>
          <w:rFonts w:ascii="仿宋" w:eastAsia="仿宋"/>
          <w:color w:val="000000"/>
          <w:sz w:val="32"/>
          <w:szCs w:val="32"/>
        </w:rPr>
        <w:t>20</w:t>
      </w:r>
      <w:r>
        <w:rPr>
          <w:rFonts w:hint="eastAsia" w:ascii="仿宋" w:eastAsia="仿宋"/>
          <w:color w:val="000000"/>
          <w:sz w:val="32"/>
          <w:szCs w:val="32"/>
        </w:rPr>
        <w:t>20年</w:t>
      </w:r>
      <w:r>
        <w:rPr>
          <w:rFonts w:hint="eastAsia" w:ascii="仿宋_GB2312" w:eastAsia="仿宋_GB2312"/>
          <w:spacing w:val="-2"/>
          <w:sz w:val="32"/>
          <w:szCs w:val="32"/>
        </w:rPr>
        <w:t>一般公共预算财政拨款支出939.99万元，</w:t>
      </w:r>
      <w:r>
        <w:rPr>
          <w:rFonts w:hint="eastAsia" w:ascii="仿宋" w:eastAsia="仿宋"/>
          <w:color w:val="000000"/>
          <w:sz w:val="32"/>
          <w:szCs w:val="32"/>
        </w:rPr>
        <w:t>占本年总支出的100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201</w:t>
      </w:r>
      <w:r>
        <w:rPr>
          <w:rFonts w:hint="eastAsia" w:ascii="仿宋" w:eastAsia="仿宋"/>
          <w:color w:val="000000"/>
          <w:sz w:val="32"/>
          <w:szCs w:val="32"/>
        </w:rPr>
        <w:t>9年相比，一般公共预算财政拨款</w:t>
      </w:r>
      <w:r>
        <w:rPr>
          <w:rFonts w:hint="eastAsia" w:ascii="仿宋_GB2312" w:eastAsia="仿宋_GB2312"/>
          <w:spacing w:val="-2"/>
          <w:sz w:val="32"/>
          <w:szCs w:val="32"/>
        </w:rPr>
        <w:t>支出减少162.19万元，减少17.25%。主要原因当年安排就业创业补助项目资金较上年有所减少。</w:t>
      </w: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640" w:firstLineChars="200"/>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177165</wp:posOffset>
            </wp:positionH>
            <wp:positionV relativeFrom="paragraph">
              <wp:posOffset>328295</wp:posOffset>
            </wp:positionV>
            <wp:extent cx="4836160" cy="2752090"/>
            <wp:effectExtent l="0" t="0" r="0" b="0"/>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5" w:name="_Toc15377211"/>
      <w:r>
        <w:rPr>
          <w:rFonts w:hint="eastAsia" w:ascii="仿宋" w:eastAsia="仿宋"/>
          <w:b/>
          <w:color w:val="000000"/>
          <w:sz w:val="32"/>
          <w:szCs w:val="32"/>
        </w:rPr>
        <w:t>（二）一般公共预算财政拨款支出决算结构情况</w:t>
      </w:r>
      <w:bookmarkEnd w:id="3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20年一般公共预算财政拨款支出939.99万元，主要用于以下方面</w:t>
      </w:r>
      <w:r>
        <w:rPr>
          <w:rFonts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支出822.61万元，占87.5</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color w:val="000000"/>
          <w:sz w:val="32"/>
          <w:szCs w:val="32"/>
        </w:rPr>
        <w:t>9.05万元，占1</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rPr>
        <w:t>15.78万元，占1.7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其他支出</w:t>
      </w:r>
      <w:r>
        <w:rPr>
          <w:rFonts w:hint="eastAsia" w:ascii="仿宋" w:eastAsia="仿宋"/>
          <w:color w:val="000000"/>
          <w:sz w:val="32"/>
          <w:szCs w:val="32"/>
        </w:rPr>
        <w:t>92.55万元，占9.8%</w:t>
      </w:r>
    </w:p>
    <w:p>
      <w:pPr>
        <w:spacing w:line="600" w:lineRule="exact"/>
        <w:ind w:firstLine="8320" w:firstLineChars="2600"/>
        <w:outlineLvl w:val="2"/>
        <w:rPr>
          <w:rFonts w:ascii="仿宋" w:eastAsia="仿宋"/>
          <w:b/>
          <w:color w:val="000000"/>
          <w:sz w:val="32"/>
          <w:szCs w:val="32"/>
        </w:rPr>
      </w:pPr>
      <w:bookmarkStart w:id="36" w:name="_Toc15377213"/>
      <w:bookmarkStart w:id="37" w:name="_Toc15377444"/>
      <w:bookmarkStart w:id="38" w:name="_Toc15378460"/>
      <w:r>
        <w:rPr>
          <w:rFonts w:hint="eastAsia" w:ascii="仿宋" w:eastAsia="仿宋"/>
          <w:color w:val="000000"/>
          <w:sz w:val="32"/>
          <w:szCs w:val="32"/>
        </w:rPr>
        <w:drawing>
          <wp:anchor distT="0" distB="0" distL="114300" distR="114300" simplePos="0" relativeHeight="251663360" behindDoc="0" locked="0" layoutInCell="1" allowOverlap="1">
            <wp:simplePos x="0" y="0"/>
            <wp:positionH relativeFrom="column">
              <wp:posOffset>540385</wp:posOffset>
            </wp:positionH>
            <wp:positionV relativeFrom="paragraph">
              <wp:posOffset>309245</wp:posOffset>
            </wp:positionV>
            <wp:extent cx="4572000" cy="2341245"/>
            <wp:effectExtent l="0" t="0" r="0" b="0"/>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8353" w:firstLineChars="2600"/>
        <w:outlineLvl w:val="2"/>
        <w:rPr>
          <w:rFonts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bookmarkStart w:id="39" w:name="_Toc15377212"/>
      <w:r>
        <w:rPr>
          <w:rFonts w:hint="eastAsia" w:ascii="仿宋" w:eastAsia="仿宋"/>
          <w:b/>
          <w:color w:val="000000"/>
          <w:sz w:val="32"/>
          <w:szCs w:val="32"/>
        </w:rPr>
        <w:t>（三）一般公共预算财政拨款支出决算具体情况</w:t>
      </w:r>
      <w:bookmarkEnd w:id="39"/>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2020年一般公共预算数为156.67万元，支出决算数为186.5万元，完</w:t>
      </w:r>
      <w:r>
        <w:rPr>
          <w:rStyle w:val="15"/>
          <w:rFonts w:hint="eastAsia" w:ascii="仿宋" w:eastAsia="仿宋"/>
          <w:b w:val="0"/>
          <w:bCs/>
          <w:color w:val="000000"/>
          <w:sz w:val="32"/>
          <w:szCs w:val="32"/>
        </w:rPr>
        <w:t>成预算119</w:t>
      </w:r>
      <w:r>
        <w:rPr>
          <w:rStyle w:val="15"/>
          <w:rFonts w:ascii="仿宋" w:eastAsia="仿宋"/>
          <w:b w:val="0"/>
          <w:bCs/>
          <w:color w:val="000000"/>
          <w:sz w:val="32"/>
          <w:szCs w:val="32"/>
        </w:rPr>
        <w:t>%</w:t>
      </w:r>
      <w:r>
        <w:rPr>
          <w:rStyle w:val="15"/>
          <w:rFonts w:hint="eastAsia" w:ascii="仿宋" w:eastAsia="仿宋"/>
          <w:b w:val="0"/>
          <w:bCs/>
          <w:color w:val="000000"/>
          <w:sz w:val="32"/>
          <w:szCs w:val="32"/>
        </w:rPr>
        <w:t>。其中：</w:t>
      </w:r>
      <w:bookmarkEnd w:id="36"/>
      <w:bookmarkEnd w:id="37"/>
      <w:bookmarkEnd w:id="38"/>
    </w:p>
    <w:p>
      <w:pPr>
        <w:spacing w:line="600" w:lineRule="exact"/>
        <w:ind w:firstLine="643" w:firstLineChars="200"/>
        <w:rPr>
          <w:rStyle w:val="15"/>
          <w:rFonts w:ascii="仿宋" w:eastAsia="仿宋"/>
          <w:b w:val="0"/>
          <w:bCs/>
          <w:color w:val="000000"/>
          <w:sz w:val="32"/>
          <w:szCs w:val="32"/>
        </w:rPr>
      </w:pPr>
      <w:r>
        <w:rPr>
          <w:rStyle w:val="15"/>
          <w:rFonts w:hint="eastAsia" w:ascii="仿宋" w:eastAsia="仿宋"/>
          <w:bCs/>
          <w:color w:val="000000"/>
          <w:sz w:val="32"/>
          <w:szCs w:val="32"/>
        </w:rPr>
        <w:t>1社会保障和就业支出（类）人力资源和社会保障管理事务（款）社会保险经办机构（项）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支出决算为141.65万元，完成预算126</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，决算数大于预算数。</w:t>
      </w:r>
    </w:p>
    <w:p>
      <w:pPr>
        <w:spacing w:line="600" w:lineRule="exact"/>
        <w:ind w:firstLine="643" w:firstLineChars="200"/>
        <w:rPr>
          <w:rFonts w:ascii="仿宋" w:eastAsia="仿宋"/>
          <w:b/>
          <w:color w:val="000000"/>
          <w:sz w:val="32"/>
          <w:szCs w:val="32"/>
        </w:rPr>
      </w:pPr>
      <w:r>
        <w:rPr>
          <w:rStyle w:val="15"/>
          <w:rFonts w:hint="eastAsia" w:ascii="仿宋" w:eastAsia="仿宋"/>
          <w:bCs/>
          <w:color w:val="000000"/>
          <w:sz w:val="32"/>
          <w:szCs w:val="32"/>
        </w:rPr>
        <w:t>2</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Cs/>
          <w:color w:val="000000"/>
          <w:sz w:val="32"/>
          <w:szCs w:val="32"/>
        </w:rPr>
        <w:t>社会保障和就业（类）行政事业单位养老支出（款）机关事业单位基本养老保险缴费支出（项）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支出决算为14.31万元，完成预算91</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，决算数小于预算数。</w:t>
      </w:r>
    </w:p>
    <w:p>
      <w:pPr>
        <w:spacing w:line="600" w:lineRule="exact"/>
        <w:ind w:firstLine="643" w:firstLineChars="200"/>
        <w:rPr>
          <w:rFonts w:ascii="仿宋" w:eastAsia="仿宋"/>
          <w:b/>
          <w:color w:val="000000"/>
          <w:sz w:val="32"/>
          <w:szCs w:val="32"/>
        </w:rPr>
      </w:pPr>
      <w:r>
        <w:rPr>
          <w:rStyle w:val="15"/>
          <w:rFonts w:hint="eastAsia" w:ascii="仿宋" w:eastAsia="仿宋"/>
          <w:bCs/>
          <w:color w:val="000000"/>
          <w:sz w:val="32"/>
          <w:szCs w:val="32"/>
        </w:rPr>
        <w:t>3</w:t>
      </w:r>
      <w:r>
        <w:rPr>
          <w:rStyle w:val="15"/>
          <w:rFonts w:ascii="仿宋" w:eastAsia="仿宋"/>
          <w:bCs/>
          <w:color w:val="000000"/>
          <w:sz w:val="32"/>
          <w:szCs w:val="32"/>
        </w:rPr>
        <w:t>.</w:t>
      </w:r>
      <w:r>
        <w:rPr>
          <w:rStyle w:val="15"/>
          <w:rFonts w:hint="eastAsia" w:ascii="仿宋" w:eastAsia="仿宋"/>
          <w:bCs/>
          <w:color w:val="000000"/>
          <w:sz w:val="32"/>
          <w:szCs w:val="32"/>
        </w:rPr>
        <w:t>社会保障和就业（类）行政事业单位养老支出（款）机关事业单位职业年金缴费支出（项）</w:t>
      </w:r>
      <w:r>
        <w:rPr>
          <w:rStyle w:val="15"/>
          <w:rFonts w:ascii="仿宋" w:eastAsia="仿宋"/>
          <w:bCs/>
          <w:color w:val="000000"/>
          <w:sz w:val="32"/>
          <w:szCs w:val="32"/>
        </w:rPr>
        <w:t>:</w:t>
      </w:r>
      <w:r>
        <w:rPr>
          <w:rStyle w:val="15"/>
          <w:rFonts w:hint="eastAsia" w:ascii="仿宋" w:eastAsia="仿宋"/>
          <w:b w:val="0"/>
          <w:bCs/>
          <w:color w:val="000000"/>
          <w:sz w:val="32"/>
          <w:szCs w:val="32"/>
        </w:rPr>
        <w:t>支出决算为7.16万元，完成预算91</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，决算数小于预算数。</w:t>
      </w:r>
    </w:p>
    <w:p>
      <w:pPr>
        <w:spacing w:line="600" w:lineRule="exact"/>
        <w:ind w:firstLine="643" w:firstLineChars="200"/>
        <w:rPr>
          <w:rFonts w:ascii="仿宋" w:eastAsia="仿宋"/>
          <w:color w:val="000000"/>
          <w:sz w:val="32"/>
          <w:szCs w:val="32"/>
        </w:rPr>
      </w:pPr>
      <w:r>
        <w:rPr>
          <w:rStyle w:val="15"/>
          <w:rFonts w:hint="eastAsia" w:ascii="仿宋" w:eastAsia="仿宋"/>
          <w:bCs/>
          <w:color w:val="000000"/>
          <w:sz w:val="32"/>
          <w:szCs w:val="32"/>
        </w:rPr>
        <w:t>4.卫生健康支出（类）行政事业单位医疗（款）事业单位医疗（项）</w:t>
      </w:r>
      <w:r>
        <w:rPr>
          <w:rStyle w:val="15"/>
          <w:rFonts w:ascii="仿宋" w:eastAsia="仿宋"/>
          <w:bCs/>
          <w:color w:val="000000"/>
          <w:sz w:val="32"/>
          <w:szCs w:val="32"/>
        </w:rPr>
        <w:t>:</w:t>
      </w:r>
      <w:r>
        <w:rPr>
          <w:rStyle w:val="15"/>
          <w:rFonts w:hint="eastAsia" w:ascii="仿宋" w:eastAsia="仿宋"/>
          <w:b w:val="0"/>
          <w:bCs/>
          <w:color w:val="000000"/>
          <w:sz w:val="32"/>
          <w:szCs w:val="32"/>
        </w:rPr>
        <w:t>支出决算为6.16万元，完成预算90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，决算数小于预算数。</w:t>
      </w:r>
    </w:p>
    <w:p>
      <w:pPr>
        <w:spacing w:line="600" w:lineRule="exact"/>
        <w:ind w:firstLine="643" w:firstLineChars="200"/>
        <w:rPr>
          <w:rFonts w:ascii="仿宋" w:eastAsia="仿宋"/>
          <w:color w:val="000000"/>
          <w:sz w:val="32"/>
          <w:szCs w:val="32"/>
        </w:rPr>
      </w:pPr>
      <w:r>
        <w:rPr>
          <w:rStyle w:val="15"/>
          <w:rFonts w:hint="eastAsia" w:ascii="仿宋" w:eastAsia="仿宋"/>
          <w:bCs/>
          <w:color w:val="000000"/>
          <w:sz w:val="32"/>
          <w:szCs w:val="32"/>
        </w:rPr>
        <w:t>5.卫生健康支出（类）行政事业单位医疗（款）其他行政事业单位医疗支出（项）</w:t>
      </w:r>
      <w:r>
        <w:rPr>
          <w:rStyle w:val="15"/>
          <w:rFonts w:ascii="仿宋" w:eastAsia="仿宋"/>
          <w:bCs/>
          <w:color w:val="000000"/>
          <w:sz w:val="32"/>
          <w:szCs w:val="32"/>
        </w:rPr>
        <w:t>:</w:t>
      </w:r>
      <w:r>
        <w:rPr>
          <w:rStyle w:val="15"/>
          <w:rFonts w:hint="eastAsia" w:ascii="仿宋" w:eastAsia="仿宋"/>
          <w:b w:val="0"/>
          <w:bCs/>
          <w:color w:val="000000"/>
          <w:sz w:val="32"/>
          <w:szCs w:val="32"/>
        </w:rPr>
        <w:t>支出决算为2.56万元，完成预算100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，决算数大于预算数。</w:t>
      </w:r>
    </w:p>
    <w:p>
      <w:pPr>
        <w:spacing w:line="600" w:lineRule="exact"/>
        <w:ind w:firstLine="643" w:firstLineChars="200"/>
        <w:rPr>
          <w:rStyle w:val="15"/>
          <w:rFonts w:ascii="仿宋" w:eastAsia="仿宋"/>
          <w:bCs/>
          <w:color w:val="000000"/>
          <w:sz w:val="32"/>
          <w:szCs w:val="32"/>
        </w:rPr>
      </w:pPr>
      <w:bookmarkStart w:id="40" w:name="_Toc15377214"/>
      <w:bookmarkStart w:id="41" w:name="_Toc15396608"/>
      <w:r>
        <w:rPr>
          <w:rStyle w:val="15"/>
          <w:rFonts w:hint="eastAsia" w:ascii="仿宋" w:eastAsia="仿宋"/>
          <w:bCs/>
          <w:color w:val="000000"/>
          <w:sz w:val="32"/>
          <w:szCs w:val="32"/>
        </w:rPr>
        <w:t>6.住房保障（类）住房改革支出（款）住房公积金（项）：</w:t>
      </w:r>
      <w:r>
        <w:rPr>
          <w:rStyle w:val="15"/>
          <w:rFonts w:hint="eastAsia" w:ascii="仿宋" w:eastAsia="仿宋"/>
          <w:b w:val="0"/>
          <w:bCs/>
          <w:color w:val="000000"/>
          <w:sz w:val="32"/>
          <w:szCs w:val="32"/>
        </w:rPr>
        <w:t>支出决算为14.75万元，完成预算126</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，决算数大于预算数。</w:t>
      </w:r>
    </w:p>
    <w:p>
      <w:pPr>
        <w:spacing w:line="600" w:lineRule="exact"/>
        <w:ind w:firstLine="640"/>
        <w:rPr>
          <w:rStyle w:val="18"/>
        </w:rPr>
      </w:pPr>
      <w:r>
        <w:rPr>
          <w:rFonts w:hint="eastAsia" w:ascii="黑体" w:eastAsia="黑体"/>
          <w:color w:val="000000"/>
          <w:sz w:val="32"/>
          <w:szCs w:val="32"/>
        </w:rPr>
        <w:t>六</w:t>
      </w:r>
      <w:r>
        <w:rPr>
          <w:rFonts w:hint="eastAsia" w:ascii="黑体" w:eastAsia="黑体"/>
          <w:b/>
          <w:color w:val="000000"/>
          <w:sz w:val="32"/>
          <w:szCs w:val="32"/>
        </w:rPr>
        <w:t>、一</w:t>
      </w:r>
      <w:r>
        <w:rPr>
          <w:rStyle w:val="18"/>
          <w:rFonts w:hint="eastAsia" w:ascii="黑体" w:eastAsia="黑体"/>
          <w:b w:val="0"/>
        </w:rPr>
        <w:t>般公共预算财政拨款基本支出决算情况说明</w:t>
      </w:r>
      <w:bookmarkEnd w:id="40"/>
      <w:bookmarkEnd w:id="41"/>
      <w:r>
        <w:rPr>
          <w:rStyle w:val="18"/>
          <w:rFonts w:ascii="黑体" w:eastAsia="黑体"/>
          <w:b w:val="0"/>
        </w:rPr>
        <w:tab/>
      </w:r>
    </w:p>
    <w:p>
      <w:pPr>
        <w:spacing w:line="600" w:lineRule="exact"/>
        <w:ind w:firstLine="643" w:firstLineChars="200"/>
        <w:rPr>
          <w:rFonts w:ascii="仿宋" w:eastAsia="仿宋"/>
          <w:color w:val="000000"/>
          <w:sz w:val="32"/>
          <w:szCs w:val="32"/>
        </w:rPr>
      </w:pPr>
      <w:r>
        <w:rPr>
          <w:rFonts w:hint="eastAsia" w:ascii="仿宋" w:eastAsia="仿宋"/>
          <w:b/>
          <w:bCs/>
          <w:color w:val="000000"/>
          <w:sz w:val="32"/>
          <w:szCs w:val="32"/>
        </w:rPr>
        <w:t>1、</w:t>
      </w:r>
      <w:r>
        <w:rPr>
          <w:rFonts w:ascii="仿宋" w:eastAsia="仿宋"/>
          <w:color w:val="000000"/>
          <w:sz w:val="32"/>
          <w:szCs w:val="32"/>
        </w:rPr>
        <w:t>20</w:t>
      </w:r>
      <w:r>
        <w:rPr>
          <w:rFonts w:hint="eastAsia" w:ascii="仿宋" w:eastAsia="仿宋"/>
          <w:color w:val="000000"/>
          <w:sz w:val="32"/>
          <w:szCs w:val="32"/>
        </w:rPr>
        <w:t>20年一般公共预算财政拨款基本支出187.62万元，其中：</w:t>
      </w:r>
    </w:p>
    <w:p>
      <w:pPr>
        <w:spacing w:line="600" w:lineRule="exact"/>
        <w:ind w:firstLine="645"/>
        <w:rPr>
          <w:rFonts w:ascii="仿宋" w:eastAsia="仿宋"/>
          <w:color w:val="000000"/>
          <w:sz w:val="32"/>
          <w:szCs w:val="32"/>
        </w:rPr>
      </w:pPr>
      <w:r>
        <w:rPr>
          <w:rFonts w:hint="eastAsia" w:ascii="仿宋" w:eastAsia="仿宋"/>
          <w:color w:val="000000"/>
          <w:sz w:val="32"/>
          <w:szCs w:val="32"/>
        </w:rPr>
        <w:t>人员经费175.03万元，主要包括：基本工资38.41万元、津贴补贴47.74万元、奖金3.52万元、绩效工资5.74万元；机关事业单位基本养老保险缴费14.31万元、职业年金缴费7.16万元、职工基本医疗保险缴费6.16万元、其他社会保障缴费3.97万元、住房公积金14.75万元、奖励金32.97万元、生活补助0.3万元。</w:t>
      </w:r>
    </w:p>
    <w:p>
      <w:pPr>
        <w:spacing w:line="600" w:lineRule="exact"/>
        <w:ind w:firstLine="645"/>
        <w:rPr>
          <w:rFonts w:ascii="仿宋" w:eastAsia="仿宋"/>
          <w:color w:val="000000"/>
          <w:sz w:val="32"/>
          <w:szCs w:val="32"/>
        </w:rPr>
      </w:pPr>
      <w:r>
        <w:rPr>
          <w:rFonts w:hint="eastAsia" w:ascii="仿宋" w:eastAsia="仿宋"/>
          <w:color w:val="000000"/>
          <w:sz w:val="32"/>
          <w:szCs w:val="32"/>
        </w:rPr>
        <w:t>公用经费12.59万元，主要包括：办公费4.35万元、水费0.08万元、电费1.5万元、差旅费4万元、福利费0.66万元、公务用车运行维护费2万元。</w:t>
      </w:r>
    </w:p>
    <w:p>
      <w:pPr>
        <w:spacing w:line="600" w:lineRule="exact"/>
        <w:ind w:firstLine="643" w:firstLineChars="200"/>
        <w:rPr>
          <w:rFonts w:ascii="仿宋" w:eastAsia="仿宋"/>
          <w:color w:val="000000"/>
          <w:sz w:val="32"/>
          <w:szCs w:val="32"/>
        </w:rPr>
      </w:pPr>
      <w:r>
        <w:rPr>
          <w:rFonts w:hint="eastAsia" w:ascii="仿宋" w:eastAsia="仿宋"/>
          <w:b/>
          <w:bCs/>
          <w:color w:val="000000"/>
          <w:sz w:val="32"/>
          <w:szCs w:val="32"/>
        </w:rPr>
        <w:t>2、</w:t>
      </w:r>
      <w:r>
        <w:rPr>
          <w:rFonts w:hint="eastAsia" w:ascii="仿宋" w:eastAsia="仿宋"/>
          <w:color w:val="000000"/>
          <w:sz w:val="32"/>
          <w:szCs w:val="32"/>
        </w:rPr>
        <w:t>2020年一般公共预算财政拨款项目支出752.38万元，其中：</w:t>
      </w:r>
    </w:p>
    <w:p>
      <w:pPr>
        <w:pStyle w:val="6"/>
        <w:spacing w:before="93"/>
        <w:ind w:firstLine="640" w:firstLineChars="200"/>
        <w:rPr>
          <w:rFonts w:ascii="仿宋" w:eastAsia="仿宋"/>
          <w:color w:val="000000"/>
          <w:kern w:val="2"/>
          <w:sz w:val="32"/>
          <w:szCs w:val="32"/>
        </w:rPr>
      </w:pPr>
      <w:r>
        <w:rPr>
          <w:rFonts w:hint="eastAsia" w:ascii="仿宋" w:eastAsia="仿宋"/>
          <w:color w:val="000000"/>
          <w:kern w:val="2"/>
          <w:sz w:val="32"/>
          <w:szCs w:val="32"/>
        </w:rPr>
        <w:t>差旅费6万元、会议费21万元、培训费56.83万元、生活补助668.55万元。</w:t>
      </w:r>
    </w:p>
    <w:p>
      <w:pPr>
        <w:pStyle w:val="6"/>
        <w:spacing w:before="93"/>
      </w:pPr>
    </w:p>
    <w:p>
      <w:pPr>
        <w:spacing w:line="600" w:lineRule="exact"/>
        <w:ind w:firstLine="640" w:firstLineChars="200"/>
        <w:outlineLvl w:val="1"/>
        <w:rPr>
          <w:rStyle w:val="18"/>
          <w:rFonts w:ascii="黑体" w:eastAsia="黑体"/>
          <w:b w:val="0"/>
        </w:rPr>
      </w:pPr>
      <w:bookmarkStart w:id="42" w:name="_Toc15396609"/>
      <w:bookmarkStart w:id="43" w:name="_Toc15377215"/>
      <w:r>
        <w:rPr>
          <w:rFonts w:hint="eastAsia" w:ascii="黑体" w:eastAsia="黑体"/>
          <w:color w:val="000000"/>
          <w:sz w:val="32"/>
          <w:szCs w:val="32"/>
        </w:rPr>
        <w:t>七、</w:t>
      </w:r>
      <w:r>
        <w:rPr>
          <w:rStyle w:val="18"/>
          <w:rFonts w:hint="eastAsia" w:ascii="黑体" w:eastAsia="黑体"/>
        </w:rPr>
        <w:t>“</w:t>
      </w:r>
      <w:r>
        <w:rPr>
          <w:rStyle w:val="18"/>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20年“三公”经费财政拨款支出决算为2万元，完成预算100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w:t>
      </w:r>
      <w:r>
        <w:rPr>
          <w:rFonts w:hint="eastAsia" w:ascii="仿宋" w:eastAsia="仿宋"/>
          <w:sz w:val="32"/>
          <w:szCs w:val="32"/>
        </w:rPr>
        <w:t>决算2万元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；公务用车购置及运行维护费支出决算2万元，占100</w:t>
      </w:r>
      <w:r>
        <w:rPr>
          <w:rFonts w:ascii="仿宋" w:eastAsia="仿宋"/>
          <w:color w:val="000000"/>
          <w:sz w:val="32"/>
          <w:szCs w:val="32"/>
        </w:rPr>
        <w:t>%</w:t>
      </w:r>
      <w:r>
        <w:rPr>
          <w:rFonts w:hint="eastAsia" w:ascii="仿宋" w:eastAsia="仿宋"/>
          <w:color w:val="000000"/>
          <w:sz w:val="32"/>
          <w:szCs w:val="32"/>
        </w:rPr>
        <w:t>；公务接待费支出决算0万元，占0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64384" behindDoc="0" locked="0" layoutInCell="1" allowOverlap="1">
            <wp:simplePos x="0" y="0"/>
            <wp:positionH relativeFrom="column">
              <wp:posOffset>182245</wp:posOffset>
            </wp:positionH>
            <wp:positionV relativeFrom="paragraph">
              <wp:posOffset>128270</wp:posOffset>
            </wp:positionV>
            <wp:extent cx="5071110" cy="2591435"/>
            <wp:effectExtent l="0" t="0" r="0" b="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p>
    <w:p>
      <w:pPr>
        <w:spacing w:line="600" w:lineRule="exact"/>
        <w:ind w:firstLine="640"/>
        <w:rPr>
          <w:rFonts w:ascii="仿宋_GB2312" w:eastAsia="仿宋_GB2312"/>
          <w:b/>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rPr>
        <w:t>2万元,</w:t>
      </w:r>
      <w:r>
        <w:rPr>
          <w:rStyle w:val="15"/>
          <w:rFonts w:hint="eastAsia" w:ascii="仿宋" w:eastAsia="仿宋"/>
          <w:b w:val="0"/>
          <w:bCs/>
          <w:color w:val="000000"/>
          <w:sz w:val="32"/>
          <w:szCs w:val="32"/>
        </w:rPr>
        <w:t>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9年持平，</w:t>
      </w:r>
    </w:p>
    <w:p>
      <w:pPr>
        <w:autoSpaceDE w:val="0"/>
        <w:autoSpaceDN w:val="0"/>
        <w:adjustRightInd w:val="0"/>
        <w:spacing w:line="600" w:lineRule="exact"/>
        <w:jc w:val="left"/>
        <w:rPr>
          <w:rFonts w:ascii="仿宋_GB2312" w:eastAsia="仿宋_GB2312"/>
          <w:color w:val="000000"/>
          <w:sz w:val="32"/>
          <w:szCs w:val="32"/>
        </w:rPr>
      </w:pPr>
      <w:r>
        <w:rPr>
          <w:rFonts w:hint="eastAsia" w:ascii="仿宋_GB2312" w:eastAsia="仿宋_GB2312"/>
          <w:color w:val="000000"/>
          <w:sz w:val="32"/>
          <w:szCs w:val="32"/>
        </w:rPr>
        <w:t>公务用车购置支出0万元、公务用车运行维护费支出2万元。主要用我单位所需的公务用车燃料费、维修费、过路过桥费、保险费等支出。</w:t>
      </w:r>
    </w:p>
    <w:p>
      <w:pPr>
        <w:autoSpaceDE w:val="0"/>
        <w:autoSpaceDN w:val="0"/>
        <w:adjustRightInd w:val="0"/>
        <w:spacing w:line="600" w:lineRule="exact"/>
        <w:ind w:firstLine="643" w:firstLineChars="200"/>
        <w:jc w:val="left"/>
        <w:rPr>
          <w:rFonts w:ascii="仿宋_GB2312" w:eastAsia="仿宋_GB2312"/>
          <w:color w:val="000000"/>
          <w:sz w:val="32"/>
          <w:szCs w:val="32"/>
        </w:rPr>
      </w:pPr>
      <w:r>
        <w:rPr>
          <w:rFonts w:hint="eastAsia" w:ascii="仿宋_GB2312" w:eastAsia="仿宋_GB2312"/>
          <w:b/>
          <w:color w:val="000000"/>
          <w:sz w:val="32"/>
          <w:szCs w:val="32"/>
        </w:rPr>
        <w:t>3、公务接待费支出</w:t>
      </w:r>
      <w:r>
        <w:rPr>
          <w:rFonts w:hint="eastAsia" w:ascii="仿宋_GB2312" w:eastAsia="仿宋_GB2312"/>
          <w:color w:val="000000"/>
          <w:sz w:val="32"/>
          <w:szCs w:val="32"/>
        </w:rPr>
        <w:t>0万元</w:t>
      </w:r>
      <w:bookmarkStart w:id="46" w:name="_Toc15377218"/>
      <w:bookmarkStart w:id="47" w:name="_Toc15396610"/>
    </w:p>
    <w:p>
      <w:pPr>
        <w:spacing w:line="600" w:lineRule="exact"/>
        <w:ind w:firstLine="640"/>
        <w:outlineLvl w:val="1"/>
        <w:rPr>
          <w:rStyle w:val="18"/>
          <w:rFonts w:ascii="黑体" w:eastAsia="黑体"/>
        </w:rPr>
      </w:pPr>
      <w:r>
        <w:rPr>
          <w:rFonts w:hint="eastAsia" w:ascii="黑体" w:eastAsia="黑体"/>
          <w:color w:val="000000"/>
          <w:sz w:val="32"/>
          <w:szCs w:val="32"/>
        </w:rPr>
        <w:t>八、</w:t>
      </w:r>
      <w:r>
        <w:rPr>
          <w:rStyle w:val="18"/>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20年政府性基金预算拨款支出0万元。</w:t>
      </w:r>
    </w:p>
    <w:p>
      <w:pPr>
        <w:numPr>
          <w:ilvl w:val="0"/>
          <w:numId w:val="3"/>
        </w:numPr>
        <w:spacing w:line="600" w:lineRule="exact"/>
        <w:ind w:firstLine="640"/>
        <w:outlineLvl w:val="1"/>
        <w:rPr>
          <w:rStyle w:val="18"/>
          <w:rFonts w:ascii="黑体" w:eastAsia="黑体"/>
          <w:b w:val="0"/>
        </w:rPr>
      </w:pPr>
      <w:bookmarkStart w:id="48" w:name="_Toc15396611"/>
      <w:bookmarkStart w:id="49" w:name="_Toc15377219"/>
      <w:r>
        <w:rPr>
          <w:rStyle w:val="18"/>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pPr>
        <w:pStyle w:val="23"/>
        <w:numPr>
          <w:ilvl w:val="0"/>
          <w:numId w:val="4"/>
        </w:numPr>
        <w:spacing w:line="580" w:lineRule="exact"/>
        <w:ind w:firstLineChars="0"/>
        <w:rPr>
          <w:rStyle w:val="18"/>
          <w:rFonts w:ascii="黑体" w:eastAsia="黑体"/>
          <w:b w:val="0"/>
        </w:rPr>
      </w:pPr>
      <w:r>
        <w:rPr>
          <w:rStyle w:val="18"/>
          <w:rFonts w:hint="eastAsia" w:ascii="黑体" w:eastAsia="黑体"/>
          <w:b w:val="0"/>
        </w:rPr>
        <w:t>预算绩效情况说明</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本部门按要求对2020年部门整体支出绩效评价情况开展自评，</w:t>
      </w:r>
      <w:r>
        <w:rPr>
          <w:rFonts w:hint="eastAsia" w:ascii="仿宋_GB2312" w:eastAsia="仿宋_GB2312"/>
          <w:sz w:val="32"/>
          <w:szCs w:val="32"/>
        </w:rPr>
        <w:t>《金川县公共就业和人才交流服务中心2020年部门预算整体支出绩效评价报告》</w:t>
      </w:r>
      <w:r>
        <w:rPr>
          <w:rFonts w:hint="eastAsia" w:ascii="仿宋_GB2312" w:eastAsia="仿宋_GB2312" w:cs="仿宋_GB2312"/>
          <w:sz w:val="32"/>
          <w:szCs w:val="32"/>
        </w:rPr>
        <w:t>见附件。</w:t>
      </w:r>
    </w:p>
    <w:p>
      <w:pPr>
        <w:spacing w:line="600" w:lineRule="exact"/>
        <w:ind w:firstLine="640" w:firstLineChars="200"/>
        <w:outlineLvl w:val="1"/>
        <w:rPr>
          <w:rStyle w:val="18"/>
          <w:rFonts w:ascii="黑体" w:eastAsia="黑体"/>
        </w:rPr>
      </w:pPr>
      <w:bookmarkStart w:id="50" w:name="_Toc15377221"/>
      <w:bookmarkStart w:id="51" w:name="_Toc15396612"/>
      <w:r>
        <w:rPr>
          <w:rFonts w:hint="eastAsia" w:ascii="黑体" w:eastAsia="黑体"/>
          <w:color w:val="000000"/>
          <w:sz w:val="32"/>
          <w:szCs w:val="32"/>
        </w:rPr>
        <w:t>十</w:t>
      </w:r>
      <w:r>
        <w:rPr>
          <w:rStyle w:val="18"/>
          <w:rFonts w:hint="eastAsia" w:ascii="黑体" w:eastAsia="黑体"/>
        </w:rPr>
        <w:t>一、</w:t>
      </w:r>
      <w:r>
        <w:rPr>
          <w:rStyle w:val="18"/>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w:t>
      </w:r>
      <w:r>
        <w:rPr>
          <w:rFonts w:hint="eastAsia" w:ascii="仿宋_GB2312" w:eastAsia="仿宋_GB2312"/>
          <w:color w:val="000000"/>
          <w:sz w:val="32"/>
          <w:szCs w:val="32"/>
        </w:rPr>
        <w:t>20年，金川县公共就业和人才交流服务中心运行经费支出12.59万元，比</w:t>
      </w:r>
      <w:r>
        <w:rPr>
          <w:rFonts w:ascii="仿宋_GB2312" w:eastAsia="仿宋_GB2312"/>
          <w:color w:val="000000"/>
          <w:sz w:val="32"/>
          <w:szCs w:val="32"/>
        </w:rPr>
        <w:t>201</w:t>
      </w:r>
      <w:r>
        <w:rPr>
          <w:rFonts w:hint="eastAsia" w:ascii="仿宋_GB2312" w:eastAsia="仿宋_GB2312"/>
          <w:color w:val="000000"/>
          <w:sz w:val="32"/>
          <w:szCs w:val="32"/>
        </w:rPr>
        <w:t>9年增加2.57万元，上升20.41</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sz w:val="32"/>
          <w:szCs w:val="32"/>
        </w:rPr>
        <w:t>主要原因为差旅费、办公经费等有所增长。</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spacing w:line="600" w:lineRule="exact"/>
        <w:ind w:firstLine="640" w:firstLineChars="200"/>
        <w:rPr>
          <w:rFonts w:ascii="仿宋" w:eastAsia="仿宋_GB2312"/>
          <w:b/>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20年，政府采购支出总额0万元。</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日，共有车辆3辆，为日常工作及应急保障用车。</w:t>
      </w:r>
      <w:r>
        <w:rPr>
          <w:rFonts w:hint="eastAsia" w:ascii="仿宋_GB2312" w:eastAsia="仿宋_GB2312"/>
          <w:b/>
          <w:color w:val="000000"/>
          <w:sz w:val="32"/>
          <w:szCs w:val="32"/>
        </w:rPr>
        <w:t xml:space="preserve">    </w:t>
      </w:r>
    </w:p>
    <w:p>
      <w:pPr>
        <w:numPr>
          <w:ilvl w:val="0"/>
          <w:numId w:val="5"/>
        </w:numPr>
        <w:spacing w:line="600" w:lineRule="exact"/>
        <w:ind w:firstLine="663" w:firstLineChars="150"/>
        <w:jc w:val="center"/>
        <w:outlineLvl w:val="0"/>
        <w:rPr>
          <w:rStyle w:val="17"/>
          <w:rFonts w:ascii="黑体" w:eastAsia="黑体"/>
          <w:b w:val="0"/>
        </w:rPr>
      </w:pPr>
      <w:bookmarkStart w:id="55" w:name="_Toc15396613"/>
      <w:bookmarkStart w:id="56" w:name="_Toc15377225"/>
      <w:r>
        <w:rPr>
          <w:rFonts w:hint="eastAsia" w:ascii="黑体" w:eastAsia="黑体"/>
          <w:b/>
          <w:color w:val="000000"/>
          <w:sz w:val="44"/>
          <w:szCs w:val="44"/>
        </w:rPr>
        <w:t>名</w:t>
      </w:r>
      <w:r>
        <w:rPr>
          <w:rStyle w:val="17"/>
          <w:rFonts w:hint="eastAsia" w:ascii="黑体" w:eastAsia="黑体"/>
          <w:b w:val="0"/>
        </w:rPr>
        <w:t>词解释</w:t>
      </w:r>
      <w:bookmarkEnd w:id="55"/>
      <w:bookmarkEnd w:id="56"/>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57" w:name="_Toc15396614"/>
      <w:bookmarkStart w:id="58" w:name="_Toc15377226"/>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pStyle w:val="4"/>
        <w:rPr>
          <w:rStyle w:val="17"/>
          <w:rFonts w:ascii="仿宋" w:eastAsia="仿宋"/>
          <w:b w:val="0"/>
          <w:bCs w:val="0"/>
          <w:sz w:val="32"/>
          <w:szCs w:val="32"/>
        </w:rPr>
      </w:pPr>
      <w:bookmarkStart w:id="59" w:name="_Toc15396615"/>
      <w:r>
        <w:rPr>
          <w:rStyle w:val="17"/>
          <w:rFonts w:hint="eastAsia" w:ascii="仿宋" w:eastAsia="仿宋"/>
          <w:b w:val="0"/>
          <w:bCs w:val="0"/>
          <w:sz w:val="32"/>
          <w:szCs w:val="32"/>
        </w:rPr>
        <w:t>附件1</w:t>
      </w:r>
      <w:bookmarkEnd w:id="59"/>
    </w:p>
    <w:p>
      <w:pPr>
        <w:numPr>
          <w:ilvl w:val="0"/>
          <w:numId w:val="5"/>
        </w:numPr>
        <w:spacing w:line="600" w:lineRule="exact"/>
        <w:ind w:firstLine="660" w:firstLineChars="150"/>
        <w:jc w:val="center"/>
        <w:outlineLvl w:val="0"/>
        <w:rPr>
          <w:rStyle w:val="17"/>
          <w:rFonts w:ascii="黑体" w:eastAsia="黑体"/>
          <w:b w:val="0"/>
        </w:rPr>
      </w:pPr>
      <w:r>
        <w:rPr>
          <w:rStyle w:val="17"/>
          <w:rFonts w:hint="eastAsia" w:ascii="黑体" w:eastAsia="黑体"/>
          <w:b w:val="0"/>
        </w:rPr>
        <w:t>附件</w:t>
      </w:r>
      <w:bookmarkEnd w:id="57"/>
    </w:p>
    <w:p>
      <w:pPr>
        <w:outlineLvl w:val="0"/>
        <w:rPr>
          <w:rStyle w:val="17"/>
          <w:rFonts w:ascii="黑体" w:eastAsia="黑体"/>
          <w:b w:val="0"/>
        </w:rPr>
      </w:pPr>
    </w:p>
    <w:bookmarkEnd w:id="58"/>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金川县公共就业和人才交流服务中心</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2020年部门整体支出绩效评价报告</w:t>
      </w:r>
    </w:p>
    <w:p>
      <w:pPr>
        <w:ind w:firstLine="640" w:firstLineChars="200"/>
        <w:rPr>
          <w:rFonts w:ascii="仿宋_GB2312" w:eastAsia="仿宋_GB2312"/>
          <w:sz w:val="32"/>
          <w:szCs w:val="32"/>
        </w:rPr>
      </w:pPr>
    </w:p>
    <w:p>
      <w:pPr>
        <w:keepNext/>
        <w:pBdr>
          <w:bottom w:val="single" w:color="FFFFFF" w:sz="4" w:space="29"/>
        </w:pBdr>
        <w:tabs>
          <w:tab w:val="left" w:pos="1440"/>
        </w:tabs>
        <w:wordWrap w:val="0"/>
        <w:autoSpaceDE w:val="0"/>
        <w:autoSpaceDN w:val="0"/>
        <w:ind w:firstLine="640" w:firstLineChars="200"/>
        <w:jc w:val="left"/>
        <w:rPr>
          <w:rFonts w:ascii="仿宋_GB2312" w:eastAsia="仿宋_GB2312"/>
          <w:color w:val="000000"/>
          <w:sz w:val="32"/>
          <w:szCs w:val="32"/>
        </w:rPr>
      </w:pPr>
      <w:bookmarkStart w:id="60" w:name="_Toc15396618"/>
      <w:bookmarkStart w:id="61" w:name="_Toc15396619"/>
      <w:r>
        <w:rPr>
          <w:rFonts w:hint="eastAsia" w:ascii="仿宋_GB2312" w:eastAsia="仿宋_GB2312"/>
          <w:color w:val="000000"/>
          <w:sz w:val="32"/>
          <w:szCs w:val="32"/>
        </w:rPr>
        <w:t>根据按照《财政厅关于开展2020年政策和项目 支出绩效评价工作的通知》（川财绩﹝2020﹞14号）、《阿坝州财政局预算绩效管理工作实施方案》（阿州财办﹝2020﹞12号）、《阿坝州财政局关于开展2020年财政支出绩效评价工作通知》（阿州财监绩〔2020〕11号）、《金川县财政局预算绩效管理工作实施方案》（金财监绩〔2020〕18 号）、《金川县财政局关于开展绩效评价工作的通知》（金财监绩〔2020〕21号）文件精神，结合本单位的实际，认真开展</w:t>
      </w:r>
      <w:r>
        <w:rPr>
          <w:rFonts w:hint="eastAsia" w:ascii="仿宋_GB2312" w:eastAsia="仿宋_GB2312"/>
          <w:color w:val="000000"/>
          <w:sz w:val="32"/>
          <w:szCs w:val="32"/>
          <w:lang w:eastAsia="zh-CN"/>
        </w:rPr>
        <w:t>部门</w:t>
      </w:r>
      <w:r>
        <w:rPr>
          <w:rFonts w:hint="eastAsia" w:ascii="仿宋_GB2312" w:eastAsia="仿宋_GB2312"/>
          <w:color w:val="000000"/>
          <w:sz w:val="32"/>
          <w:szCs w:val="32"/>
        </w:rPr>
        <w:t>整体支出绩效自评工作，现将2020年1月-12月和202120年1-6月部门预算支出绩效自评工作报告如下：</w:t>
      </w:r>
    </w:p>
    <w:p>
      <w:pPr>
        <w:keepNext/>
        <w:pBdr>
          <w:bottom w:val="single" w:color="FFFFFF" w:sz="4" w:space="29"/>
        </w:pBdr>
        <w:tabs>
          <w:tab w:val="left" w:pos="1440"/>
        </w:tabs>
        <w:wordWrap w:val="0"/>
        <w:autoSpaceDE w:val="0"/>
        <w:autoSpaceDN w:val="0"/>
        <w:jc w:val="left"/>
        <w:rPr>
          <w:rFonts w:ascii="黑体" w:hAnsi="宋体" w:eastAsia="黑体" w:cs="宋体"/>
          <w:b/>
          <w:bCs/>
          <w:color w:val="000000"/>
          <w:kern w:val="0"/>
          <w:sz w:val="32"/>
          <w:lang w:val="zh-CN"/>
        </w:rPr>
      </w:pPr>
      <w:r>
        <w:rPr>
          <w:rFonts w:hint="eastAsia" w:ascii="黑体" w:hAnsi="宋体" w:eastAsia="黑体" w:cs="宋体"/>
          <w:b/>
          <w:bCs/>
          <w:color w:val="000000"/>
          <w:kern w:val="0"/>
          <w:sz w:val="32"/>
          <w:lang w:val="zh-CN"/>
        </w:rPr>
        <w:t>一、部门（单位）概况</w:t>
      </w:r>
    </w:p>
    <w:p>
      <w:pPr>
        <w:keepNext/>
        <w:pBdr>
          <w:bottom w:val="single" w:color="FFFFFF" w:sz="4" w:space="29"/>
        </w:pBdr>
        <w:tabs>
          <w:tab w:val="left" w:pos="1440"/>
        </w:tabs>
        <w:wordWrap w:val="0"/>
        <w:autoSpaceDE w:val="0"/>
        <w:autoSpaceDN w:val="0"/>
        <w:ind w:firstLine="643" w:firstLineChars="200"/>
        <w:jc w:val="left"/>
        <w:rPr>
          <w:rFonts w:ascii="仿宋_GB2312" w:hAnsi="宋体" w:eastAsia="仿宋_GB2312" w:cs="宋体"/>
          <w:color w:val="000000"/>
          <w:kern w:val="0"/>
        </w:rPr>
      </w:pPr>
      <w:r>
        <w:rPr>
          <w:rFonts w:hint="eastAsia" w:ascii="楷体" w:hAnsi="楷体" w:eastAsia="楷体" w:cs="楷体"/>
          <w:b/>
          <w:bCs/>
          <w:kern w:val="0"/>
          <w:sz w:val="32"/>
          <w:szCs w:val="32"/>
        </w:rPr>
        <w:t>(一）机构组成</w:t>
      </w:r>
    </w:p>
    <w:p>
      <w:pPr>
        <w:pBdr>
          <w:bottom w:val="single" w:color="FFFFFF" w:sz="4" w:space="29"/>
        </w:pBdr>
        <w:tabs>
          <w:tab w:val="left" w:pos="1440"/>
        </w:tabs>
        <w:wordWrap w:val="0"/>
        <w:autoSpaceDE w:val="0"/>
        <w:autoSpaceDN w:val="0"/>
        <w:ind w:firstLine="960" w:firstLineChars="300"/>
        <w:jc w:val="left"/>
        <w:rPr>
          <w:rFonts w:ascii="仿宋_GB2312" w:hAnsi="仿宋" w:eastAsia="仿宋_GB2312"/>
          <w:sz w:val="32"/>
          <w:szCs w:val="32"/>
        </w:rPr>
      </w:pPr>
      <w:r>
        <w:rPr>
          <w:rFonts w:hint="eastAsia" w:ascii="仿宋_GB2312" w:hAnsi="仿宋" w:eastAsia="仿宋_GB2312"/>
          <w:sz w:val="32"/>
          <w:szCs w:val="32"/>
        </w:rPr>
        <w:t>金川县公共就业和人才交流服务中心属独立编制和核算机构的参公事业单位，由就业培训、失业保险、职业介绍、农劳开发等组成。</w:t>
      </w:r>
    </w:p>
    <w:p>
      <w:pPr>
        <w:numPr>
          <w:ilvl w:val="0"/>
          <w:numId w:val="6"/>
        </w:numPr>
        <w:pBdr>
          <w:bottom w:val="single" w:color="FFFFFF" w:sz="4" w:space="29"/>
        </w:pBdr>
        <w:tabs>
          <w:tab w:val="left" w:pos="1440"/>
        </w:tabs>
        <w:wordWrap w:val="0"/>
        <w:autoSpaceDE w:val="0"/>
        <w:autoSpaceDN w:val="0"/>
        <w:ind w:firstLine="643" w:firstLineChars="200"/>
        <w:jc w:val="left"/>
        <w:rPr>
          <w:rFonts w:ascii="仿宋_GB2312" w:eastAsia="仿宋_GB2312"/>
          <w:sz w:val="32"/>
          <w:szCs w:val="32"/>
        </w:rPr>
      </w:pPr>
      <w:r>
        <w:rPr>
          <w:rFonts w:hint="eastAsia" w:ascii="楷体" w:hAnsi="楷体" w:eastAsia="楷体" w:cs="楷体"/>
          <w:b/>
          <w:bCs/>
          <w:kern w:val="0"/>
          <w:sz w:val="32"/>
          <w:szCs w:val="32"/>
        </w:rPr>
        <w:t>机构职能</w:t>
      </w:r>
    </w:p>
    <w:p>
      <w:pPr>
        <w:numPr>
          <w:ilvl w:val="0"/>
          <w:numId w:val="7"/>
        </w:numPr>
        <w:pBdr>
          <w:bottom w:val="single" w:color="FFFFFF" w:sz="4" w:space="29"/>
        </w:pBdr>
        <w:tabs>
          <w:tab w:val="left" w:pos="1440"/>
          <w:tab w:val="clear" w:pos="312"/>
        </w:tabs>
        <w:wordWrap w:val="0"/>
        <w:autoSpaceDE w:val="0"/>
        <w:autoSpaceDN w:val="0"/>
        <w:ind w:firstLine="640" w:firstLineChars="200"/>
        <w:jc w:val="left"/>
        <w:rPr>
          <w:rFonts w:ascii="仿宋_GB2312" w:eastAsia="仿宋_GB2312"/>
          <w:sz w:val="32"/>
          <w:szCs w:val="32"/>
        </w:rPr>
      </w:pPr>
      <w:r>
        <w:rPr>
          <w:rFonts w:hint="eastAsia" w:ascii="仿宋_GB2312" w:eastAsia="仿宋_GB2312"/>
          <w:sz w:val="32"/>
          <w:szCs w:val="32"/>
        </w:rPr>
        <w:t>负责全县劳动力资源的管理和开发利用工作。</w:t>
      </w:r>
    </w:p>
    <w:p>
      <w:pPr>
        <w:numPr>
          <w:ilvl w:val="0"/>
          <w:numId w:val="7"/>
        </w:numPr>
        <w:pBdr>
          <w:bottom w:val="single" w:color="FFFFFF" w:sz="4" w:space="29"/>
        </w:pBdr>
        <w:tabs>
          <w:tab w:val="left" w:pos="1440"/>
          <w:tab w:val="clear" w:pos="312"/>
        </w:tabs>
        <w:wordWrap w:val="0"/>
        <w:autoSpaceDE w:val="0"/>
        <w:autoSpaceDN w:val="0"/>
        <w:ind w:firstLine="640" w:firstLineChars="200"/>
        <w:jc w:val="left"/>
        <w:rPr>
          <w:rFonts w:ascii="仿宋_GB2312" w:eastAsia="仿宋_GB2312"/>
          <w:sz w:val="32"/>
          <w:szCs w:val="32"/>
        </w:rPr>
      </w:pPr>
      <w:r>
        <w:rPr>
          <w:rFonts w:hint="eastAsia" w:ascii="仿宋_GB2312" w:eastAsia="仿宋_GB2312"/>
          <w:sz w:val="32"/>
          <w:szCs w:val="32"/>
        </w:rPr>
        <w:t>指导用人单位和求职者进入劳动力市场，实行市场就业。</w:t>
      </w:r>
    </w:p>
    <w:p>
      <w:pPr>
        <w:numPr>
          <w:ilvl w:val="0"/>
          <w:numId w:val="7"/>
        </w:numPr>
        <w:pBdr>
          <w:bottom w:val="single" w:color="FFFFFF" w:sz="4" w:space="29"/>
        </w:pBdr>
        <w:tabs>
          <w:tab w:val="left" w:pos="1440"/>
          <w:tab w:val="clear" w:pos="312"/>
        </w:tabs>
        <w:wordWrap w:val="0"/>
        <w:autoSpaceDE w:val="0"/>
        <w:autoSpaceDN w:val="0"/>
        <w:ind w:firstLine="640" w:firstLineChars="200"/>
        <w:jc w:val="left"/>
        <w:rPr>
          <w:rFonts w:ascii="仿宋_GB2312" w:eastAsia="仿宋_GB2312"/>
          <w:sz w:val="32"/>
          <w:szCs w:val="32"/>
        </w:rPr>
      </w:pPr>
      <w:r>
        <w:rPr>
          <w:rFonts w:hint="eastAsia" w:ascii="仿宋_GB2312" w:eastAsia="仿宋_GB2312"/>
          <w:sz w:val="32"/>
          <w:szCs w:val="32"/>
        </w:rPr>
        <w:t>负责全县就业培训和下岗失业人员转岗培训和职业指导工作。</w:t>
      </w:r>
    </w:p>
    <w:p>
      <w:pPr>
        <w:pBdr>
          <w:bottom w:val="single" w:color="FFFFFF" w:sz="4" w:space="29"/>
        </w:pBdr>
        <w:tabs>
          <w:tab w:val="left" w:pos="1440"/>
        </w:tabs>
        <w:wordWrap w:val="0"/>
        <w:autoSpaceDE w:val="0"/>
        <w:autoSpaceDN w:val="0"/>
        <w:ind w:firstLine="640" w:firstLineChars="200"/>
        <w:jc w:val="left"/>
        <w:rPr>
          <w:rFonts w:ascii="仿宋_GB2312" w:eastAsia="仿宋_GB2312"/>
          <w:sz w:val="32"/>
          <w:szCs w:val="32"/>
        </w:rPr>
      </w:pPr>
      <w:r>
        <w:rPr>
          <w:rFonts w:hint="eastAsia" w:ascii="仿宋_GB2312" w:eastAsia="仿宋_GB2312"/>
          <w:sz w:val="32"/>
          <w:szCs w:val="32"/>
        </w:rPr>
        <w:t>4.经办失业保险业务，具体负责失业保险费的征缴、管理和发放；负责专业训练费、就业经费的管理。</w:t>
      </w:r>
    </w:p>
    <w:p>
      <w:pPr>
        <w:pBdr>
          <w:bottom w:val="single" w:color="FFFFFF" w:sz="4" w:space="29"/>
        </w:pBdr>
        <w:tabs>
          <w:tab w:val="left" w:pos="1440"/>
        </w:tabs>
        <w:wordWrap w:val="0"/>
        <w:autoSpaceDE w:val="0"/>
        <w:autoSpaceDN w:val="0"/>
        <w:ind w:firstLine="640" w:firstLineChars="200"/>
        <w:jc w:val="left"/>
        <w:rPr>
          <w:rFonts w:ascii="仿宋_GB2312" w:eastAsia="仿宋_GB2312"/>
          <w:sz w:val="32"/>
          <w:szCs w:val="32"/>
        </w:rPr>
      </w:pPr>
      <w:r>
        <w:rPr>
          <w:rFonts w:hint="eastAsia" w:ascii="仿宋_GB2312" w:eastAsia="仿宋_GB2312"/>
          <w:sz w:val="32"/>
          <w:szCs w:val="32"/>
        </w:rPr>
        <w:t>5.指导安置各类失业人员，认定社区劳动就业服务企业，认定各类企业吸纳安置下岗失业人员。负责劳服企业的产权界定、年检和社区就业岗位开发统计工作。</w:t>
      </w:r>
    </w:p>
    <w:p>
      <w:pPr>
        <w:pBdr>
          <w:bottom w:val="single" w:color="FFFFFF" w:sz="4" w:space="29"/>
        </w:pBdr>
        <w:tabs>
          <w:tab w:val="left" w:pos="1440"/>
        </w:tabs>
        <w:wordWrap w:val="0"/>
        <w:autoSpaceDE w:val="0"/>
        <w:autoSpaceDN w:val="0"/>
        <w:ind w:firstLine="640" w:firstLineChars="200"/>
        <w:jc w:val="left"/>
        <w:rPr>
          <w:rFonts w:ascii="仿宋_GB2312" w:eastAsia="仿宋_GB2312"/>
          <w:sz w:val="32"/>
          <w:szCs w:val="32"/>
        </w:rPr>
      </w:pPr>
      <w:r>
        <w:rPr>
          <w:rFonts w:hint="eastAsia" w:ascii="仿宋_GB2312" w:eastAsia="仿宋_GB2312"/>
          <w:sz w:val="32"/>
          <w:szCs w:val="32"/>
        </w:rPr>
        <w:t>6.负责农村劳动力开发、培训、劳务输出级统筹就业</w:t>
      </w:r>
    </w:p>
    <w:p>
      <w:pPr>
        <w:pBdr>
          <w:bottom w:val="single" w:color="FFFFFF" w:sz="4" w:space="29"/>
        </w:pBdr>
        <w:tabs>
          <w:tab w:val="left" w:pos="1440"/>
        </w:tabs>
        <w:wordWrap w:val="0"/>
        <w:autoSpaceDE w:val="0"/>
        <w:autoSpaceDN w:val="0"/>
        <w:ind w:firstLine="640" w:firstLineChars="200"/>
        <w:jc w:val="left"/>
        <w:rPr>
          <w:rFonts w:ascii="仿宋_GB2312" w:eastAsia="仿宋_GB2312"/>
          <w:sz w:val="32"/>
          <w:szCs w:val="32"/>
        </w:rPr>
      </w:pPr>
      <w:r>
        <w:rPr>
          <w:rFonts w:hint="eastAsia" w:ascii="仿宋_GB2312" w:eastAsia="仿宋_GB2312"/>
          <w:sz w:val="32"/>
          <w:szCs w:val="32"/>
        </w:rPr>
        <w:t>7.负责基层劳动保障所建设和业务指导。</w:t>
      </w:r>
    </w:p>
    <w:p>
      <w:pPr>
        <w:pBdr>
          <w:bottom w:val="single" w:color="FFFFFF" w:sz="4" w:space="29"/>
        </w:pBdr>
        <w:tabs>
          <w:tab w:val="left" w:pos="1440"/>
        </w:tabs>
        <w:wordWrap w:val="0"/>
        <w:autoSpaceDE w:val="0"/>
        <w:autoSpaceDN w:val="0"/>
        <w:ind w:firstLine="640" w:firstLineChars="200"/>
        <w:jc w:val="left"/>
        <w:rPr>
          <w:rFonts w:ascii="仿宋_GB2312" w:eastAsia="仿宋_GB2312"/>
          <w:sz w:val="32"/>
          <w:szCs w:val="32"/>
        </w:rPr>
      </w:pPr>
      <w:r>
        <w:rPr>
          <w:rFonts w:hint="eastAsia" w:ascii="仿宋_GB2312" w:eastAsia="仿宋_GB2312"/>
          <w:sz w:val="32"/>
          <w:szCs w:val="32"/>
        </w:rPr>
        <w:t>8.承办县委、县政府和人事劳动行政部门交办的其他工作。</w:t>
      </w:r>
    </w:p>
    <w:p>
      <w:pPr>
        <w:pBdr>
          <w:bottom w:val="single" w:color="FFFFFF" w:sz="4" w:space="29"/>
        </w:pBdr>
        <w:tabs>
          <w:tab w:val="left" w:pos="1440"/>
        </w:tabs>
        <w:wordWrap w:val="0"/>
        <w:autoSpaceDE w:val="0"/>
        <w:autoSpaceDN w:val="0"/>
        <w:ind w:firstLine="643" w:firstLineChars="200"/>
        <w:jc w:val="left"/>
        <w:rPr>
          <w:rFonts w:ascii="楷体" w:hAnsi="楷体" w:eastAsia="楷体" w:cs="楷体"/>
          <w:b/>
          <w:bCs/>
          <w:color w:val="000000"/>
          <w:kern w:val="0"/>
          <w:sz w:val="32"/>
          <w:lang w:val="zh-CN"/>
        </w:rPr>
      </w:pPr>
      <w:r>
        <w:rPr>
          <w:rFonts w:hint="eastAsia" w:ascii="楷体" w:hAnsi="楷体" w:eastAsia="楷体" w:cs="楷体"/>
          <w:b/>
          <w:bCs/>
          <w:color w:val="000000"/>
          <w:kern w:val="0"/>
          <w:sz w:val="32"/>
          <w:lang w:val="zh-CN"/>
        </w:rPr>
        <w:t>（三）人员概况</w:t>
      </w:r>
    </w:p>
    <w:p>
      <w:pPr>
        <w:pBdr>
          <w:bottom w:val="single" w:color="FFFFFF" w:sz="4" w:space="29"/>
        </w:pBdr>
        <w:tabs>
          <w:tab w:val="left" w:pos="1440"/>
        </w:tabs>
        <w:wordWrap w:val="0"/>
        <w:autoSpaceDE w:val="0"/>
        <w:autoSpaceDN w:val="0"/>
        <w:ind w:firstLine="960" w:firstLineChars="300"/>
        <w:jc w:val="left"/>
        <w:rPr>
          <w:rFonts w:ascii="仿宋_GB2312" w:hAnsi="仿宋" w:eastAsia="仿宋_GB2312"/>
          <w:sz w:val="32"/>
          <w:szCs w:val="32"/>
        </w:rPr>
      </w:pPr>
      <w:r>
        <w:rPr>
          <w:rFonts w:hint="eastAsia" w:ascii="仿宋_GB2312" w:hAnsi="仿宋" w:eastAsia="仿宋_GB2312"/>
          <w:sz w:val="32"/>
          <w:szCs w:val="32"/>
        </w:rPr>
        <w:t>2020年末我单位在职人员11人。其中：参公编制9人（工勤2人），事业编制2人；退休4人。</w:t>
      </w:r>
    </w:p>
    <w:p>
      <w:pPr>
        <w:pBdr>
          <w:bottom w:val="single" w:color="FFFFFF" w:sz="4" w:space="29"/>
        </w:pBdr>
        <w:tabs>
          <w:tab w:val="left" w:pos="1440"/>
        </w:tabs>
        <w:wordWrap w:val="0"/>
        <w:autoSpaceDE w:val="0"/>
        <w:autoSpaceDN w:val="0"/>
        <w:jc w:val="left"/>
        <w:rPr>
          <w:rFonts w:ascii="黑体" w:hAnsi="宋体" w:eastAsia="黑体" w:cs="宋体"/>
          <w:b/>
          <w:bCs/>
          <w:color w:val="000000"/>
          <w:kern w:val="0"/>
          <w:sz w:val="32"/>
        </w:rPr>
      </w:pPr>
      <w:r>
        <w:rPr>
          <w:rFonts w:hint="eastAsia" w:ascii="黑体" w:hAnsi="宋体" w:eastAsia="黑体" w:cs="宋体"/>
          <w:b/>
          <w:bCs/>
          <w:color w:val="000000"/>
          <w:kern w:val="0"/>
          <w:sz w:val="32"/>
        </w:rPr>
        <w:t>二、部门财政资金收支情况</w:t>
      </w:r>
    </w:p>
    <w:p>
      <w:pPr>
        <w:numPr>
          <w:ilvl w:val="0"/>
          <w:numId w:val="8"/>
        </w:numPr>
        <w:pBdr>
          <w:bottom w:val="single" w:color="FFFFFF" w:sz="4" w:space="29"/>
        </w:pBdr>
        <w:tabs>
          <w:tab w:val="left" w:pos="1440"/>
        </w:tabs>
        <w:wordWrap w:val="0"/>
        <w:autoSpaceDE w:val="0"/>
        <w:autoSpaceDN w:val="0"/>
        <w:ind w:firstLine="643" w:firstLineChars="200"/>
        <w:jc w:val="left"/>
        <w:rPr>
          <w:rFonts w:ascii="楷体" w:hAnsi="楷体" w:eastAsia="楷体" w:cs="楷体"/>
          <w:b/>
          <w:bCs/>
          <w:color w:val="000000"/>
          <w:kern w:val="0"/>
          <w:sz w:val="32"/>
          <w:lang w:val="zh-CN"/>
        </w:rPr>
      </w:pPr>
      <w:r>
        <w:rPr>
          <w:rFonts w:hint="eastAsia" w:ascii="楷体" w:hAnsi="楷体" w:eastAsia="楷体" w:cs="楷体"/>
          <w:b/>
          <w:bCs/>
          <w:color w:val="000000"/>
          <w:kern w:val="0"/>
          <w:sz w:val="32"/>
          <w:lang w:val="zh-CN"/>
        </w:rPr>
        <w:t>部门财政资金收入情况</w:t>
      </w:r>
    </w:p>
    <w:p>
      <w:pPr>
        <w:pBdr>
          <w:bottom w:val="single" w:color="FFFFFF" w:sz="4" w:space="29"/>
        </w:pBdr>
        <w:tabs>
          <w:tab w:val="left" w:pos="1440"/>
        </w:tabs>
        <w:wordWrap w:val="0"/>
        <w:autoSpaceDE w:val="0"/>
        <w:autoSpaceDN w:val="0"/>
        <w:ind w:firstLine="960" w:firstLineChars="300"/>
        <w:jc w:val="left"/>
        <w:rPr>
          <w:rFonts w:ascii="仿宋_GB2312" w:hAnsi="仿宋_GB2312" w:eastAsia="仿宋_GB2312" w:cs="仿宋_GB2312"/>
          <w:color w:val="333333"/>
          <w:kern w:val="0"/>
          <w:sz w:val="32"/>
          <w:szCs w:val="32"/>
          <w:shd w:val="clear" w:color="auto" w:fill="FFFFFF"/>
        </w:rPr>
      </w:pPr>
      <w:r>
        <w:rPr>
          <w:rFonts w:hint="eastAsia" w:ascii="仿宋_GB2312" w:eastAsia="仿宋_GB2312"/>
          <w:color w:val="000000"/>
          <w:sz w:val="32"/>
          <w:szCs w:val="32"/>
        </w:rPr>
        <w:t>2020年就业局</w:t>
      </w:r>
      <w:r>
        <w:rPr>
          <w:rFonts w:hint="eastAsia" w:ascii="仿宋_GB2312" w:eastAsia="仿宋_GB2312"/>
          <w:sz w:val="32"/>
          <w:szCs w:val="32"/>
        </w:rPr>
        <w:t>本年收入合计939.94万元，其中：一般公共预算财政拨款收入939.94万元，上年结转</w:t>
      </w:r>
      <w:r>
        <w:rPr>
          <w:rFonts w:hint="eastAsia" w:ascii="仿宋_GB2312" w:hAnsi="仿宋_GB2312" w:eastAsia="仿宋_GB2312" w:cs="仿宋_GB2312"/>
          <w:color w:val="333333"/>
          <w:kern w:val="0"/>
          <w:sz w:val="32"/>
          <w:szCs w:val="32"/>
          <w:shd w:val="clear" w:color="auto" w:fill="FFFFFF"/>
        </w:rPr>
        <w:t>和结余7.5万元，其中一般公共预算财政拨款结转7.5万元。</w:t>
      </w:r>
    </w:p>
    <w:p>
      <w:pPr>
        <w:pBdr>
          <w:bottom w:val="single" w:color="FFFFFF" w:sz="4" w:space="29"/>
        </w:pBdr>
        <w:tabs>
          <w:tab w:val="left" w:pos="1440"/>
        </w:tabs>
        <w:wordWrap w:val="0"/>
        <w:autoSpaceDE w:val="0"/>
        <w:autoSpaceDN w:val="0"/>
        <w:ind w:firstLine="960" w:firstLineChars="300"/>
        <w:jc w:val="left"/>
        <w:rPr>
          <w:rFonts w:ascii="仿宋_GB2312" w:eastAsia="仿宋_GB2312"/>
          <w:sz w:val="32"/>
          <w:szCs w:val="32"/>
        </w:rPr>
      </w:pPr>
      <w:r>
        <w:rPr>
          <w:rFonts w:hint="eastAsia" w:ascii="仿宋_GB2312" w:eastAsia="仿宋_GB2312"/>
          <w:sz w:val="32"/>
          <w:szCs w:val="32"/>
        </w:rPr>
        <w:t>2021年1-6月财政本年收入860.73万元，其中：一般公共预算财政拨款收入860.73万元；</w:t>
      </w:r>
    </w:p>
    <w:p>
      <w:pPr>
        <w:numPr>
          <w:ilvl w:val="0"/>
          <w:numId w:val="8"/>
        </w:numPr>
        <w:pBdr>
          <w:bottom w:val="single" w:color="FFFFFF" w:sz="4" w:space="29"/>
        </w:pBdr>
        <w:tabs>
          <w:tab w:val="left" w:pos="1440"/>
        </w:tabs>
        <w:wordWrap w:val="0"/>
        <w:autoSpaceDE w:val="0"/>
        <w:autoSpaceDN w:val="0"/>
        <w:ind w:firstLine="643" w:firstLineChars="200"/>
        <w:jc w:val="left"/>
        <w:rPr>
          <w:rFonts w:ascii="仿宋_GB2312" w:eastAsia="仿宋_GB2312"/>
          <w:color w:val="000000"/>
          <w:sz w:val="32"/>
          <w:szCs w:val="32"/>
        </w:rPr>
      </w:pPr>
      <w:r>
        <w:rPr>
          <w:rFonts w:hint="eastAsia" w:ascii="楷体" w:hAnsi="楷体" w:eastAsia="楷体" w:cs="楷体"/>
          <w:b/>
          <w:bCs/>
          <w:color w:val="000000"/>
          <w:kern w:val="0"/>
          <w:sz w:val="32"/>
          <w:lang w:val="zh-CN"/>
        </w:rPr>
        <w:t>部门财政资金支出情况</w:t>
      </w:r>
    </w:p>
    <w:p>
      <w:pPr>
        <w:pBdr>
          <w:bottom w:val="single" w:color="FFFFFF" w:sz="4" w:space="29"/>
        </w:pBdr>
        <w:tabs>
          <w:tab w:val="left" w:pos="1440"/>
        </w:tabs>
        <w:wordWrap w:val="0"/>
        <w:autoSpaceDE w:val="0"/>
        <w:autoSpaceDN w:val="0"/>
        <w:ind w:firstLine="960" w:firstLineChars="300"/>
        <w:jc w:val="left"/>
        <w:rPr>
          <w:rFonts w:ascii="仿宋_GB2312" w:eastAsia="仿宋_GB2312"/>
          <w:color w:val="000000"/>
          <w:sz w:val="32"/>
          <w:szCs w:val="32"/>
        </w:rPr>
      </w:pPr>
      <w:r>
        <w:rPr>
          <w:rFonts w:hint="eastAsia" w:ascii="仿宋_GB2312" w:eastAsia="仿宋_GB2312"/>
          <w:color w:val="000000"/>
          <w:sz w:val="32"/>
          <w:szCs w:val="32"/>
        </w:rPr>
        <w:t>2020年度一般公共预算财政拨款基本支出187.62万元，其中：</w:t>
      </w:r>
    </w:p>
    <w:p>
      <w:pPr>
        <w:pBdr>
          <w:bottom w:val="single" w:color="FFFFFF" w:sz="4" w:space="29"/>
        </w:pBdr>
        <w:tabs>
          <w:tab w:val="left" w:pos="1440"/>
        </w:tabs>
        <w:wordWrap w:val="0"/>
        <w:autoSpaceDE w:val="0"/>
        <w:autoSpaceDN w:val="0"/>
        <w:ind w:firstLine="960" w:firstLineChars="3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人员经费175.03万元，主要包括：基本工资38.41万元、津贴补贴47.74万元、奖金3.51万元、绩效工资5.74万元、机关事业单位基本养老保险缴费14.32万元、职业年金缴费7.15万元、职工基本医疗保险缴费6.15万元、其他社会保障缴费3.97万元、住房公积金14.76万元、生活补助0.3万元、奖励金支出32.98万元。</w:t>
      </w:r>
    </w:p>
    <w:p>
      <w:pPr>
        <w:pBdr>
          <w:bottom w:val="single" w:color="FFFFFF" w:sz="4" w:space="29"/>
        </w:pBdr>
        <w:tabs>
          <w:tab w:val="left" w:pos="1440"/>
        </w:tabs>
        <w:wordWrap w:val="0"/>
        <w:autoSpaceDE w:val="0"/>
        <w:autoSpaceDN w:val="0"/>
        <w:ind w:firstLine="960" w:firstLineChars="300"/>
        <w:jc w:val="left"/>
        <w:rPr>
          <w:rFonts w:ascii="仿宋_GB2312" w:eastAsia="仿宋_GB2312"/>
          <w:color w:val="000000"/>
          <w:sz w:val="32"/>
          <w:szCs w:val="32"/>
        </w:rPr>
      </w:pPr>
      <w:r>
        <w:rPr>
          <w:rFonts w:hint="eastAsia" w:ascii="仿宋_GB2312" w:eastAsia="仿宋_GB2312"/>
          <w:color w:val="000000"/>
          <w:sz w:val="32"/>
          <w:szCs w:val="32"/>
        </w:rPr>
        <w:t>　　公用经费25.58万元，主要包括：办公费4.34万元、电费1.5万元、差旅费4万元、公务用车运行维护费2万元、水费0.08万元、福利费.0.66万元。</w:t>
      </w:r>
    </w:p>
    <w:p>
      <w:pPr>
        <w:pBdr>
          <w:bottom w:val="single" w:color="FFFFFF" w:sz="4" w:space="29"/>
        </w:pBdr>
        <w:tabs>
          <w:tab w:val="left" w:pos="1440"/>
        </w:tabs>
        <w:wordWrap w:val="0"/>
        <w:autoSpaceDE w:val="0"/>
        <w:autoSpaceDN w:val="0"/>
        <w:ind w:firstLine="640" w:firstLineChars="200"/>
        <w:jc w:val="left"/>
        <w:rPr>
          <w:rFonts w:ascii="仿宋_GB2312" w:eastAsia="仿宋_GB2312"/>
          <w:sz w:val="32"/>
          <w:szCs w:val="32"/>
        </w:rPr>
      </w:pPr>
      <w:r>
        <w:rPr>
          <w:rFonts w:hint="eastAsia" w:ascii="仿宋_GB2312" w:eastAsia="仿宋_GB2312"/>
          <w:sz w:val="32"/>
          <w:szCs w:val="32"/>
        </w:rPr>
        <w:t>项目支出（东西部劳务协作资金、美食节资金和就业创业补助资金）752.37万元，</w:t>
      </w:r>
      <w:r>
        <w:rPr>
          <w:rFonts w:hint="eastAsia" w:ascii="仿宋_GB2312" w:hAnsi="仿宋" w:eastAsia="仿宋_GB2312" w:cs="仿宋"/>
          <w:sz w:val="32"/>
          <w:szCs w:val="32"/>
        </w:rPr>
        <w:t>其中：会议费21万元； 差旅费6万元；培训支出56.82万元；生活补助668.55万元</w:t>
      </w:r>
      <w:r>
        <w:rPr>
          <w:rFonts w:hint="eastAsia" w:ascii="仿宋_GB2312" w:eastAsia="仿宋_GB2312"/>
          <w:sz w:val="32"/>
          <w:szCs w:val="32"/>
        </w:rPr>
        <w:t>　</w:t>
      </w:r>
    </w:p>
    <w:p>
      <w:pPr>
        <w:pBdr>
          <w:bottom w:val="single" w:color="FFFFFF" w:sz="4" w:space="29"/>
        </w:pBdr>
        <w:tabs>
          <w:tab w:val="left" w:pos="1440"/>
        </w:tabs>
        <w:wordWrap w:val="0"/>
        <w:autoSpaceDE w:val="0"/>
        <w:autoSpaceDN w:val="0"/>
        <w:jc w:val="left"/>
        <w:rPr>
          <w:rFonts w:ascii="仿宋_GB2312" w:hAnsi="仿宋" w:eastAsia="仿宋_GB2312" w:cs="仿宋"/>
          <w:b/>
          <w:bCs/>
          <w:sz w:val="32"/>
          <w:szCs w:val="32"/>
          <w:lang w:val="zh-CN"/>
        </w:rPr>
      </w:pPr>
      <w:r>
        <w:rPr>
          <w:rFonts w:hint="eastAsia" w:ascii="黑体" w:hAnsi="宋体" w:eastAsia="黑体" w:cs="宋体"/>
          <w:b/>
          <w:bCs/>
          <w:kern w:val="0"/>
          <w:sz w:val="32"/>
        </w:rPr>
        <w:t>三、部门财政支出管理情况</w:t>
      </w:r>
    </w:p>
    <w:p>
      <w:pPr>
        <w:pBdr>
          <w:bottom w:val="single" w:color="FFFFFF" w:sz="4" w:space="29"/>
        </w:pBdr>
        <w:tabs>
          <w:tab w:val="left" w:pos="1440"/>
        </w:tabs>
        <w:wordWrap w:val="0"/>
        <w:autoSpaceDE w:val="0"/>
        <w:autoSpaceDN w:val="0"/>
        <w:ind w:firstLine="643" w:firstLineChars="200"/>
        <w:jc w:val="left"/>
        <w:rPr>
          <w:rFonts w:ascii="楷体" w:hAnsi="楷体" w:eastAsia="楷体" w:cs="楷体"/>
          <w:b/>
          <w:bCs/>
          <w:sz w:val="32"/>
          <w:szCs w:val="32"/>
          <w:lang w:val="zh-CN"/>
        </w:rPr>
      </w:pPr>
      <w:r>
        <w:rPr>
          <w:rFonts w:hint="eastAsia" w:ascii="楷体" w:hAnsi="楷体" w:eastAsia="楷体" w:cs="楷体"/>
          <w:b/>
          <w:bCs/>
          <w:sz w:val="32"/>
          <w:szCs w:val="32"/>
          <w:lang w:val="zh-CN"/>
        </w:rPr>
        <w:t>（一）预算编制情况</w:t>
      </w:r>
    </w:p>
    <w:p>
      <w:pPr>
        <w:pBdr>
          <w:bottom w:val="single" w:color="FFFFFF" w:sz="4" w:space="29"/>
        </w:pBdr>
        <w:tabs>
          <w:tab w:val="left" w:pos="1440"/>
        </w:tabs>
        <w:wordWrap w:val="0"/>
        <w:autoSpaceDE w:val="0"/>
        <w:autoSpaceDN w:val="0"/>
        <w:ind w:firstLine="643" w:firstLineChars="200"/>
        <w:jc w:val="left"/>
        <w:rPr>
          <w:rFonts w:ascii="仿宋_GB2312" w:hAnsi="仿宋_GB2312" w:eastAsia="仿宋_GB2312" w:cs="仿宋_GB2312"/>
          <w:b/>
          <w:bCs/>
          <w:kern w:val="0"/>
          <w:sz w:val="32"/>
          <w:szCs w:val="32"/>
          <w:lang w:val="zh-CN"/>
        </w:rPr>
      </w:pPr>
      <w:r>
        <w:rPr>
          <w:rFonts w:hint="eastAsia" w:ascii="仿宋_GB2312" w:hAnsi="仿宋_GB2312" w:eastAsia="仿宋_GB2312" w:cs="仿宋_GB2312"/>
          <w:b/>
          <w:bCs/>
          <w:kern w:val="0"/>
          <w:sz w:val="32"/>
          <w:szCs w:val="32"/>
          <w:lang w:val="zh-CN"/>
        </w:rPr>
        <w:t>（</w:t>
      </w:r>
      <w:r>
        <w:rPr>
          <w:rFonts w:ascii="仿宋_GB2312" w:hAnsi="仿宋_GB2312" w:eastAsia="仿宋_GB2312" w:cs="仿宋_GB2312"/>
          <w:b/>
          <w:bCs/>
          <w:kern w:val="0"/>
          <w:sz w:val="32"/>
          <w:szCs w:val="32"/>
        </w:rPr>
        <w:t>1</w:t>
      </w:r>
      <w:r>
        <w:rPr>
          <w:rFonts w:hint="eastAsia" w:ascii="仿宋_GB2312" w:hAnsi="仿宋_GB2312" w:eastAsia="仿宋_GB2312" w:cs="仿宋_GB2312"/>
          <w:b/>
          <w:bCs/>
          <w:kern w:val="0"/>
          <w:sz w:val="32"/>
          <w:szCs w:val="32"/>
          <w:lang w:val="zh-CN"/>
        </w:rPr>
        <w:t>）预算编制质量：</w:t>
      </w:r>
    </w:p>
    <w:p>
      <w:pPr>
        <w:pBdr>
          <w:bottom w:val="single" w:color="FFFFFF" w:sz="4" w:space="29"/>
        </w:pBdr>
        <w:tabs>
          <w:tab w:val="left" w:pos="1440"/>
        </w:tabs>
        <w:wordWrap w:val="0"/>
        <w:autoSpaceDE w:val="0"/>
        <w:autoSpaceDN w:val="0"/>
        <w:ind w:firstLine="640" w:firstLineChars="200"/>
        <w:jc w:val="left"/>
        <w:rPr>
          <w:rFonts w:ascii="仿宋_GB2312" w:hAnsi="仿宋" w:eastAsia="仿宋_GB2312" w:cs="仿宋"/>
          <w:sz w:val="32"/>
          <w:szCs w:val="32"/>
        </w:rPr>
      </w:pPr>
      <w:r>
        <w:rPr>
          <w:rFonts w:ascii="仿宋_GB2312" w:hAnsi="仿宋" w:eastAsia="仿宋_GB2312" w:cs="仿宋"/>
          <w:sz w:val="32"/>
          <w:szCs w:val="32"/>
        </w:rPr>
        <w:t>20</w:t>
      </w:r>
      <w:r>
        <w:rPr>
          <w:rFonts w:hint="eastAsia" w:ascii="仿宋_GB2312" w:hAnsi="仿宋" w:eastAsia="仿宋_GB2312" w:cs="仿宋"/>
          <w:sz w:val="32"/>
          <w:szCs w:val="32"/>
        </w:rPr>
        <w:t>20年预算156.67万元，其中人员经费143.75万元，公用经费12.92万元，</w:t>
      </w:r>
    </w:p>
    <w:p>
      <w:pPr>
        <w:pBdr>
          <w:bottom w:val="single" w:color="FFFFFF" w:sz="4" w:space="29"/>
        </w:pBdr>
        <w:tabs>
          <w:tab w:val="left" w:pos="1440"/>
        </w:tabs>
        <w:wordWrap w:val="0"/>
        <w:autoSpaceDE w:val="0"/>
        <w:autoSpaceDN w:val="0"/>
        <w:ind w:firstLine="640" w:firstLineChars="200"/>
        <w:jc w:val="left"/>
        <w:rPr>
          <w:rFonts w:ascii="仿宋_GB2312" w:hAnsi="仿宋_GB2312" w:eastAsia="仿宋_GB2312" w:cs="仿宋_GB2312"/>
          <w:sz w:val="32"/>
          <w:szCs w:val="32"/>
        </w:rPr>
      </w:pPr>
      <w:r>
        <w:rPr>
          <w:rFonts w:ascii="仿宋_GB2312" w:hAnsi="仿宋" w:eastAsia="仿宋_GB2312" w:cs="仿宋"/>
          <w:sz w:val="32"/>
          <w:szCs w:val="32"/>
        </w:rPr>
        <w:t>20</w:t>
      </w:r>
      <w:r>
        <w:rPr>
          <w:rFonts w:hint="eastAsia" w:ascii="仿宋_GB2312" w:hAnsi="仿宋" w:eastAsia="仿宋_GB2312" w:cs="仿宋"/>
          <w:sz w:val="32"/>
          <w:szCs w:val="32"/>
        </w:rPr>
        <w:t>21年预算149.54万元，其中人员经费133.7万元，公</w:t>
      </w:r>
      <w:bookmarkStart w:id="74" w:name="_GoBack"/>
      <w:bookmarkEnd w:id="74"/>
      <w:r>
        <w:rPr>
          <w:rFonts w:hint="eastAsia" w:ascii="仿宋_GB2312" w:hAnsi="仿宋" w:eastAsia="仿宋_GB2312" w:cs="仿宋"/>
          <w:sz w:val="32"/>
          <w:szCs w:val="32"/>
        </w:rPr>
        <w:t>用经费15.84万元，比</w:t>
      </w:r>
      <w:r>
        <w:rPr>
          <w:rFonts w:ascii="仿宋_GB2312" w:hAnsi="仿宋" w:eastAsia="仿宋_GB2312" w:cs="仿宋"/>
          <w:sz w:val="32"/>
          <w:szCs w:val="32"/>
        </w:rPr>
        <w:t>20</w:t>
      </w:r>
      <w:r>
        <w:rPr>
          <w:rFonts w:hint="eastAsia" w:ascii="仿宋_GB2312" w:hAnsi="仿宋" w:eastAsia="仿宋_GB2312" w:cs="仿宋"/>
          <w:sz w:val="32"/>
          <w:szCs w:val="32"/>
        </w:rPr>
        <w:t>20年财政拨款收支总额预算减少7.13万元，主要原因是我中心人员变动。</w:t>
      </w:r>
    </w:p>
    <w:p>
      <w:pPr>
        <w:pBdr>
          <w:bottom w:val="single" w:color="FFFFFF" w:sz="4" w:space="29"/>
        </w:pBdr>
        <w:tabs>
          <w:tab w:val="left" w:pos="1440"/>
        </w:tabs>
        <w:wordWrap w:val="0"/>
        <w:autoSpaceDE w:val="0"/>
        <w:autoSpaceDN w:val="0"/>
        <w:ind w:firstLine="643" w:firstLineChars="200"/>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b/>
          <w:bCs/>
          <w:kern w:val="0"/>
          <w:sz w:val="32"/>
          <w:szCs w:val="32"/>
          <w:shd w:val="clear" w:color="auto" w:fill="FFFFFF"/>
          <w:lang w:val="zh-CN"/>
        </w:rPr>
        <w:t>（</w:t>
      </w:r>
      <w:r>
        <w:rPr>
          <w:rFonts w:ascii="仿宋_GB2312" w:hAnsi="仿宋_GB2312" w:eastAsia="仿宋_GB2312" w:cs="仿宋_GB2312"/>
          <w:b/>
          <w:bCs/>
          <w:kern w:val="0"/>
          <w:sz w:val="32"/>
          <w:szCs w:val="32"/>
          <w:shd w:val="clear" w:color="auto" w:fill="FFFFFF"/>
        </w:rPr>
        <w:t>2</w:t>
      </w:r>
      <w:r>
        <w:rPr>
          <w:rFonts w:hint="eastAsia" w:ascii="仿宋_GB2312" w:hAnsi="仿宋_GB2312" w:eastAsia="仿宋_GB2312" w:cs="仿宋_GB2312"/>
          <w:b/>
          <w:bCs/>
          <w:kern w:val="0"/>
          <w:sz w:val="32"/>
          <w:szCs w:val="32"/>
          <w:shd w:val="clear" w:color="auto" w:fill="FFFFFF"/>
          <w:lang w:val="zh-CN"/>
        </w:rPr>
        <w:t>）绩效目标填报：</w:t>
      </w:r>
      <w:r>
        <w:rPr>
          <w:rFonts w:hint="eastAsia" w:ascii="仿宋_GB2312" w:hAnsi="仿宋_GB2312" w:eastAsia="仿宋_GB2312" w:cs="仿宋_GB2312"/>
          <w:kern w:val="0"/>
          <w:sz w:val="32"/>
          <w:szCs w:val="32"/>
          <w:shd w:val="clear" w:color="auto" w:fill="FFFFFF"/>
        </w:rPr>
        <w:t>项目申报严格按照上级要求，明确绩效目标，控制</w:t>
      </w:r>
      <w:r>
        <w:rPr>
          <w:rFonts w:hint="eastAsia" w:ascii="仿宋_GB2312" w:hAnsi="仿宋_GB2312" w:eastAsia="仿宋_GB2312" w:cs="仿宋_GB2312"/>
          <w:kern w:val="0"/>
          <w:sz w:val="32"/>
          <w:szCs w:val="32"/>
          <w:shd w:val="clear" w:color="auto" w:fill="FFFFFF"/>
          <w:lang w:eastAsia="zh-CN"/>
        </w:rPr>
        <w:t>执行</w:t>
      </w:r>
      <w:r>
        <w:rPr>
          <w:rFonts w:hint="eastAsia" w:ascii="仿宋_GB2312" w:hAnsi="仿宋_GB2312" w:eastAsia="仿宋_GB2312" w:cs="仿宋_GB2312"/>
          <w:kern w:val="0"/>
          <w:sz w:val="32"/>
          <w:szCs w:val="32"/>
          <w:shd w:val="clear" w:color="auto" w:fill="FFFFFF"/>
        </w:rPr>
        <w:t>成本，提高项目发挥作用。并</w:t>
      </w:r>
      <w:r>
        <w:rPr>
          <w:rFonts w:hint="eastAsia" w:ascii="仿宋_GB2312" w:hAnsi="仿宋_GB2312" w:eastAsia="仿宋_GB2312" w:cs="仿宋_GB2312"/>
          <w:kern w:val="0"/>
          <w:sz w:val="32"/>
          <w:szCs w:val="32"/>
          <w:shd w:val="clear" w:color="auto" w:fill="FFFFFF"/>
          <w:lang w:val="zh-CN"/>
        </w:rPr>
        <w:t>根据财政局统一要求编制了我会整体绩效目标报告及项目整体绩效目标表，并报县财政局。</w:t>
      </w:r>
    </w:p>
    <w:p>
      <w:pPr>
        <w:pBdr>
          <w:bottom w:val="single" w:color="FFFFFF" w:sz="4" w:space="29"/>
        </w:pBdr>
        <w:tabs>
          <w:tab w:val="left" w:pos="1440"/>
        </w:tabs>
        <w:wordWrap w:val="0"/>
        <w:autoSpaceDE w:val="0"/>
        <w:autoSpaceDN w:val="0"/>
        <w:ind w:firstLine="643" w:firstLineChars="200"/>
        <w:jc w:val="left"/>
        <w:rPr>
          <w:rFonts w:ascii="仿宋_GB2312" w:hAnsi="仿宋" w:eastAsia="仿宋_GB2312" w:cs="仿宋"/>
          <w:sz w:val="32"/>
          <w:szCs w:val="32"/>
          <w:lang w:val="zh-CN"/>
        </w:rPr>
      </w:pPr>
      <w:r>
        <w:rPr>
          <w:rFonts w:hint="eastAsia" w:ascii="楷体" w:hAnsi="楷体" w:eastAsia="楷体" w:cs="楷体"/>
          <w:b/>
          <w:bCs/>
          <w:sz w:val="32"/>
          <w:szCs w:val="32"/>
          <w:lang w:val="zh-CN"/>
        </w:rPr>
        <w:t>（二）执行管理情况</w:t>
      </w:r>
      <w:r>
        <w:rPr>
          <w:rFonts w:ascii="仿宋_GB2312" w:hAnsi="仿宋" w:eastAsia="仿宋_GB2312" w:cs="仿宋"/>
          <w:sz w:val="32"/>
          <w:szCs w:val="32"/>
          <w:lang w:val="zh-CN"/>
        </w:rPr>
        <w:tab/>
      </w:r>
    </w:p>
    <w:p>
      <w:pPr>
        <w:pBdr>
          <w:bottom w:val="single" w:color="FFFFFF" w:sz="4" w:space="29"/>
        </w:pBdr>
        <w:tabs>
          <w:tab w:val="left" w:pos="1440"/>
        </w:tabs>
        <w:wordWrap w:val="0"/>
        <w:autoSpaceDE w:val="0"/>
        <w:autoSpaceDN w:val="0"/>
        <w:ind w:firstLine="640" w:firstLineChars="200"/>
        <w:jc w:val="left"/>
        <w:rPr>
          <w:rFonts w:ascii="仿宋_GB2312" w:hAnsi="仿宋" w:eastAsia="仿宋_GB2312" w:cs="仿宋"/>
          <w:sz w:val="32"/>
          <w:szCs w:val="32"/>
          <w:lang w:val="zh-CN"/>
        </w:rPr>
      </w:pPr>
      <w:r>
        <w:rPr>
          <w:rFonts w:ascii="仿宋_GB2312" w:hAnsi="宋体" w:eastAsia="仿宋_GB2312" w:cs="宋体"/>
          <w:kern w:val="0"/>
          <w:sz w:val="32"/>
        </w:rPr>
        <w:t>20</w:t>
      </w:r>
      <w:r>
        <w:rPr>
          <w:rFonts w:hint="eastAsia" w:ascii="仿宋_GB2312" w:hAnsi="宋体" w:eastAsia="仿宋_GB2312" w:cs="宋体"/>
          <w:kern w:val="0"/>
          <w:sz w:val="32"/>
        </w:rPr>
        <w:t>19年中期评估编制了</w:t>
      </w:r>
      <w:r>
        <w:rPr>
          <w:rFonts w:ascii="仿宋_GB2312" w:hAnsi="宋体" w:eastAsia="仿宋_GB2312" w:cs="宋体"/>
          <w:kern w:val="0"/>
          <w:sz w:val="32"/>
        </w:rPr>
        <w:t>201</w:t>
      </w:r>
      <w:r>
        <w:rPr>
          <w:rFonts w:hint="eastAsia" w:ascii="仿宋_GB2312" w:hAnsi="宋体" w:eastAsia="仿宋_GB2312" w:cs="宋体"/>
          <w:kern w:val="0"/>
          <w:sz w:val="32"/>
        </w:rPr>
        <w:t>9年到</w:t>
      </w:r>
      <w:r>
        <w:rPr>
          <w:rFonts w:ascii="仿宋_GB2312" w:hAnsi="宋体" w:eastAsia="仿宋_GB2312" w:cs="宋体"/>
          <w:kern w:val="0"/>
          <w:sz w:val="32"/>
        </w:rPr>
        <w:t>202</w:t>
      </w:r>
      <w:r>
        <w:rPr>
          <w:rFonts w:hint="eastAsia" w:ascii="仿宋_GB2312" w:hAnsi="宋体" w:eastAsia="仿宋_GB2312" w:cs="宋体"/>
          <w:kern w:val="0"/>
          <w:sz w:val="32"/>
        </w:rPr>
        <w:t>1年的三年滚动计划；</w:t>
      </w:r>
      <w:r>
        <w:rPr>
          <w:rFonts w:ascii="仿宋_GB2312" w:hAnsi="仿宋" w:eastAsia="仿宋_GB2312" w:cs="仿宋"/>
          <w:sz w:val="32"/>
          <w:szCs w:val="32"/>
        </w:rPr>
        <w:t xml:space="preserve"> 20</w:t>
      </w:r>
      <w:r>
        <w:rPr>
          <w:rFonts w:hint="eastAsia" w:ascii="仿宋_GB2312" w:hAnsi="仿宋" w:eastAsia="仿宋_GB2312" w:cs="仿宋"/>
          <w:sz w:val="32"/>
          <w:szCs w:val="32"/>
        </w:rPr>
        <w:t>20年</w:t>
      </w:r>
      <w:r>
        <w:rPr>
          <w:rFonts w:hint="eastAsia" w:ascii="仿宋_GB2312" w:hAnsi="仿宋" w:eastAsia="仿宋_GB2312" w:cs="仿宋"/>
          <w:sz w:val="32"/>
          <w:szCs w:val="32"/>
          <w:lang w:val="zh-CN"/>
        </w:rPr>
        <w:t>“三公”经费预算</w:t>
      </w:r>
      <w:r>
        <w:rPr>
          <w:rFonts w:hint="eastAsia" w:ascii="仿宋_GB2312" w:hAnsi="仿宋" w:eastAsia="仿宋_GB2312" w:cs="仿宋"/>
          <w:sz w:val="32"/>
          <w:szCs w:val="32"/>
        </w:rPr>
        <w:t>2万元，其中公务接待费</w:t>
      </w:r>
      <w:r>
        <w:rPr>
          <w:rFonts w:ascii="仿宋_GB2312" w:hAnsi="仿宋" w:eastAsia="仿宋_GB2312" w:cs="仿宋"/>
          <w:sz w:val="32"/>
          <w:szCs w:val="32"/>
        </w:rPr>
        <w:t>0</w:t>
      </w:r>
      <w:r>
        <w:rPr>
          <w:rFonts w:hint="eastAsia" w:ascii="仿宋_GB2312" w:hAnsi="仿宋" w:eastAsia="仿宋_GB2312" w:cs="仿宋"/>
          <w:sz w:val="32"/>
          <w:szCs w:val="32"/>
        </w:rPr>
        <w:t>万元，公务用车运行维护费2万元，实际支出公务接待费</w:t>
      </w:r>
      <w:r>
        <w:rPr>
          <w:rFonts w:ascii="仿宋_GB2312" w:hAnsi="仿宋" w:eastAsia="仿宋_GB2312" w:cs="仿宋"/>
          <w:sz w:val="32"/>
          <w:szCs w:val="32"/>
        </w:rPr>
        <w:t>0</w:t>
      </w:r>
      <w:r>
        <w:rPr>
          <w:rFonts w:hint="eastAsia" w:ascii="仿宋_GB2312" w:hAnsi="仿宋" w:eastAsia="仿宋_GB2312" w:cs="仿宋"/>
          <w:sz w:val="32"/>
          <w:szCs w:val="32"/>
        </w:rPr>
        <w:t>万元，公务用车运行维护费2万元，拨付进度100</w:t>
      </w:r>
      <w:r>
        <w:rPr>
          <w:rFonts w:ascii="仿宋_GB2312" w:hAnsi="仿宋" w:eastAsia="仿宋_GB2312" w:cs="仿宋"/>
          <w:sz w:val="32"/>
          <w:szCs w:val="32"/>
        </w:rPr>
        <w:t>%</w:t>
      </w:r>
      <w:r>
        <w:rPr>
          <w:rFonts w:hint="eastAsia" w:ascii="仿宋_GB2312" w:hAnsi="仿宋" w:eastAsia="仿宋_GB2312" w:cs="仿宋"/>
          <w:sz w:val="32"/>
          <w:szCs w:val="32"/>
        </w:rPr>
        <w:t>。</w:t>
      </w:r>
      <w:r>
        <w:rPr>
          <w:rFonts w:hint="eastAsia" w:ascii="仿宋_GB2312" w:hAnsi="仿宋" w:eastAsia="仿宋_GB2312" w:cs="仿宋"/>
          <w:sz w:val="32"/>
          <w:szCs w:val="32"/>
          <w:lang w:val="zh-CN"/>
        </w:rPr>
        <w:t>部门预算执行情况良好，但基本集中在下半年。</w:t>
      </w:r>
    </w:p>
    <w:p>
      <w:pPr>
        <w:pBdr>
          <w:bottom w:val="single" w:color="FFFFFF" w:sz="4" w:space="29"/>
        </w:pBdr>
        <w:tabs>
          <w:tab w:val="left" w:pos="1440"/>
        </w:tabs>
        <w:wordWrap w:val="0"/>
        <w:autoSpaceDE w:val="0"/>
        <w:autoSpaceDN w:val="0"/>
        <w:ind w:firstLine="640" w:firstLineChars="200"/>
        <w:jc w:val="left"/>
        <w:rPr>
          <w:rFonts w:eastAsia="仿宋_GB2312"/>
        </w:rPr>
      </w:pPr>
      <w:r>
        <w:rPr>
          <w:rFonts w:hint="eastAsia" w:ascii="仿宋_GB2312" w:hAnsi="仿宋" w:eastAsia="仿宋_GB2312" w:cs="仿宋"/>
          <w:sz w:val="32"/>
          <w:szCs w:val="32"/>
        </w:rPr>
        <w:t>2021年1-6月</w:t>
      </w:r>
      <w:r>
        <w:rPr>
          <w:rFonts w:hint="eastAsia" w:ascii="仿宋_GB2312" w:hAnsi="仿宋" w:eastAsia="仿宋_GB2312" w:cs="仿宋"/>
          <w:sz w:val="32"/>
          <w:szCs w:val="32"/>
          <w:lang w:val="zh-CN"/>
        </w:rPr>
        <w:t>“三公”经费预算</w:t>
      </w:r>
      <w:r>
        <w:rPr>
          <w:rFonts w:hint="eastAsia" w:ascii="仿宋_GB2312" w:hAnsi="仿宋" w:eastAsia="仿宋_GB2312" w:cs="仿宋"/>
          <w:sz w:val="32"/>
          <w:szCs w:val="32"/>
        </w:rPr>
        <w:t>0万元，其中公务接待费</w:t>
      </w:r>
      <w:r>
        <w:rPr>
          <w:rFonts w:ascii="仿宋_GB2312" w:hAnsi="仿宋" w:eastAsia="仿宋_GB2312" w:cs="仿宋"/>
          <w:sz w:val="32"/>
          <w:szCs w:val="32"/>
        </w:rPr>
        <w:t>0</w:t>
      </w:r>
      <w:r>
        <w:rPr>
          <w:rFonts w:hint="eastAsia" w:ascii="仿宋_GB2312" w:hAnsi="仿宋" w:eastAsia="仿宋_GB2312" w:cs="仿宋"/>
          <w:sz w:val="32"/>
          <w:szCs w:val="32"/>
        </w:rPr>
        <w:t>万元，公务用车运行维护费2万元，实际支出公务接待费</w:t>
      </w:r>
      <w:r>
        <w:rPr>
          <w:rFonts w:ascii="仿宋_GB2312" w:hAnsi="仿宋" w:eastAsia="仿宋_GB2312" w:cs="仿宋"/>
          <w:sz w:val="32"/>
          <w:szCs w:val="32"/>
        </w:rPr>
        <w:t>0</w:t>
      </w:r>
      <w:r>
        <w:rPr>
          <w:rFonts w:hint="eastAsia" w:ascii="仿宋_GB2312" w:hAnsi="仿宋" w:eastAsia="仿宋_GB2312" w:cs="仿宋"/>
          <w:sz w:val="32"/>
          <w:szCs w:val="32"/>
        </w:rPr>
        <w:t>万元，公务用车运行维护费1.02万元，拨付进度51%。</w:t>
      </w:r>
    </w:p>
    <w:p>
      <w:pPr>
        <w:numPr>
          <w:ilvl w:val="0"/>
          <w:numId w:val="8"/>
        </w:numPr>
        <w:pBdr>
          <w:bottom w:val="single" w:color="FFFFFF" w:sz="4" w:space="29"/>
        </w:pBdr>
        <w:tabs>
          <w:tab w:val="left" w:pos="1440"/>
        </w:tabs>
        <w:wordWrap w:val="0"/>
        <w:autoSpaceDE w:val="0"/>
        <w:autoSpaceDN w:val="0"/>
        <w:ind w:firstLine="643" w:firstLineChars="200"/>
        <w:jc w:val="left"/>
        <w:rPr>
          <w:rFonts w:ascii="仿宋_GB2312" w:hAnsi="仿宋" w:eastAsia="仿宋_GB2312" w:cs="仿宋"/>
          <w:sz w:val="32"/>
          <w:szCs w:val="32"/>
        </w:rPr>
      </w:pPr>
      <w:r>
        <w:rPr>
          <w:rFonts w:hint="eastAsia" w:ascii="楷体" w:hAnsi="楷体" w:eastAsia="楷体" w:cs="楷体"/>
          <w:b/>
          <w:bCs/>
          <w:sz w:val="32"/>
          <w:szCs w:val="32"/>
          <w:lang w:val="zh-CN"/>
        </w:rPr>
        <w:t>综合管理情况</w:t>
      </w:r>
    </w:p>
    <w:p>
      <w:pPr>
        <w:pBdr>
          <w:bottom w:val="single" w:color="FFFFFF" w:sz="4" w:space="29"/>
        </w:pBdr>
        <w:tabs>
          <w:tab w:val="left" w:pos="1440"/>
        </w:tabs>
        <w:wordWrap w:val="0"/>
        <w:autoSpaceDE w:val="0"/>
        <w:autoSpaceDN w:val="0"/>
        <w:ind w:firstLine="640" w:firstLineChars="200"/>
        <w:jc w:val="left"/>
        <w:rPr>
          <w:rFonts w:ascii="仿宋_GB2312" w:hAnsi="宋体" w:eastAsia="仿宋_GB2312" w:cs="宋体"/>
          <w:kern w:val="0"/>
          <w:sz w:val="32"/>
          <w:lang w:val="zh-CN"/>
        </w:rPr>
      </w:pPr>
      <w:r>
        <w:rPr>
          <w:rFonts w:hint="eastAsia" w:ascii="仿宋_GB2312" w:hAnsi="宋体" w:eastAsia="仿宋_GB2312" w:cs="宋体"/>
          <w:kern w:val="0"/>
          <w:sz w:val="32"/>
          <w:lang w:val="zh-CN"/>
        </w:rPr>
        <w:t>1、20</w:t>
      </w:r>
      <w:r>
        <w:rPr>
          <w:rFonts w:hint="eastAsia" w:ascii="仿宋_GB2312" w:hAnsi="宋体" w:eastAsia="仿宋_GB2312" w:cs="宋体"/>
          <w:kern w:val="0"/>
          <w:sz w:val="32"/>
        </w:rPr>
        <w:t>20</w:t>
      </w:r>
      <w:r>
        <w:rPr>
          <w:rFonts w:hint="eastAsia" w:ascii="仿宋_GB2312" w:hAnsi="宋体" w:eastAsia="仿宋_GB2312" w:cs="宋体"/>
          <w:kern w:val="0"/>
          <w:sz w:val="32"/>
          <w:lang w:val="zh-CN"/>
        </w:rPr>
        <w:t>年年初资产为</w:t>
      </w:r>
      <w:r>
        <w:rPr>
          <w:rFonts w:hint="eastAsia" w:ascii="仿宋_GB2312" w:hAnsi="宋体" w:eastAsia="仿宋_GB2312" w:cs="宋体"/>
          <w:kern w:val="0"/>
          <w:sz w:val="32"/>
        </w:rPr>
        <w:t>453.96</w:t>
      </w:r>
      <w:r>
        <w:rPr>
          <w:rFonts w:hint="eastAsia" w:ascii="仿宋_GB2312" w:hAnsi="宋体" w:eastAsia="仿宋_GB2312" w:cs="宋体"/>
          <w:kern w:val="0"/>
          <w:sz w:val="32"/>
          <w:lang w:val="zh-CN"/>
        </w:rPr>
        <w:t>万元，所有国有资产纳入资产管理系统，及时准确上报并做好资产的管理工作。</w:t>
      </w:r>
    </w:p>
    <w:p>
      <w:pPr>
        <w:numPr>
          <w:ilvl w:val="0"/>
          <w:numId w:val="9"/>
        </w:numPr>
        <w:pBdr>
          <w:bottom w:val="single" w:color="FFFFFF" w:sz="4" w:space="29"/>
        </w:pBdr>
        <w:tabs>
          <w:tab w:val="left" w:pos="1440"/>
        </w:tabs>
        <w:wordWrap w:val="0"/>
        <w:autoSpaceDE w:val="0"/>
        <w:autoSpaceDN w:val="0"/>
        <w:ind w:firstLine="640" w:firstLineChars="200"/>
        <w:jc w:val="left"/>
        <w:rPr>
          <w:rFonts w:ascii="仿宋_GB2312" w:hAnsi="宋体" w:eastAsia="仿宋_GB2312" w:cs="宋体"/>
          <w:kern w:val="0"/>
          <w:sz w:val="32"/>
          <w:lang w:val="zh-CN"/>
        </w:rPr>
      </w:pPr>
      <w:r>
        <w:rPr>
          <w:rFonts w:hint="eastAsia" w:ascii="仿宋_GB2312" w:hAnsi="宋体" w:eastAsia="仿宋_GB2312" w:cs="宋体"/>
          <w:kern w:val="0"/>
          <w:sz w:val="32"/>
          <w:lang w:val="zh-CN"/>
        </w:rPr>
        <w:t>内控制度管理：建立了收支管理制度、会计档案管理制度、资产管理制度、合同管理制度、决策管理制度及相关制度流程图。</w:t>
      </w:r>
    </w:p>
    <w:p>
      <w:pPr>
        <w:pBdr>
          <w:bottom w:val="single" w:color="FFFFFF" w:sz="4" w:space="29"/>
        </w:pBdr>
        <w:tabs>
          <w:tab w:val="left" w:pos="1440"/>
        </w:tabs>
        <w:wordWrap w:val="0"/>
        <w:autoSpaceDE w:val="0"/>
        <w:autoSpaceDN w:val="0"/>
        <w:ind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3、</w:t>
      </w:r>
      <w:r>
        <w:rPr>
          <w:rFonts w:hint="eastAsia" w:ascii="仿宋_GB2312" w:hAnsi="宋体" w:eastAsia="仿宋_GB2312" w:cs="宋体"/>
          <w:kern w:val="0"/>
          <w:sz w:val="32"/>
          <w:lang w:val="zh-CN"/>
        </w:rPr>
        <w:t>绩效评价：</w:t>
      </w:r>
      <w:r>
        <w:rPr>
          <w:rFonts w:ascii="仿宋_GB2312" w:hAnsi="宋体" w:eastAsia="仿宋_GB2312" w:cs="宋体"/>
          <w:kern w:val="0"/>
          <w:sz w:val="32"/>
        </w:rPr>
        <w:t>20</w:t>
      </w:r>
      <w:r>
        <w:rPr>
          <w:rFonts w:hint="eastAsia" w:ascii="仿宋_GB2312" w:hAnsi="宋体" w:eastAsia="仿宋_GB2312" w:cs="宋体"/>
          <w:kern w:val="0"/>
          <w:sz w:val="32"/>
        </w:rPr>
        <w:t>20年未进行部门整体绩效目标，</w:t>
      </w:r>
      <w:r>
        <w:rPr>
          <w:rFonts w:ascii="仿宋_GB2312" w:hAnsi="宋体" w:eastAsia="仿宋_GB2312" w:cs="宋体"/>
          <w:kern w:val="0"/>
          <w:sz w:val="32"/>
        </w:rPr>
        <w:t>20</w:t>
      </w:r>
      <w:r>
        <w:rPr>
          <w:rFonts w:hint="eastAsia" w:ascii="仿宋_GB2312" w:hAnsi="宋体" w:eastAsia="仿宋_GB2312" w:cs="宋体"/>
          <w:kern w:val="0"/>
          <w:sz w:val="32"/>
        </w:rPr>
        <w:t>20年根据相关文件要求，单位编制了2020年部门整体支出绩效目标并认真组织开展部门整体绩效文件工作</w:t>
      </w:r>
      <w:r>
        <w:rPr>
          <w:rFonts w:hint="eastAsia" w:ascii="仿宋_GB2312" w:hAnsi="仿宋" w:eastAsia="仿宋_GB2312" w:cs="仿宋"/>
          <w:sz w:val="32"/>
          <w:szCs w:val="32"/>
        </w:rPr>
        <w:t>并且按照相关要求进行绩效自我评价，按要求及时上报，</w:t>
      </w:r>
      <w:r>
        <w:rPr>
          <w:rFonts w:hint="eastAsia" w:ascii="仿宋_GB2312" w:hAnsi="仿宋" w:eastAsia="仿宋_GB2312" w:cs="仿宋"/>
          <w:sz w:val="32"/>
          <w:szCs w:val="32"/>
          <w:lang w:val="zh-CN"/>
        </w:rPr>
        <w:t>绩效评价及依法接受财政监督情况等。</w:t>
      </w:r>
    </w:p>
    <w:p>
      <w:pPr>
        <w:pBdr>
          <w:bottom w:val="single" w:color="FFFFFF" w:sz="4" w:space="29"/>
        </w:pBdr>
        <w:tabs>
          <w:tab w:val="left" w:pos="1440"/>
        </w:tabs>
        <w:wordWrap w:val="0"/>
        <w:autoSpaceDE w:val="0"/>
        <w:autoSpaceDN w:val="0"/>
        <w:ind w:firstLine="643" w:firstLineChars="200"/>
        <w:jc w:val="left"/>
        <w:rPr>
          <w:rFonts w:ascii="楷体" w:hAnsi="楷体" w:eastAsia="楷体" w:cs="楷体"/>
          <w:b/>
          <w:bCs/>
          <w:sz w:val="32"/>
          <w:szCs w:val="32"/>
          <w:lang w:val="zh-CN"/>
        </w:rPr>
      </w:pPr>
      <w:r>
        <w:rPr>
          <w:rFonts w:hint="eastAsia" w:ascii="楷体" w:hAnsi="楷体" w:eastAsia="楷体" w:cs="楷体"/>
          <w:b/>
          <w:bCs/>
          <w:sz w:val="32"/>
          <w:szCs w:val="32"/>
          <w:lang w:val="zh-CN"/>
        </w:rPr>
        <w:t>（四）整体绩效</w:t>
      </w:r>
    </w:p>
    <w:p>
      <w:pPr>
        <w:pBdr>
          <w:bottom w:val="single" w:color="FFFFFF" w:sz="4" w:space="29"/>
        </w:pBdr>
        <w:tabs>
          <w:tab w:val="left" w:pos="1440"/>
        </w:tabs>
        <w:wordWrap w:val="0"/>
        <w:autoSpaceDE w:val="0"/>
        <w:autoSpaceDN w:val="0"/>
        <w:ind w:firstLine="640" w:firstLineChars="200"/>
        <w:jc w:val="left"/>
        <w:rPr>
          <w:rFonts w:ascii="仿宋_GB2312" w:hAnsi="仿宋" w:eastAsia="仿宋_GB2312" w:cs="仿宋"/>
          <w:sz w:val="32"/>
          <w:szCs w:val="32"/>
          <w:lang w:val="zh-CN"/>
        </w:rPr>
      </w:pPr>
      <w:r>
        <w:rPr>
          <w:rFonts w:hint="eastAsia" w:ascii="仿宋_GB2312" w:hAnsi="仿宋" w:eastAsia="仿宋_GB2312" w:cs="仿宋"/>
          <w:sz w:val="32"/>
          <w:szCs w:val="32"/>
          <w:lang w:val="zh-CN"/>
        </w:rPr>
        <w:t>我中心按照规定完全履行职责，整体评价良好，服务对象基本满意</w:t>
      </w:r>
      <w:r>
        <w:rPr>
          <w:rFonts w:hint="eastAsia" w:ascii="仿宋_GB2312" w:hAnsi="宋体" w:eastAsia="仿宋_GB2312" w:cs="宋体"/>
          <w:kern w:val="0"/>
          <w:sz w:val="32"/>
          <w:lang w:val="zh-CN"/>
        </w:rPr>
        <w:t>从预算执行来情况看，预算资金覆盖我乡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r>
        <w:rPr>
          <w:rFonts w:hint="eastAsia" w:ascii="仿宋_GB2312" w:hAnsi="仿宋" w:eastAsia="仿宋_GB2312" w:cs="仿宋"/>
          <w:sz w:val="32"/>
          <w:szCs w:val="32"/>
          <w:lang w:val="zh-CN"/>
        </w:rPr>
        <w:t>。</w:t>
      </w:r>
    </w:p>
    <w:p>
      <w:pPr>
        <w:pBdr>
          <w:bottom w:val="single" w:color="FFFFFF" w:sz="4" w:space="29"/>
        </w:pBdr>
        <w:tabs>
          <w:tab w:val="left" w:pos="1440"/>
        </w:tabs>
        <w:wordWrap w:val="0"/>
        <w:autoSpaceDE w:val="0"/>
        <w:autoSpaceDN w:val="0"/>
        <w:jc w:val="left"/>
        <w:rPr>
          <w:rFonts w:ascii="黑体" w:hAnsi="宋体" w:eastAsia="黑体" w:cs="宋体"/>
          <w:b/>
          <w:bCs/>
          <w:kern w:val="0"/>
          <w:sz w:val="32"/>
        </w:rPr>
      </w:pPr>
      <w:r>
        <w:rPr>
          <w:rFonts w:hint="eastAsia" w:ascii="黑体" w:hAnsi="宋体" w:eastAsia="黑体" w:cs="宋体"/>
          <w:b/>
          <w:bCs/>
          <w:kern w:val="0"/>
          <w:sz w:val="32"/>
        </w:rPr>
        <w:t>四、评价结论及建议</w:t>
      </w:r>
    </w:p>
    <w:p>
      <w:pPr>
        <w:pBdr>
          <w:bottom w:val="single" w:color="FFFFFF" w:sz="4" w:space="29"/>
        </w:pBdr>
        <w:tabs>
          <w:tab w:val="left" w:pos="1440"/>
        </w:tabs>
        <w:wordWrap w:val="0"/>
        <w:autoSpaceDE w:val="0"/>
        <w:autoSpaceDN w:val="0"/>
        <w:ind w:firstLine="643" w:firstLineChars="200"/>
        <w:jc w:val="left"/>
        <w:rPr>
          <w:rFonts w:ascii="仿宋_GB2312" w:hAnsi="宋体" w:eastAsia="仿宋_GB2312" w:cs="宋体"/>
          <w:kern w:val="0"/>
          <w:sz w:val="32"/>
        </w:rPr>
      </w:pPr>
      <w:r>
        <w:rPr>
          <w:rFonts w:hint="eastAsia" w:ascii="楷体" w:hAnsi="楷体" w:eastAsia="楷体" w:cs="楷体"/>
          <w:b/>
          <w:bCs/>
          <w:kern w:val="0"/>
          <w:sz w:val="32"/>
          <w:lang w:val="zh-CN"/>
        </w:rPr>
        <w:t>（一）评价结论。</w:t>
      </w:r>
      <w:r>
        <w:rPr>
          <w:rFonts w:hint="eastAsia" w:ascii="仿宋_GB2312" w:hAnsi="仿宋_GB2312" w:eastAsia="仿宋_GB2312" w:cs="仿宋_GB2312"/>
          <w:kern w:val="0"/>
          <w:sz w:val="32"/>
        </w:rPr>
        <w:t>整体评价良好，</w:t>
      </w:r>
      <w:r>
        <w:rPr>
          <w:rFonts w:hint="eastAsia" w:ascii="仿宋_GB2312" w:hAnsi="宋体" w:eastAsia="仿宋_GB2312" w:cs="宋体"/>
          <w:kern w:val="0"/>
          <w:sz w:val="32"/>
        </w:rPr>
        <w:t>预算支出和决算支出情况相符。</w:t>
      </w:r>
    </w:p>
    <w:p>
      <w:pPr>
        <w:pBdr>
          <w:bottom w:val="single" w:color="FFFFFF" w:sz="4" w:space="29"/>
        </w:pBdr>
        <w:tabs>
          <w:tab w:val="left" w:pos="1440"/>
        </w:tabs>
        <w:wordWrap w:val="0"/>
        <w:autoSpaceDE w:val="0"/>
        <w:autoSpaceDN w:val="0"/>
        <w:ind w:firstLine="643" w:firstLineChars="200"/>
        <w:jc w:val="left"/>
        <w:rPr>
          <w:rFonts w:ascii="仿宋_GB2312" w:hAnsi="仿宋_GB2312" w:eastAsia="仿宋_GB2312" w:cs="仿宋_GB2312"/>
          <w:kern w:val="0"/>
          <w:sz w:val="32"/>
          <w:lang w:val="zh-CN"/>
        </w:rPr>
      </w:pPr>
      <w:r>
        <w:rPr>
          <w:rFonts w:hint="eastAsia" w:ascii="楷体" w:hAnsi="楷体" w:eastAsia="楷体" w:cs="楷体"/>
          <w:b/>
          <w:bCs/>
          <w:kern w:val="0"/>
          <w:sz w:val="32"/>
          <w:lang w:val="zh-CN"/>
        </w:rPr>
        <w:t>（二）存在问题。</w:t>
      </w:r>
      <w:r>
        <w:rPr>
          <w:rFonts w:hint="eastAsia" w:ascii="楷体" w:hAnsi="楷体" w:eastAsia="楷体" w:cs="楷体"/>
          <w:kern w:val="0"/>
          <w:sz w:val="32"/>
        </w:rPr>
        <w:t>2020年</w:t>
      </w:r>
      <w:r>
        <w:rPr>
          <w:rFonts w:hint="eastAsia" w:ascii="仿宋_GB2312" w:hAnsi="仿宋_GB2312" w:eastAsia="仿宋_GB2312" w:cs="仿宋_GB2312"/>
          <w:kern w:val="0"/>
          <w:sz w:val="32"/>
          <w:lang w:val="zh-CN"/>
        </w:rPr>
        <w:t>财政预算资金支付大部分集中在下半年，上半年资金支付力度较小；</w:t>
      </w:r>
    </w:p>
    <w:p>
      <w:pPr>
        <w:numPr>
          <w:ilvl w:val="0"/>
          <w:numId w:val="8"/>
        </w:numPr>
        <w:pBdr>
          <w:bottom w:val="single" w:color="FFFFFF" w:sz="4" w:space="29"/>
        </w:pBdr>
        <w:tabs>
          <w:tab w:val="left" w:pos="1440"/>
        </w:tabs>
        <w:wordWrap w:val="0"/>
        <w:autoSpaceDE w:val="0"/>
        <w:autoSpaceDN w:val="0"/>
        <w:ind w:firstLine="643" w:firstLineChars="200"/>
        <w:jc w:val="left"/>
        <w:rPr>
          <w:rFonts w:ascii="仿宋_GB2312" w:hAnsi="仿宋_GB2312" w:eastAsia="仿宋_GB2312" w:cs="仿宋_GB2312"/>
          <w:kern w:val="0"/>
          <w:sz w:val="32"/>
        </w:rPr>
      </w:pPr>
      <w:r>
        <w:rPr>
          <w:rFonts w:hint="eastAsia" w:ascii="楷体" w:hAnsi="楷体" w:eastAsia="楷体" w:cs="楷体"/>
          <w:b/>
          <w:bCs/>
          <w:kern w:val="0"/>
          <w:sz w:val="32"/>
          <w:lang w:val="zh-CN"/>
        </w:rPr>
        <w:t>改进建议。</w:t>
      </w:r>
      <w:r>
        <w:rPr>
          <w:rFonts w:hint="eastAsia" w:ascii="仿宋_GB2312" w:hAnsi="仿宋_GB2312" w:eastAsia="仿宋_GB2312" w:cs="仿宋_GB2312"/>
          <w:kern w:val="0"/>
          <w:sz w:val="32"/>
        </w:rPr>
        <w:t>加大上半年资金支付力度，加强会计核算的规范化。</w:t>
      </w:r>
    </w:p>
    <w:p>
      <w:pPr>
        <w:spacing w:line="600" w:lineRule="exact"/>
        <w:jc w:val="center"/>
        <w:outlineLvl w:val="0"/>
        <w:rPr>
          <w:rFonts w:ascii="黑体" w:eastAsia="黑体"/>
          <w:color w:val="000000"/>
          <w:sz w:val="44"/>
          <w:szCs w:val="44"/>
        </w:rPr>
      </w:pPr>
    </w:p>
    <w:p>
      <w:pPr>
        <w:spacing w:line="600" w:lineRule="exact"/>
        <w:jc w:val="center"/>
        <w:outlineLvl w:val="0"/>
        <w:rPr>
          <w:rStyle w:val="17"/>
          <w:rFonts w:ascii="黑体" w:eastAsia="黑体"/>
          <w:b w:val="0"/>
        </w:rPr>
      </w:pPr>
      <w:r>
        <w:rPr>
          <w:rFonts w:hint="eastAsia" w:ascii="黑体" w:eastAsia="黑体"/>
          <w:color w:val="000000"/>
          <w:sz w:val="44"/>
          <w:szCs w:val="44"/>
        </w:rPr>
        <w:t>第</w:t>
      </w:r>
      <w:r>
        <w:rPr>
          <w:rStyle w:val="17"/>
          <w:rFonts w:hint="eastAsia" w:ascii="黑体" w:eastAsia="黑体"/>
          <w:b w:val="0"/>
        </w:rPr>
        <w:t>五部分 附表</w:t>
      </w:r>
      <w:bookmarkEnd w:id="60"/>
    </w:p>
    <w:p>
      <w:pPr>
        <w:pStyle w:val="4"/>
        <w:rPr>
          <w:rFonts w:ascii="仿宋" w:eastAsia="仿宋"/>
          <w:color w:val="000000"/>
        </w:rPr>
      </w:pPr>
      <w:r>
        <w:rPr>
          <w:rFonts w:hint="eastAsia" w:ascii="仿宋" w:eastAsia="仿宋"/>
          <w:b w:val="0"/>
          <w:color w:val="000000"/>
        </w:rPr>
        <w:t>一、收</w:t>
      </w:r>
      <w:r>
        <w:rPr>
          <w:rStyle w:val="18"/>
          <w:rFonts w:hint="eastAsia" w:ascii="仿宋" w:eastAsia="仿宋"/>
          <w:b w:val="0"/>
          <w:bCs w:val="0"/>
        </w:rPr>
        <w:t>入支出决算总表</w:t>
      </w:r>
      <w:bookmarkEnd w:id="61"/>
    </w:p>
    <w:p>
      <w:pPr>
        <w:pStyle w:val="4"/>
        <w:rPr>
          <w:rFonts w:ascii="仿宋" w:eastAsia="仿宋"/>
          <w:color w:val="000000"/>
        </w:rPr>
      </w:pPr>
      <w:bookmarkStart w:id="62" w:name="_Toc15396620"/>
      <w:r>
        <w:rPr>
          <w:rFonts w:hint="eastAsia" w:ascii="仿宋" w:eastAsia="仿宋"/>
          <w:b w:val="0"/>
          <w:color w:val="000000"/>
        </w:rPr>
        <w:t>二、收</w:t>
      </w:r>
      <w:r>
        <w:rPr>
          <w:rStyle w:val="18"/>
          <w:rFonts w:hint="eastAsia" w:ascii="仿宋" w:eastAsia="仿宋"/>
          <w:b w:val="0"/>
          <w:bCs w:val="0"/>
        </w:rPr>
        <w:t>入总表</w:t>
      </w:r>
      <w:bookmarkEnd w:id="62"/>
    </w:p>
    <w:p>
      <w:pPr>
        <w:pStyle w:val="4"/>
        <w:rPr>
          <w:rFonts w:ascii="仿宋" w:eastAsia="仿宋"/>
          <w:color w:val="000000"/>
        </w:rPr>
      </w:pPr>
      <w:bookmarkStart w:id="63" w:name="_Toc15396621"/>
      <w:r>
        <w:rPr>
          <w:rStyle w:val="18"/>
          <w:rFonts w:hint="eastAsia" w:ascii="仿宋" w:eastAsia="仿宋"/>
          <w:b w:val="0"/>
          <w:bCs w:val="0"/>
        </w:rPr>
        <w:t>三、</w:t>
      </w:r>
      <w:r>
        <w:rPr>
          <w:rFonts w:hint="eastAsia" w:ascii="仿宋" w:eastAsia="仿宋"/>
          <w:b w:val="0"/>
          <w:color w:val="000000"/>
        </w:rPr>
        <w:t>支</w:t>
      </w:r>
      <w:r>
        <w:rPr>
          <w:rStyle w:val="18"/>
          <w:rFonts w:hint="eastAsia" w:ascii="仿宋" w:eastAsia="仿宋"/>
          <w:b w:val="0"/>
          <w:bCs w:val="0"/>
        </w:rPr>
        <w:t>出总表</w:t>
      </w:r>
      <w:bookmarkEnd w:id="63"/>
    </w:p>
    <w:p>
      <w:pPr>
        <w:pStyle w:val="4"/>
        <w:rPr>
          <w:rFonts w:ascii="仿宋" w:eastAsia="仿宋"/>
          <w:b w:val="0"/>
          <w:color w:val="000000"/>
        </w:rPr>
      </w:pPr>
      <w:bookmarkStart w:id="64" w:name="_Toc15396622"/>
      <w:r>
        <w:rPr>
          <w:rStyle w:val="18"/>
          <w:rFonts w:hint="eastAsia" w:ascii="仿宋" w:eastAsia="仿宋"/>
          <w:b w:val="0"/>
          <w:bCs w:val="0"/>
        </w:rPr>
        <w:t>四、</w:t>
      </w:r>
      <w:r>
        <w:rPr>
          <w:rFonts w:hint="eastAsia" w:ascii="仿宋" w:eastAsia="仿宋"/>
          <w:b w:val="0"/>
          <w:color w:val="000000"/>
        </w:rPr>
        <w:t>财</w:t>
      </w:r>
      <w:r>
        <w:rPr>
          <w:rStyle w:val="18"/>
          <w:rFonts w:hint="eastAsia" w:ascii="仿宋" w:eastAsia="仿宋"/>
          <w:b w:val="0"/>
          <w:bCs w:val="0"/>
        </w:rPr>
        <w:t>政拨款收入支出决算总表</w:t>
      </w:r>
      <w:bookmarkEnd w:id="64"/>
    </w:p>
    <w:p>
      <w:pPr>
        <w:pStyle w:val="4"/>
        <w:rPr>
          <w:rFonts w:ascii="仿宋" w:eastAsia="仿宋"/>
          <w:color w:val="000000"/>
        </w:rPr>
      </w:pPr>
      <w:bookmarkStart w:id="65" w:name="_Toc15396623"/>
      <w:r>
        <w:rPr>
          <w:rStyle w:val="18"/>
          <w:rFonts w:hint="eastAsia" w:ascii="仿宋" w:eastAsia="仿宋"/>
          <w:b w:val="0"/>
          <w:bCs w:val="0"/>
        </w:rPr>
        <w:t>五、</w:t>
      </w:r>
      <w:r>
        <w:rPr>
          <w:rFonts w:hint="eastAsia" w:ascii="仿宋" w:eastAsia="仿宋"/>
          <w:b w:val="0"/>
          <w:color w:val="000000"/>
        </w:rPr>
        <w:t>财</w:t>
      </w:r>
      <w:r>
        <w:rPr>
          <w:rStyle w:val="18"/>
          <w:rFonts w:hint="eastAsia" w:ascii="仿宋" w:eastAsia="仿宋"/>
          <w:b w:val="0"/>
          <w:bCs w:val="0"/>
        </w:rPr>
        <w:t>政拨款支出决算明细表（政府经济分类科目）</w:t>
      </w:r>
      <w:bookmarkEnd w:id="65"/>
    </w:p>
    <w:p>
      <w:pPr>
        <w:pStyle w:val="4"/>
        <w:rPr>
          <w:rFonts w:ascii="仿宋" w:eastAsia="仿宋"/>
          <w:color w:val="000000"/>
        </w:rPr>
      </w:pPr>
      <w:bookmarkStart w:id="66" w:name="_Toc15396624"/>
      <w:r>
        <w:rPr>
          <w:rStyle w:val="18"/>
          <w:rFonts w:hint="eastAsia" w:ascii="仿宋" w:eastAsia="仿宋"/>
          <w:b w:val="0"/>
          <w:bCs w:val="0"/>
        </w:rPr>
        <w:t>六、</w:t>
      </w:r>
      <w:r>
        <w:rPr>
          <w:rFonts w:hint="eastAsia" w:ascii="仿宋" w:eastAsia="仿宋"/>
          <w:b w:val="0"/>
          <w:color w:val="000000"/>
        </w:rPr>
        <w:t>一</w:t>
      </w:r>
      <w:r>
        <w:rPr>
          <w:rStyle w:val="18"/>
          <w:rFonts w:hint="eastAsia" w:ascii="仿宋" w:eastAsia="仿宋"/>
          <w:b w:val="0"/>
          <w:bCs w:val="0"/>
        </w:rPr>
        <w:t>般公共预算财政拨款支出决算表</w:t>
      </w:r>
      <w:bookmarkEnd w:id="66"/>
    </w:p>
    <w:p>
      <w:pPr>
        <w:pStyle w:val="4"/>
        <w:rPr>
          <w:rFonts w:ascii="仿宋" w:eastAsia="仿宋"/>
          <w:color w:val="000000"/>
        </w:rPr>
      </w:pPr>
      <w:bookmarkStart w:id="67" w:name="_Toc15396625"/>
      <w:r>
        <w:rPr>
          <w:rStyle w:val="18"/>
          <w:rFonts w:hint="eastAsia" w:ascii="仿宋" w:eastAsia="仿宋"/>
          <w:b w:val="0"/>
          <w:bCs w:val="0"/>
        </w:rPr>
        <w:t>七、</w:t>
      </w:r>
      <w:r>
        <w:rPr>
          <w:rFonts w:hint="eastAsia" w:ascii="仿宋" w:eastAsia="仿宋"/>
          <w:b w:val="0"/>
          <w:color w:val="000000"/>
        </w:rPr>
        <w:t>一</w:t>
      </w:r>
      <w:r>
        <w:rPr>
          <w:rStyle w:val="18"/>
          <w:rFonts w:hint="eastAsia" w:ascii="仿宋" w:eastAsia="仿宋"/>
          <w:b w:val="0"/>
          <w:bCs w:val="0"/>
        </w:rPr>
        <w:t>般公共预算财政拨款支出决算明细表</w:t>
      </w:r>
      <w:bookmarkEnd w:id="67"/>
    </w:p>
    <w:p>
      <w:pPr>
        <w:pStyle w:val="4"/>
        <w:rPr>
          <w:rFonts w:ascii="仿宋" w:eastAsia="仿宋"/>
          <w:color w:val="000000"/>
        </w:rPr>
      </w:pPr>
      <w:bookmarkStart w:id="68" w:name="_Toc15396626"/>
      <w:r>
        <w:rPr>
          <w:rStyle w:val="18"/>
          <w:rFonts w:hint="eastAsia" w:ascii="仿宋" w:eastAsia="仿宋"/>
          <w:b w:val="0"/>
          <w:bCs w:val="0"/>
        </w:rPr>
        <w:t>八、</w:t>
      </w:r>
      <w:r>
        <w:rPr>
          <w:rFonts w:hint="eastAsia" w:ascii="仿宋" w:eastAsia="仿宋"/>
          <w:b w:val="0"/>
          <w:color w:val="000000"/>
        </w:rPr>
        <w:t>一</w:t>
      </w:r>
      <w:r>
        <w:rPr>
          <w:rStyle w:val="18"/>
          <w:rFonts w:hint="eastAsia" w:ascii="仿宋" w:eastAsia="仿宋"/>
          <w:b w:val="0"/>
          <w:bCs w:val="0"/>
        </w:rPr>
        <w:t>般公共预算财政拨款基本支出决算表</w:t>
      </w:r>
      <w:bookmarkEnd w:id="68"/>
    </w:p>
    <w:p>
      <w:pPr>
        <w:pStyle w:val="4"/>
        <w:rPr>
          <w:rFonts w:ascii="仿宋" w:eastAsia="仿宋"/>
          <w:color w:val="000000"/>
        </w:rPr>
      </w:pPr>
      <w:bookmarkStart w:id="69" w:name="_Toc15396627"/>
      <w:r>
        <w:rPr>
          <w:rStyle w:val="18"/>
          <w:rFonts w:hint="eastAsia" w:ascii="仿宋" w:eastAsia="仿宋"/>
          <w:b w:val="0"/>
          <w:bCs w:val="0"/>
        </w:rPr>
        <w:t>九、</w:t>
      </w:r>
      <w:r>
        <w:rPr>
          <w:rFonts w:hint="eastAsia" w:ascii="仿宋" w:eastAsia="仿宋"/>
          <w:b w:val="0"/>
          <w:color w:val="000000"/>
        </w:rPr>
        <w:t>一</w:t>
      </w:r>
      <w:r>
        <w:rPr>
          <w:rStyle w:val="18"/>
          <w:rFonts w:hint="eastAsia" w:ascii="仿宋" w:eastAsia="仿宋"/>
          <w:b w:val="0"/>
          <w:bCs w:val="0"/>
        </w:rPr>
        <w:t>般公共预算财政拨款项目支出决算表</w:t>
      </w:r>
      <w:bookmarkEnd w:id="69"/>
    </w:p>
    <w:p>
      <w:pPr>
        <w:pStyle w:val="4"/>
        <w:rPr>
          <w:rFonts w:ascii="仿宋" w:eastAsia="仿宋"/>
          <w:color w:val="000000"/>
        </w:rPr>
      </w:pPr>
      <w:bookmarkStart w:id="70" w:name="_Toc15396628"/>
      <w:r>
        <w:rPr>
          <w:rStyle w:val="18"/>
          <w:rFonts w:hint="eastAsia" w:ascii="仿宋" w:eastAsia="仿宋"/>
          <w:b w:val="0"/>
          <w:bCs w:val="0"/>
        </w:rPr>
        <w:t>十、</w:t>
      </w:r>
      <w:r>
        <w:rPr>
          <w:rFonts w:hint="eastAsia" w:ascii="仿宋" w:eastAsia="仿宋"/>
          <w:b w:val="0"/>
          <w:color w:val="000000"/>
        </w:rPr>
        <w:t>一</w:t>
      </w:r>
      <w:r>
        <w:rPr>
          <w:rStyle w:val="18"/>
          <w:rFonts w:hint="eastAsia" w:ascii="仿宋" w:eastAsia="仿宋"/>
          <w:b w:val="0"/>
          <w:bCs w:val="0"/>
        </w:rPr>
        <w:t>般公共预算财政拨款“三公”经费支出决算表</w:t>
      </w:r>
      <w:bookmarkEnd w:id="70"/>
    </w:p>
    <w:p>
      <w:pPr>
        <w:pStyle w:val="4"/>
        <w:rPr>
          <w:rFonts w:ascii="仿宋" w:eastAsia="仿宋"/>
          <w:color w:val="000000"/>
        </w:rPr>
      </w:pPr>
      <w:bookmarkStart w:id="71" w:name="_Toc15396629"/>
      <w:r>
        <w:rPr>
          <w:rStyle w:val="18"/>
          <w:rFonts w:hint="eastAsia" w:ascii="仿宋" w:eastAsia="仿宋"/>
          <w:b w:val="0"/>
          <w:bCs w:val="0"/>
        </w:rPr>
        <w:t>十一、</w:t>
      </w:r>
      <w:r>
        <w:rPr>
          <w:rFonts w:hint="eastAsia" w:ascii="仿宋" w:eastAsia="仿宋"/>
          <w:b w:val="0"/>
          <w:color w:val="000000"/>
        </w:rPr>
        <w:t>政</w:t>
      </w:r>
      <w:r>
        <w:rPr>
          <w:rStyle w:val="18"/>
          <w:rFonts w:hint="eastAsia" w:ascii="仿宋" w:eastAsia="仿宋"/>
          <w:b w:val="0"/>
          <w:bCs w:val="0"/>
        </w:rPr>
        <w:t>府性基金预算财政拨款收入支出决算表</w:t>
      </w:r>
      <w:bookmarkEnd w:id="71"/>
    </w:p>
    <w:p>
      <w:pPr>
        <w:pStyle w:val="4"/>
        <w:rPr>
          <w:rFonts w:ascii="仿宋" w:eastAsia="仿宋"/>
          <w:color w:val="000000"/>
        </w:rPr>
      </w:pPr>
      <w:bookmarkStart w:id="72" w:name="_Toc15396630"/>
      <w:r>
        <w:rPr>
          <w:rStyle w:val="18"/>
          <w:rFonts w:hint="eastAsia" w:ascii="仿宋" w:eastAsia="仿宋"/>
          <w:b w:val="0"/>
          <w:bCs w:val="0"/>
        </w:rPr>
        <w:t>十二、</w:t>
      </w:r>
      <w:r>
        <w:rPr>
          <w:rFonts w:hint="eastAsia" w:ascii="仿宋" w:eastAsia="仿宋"/>
          <w:b w:val="0"/>
          <w:color w:val="000000"/>
        </w:rPr>
        <w:t>政</w:t>
      </w:r>
      <w:r>
        <w:rPr>
          <w:rStyle w:val="18"/>
          <w:rFonts w:hint="eastAsia" w:ascii="仿宋" w:eastAsia="仿宋"/>
          <w:b w:val="0"/>
          <w:bCs w:val="0"/>
        </w:rPr>
        <w:t>府性基金预算财政拨款“三公”经费支出决算表</w:t>
      </w:r>
      <w:bookmarkEnd w:id="72"/>
    </w:p>
    <w:p>
      <w:pPr>
        <w:pStyle w:val="4"/>
        <w:rPr>
          <w:rFonts w:ascii="仿宋" w:eastAsia="仿宋"/>
          <w:color w:val="000000"/>
        </w:rPr>
      </w:pPr>
      <w:bookmarkStart w:id="73" w:name="_Toc15396631"/>
      <w:r>
        <w:rPr>
          <w:rStyle w:val="18"/>
          <w:rFonts w:hint="eastAsia" w:ascii="仿宋" w:eastAsia="仿宋"/>
          <w:b w:val="0"/>
          <w:bCs w:val="0"/>
        </w:rPr>
        <w:t>十三、</w:t>
      </w:r>
      <w:r>
        <w:rPr>
          <w:rFonts w:hint="eastAsia" w:ascii="仿宋" w:eastAsia="仿宋"/>
          <w:b w:val="0"/>
          <w:color w:val="000000"/>
        </w:rPr>
        <w:t>国</w:t>
      </w:r>
      <w:r>
        <w:rPr>
          <w:rStyle w:val="18"/>
          <w:rFonts w:hint="eastAsia" w:ascii="仿宋" w:eastAsia="仿宋"/>
          <w:b w:val="0"/>
          <w:bCs w:val="0"/>
        </w:rPr>
        <w:t>有资本经营预算支出决算表</w:t>
      </w:r>
      <w:bookmarkEnd w:id="73"/>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Quick Parts"/>
      </w:docPartList>
    </w:sdtPr>
    <w:sdtContent>
      <w:p>
        <w:pPr>
          <w:pStyle w:val="9"/>
          <w:jc w:val="center"/>
        </w:pPr>
        <w:r>
          <w:fldChar w:fldCharType="begin"/>
        </w:r>
        <w:r>
          <w:instrText xml:space="preserve">PAGE   \* MERGEFORMAT</w:instrText>
        </w:r>
        <w:r>
          <w:fldChar w:fldCharType="separate"/>
        </w:r>
        <w:r>
          <w:rPr>
            <w:lang w:val="zh-CN"/>
          </w:rPr>
          <w:t>14</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60F902"/>
    <w:multiLevelType w:val="singleLevel"/>
    <w:tmpl w:val="B660F902"/>
    <w:lvl w:ilvl="0" w:tentative="0">
      <w:start w:val="2"/>
      <w:numFmt w:val="decimal"/>
      <w:suff w:val="nothing"/>
      <w:lvlText w:val="%1、"/>
      <w:lvlJc w:val="left"/>
    </w:lvl>
  </w:abstractNum>
  <w:abstractNum w:abstractNumId="1">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3">
    <w:nsid w:val="FF1FF684"/>
    <w:multiLevelType w:val="singleLevel"/>
    <w:tmpl w:val="FF1FF684"/>
    <w:lvl w:ilvl="0" w:tentative="0">
      <w:start w:val="1"/>
      <w:numFmt w:val="decimal"/>
      <w:suff w:val="nothing"/>
      <w:lvlText w:val="%1、"/>
      <w:lvlJc w:val="left"/>
    </w:lvl>
  </w:abstractNum>
  <w:abstractNum w:abstractNumId="4">
    <w:nsid w:val="0F29D89B"/>
    <w:multiLevelType w:val="singleLevel"/>
    <w:tmpl w:val="0F29D89B"/>
    <w:lvl w:ilvl="0" w:tentative="0">
      <w:start w:val="1"/>
      <w:numFmt w:val="chineseCounting"/>
      <w:suff w:val="nothing"/>
      <w:lvlText w:val="（%1）"/>
      <w:lvlJc w:val="left"/>
      <w:rPr>
        <w:rFonts w:hint="eastAsia" w:cs="Times New Roman"/>
      </w:rPr>
    </w:lvl>
  </w:abstractNum>
  <w:abstractNum w:abstractNumId="5">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6">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7">
    <w:nsid w:val="466C9CCA"/>
    <w:multiLevelType w:val="singleLevel"/>
    <w:tmpl w:val="466C9CCA"/>
    <w:lvl w:ilvl="0" w:tentative="0">
      <w:start w:val="2"/>
      <w:numFmt w:val="chineseCounting"/>
      <w:suff w:val="nothing"/>
      <w:lvlText w:val="（%1）"/>
      <w:lvlJc w:val="left"/>
      <w:rPr>
        <w:rFonts w:hint="eastAsia" w:cs="Times New Roman"/>
      </w:rPr>
    </w:lvl>
  </w:abstractNum>
  <w:abstractNum w:abstractNumId="8">
    <w:nsid w:val="7D67F48E"/>
    <w:multiLevelType w:val="singleLevel"/>
    <w:tmpl w:val="7D67F48E"/>
    <w:lvl w:ilvl="0" w:tentative="0">
      <w:start w:val="1"/>
      <w:numFmt w:val="decimal"/>
      <w:lvlText w:val="%1."/>
      <w:lvlJc w:val="left"/>
      <w:pPr>
        <w:tabs>
          <w:tab w:val="left" w:pos="312"/>
        </w:tabs>
      </w:pPr>
    </w:lvl>
  </w:abstractNum>
  <w:num w:numId="1">
    <w:abstractNumId w:val="3"/>
  </w:num>
  <w:num w:numId="2">
    <w:abstractNumId w:val="5"/>
  </w:num>
  <w:num w:numId="3">
    <w:abstractNumId w:val="1"/>
  </w:num>
  <w:num w:numId="4">
    <w:abstractNumId w:val="6"/>
  </w:num>
  <w:num w:numId="5">
    <w:abstractNumId w:val="2"/>
  </w:num>
  <w:num w:numId="6">
    <w:abstractNumId w:val="7"/>
  </w:num>
  <w:num w:numId="7">
    <w:abstractNumId w:val="8"/>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FD3E2C"/>
    <w:rsid w:val="00203E28"/>
    <w:rsid w:val="00574403"/>
    <w:rsid w:val="00FD3E2C"/>
    <w:rsid w:val="127A66CA"/>
    <w:rsid w:val="19522323"/>
    <w:rsid w:val="215903A5"/>
    <w:rsid w:val="21B06502"/>
    <w:rsid w:val="277F4EBC"/>
    <w:rsid w:val="301140C9"/>
    <w:rsid w:val="321E4D1E"/>
    <w:rsid w:val="334E63C1"/>
    <w:rsid w:val="37A774A0"/>
    <w:rsid w:val="385F0D4A"/>
    <w:rsid w:val="38C22763"/>
    <w:rsid w:val="43C63E19"/>
    <w:rsid w:val="49DA36B9"/>
    <w:rsid w:val="4C846695"/>
    <w:rsid w:val="4EC44A07"/>
    <w:rsid w:val="55A414FE"/>
    <w:rsid w:val="5C693E57"/>
    <w:rsid w:val="6DCB5598"/>
    <w:rsid w:val="6DD31787"/>
    <w:rsid w:val="6F9818F8"/>
    <w:rsid w:val="729E4BBC"/>
    <w:rsid w:val="74923199"/>
    <w:rsid w:val="78265C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7"/>
    <w:uiPriority w:val="0"/>
    <w:pPr>
      <w:keepNext/>
      <w:keepLines/>
      <w:spacing w:before="340" w:after="330" w:line="578" w:lineRule="auto"/>
      <w:outlineLvl w:val="0"/>
    </w:pPr>
    <w:rPr>
      <w:b/>
      <w:bCs/>
      <w:kern w:val="44"/>
      <w:sz w:val="44"/>
      <w:szCs w:val="44"/>
    </w:rPr>
  </w:style>
  <w:style w:type="paragraph" w:styleId="4">
    <w:name w:val="heading 2"/>
    <w:basedOn w:val="1"/>
    <w:next w:val="1"/>
    <w:link w:val="18"/>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uiPriority w:val="0"/>
    <w:pPr>
      <w:keepNext/>
      <w:keepLines/>
      <w:spacing w:before="260" w:after="260" w:line="415" w:lineRule="auto"/>
      <w:outlineLvl w:val="2"/>
    </w:pPr>
    <w:rPr>
      <w:b/>
      <w:bCs/>
      <w:sz w:val="32"/>
      <w:szCs w:val="32"/>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6">
    <w:name w:val="Body Text"/>
    <w:basedOn w:val="1"/>
    <w:qFormat/>
    <w:uiPriority w:val="0"/>
    <w:pPr>
      <w:spacing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标题 1 Char"/>
    <w:basedOn w:val="14"/>
    <w:link w:val="3"/>
    <w:qFormat/>
    <w:uiPriority w:val="0"/>
    <w:rPr>
      <w:rFonts w:ascii="Times New Roman" w:hAnsi="Times New Roman" w:eastAsia="宋体" w:cs="Times New Roman"/>
      <w:b/>
      <w:bCs/>
      <w:kern w:val="44"/>
      <w:sz w:val="44"/>
      <w:szCs w:val="44"/>
      <w:lang w:val="en-US" w:eastAsia="zh-CN" w:bidi="ar-SA"/>
    </w:rPr>
  </w:style>
  <w:style w:type="character" w:customStyle="1" w:styleId="18">
    <w:name w:val="标题 2 Char"/>
    <w:basedOn w:val="14"/>
    <w:link w:val="4"/>
    <w:qFormat/>
    <w:uiPriority w:val="0"/>
    <w:rPr>
      <w:rFonts w:ascii="Cambria" w:hAnsi="Cambria" w:eastAsia="宋体" w:cs="Times New Roman"/>
      <w:b/>
      <w:bCs/>
      <w:kern w:val="2"/>
      <w:sz w:val="32"/>
      <w:szCs w:val="32"/>
      <w:lang w:val="en-US" w:eastAsia="zh-CN" w:bidi="ar-SA"/>
    </w:rPr>
  </w:style>
  <w:style w:type="character" w:customStyle="1" w:styleId="19">
    <w:name w:val="Header Char"/>
    <w:basedOn w:val="14"/>
    <w:qFormat/>
    <w:uiPriority w:val="0"/>
    <w:rPr>
      <w:rFonts w:ascii="Times New Roman" w:hAnsi="Times New Roman"/>
      <w:sz w:val="18"/>
      <w:szCs w:val="18"/>
    </w:rPr>
  </w:style>
  <w:style w:type="character" w:customStyle="1" w:styleId="20">
    <w:name w:val="Footer Char"/>
    <w:basedOn w:val="14"/>
    <w:qFormat/>
    <w:uiPriority w:val="0"/>
    <w:rPr>
      <w:rFonts w:ascii="Times New Roman" w:hAnsi="Times New Roman"/>
      <w:sz w:val="18"/>
      <w:szCs w:val="18"/>
    </w:rPr>
  </w:style>
  <w:style w:type="character" w:customStyle="1" w:styleId="21">
    <w:name w:val="Body Text Char"/>
    <w:basedOn w:val="14"/>
    <w:qFormat/>
    <w:uiPriority w:val="0"/>
    <w:rPr>
      <w:rFonts w:ascii="Times New Roman" w:hAnsi="Times New Roman"/>
      <w:szCs w:val="24"/>
    </w:rPr>
  </w:style>
  <w:style w:type="paragraph" w:customStyle="1" w:styleId="2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3">
    <w:name w:val="List Paragraph"/>
    <w:basedOn w:val="1"/>
    <w:qFormat/>
    <w:uiPriority w:val="0"/>
    <w:pPr>
      <w:ind w:firstLine="200" w:firstLineChars="200"/>
    </w:pPr>
  </w:style>
  <w:style w:type="paragraph" w:customStyle="1" w:styleId="24">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收、支决算结构图</a:t>
            </a:r>
            <a:endParaRPr lang="zh-CN"/>
          </a:p>
        </c:rich>
      </c:tx>
      <c:layout/>
      <c:overlay val="0"/>
      <c:spPr>
        <a:noFill/>
        <a:ln>
          <a:noFill/>
        </a:ln>
      </c:spPr>
    </c:title>
    <c:autoTitleDeleted val="0"/>
    <c:plotArea>
      <c:layout>
        <c:manualLayout>
          <c:layoutTarget val="inner"/>
          <c:xMode val="edge"/>
          <c:yMode val="edge"/>
          <c:x val="0.0695155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delete val="1"/>
          </c:dLbls>
          <c:cat>
            <c:strRef>
              <c:f>Sheet1!$A$2:$A$3</c:f>
              <c:strCache>
                <c:ptCount val="2"/>
                <c:pt idx="0">
                  <c:v>2019年 </c:v>
                </c:pt>
                <c:pt idx="1">
                  <c:v>2020年</c:v>
                </c:pt>
              </c:strCache>
            </c:strRef>
          </c:cat>
          <c:val>
            <c:numRef>
              <c:f>Sheet1!$B$2:$B$3</c:f>
              <c:numCache>
                <c:formatCode>General</c:formatCode>
                <c:ptCount val="2"/>
                <c:pt idx="0">
                  <c:v>1067.92</c:v>
                </c:pt>
                <c:pt idx="1">
                  <c:v>939.95</c:v>
                </c:pt>
              </c:numCache>
            </c:numRef>
          </c:val>
        </c:ser>
        <c:ser>
          <c:idx val="1"/>
          <c:order val="1"/>
          <c:tx>
            <c:strRef>
              <c:f>Sheet1!$C$1</c:f>
              <c:strCache>
                <c:ptCount val="1"/>
                <c:pt idx="0">
                  <c:v>总支出</c:v>
                </c:pt>
              </c:strCache>
            </c:strRef>
          </c:tx>
          <c:spPr>
            <a:solidFill>
              <a:srgbClr val="C0504D"/>
            </a:solidFill>
            <a:ln>
              <a:noFill/>
            </a:ln>
          </c:spPr>
          <c:invertIfNegative val="0"/>
          <c:dLbls>
            <c:delete val="1"/>
          </c:dLbls>
          <c:cat>
            <c:strRef>
              <c:f>Sheet1!$A$2:$A$3</c:f>
              <c:strCache>
                <c:ptCount val="2"/>
                <c:pt idx="0">
                  <c:v>2019年 </c:v>
                </c:pt>
                <c:pt idx="1">
                  <c:v>2020年</c:v>
                </c:pt>
              </c:strCache>
            </c:strRef>
          </c:cat>
          <c:val>
            <c:numRef>
              <c:f>Sheet1!$C$2:$C$3</c:f>
              <c:numCache>
                <c:formatCode>General</c:formatCode>
                <c:ptCount val="2"/>
                <c:pt idx="0">
                  <c:v>1021.18</c:v>
                </c:pt>
                <c:pt idx="1">
                  <c:v>939.99</c:v>
                </c:pt>
              </c:numCache>
            </c:numRef>
          </c:val>
        </c:ser>
        <c:dLbls>
          <c:showLegendKey val="0"/>
          <c:showVal val="0"/>
          <c:showCatName val="0"/>
          <c:showSerName val="0"/>
          <c:showPercent val="0"/>
          <c:showBubbleSize val="0"/>
        </c:dLbls>
        <c:gapWidth val="219"/>
        <c:overlap val="-27"/>
        <c:axId val="92220416"/>
        <c:axId val="127538304"/>
      </c:barChart>
      <c:catAx>
        <c:axId val="92220416"/>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7538304"/>
        <c:crosses val="autoZero"/>
        <c:auto val="1"/>
        <c:lblAlgn val="ctr"/>
        <c:lblOffset val="100"/>
        <c:noMultiLvlLbl val="0"/>
      </c:catAx>
      <c:valAx>
        <c:axId val="127538304"/>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92220416"/>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939.95</c:v>
                </c:pt>
                <c:pt idx="1">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31990968"/>
                  <c:y val="-0.1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187.62</c:v>
                </c:pt>
                <c:pt idx="1">
                  <c:v>752.37</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2019年 </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1067.92</c:v>
                </c:pt>
                <c:pt idx="1">
                  <c:v>1102.18</c:v>
                </c:pt>
              </c:numCache>
            </c:numRef>
          </c:val>
        </c:ser>
        <c:ser>
          <c:idx val="1"/>
          <c:order val="1"/>
          <c:tx>
            <c:strRef>
              <c:f>'Sheet1 (4)'!$A$3</c:f>
              <c:strCache>
                <c:ptCount val="1"/>
                <c:pt idx="0">
                  <c:v>2020年</c:v>
                </c:pt>
              </c:strCache>
            </c:strRef>
          </c:tx>
          <c:spPr>
            <a:solidFill>
              <a:srgbClr val="C0504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939.95</c:v>
                </c:pt>
                <c:pt idx="1">
                  <c:v>939.99</c:v>
                </c:pt>
              </c:numCache>
            </c:numRef>
          </c:val>
        </c:ser>
        <c:dLbls>
          <c:showLegendKey val="0"/>
          <c:showVal val="1"/>
          <c:showCatName val="0"/>
          <c:showSerName val="0"/>
          <c:showPercent val="0"/>
          <c:showBubbleSize val="0"/>
        </c:dLbls>
        <c:gapWidth val="219"/>
        <c:overlap val="-27"/>
        <c:axId val="45431040"/>
        <c:axId val="45445120"/>
      </c:barChart>
      <c:catAx>
        <c:axId val="4543104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45445120"/>
        <c:crosses val="autoZero"/>
        <c:auto val="1"/>
        <c:lblAlgn val="ctr"/>
        <c:lblOffset val="100"/>
        <c:noMultiLvlLbl val="0"/>
      </c:catAx>
      <c:valAx>
        <c:axId val="45445120"/>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4543104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2019年</c:v>
                </c:pt>
                <c:pt idx="1">
                  <c:v>2020年</c:v>
                </c:pt>
              </c:strCache>
            </c:strRef>
          </c:cat>
          <c:val>
            <c:numRef>
              <c:f>'Sheet1 (5)'!$B$2:$B$3</c:f>
              <c:numCache>
                <c:formatCode>General</c:formatCode>
                <c:ptCount val="2"/>
                <c:pt idx="0">
                  <c:v>1102.18</c:v>
                </c:pt>
                <c:pt idx="1">
                  <c:v>939.99</c:v>
                </c:pt>
              </c:numCache>
            </c:numRef>
          </c:val>
        </c:ser>
        <c:dLbls>
          <c:showLegendKey val="0"/>
          <c:showVal val="1"/>
          <c:showCatName val="0"/>
          <c:showSerName val="0"/>
          <c:showPercent val="0"/>
          <c:showBubbleSize val="0"/>
        </c:dLbls>
        <c:gapWidth val="219"/>
        <c:overlap val="-27"/>
        <c:axId val="45515136"/>
        <c:axId val="45516672"/>
      </c:barChart>
      <c:catAx>
        <c:axId val="45515136"/>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45516672"/>
        <c:crosses val="autoZero"/>
        <c:auto val="1"/>
        <c:lblAlgn val="ctr"/>
        <c:lblOffset val="100"/>
        <c:noMultiLvlLbl val="0"/>
      </c:catAx>
      <c:valAx>
        <c:axId val="45516672"/>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45515136"/>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dLbl>
              <c:idx val="1"/>
              <c:layout>
                <c:manualLayout>
                  <c:x val="-0.020973645"/>
                  <c:y val="0.044190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
                  <c:y val="0.00496570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6"/>
                  <c:y val="-0.0416903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(6)'!$A$2:$A$5</c:f>
              <c:strCache>
                <c:ptCount val="4"/>
                <c:pt idx="0">
                  <c:v>其他支出</c:v>
                </c:pt>
                <c:pt idx="1">
                  <c:v>社会保障和就业</c:v>
                </c:pt>
                <c:pt idx="2">
                  <c:v>医疗卫生支出</c:v>
                </c:pt>
                <c:pt idx="3">
                  <c:v>住房保障支出</c:v>
                </c:pt>
              </c:strCache>
            </c:strRef>
          </c:cat>
          <c:val>
            <c:numRef>
              <c:f>'Sheet1 (6)'!$B$2:$B$5</c:f>
              <c:numCache>
                <c:formatCode>General</c:formatCode>
                <c:ptCount val="4"/>
                <c:pt idx="0">
                  <c:v>92.55</c:v>
                </c:pt>
                <c:pt idx="1">
                  <c:v>822.61</c:v>
                </c:pt>
                <c:pt idx="2">
                  <c:v>9.05</c:v>
                </c:pt>
                <c:pt idx="3">
                  <c:v>15.78</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dLbl>
              <c:idx val="2"/>
              <c:layout>
                <c:manualLayout>
                  <c:x val="-0.07035216"/>
                  <c:y val="0.005202266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c:v>
                </c:pt>
                <c:pt idx="1">
                  <c:v>2</c:v>
                </c:pt>
                <c:pt idx="2">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7689</Words>
  <Characters>2061</Characters>
  <Lines>17</Lines>
  <Paragraphs>19</Paragraphs>
  <TotalTime>5</TotalTime>
  <ScaleCrop>false</ScaleCrop>
  <LinksUpToDate>false</LinksUpToDate>
  <CharactersWithSpaces>9731</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平淡无奇</cp:lastModifiedBy>
  <cp:lastPrinted>2020-09-29T10:36:00Z</cp:lastPrinted>
  <dcterms:modified xsi:type="dcterms:W3CDTF">2021-09-27T03:21:42Z</dcterms:modified>
  <dc:title>四川省***</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7446358C982B43FBBF5486ACE152A102</vt:lpwstr>
  </property>
</Properties>
</file>