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body>
    <w:p>
      <w:pPr>
        <w:spacing w:line="560" w:lineRule="exact"/>
        <w:jc w:val="center"/>
        <w:rPr>
          <w:rFonts w:ascii="Times New Roman" w:eastAsia="方正小标宋_GBK" w:cs="Times New Roman" w:hAnsi="Times New Roman" w:hint="eastAsia"/>
          <w:sz w:val="44"/>
          <w:szCs w:val="44"/>
          <w:lang w:val="en-US" w:eastAsia="zh-CN"/>
        </w:rPr>
      </w:pPr>
      <w:r>
        <w:rPr>
          <w:rFonts w:ascii="Times New Roman" w:eastAsia="方正小标宋_GBK" w:cs="Times New Roman" w:hAnsi="Times New Roman"/>
          <w:sz w:val="44"/>
          <w:szCs w:val="44"/>
          <w:lang w:val="en-US" w:eastAsia="zh-CN"/>
        </w:rPr>
        <w:t>金川县</w:t>
      </w:r>
      <w:r>
        <w:rPr>
          <w:rFonts w:ascii="Times New Roman" w:eastAsia="方正小标宋_GBK" w:cs="Times New Roman" w:hAnsi="Times New Roman" w:hint="eastAsia"/>
          <w:sz w:val="44"/>
          <w:szCs w:val="44"/>
          <w:lang w:val="en-US" w:eastAsia="zh-CN"/>
        </w:rPr>
        <w:t>社会保险事务中心</w:t>
      </w:r>
    </w:p>
    <w:p>
      <w:pPr>
        <w:spacing w:line="560" w:lineRule="exact"/>
        <w:jc w:val="center"/>
        <w:rPr>
          <w:rFonts w:ascii="Times New Roman" w:eastAsia="方正小标宋_GBK" w:cs="Times New Roman" w:hAnsi="Times New Roman"/>
          <w:sz w:val="44"/>
          <w:szCs w:val="44"/>
          <w:lang w:eastAsia="zh-CN"/>
        </w:rPr>
      </w:pPr>
      <w:r>
        <w:rPr>
          <w:rFonts w:ascii="Times New Roman" w:eastAsia="方正小标宋_GBK" w:cs="Times New Roman" w:hAnsi="Times New Roman"/>
          <w:sz w:val="44"/>
          <w:szCs w:val="44"/>
          <w:lang w:val="en-US" w:eastAsia="zh-CN"/>
        </w:rPr>
        <w:t>2026年部门</w:t>
      </w:r>
      <w:r>
        <w:rPr>
          <w:rFonts w:ascii="Times New Roman" w:eastAsia="方正小标宋_GBK" w:cs="Times New Roman" w:hAnsi="Times New Roman"/>
          <w:sz w:val="44"/>
          <w:szCs w:val="44"/>
        </w:rPr>
        <w:t>预算绩效目标</w:t>
      </w:r>
      <w:bookmarkStart w:id="0" w:name="_GoBack"/>
      <w:bookmarkEnd w:id="0"/>
      <w:r>
        <w:rPr>
          <w:rFonts w:ascii="Times New Roman" w:eastAsia="方正小标宋_GBK" w:cs="Times New Roman" w:hAnsi="Times New Roman"/>
          <w:sz w:val="44"/>
          <w:szCs w:val="44"/>
        </w:rPr>
        <w:t>情况说明</w:t>
      </w:r>
    </w:p>
    <w:p>
      <w:pPr>
        <w:pStyle w:val="15"/>
        <w:tabs>
          <w:tab w:val="center" w:pos="4153"/>
          <w:tab w:val="right" w:pos="8306"/>
        </w:tabs>
        <w:jc w:val="left"/>
      </w:pP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202</w:t>
      </w:r>
      <w:r>
        <w:rPr>
          <w:rFonts w:asci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年，我单位部门预算364.28万元 ，均严格按绩效管理要求实现项目绩效目标管理，其中重点项目预算1个，现将情况说明如下：</w:t>
      </w:r>
    </w:p>
    <w:p>
      <w:pPr>
        <w:spacing w:line="560" w:lineRule="exact"/>
        <w:ind w:firstLineChars="200" w:firstLine="640"/>
        <w:rPr>
          <w:rFonts w:ascii="黑体" w:eastAsia="黑体" w:cs="黑体" w:hint="eastAsia"/>
          <w:sz w:val="32"/>
          <w:szCs w:val="32"/>
          <w:lang w:val="en-US" w:eastAsia="zh-CN"/>
        </w:rPr>
      </w:pPr>
      <w:r>
        <w:rPr>
          <w:rFonts w:ascii="黑体" w:eastAsia="黑体" w:cs="黑体" w:hint="eastAsia"/>
          <w:sz w:val="32"/>
          <w:szCs w:val="32"/>
          <w:lang w:val="en-US" w:eastAsia="zh-CN"/>
        </w:rPr>
        <w:t>一、单位预算绩效管理工作开展情况。</w:t>
      </w:r>
    </w:p>
    <w:p>
      <w:pPr>
        <w:spacing w:line="560" w:lineRule="exact"/>
        <w:ind w:left="0"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完成了202</w:t>
      </w:r>
      <w:r>
        <w:rPr>
          <w:rFonts w:asci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年本级部门预算整体绩效目标申报和1个项目预算绩效目标申报，并编报1个项目预算事前绩效评估报告。</w:t>
      </w:r>
    </w:p>
    <w:p>
      <w:pPr>
        <w:numPr>
          <w:ilvl w:val="0"/>
          <w:numId w:val="1"/>
        </w:numPr>
        <w:spacing w:line="560" w:lineRule="exact"/>
        <w:ind w:left="0" w:firstLineChars="200" w:firstLine="640"/>
        <w:rPr>
          <w:rFonts w:ascii="黑体" w:eastAsia="黑体" w:cs="黑体" w:hint="eastAsia"/>
          <w:sz w:val="32"/>
          <w:szCs w:val="32"/>
          <w:lang w:val="en-US" w:eastAsia="zh-CN"/>
        </w:rPr>
      </w:pPr>
      <w:r>
        <w:rPr>
          <w:rFonts w:ascii="黑体" w:eastAsia="黑体" w:cs="黑体" w:hint="eastAsia"/>
          <w:sz w:val="32"/>
          <w:szCs w:val="32"/>
          <w:lang w:val="en-US" w:eastAsia="zh-CN"/>
        </w:rPr>
        <w:t>单位整体绩效目标。</w:t>
      </w:r>
    </w:p>
    <w:p>
      <w:pPr>
        <w:spacing w:line="560" w:lineRule="exact"/>
        <w:ind w:left="0"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一是严格执行相关政策，保障工资及时足额发放、社保及时足额缴纳。严格执行预算，保障单位日常运转。二是大力实施全民参保计划，精准推进农民工、灵活就业人员等重点群体参保，推动实现从制度全覆盖到法定人员全覆盖。三是大力实施温暖人社行动，强化从业人员能力培训，以群众满意的“温暖人社”体系建设为抓手，实施通办服务、智慧服务、优质服务，不断提升群众获得感满意度。四是保障按时足额为全县退休人员发放养老金。五是贯彻落实养老保险全国统筹制度。大力实施社会保障行动，加强养老保险政策宣传，强化基金管理，提升养老保险政策社会知晓度。</w:t>
      </w:r>
    </w:p>
    <w:p>
      <w:pPr>
        <w:spacing w:line="560" w:lineRule="exact"/>
        <w:ind w:left="0" w:firstLineChars="200" w:firstLine="640"/>
        <w:rPr>
          <w:rFonts w:ascii="黑体" w:eastAsia="黑体" w:cs="黑体" w:hint="eastAsia"/>
          <w:sz w:val="32"/>
          <w:szCs w:val="32"/>
          <w:lang w:val="en-US" w:eastAsia="zh-CN"/>
        </w:rPr>
      </w:pPr>
      <w:r>
        <w:rPr>
          <w:rFonts w:ascii="黑体" w:eastAsia="黑体" w:cs="黑体" w:hint="eastAsia"/>
          <w:sz w:val="32"/>
          <w:szCs w:val="32"/>
          <w:lang w:val="en-US" w:eastAsia="zh-CN"/>
        </w:rPr>
        <w:t>三、重点项目绩效目标。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重点项目1：统筹外人员工资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项目年度绩效目标：确保全县企改制人员生活补助按时足额发放，有效化解社会矛盾，2026年预算金额16.69万元，较上年减少1.2万元，较上年减少6.71%，减少的主要原因为人员死亡。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绩效指标设置情况：细化指标4个，包括产出指标、成本指标、效益指标和满意度指标。</w:t>
      </w:r>
    </w:p>
    <w:tbl>
      <w:tblPr>
        <w:jc w:val="left"/>
        <w:tblInd w:w="0" w:type="dxa"/>
        <w:tblW w:w="877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5"/>
        <w:gridCol w:w="969"/>
        <w:gridCol w:w="2058"/>
        <w:gridCol w:w="1102"/>
        <w:gridCol w:w="1035"/>
        <w:gridCol w:w="1009"/>
        <w:gridCol w:w="597"/>
        <w:gridCol w:w="1009"/>
      </w:tblGrid>
      <w:tr>
        <w:trPr>
          <w:trHeight w:val="427"/>
        </w:trPr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FF2F7" w:fill="EFF2F7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一级指标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FF2F7" w:fill="EFF2F7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二级指标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FF2F7" w:fill="EFF2F7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三级指标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FF2F7" w:fill="EFF2F7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指标性质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FF2F7" w:fill="EFF2F7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指标值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FF2F7" w:fill="EFF2F7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度量单位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FF2F7" w:fill="EFF2F7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权重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FF2F7" w:fill="EFF2F7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指标方向性</w:t>
            </w:r>
          </w:p>
        </w:tc>
      </w:tr>
      <w:tr>
        <w:trPr>
          <w:trHeight w:val="422"/>
        </w:trPr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lang w:val="en-US" w:eastAsia="zh-CN"/>
              </w:rPr>
              <w:t>满意度指标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lang w:val="en-US" w:eastAsia="zh-CN"/>
              </w:rPr>
              <w:t>服务对象满意度指标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lang w:val="en-US" w:eastAsia="zh-CN"/>
              </w:rPr>
              <w:t>待遇领取对象满意度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lang w:val="en-US" w:eastAsia="zh-CN"/>
              </w:rPr>
              <w:t>≥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99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%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10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rPr>
          <w:trHeight w:val="633"/>
        </w:trPr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lang w:val="en-US" w:eastAsia="zh-CN"/>
              </w:rPr>
              <w:t>成本指标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lang w:val="en-US" w:eastAsia="zh-CN"/>
              </w:rPr>
              <w:t>经济成本指标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lang w:val="en-US" w:eastAsia="zh-CN"/>
              </w:rPr>
              <w:t>待遇领取待遇领取1</w:t>
            </w:r>
            <w:r>
              <w:rPr>
                <w:rStyle w:val="17"/>
                <w:rFonts w:hint="eastAsia"/>
                <w:lang w:val="en-US" w:eastAsia="zh-CN"/>
              </w:rPr>
              <w:t>78</w:t>
            </w:r>
            <w:r>
              <w:rPr>
                <w:rStyle w:val="17"/>
                <w:lang w:val="en-US" w:eastAsia="zh-CN"/>
              </w:rPr>
              <w:t>人每人每月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lang w:val="en-US" w:eastAsia="zh-CN"/>
              </w:rPr>
              <w:t>＝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78.1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元/人*月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ascii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10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rPr>
          <w:trHeight w:val="633"/>
        </w:trPr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lang w:val="en-US" w:eastAsia="zh-CN"/>
              </w:rPr>
              <w:t>产出指标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lang w:val="en-US" w:eastAsia="zh-CN"/>
              </w:rPr>
              <w:t>质量指标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lang w:val="en-US" w:eastAsia="zh-CN"/>
              </w:rPr>
              <w:t>企业改制人员待遇发放准确率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lang w:val="en-US" w:eastAsia="zh-CN"/>
              </w:rPr>
              <w:t>＝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100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%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15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rPr>
          <w:trHeight w:val="648"/>
        </w:trPr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lang w:val="en-US" w:eastAsia="zh-CN"/>
              </w:rPr>
              <w:t>成本指标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lang w:val="en-US" w:eastAsia="zh-CN"/>
              </w:rPr>
              <w:t>经济成本指标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sz w:val="16"/>
                <w:szCs w:val="16"/>
                <w:lang w:val="en-US" w:eastAsia="zh-CN"/>
              </w:rPr>
              <w:t>企业改制人员待遇领取待遇领取1人每人每月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lang w:val="en-US" w:eastAsia="zh-CN"/>
              </w:rPr>
              <w:t>＝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110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元/人*月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5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rPr>
          <w:trHeight w:val="422"/>
        </w:trPr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lang w:val="en-US" w:eastAsia="zh-CN"/>
              </w:rPr>
              <w:t>产出指标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lang w:val="en-US" w:eastAsia="zh-CN"/>
              </w:rPr>
              <w:t>数量指标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lang w:val="en-US" w:eastAsia="zh-CN"/>
              </w:rPr>
              <w:t>发放待遇人数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lang w:val="en-US" w:eastAsia="zh-CN"/>
              </w:rPr>
              <w:t>＝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1</w:t>
            </w:r>
            <w:r>
              <w:rPr>
                <w:rFonts w:ascii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80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人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10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rPr>
          <w:trHeight w:val="422"/>
        </w:trPr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lang w:val="en-US" w:eastAsia="zh-CN"/>
              </w:rPr>
              <w:t>产出指标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lang w:val="en-US" w:eastAsia="zh-CN"/>
              </w:rPr>
              <w:t>时效指标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lang w:val="en-US" w:eastAsia="zh-CN"/>
              </w:rPr>
              <w:t>每月待遇发放及时足额率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lang w:val="en-US" w:eastAsia="zh-CN"/>
              </w:rPr>
              <w:t>＝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100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%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15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rPr>
          <w:trHeight w:val="422"/>
        </w:trPr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lang w:val="en-US" w:eastAsia="zh-CN"/>
              </w:rPr>
              <w:t>效益指标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lang w:val="en-US" w:eastAsia="zh-CN"/>
              </w:rPr>
              <w:t>社会效益指标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lang w:val="en-US" w:eastAsia="zh-CN"/>
              </w:rPr>
              <w:t>确保企业改制人员生活待遇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lang w:val="en-US" w:eastAsia="zh-CN"/>
              </w:rPr>
              <w:t>定性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优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20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rPr>
          <w:trHeight w:val="633"/>
        </w:trPr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lang w:val="en-US" w:eastAsia="zh-CN"/>
              </w:rPr>
              <w:t>成本指标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lang w:val="en-US" w:eastAsia="zh-CN"/>
              </w:rPr>
              <w:t>经济成本指标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lang w:val="en-US" w:eastAsia="zh-CN"/>
              </w:rPr>
              <w:t>待遇领取待遇领取1人每人每月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lang w:val="en-US" w:eastAsia="zh-CN"/>
              </w:rPr>
              <w:t>＝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118.1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元/人*月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5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</w:tbl>
    <w:p>
      <w:pPr>
        <w:pStyle w:val="15"/>
        <w:tabs>
          <w:tab w:val="center" w:pos="4153"/>
          <w:tab w:val="right" w:pos="8306"/>
        </w:tabs>
        <w:rPr>
          <w:rFonts w:hint="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panose1 w:val="02020603050405020304"/>
    <w:charset w:val="86"/>
    <w:family w:val="auto"/>
    <w:pitch w:val="variable"/>
    <w:sig w:usb0="E0002AFF" w:usb1="C0007841" w:usb2="00000009" w:usb3="00000000" w:csb0="400001FF" w:csb1="FFFF0000"/>
  </w:font>
  <w:font w:name="方正小标宋_GBK">
    <w:panose1 w:val="03000509000000000000"/>
    <w:charset w:val="86"/>
    <w:family w:val="auto"/>
    <w:pitch w:val="variable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variable"/>
    <w:sig w:usb0="00000001" w:usb1="080E0000" w:usb2="00000000" w:usb3="00000000" w:csb0="00040000" w:csb1="00000000"/>
  </w:font>
  <w:font w:name="黑体"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宋体">
    <w:panose1 w:val="02010600030101010101"/>
    <w:charset w:val="86"/>
    <w:family w:val="auto"/>
    <w:pitch w:val="variable"/>
    <w:sig w:usb0="00000003" w:usb1="288F0000" w:usb2="00000006" w:usb3="00000000" w:csb0="00040001" w:csb1="00000000"/>
  </w:font>
  <w:font w:name="Calibri">
    <w:altName w:val="Times New Roman"/>
    <w:panose1 w:val="020F0502020204030204"/>
    <w:charset w:val="00"/>
    <w:family w:val="swiss"/>
    <w:pitch w:val="variable"/>
    <w:sig w:usb0="E00002FF" w:usb1="4000ACFF" w:usb2="00000001" w:usb3="00000000" w:csb0="2000019F" w:csb1="00000000"/>
  </w:font>
  <w:font w:name="Arial">
    <w:altName w:val="DejaVu Sans"/>
    <w:panose1 w:val="020B0604020202020204"/>
    <w:charset w:val="01"/>
    <w:family w:val="swiss"/>
    <w:pitch w:val="variable"/>
    <w:sig w:usb0="E0002AFF" w:usb1="C0007843" w:usb2="00000009" w:usb3="00000000" w:csb0="400001FF" w:csb1="FFFF0000"/>
  </w:font>
  <w:font w:name="Luxi Sans">
    <w:altName w:val="DejaVu Sans"/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Dialog . plain">
    <w:altName w:val="DejaVu Sans"/>
    <w:panose1 w:val="00000000000000000000"/>
    <w:charset w:val="00"/>
    <w:family w:val="auto"/>
    <w:pitch w:val="variable"/>
    <w:sig w:usb0="00000000" w:usb1="00000000" w:usb2="00000000" w:usb3="00000000" w:csb0="00000000" w:csb1="00000000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mc="http://schemas.openxmlformats.org/markup-compatibility/2006" xmlns:w14="http://schemas.microsoft.com/office/word/2010/wordml">
  <w:abstractNum w:abstractNumId="0">
    <w:nsid w:val="E5FD0A63"/>
    <w:multiLevelType w:val="singleLevel"/>
    <w:tmpl w:val="E5FD0A63"/>
    <w:lvl w:ilvl="0">
      <w:start w:val="2"/>
      <w:numFmt w:val="chineseCounting"/>
      <w:lvlRestart w:val="0"/>
      <w:suff w:val="nothing"/>
      <w:lvlText w:val="%1、"/>
      <w:lvlJc w:val="left"/>
      <w:pPr>
        <w:tabs>
          <w:tab w:val="num" w:pos="0"/>
        </w:tabs>
        <w:ind w:left="0" w:hanging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00"/>
  <w:bordersDoNotSurroundHeader/>
  <w:bordersDoNotSurroundFooter/>
  <w:documentProtection w:edit="readOnly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next w:val="15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Luxi Sans" w:eastAsia="黑体" w:hAnsi="Luxi Sans"/>
      <w:b/>
      <w:sz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  <w:style w:type="paragraph" w:styleId="15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6">
    <w:name w:val="Normal (Web)"/>
    <w:basedOn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  <w:style w:type="character" w:customStyle="1" w:styleId="17">
    <w:name w:val="font51"/>
    <w:basedOn w:val="10"/>
    <w:rPr>
      <w:rFonts w:ascii="Dialog . plain" w:eastAsia="Dialog . plain" w:cs="Dialog . plain" w:hAnsi="Dialog . plain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2</TotalTime>
  <Application>Yozo_Office27021597764231179</Application>
  <Pages>2</Pages>
  <Words>806</Words>
  <Characters>857</Characters>
  <Lines>115</Lines>
  <Paragraphs>74</Paragraphs>
  <CharactersWithSpaces>858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Administrator</dc:creator>
  <cp:lastModifiedBy>user</cp:lastModifiedBy>
  <cp:revision>1</cp:revision>
  <dcterms:created xsi:type="dcterms:W3CDTF">2023-02-06T06:46:00Z</dcterms:created>
  <dcterms:modified xsi:type="dcterms:W3CDTF">2026-03-18T07:47:43Z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eyJoZGlkIjoiNWE4NGViZjU0MzVjNDA1ZWUyM2EwMDQ1ZWE5YThiMzYiLCJ1c2VySWQiOiI3MTE0Mjk0MzQifQ==</vt:lpwstr>
  </property>
  <property fmtid="{D5CDD505-2E9C-101B-9397-08002B2CF9AE}" pid="4" name="ICV">
    <vt:lpwstr>B164FB58ADC7400EAB26A0463A431F01_12</vt:lpwstr>
  </property>
</Properties>
</file>