
<file path=[Content_Types].xml><?xml version="1.0" encoding="utf-8"?>
<Types xmlns="http://schemas.openxmlformats.org/package/2006/content-types">
  <Default Extension="xml" ContentType="application/xml"/>
  <Default Extension="xlsx" ContentType="application/vnd.openxmlformats-officedocument.spreadsheetml.sheet"/>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6B8FA0">
      <w:pPr>
        <w:spacing w:line="600" w:lineRule="exact"/>
        <w:jc w:val="center"/>
        <w:rPr>
          <w:rFonts w:ascii="方正小标宋简体" w:eastAsia="方正小标宋简体"/>
          <w:color w:val="000000"/>
          <w:sz w:val="52"/>
          <w:szCs w:val="52"/>
        </w:rPr>
      </w:pPr>
    </w:p>
    <w:p w14:paraId="1B83D4B9">
      <w:pPr>
        <w:spacing w:line="600" w:lineRule="exact"/>
        <w:jc w:val="center"/>
        <w:rPr>
          <w:rFonts w:ascii="方正小标宋简体" w:eastAsia="方正小标宋简体"/>
          <w:color w:val="000000"/>
          <w:sz w:val="52"/>
          <w:szCs w:val="52"/>
        </w:rPr>
      </w:pPr>
    </w:p>
    <w:p w14:paraId="02ECB2D3">
      <w:pPr>
        <w:spacing w:line="600" w:lineRule="exact"/>
        <w:jc w:val="center"/>
        <w:rPr>
          <w:rFonts w:ascii="方正小标宋简体" w:eastAsia="方正小标宋简体"/>
          <w:color w:val="000000"/>
          <w:sz w:val="52"/>
          <w:szCs w:val="52"/>
        </w:rPr>
      </w:pPr>
    </w:p>
    <w:p w14:paraId="61F8C9F2">
      <w:pPr>
        <w:spacing w:line="600" w:lineRule="exact"/>
        <w:jc w:val="center"/>
        <w:rPr>
          <w:rFonts w:ascii="方正小标宋简体" w:eastAsia="方正小标宋简体"/>
          <w:color w:val="000000"/>
          <w:sz w:val="52"/>
          <w:szCs w:val="52"/>
        </w:rPr>
      </w:pPr>
    </w:p>
    <w:p w14:paraId="055F93D4">
      <w:pPr>
        <w:spacing w:line="600" w:lineRule="exact"/>
        <w:jc w:val="center"/>
        <w:rPr>
          <w:rFonts w:ascii="方正小标宋简体" w:eastAsia="方正小标宋简体"/>
          <w:color w:val="000000"/>
          <w:sz w:val="52"/>
          <w:szCs w:val="52"/>
        </w:rPr>
      </w:pPr>
    </w:p>
    <w:p w14:paraId="47377595">
      <w:pPr>
        <w:spacing w:line="600" w:lineRule="exact"/>
        <w:rPr>
          <w:rFonts w:ascii="方正小标宋简体" w:eastAsia="方正小标宋简体"/>
          <w:color w:val="000000"/>
          <w:sz w:val="52"/>
          <w:szCs w:val="52"/>
        </w:rPr>
      </w:pPr>
    </w:p>
    <w:p w14:paraId="6F07AFD1">
      <w:pPr>
        <w:adjustRightInd w:val="0"/>
        <w:snapToGrid w:val="0"/>
        <w:spacing w:line="360" w:lineRule="auto"/>
        <w:jc w:val="center"/>
        <w:rPr>
          <w:rFonts w:eastAsia="方正小标宋简体"/>
          <w:sz w:val="72"/>
          <w:szCs w:val="72"/>
        </w:rPr>
      </w:pPr>
    </w:p>
    <w:p w14:paraId="5D7C68C5">
      <w:pPr>
        <w:adjustRightInd w:val="0"/>
        <w:snapToGrid w:val="0"/>
        <w:spacing w:line="360" w:lineRule="auto"/>
        <w:jc w:val="center"/>
        <w:outlineLvl w:val="0"/>
        <w:rPr>
          <w:rFonts w:eastAsia="方正小标宋简体"/>
          <w:sz w:val="72"/>
          <w:szCs w:val="72"/>
        </w:rPr>
      </w:pPr>
      <w:bookmarkStart w:id="0" w:name="_Toc1868"/>
      <w:bookmarkStart w:id="1" w:name="_Toc9450"/>
      <w:bookmarkStart w:id="2" w:name="_Toc17804"/>
      <w:bookmarkStart w:id="3" w:name="_Toc32314"/>
      <w:bookmarkStart w:id="4" w:name="_Toc14360"/>
      <w:bookmarkStart w:id="5" w:name="_Toc14438"/>
      <w:bookmarkStart w:id="6" w:name="_Toc2218"/>
      <w:bookmarkStart w:id="7" w:name="_Toc10050"/>
      <w:bookmarkStart w:id="8" w:name="_Toc26181"/>
      <w:bookmarkStart w:id="9" w:name="_Toc29150"/>
      <w:bookmarkStart w:id="10" w:name="_Toc19907"/>
      <w:r>
        <w:rPr>
          <w:rFonts w:hint="eastAsia" w:eastAsia="方正小标宋简体"/>
          <w:sz w:val="72"/>
          <w:szCs w:val="72"/>
        </w:rPr>
        <w:t>2024年度</w:t>
      </w:r>
      <w:bookmarkEnd w:id="0"/>
      <w:bookmarkEnd w:id="1"/>
      <w:bookmarkEnd w:id="2"/>
      <w:bookmarkEnd w:id="3"/>
      <w:bookmarkEnd w:id="4"/>
      <w:bookmarkEnd w:id="5"/>
      <w:bookmarkEnd w:id="6"/>
      <w:bookmarkEnd w:id="7"/>
      <w:bookmarkEnd w:id="8"/>
      <w:bookmarkEnd w:id="9"/>
      <w:bookmarkEnd w:id="10"/>
    </w:p>
    <w:p w14:paraId="7C1AB7B2">
      <w:pPr>
        <w:adjustRightInd w:val="0"/>
        <w:snapToGrid w:val="0"/>
        <w:spacing w:line="360" w:lineRule="auto"/>
        <w:jc w:val="center"/>
        <w:outlineLvl w:val="0"/>
        <w:rPr>
          <w:rFonts w:eastAsia="方正小标宋简体"/>
          <w:sz w:val="72"/>
          <w:szCs w:val="72"/>
        </w:rPr>
      </w:pPr>
      <w:bookmarkStart w:id="11" w:name="_Toc25913"/>
      <w:bookmarkStart w:id="12" w:name="_Toc31029"/>
      <w:bookmarkStart w:id="13" w:name="_Toc7689"/>
      <w:bookmarkStart w:id="14" w:name="_Toc20808"/>
      <w:bookmarkStart w:id="15" w:name="_Toc20112"/>
      <w:bookmarkStart w:id="16" w:name="_Toc7789"/>
      <w:bookmarkStart w:id="17" w:name="_Toc14072"/>
      <w:bookmarkStart w:id="18" w:name="_Toc10642"/>
      <w:bookmarkStart w:id="19" w:name="_Toc16679"/>
      <w:bookmarkStart w:id="20" w:name="_Toc27035"/>
      <w:bookmarkStart w:id="21" w:name="_Toc142"/>
      <w:r>
        <w:rPr>
          <w:rFonts w:hint="eastAsia" w:eastAsia="方正小标宋简体"/>
          <w:sz w:val="72"/>
          <w:szCs w:val="72"/>
        </w:rPr>
        <w:t>金川县社会保险事务中心</w:t>
      </w:r>
      <w:bookmarkEnd w:id="11"/>
      <w:bookmarkEnd w:id="12"/>
      <w:bookmarkEnd w:id="13"/>
      <w:bookmarkEnd w:id="14"/>
      <w:bookmarkEnd w:id="15"/>
      <w:bookmarkEnd w:id="16"/>
      <w:bookmarkEnd w:id="17"/>
      <w:bookmarkEnd w:id="18"/>
      <w:bookmarkEnd w:id="19"/>
      <w:bookmarkEnd w:id="20"/>
      <w:bookmarkEnd w:id="21"/>
    </w:p>
    <w:p w14:paraId="2CF5A285">
      <w:pPr>
        <w:adjustRightInd w:val="0"/>
        <w:snapToGrid w:val="0"/>
        <w:spacing w:line="360" w:lineRule="auto"/>
        <w:jc w:val="center"/>
        <w:outlineLvl w:val="0"/>
        <w:rPr>
          <w:rFonts w:hint="eastAsia" w:eastAsia="方正小标宋简体"/>
          <w:sz w:val="72"/>
          <w:szCs w:val="72"/>
          <w:lang w:val="en-US" w:eastAsia="zh-CN"/>
        </w:rPr>
        <w:sectPr>
          <w:headerReference r:id="rId3" w:type="default"/>
          <w:footerReference r:id="rId4" w:type="default"/>
          <w:pgSz w:w="11906" w:h="16838"/>
          <w:pgMar w:top="1440" w:right="1800" w:bottom="1440" w:left="1800" w:header="851" w:footer="992" w:gutter="0"/>
          <w:pgNumType w:start="1"/>
          <w:cols w:space="720" w:num="1"/>
          <w:docGrid w:type="lines" w:linePitch="312" w:charSpace="0"/>
        </w:sectPr>
      </w:pPr>
      <w:bookmarkStart w:id="22" w:name="_Toc28662"/>
      <w:bookmarkStart w:id="23" w:name="_Toc16572"/>
      <w:bookmarkStart w:id="24" w:name="_Toc18322"/>
      <w:bookmarkStart w:id="25" w:name="_Toc27081"/>
      <w:bookmarkStart w:id="26" w:name="_Toc11638"/>
      <w:bookmarkStart w:id="27" w:name="_Toc32203"/>
      <w:bookmarkStart w:id="28" w:name="_Toc15036"/>
      <w:bookmarkStart w:id="29" w:name="_Toc17348"/>
      <w:bookmarkStart w:id="30" w:name="_Toc30242"/>
      <w:bookmarkStart w:id="31" w:name="_Toc17915"/>
      <w:bookmarkStart w:id="32" w:name="_Toc18093"/>
      <w:r>
        <w:rPr>
          <w:rFonts w:hint="eastAsia" w:eastAsia="方正小标宋简体"/>
          <w:sz w:val="72"/>
          <w:szCs w:val="72"/>
        </w:rPr>
        <w:t>部门决算</w:t>
      </w:r>
      <w:bookmarkEnd w:id="22"/>
      <w:bookmarkEnd w:id="23"/>
      <w:bookmarkEnd w:id="24"/>
      <w:bookmarkEnd w:id="25"/>
      <w:bookmarkEnd w:id="26"/>
      <w:bookmarkEnd w:id="27"/>
      <w:bookmarkEnd w:id="28"/>
      <w:bookmarkEnd w:id="29"/>
      <w:bookmarkEnd w:id="30"/>
      <w:bookmarkEnd w:id="31"/>
      <w:bookmarkEnd w:id="32"/>
      <w:r>
        <w:rPr>
          <w:rFonts w:hint="eastAsia" w:eastAsia="方正小标宋简体"/>
          <w:sz w:val="72"/>
          <w:szCs w:val="72"/>
          <w:lang w:eastAsia="zh-CN"/>
        </w:rPr>
        <w:t>公开</w:t>
      </w:r>
    </w:p>
    <w:p w14:paraId="6FE36CA6">
      <w:pPr>
        <w:widowControl/>
        <w:jc w:val="center"/>
        <w:rPr>
          <w:rFonts w:hint="eastAsia" w:ascii="仿宋_GB2312" w:eastAsia="仿宋_GB2312" w:cs="仿宋_GB2312"/>
          <w:color w:val="auto"/>
          <w:sz w:val="30"/>
          <w:szCs w:val="30"/>
          <w:highlight w:val="none"/>
          <w:lang w:bidi="ar-SA"/>
        </w:rPr>
      </w:pPr>
      <w:r>
        <w:rPr>
          <w:rFonts w:hint="eastAsia" w:ascii="黑体" w:eastAsia="黑体"/>
          <w:sz w:val="48"/>
          <w:szCs w:val="48"/>
        </w:rPr>
        <w:t>目录</w:t>
      </w:r>
    </w:p>
    <w:p w14:paraId="0331E572">
      <w:pPr>
        <w:pStyle w:val="17"/>
        <w:ind w:left="0" w:leftChars="0" w:firstLine="0" w:firstLineChars="0"/>
        <w:jc w:val="center"/>
        <w:rPr>
          <w:rFonts w:hint="eastAsia" w:ascii="仿宋" w:hAnsi="仿宋" w:eastAsia="仿宋" w:cs="仿宋"/>
          <w:sz w:val="32"/>
          <w:szCs w:val="40"/>
        </w:rPr>
      </w:pPr>
      <w:r>
        <w:rPr>
          <w:rFonts w:hint="eastAsia" w:ascii="仿宋_GB2312" w:eastAsia="仿宋_GB2312" w:cs="仿宋_GB2312"/>
          <w:color w:val="auto"/>
          <w:sz w:val="32"/>
          <w:szCs w:val="32"/>
          <w:highlight w:val="none"/>
          <w:lang w:bidi="ar-SA"/>
        </w:rPr>
        <w:t>公开时间：20</w:t>
      </w:r>
      <w:r>
        <w:rPr>
          <w:rFonts w:hint="eastAsia" w:ascii="仿宋_GB2312" w:eastAsia="仿宋_GB2312" w:cs="仿宋_GB2312"/>
          <w:color w:val="auto"/>
          <w:sz w:val="32"/>
          <w:szCs w:val="32"/>
          <w:highlight w:val="none"/>
          <w:lang w:val="en-US" w:eastAsia="zh-CN" w:bidi="ar-SA"/>
        </w:rPr>
        <w:t>25</w:t>
      </w:r>
      <w:r>
        <w:rPr>
          <w:rFonts w:hint="eastAsia" w:ascii="仿宋_GB2312" w:eastAsia="仿宋_GB2312" w:cs="仿宋_GB2312"/>
          <w:color w:val="auto"/>
          <w:sz w:val="32"/>
          <w:szCs w:val="32"/>
          <w:highlight w:val="none"/>
          <w:lang w:bidi="ar-SA"/>
        </w:rPr>
        <w:t>年</w:t>
      </w:r>
      <w:r>
        <w:rPr>
          <w:rFonts w:ascii="仿宋_GB2312" w:eastAsia="仿宋_GB2312" w:cs="仿宋_GB2312"/>
          <w:color w:val="auto"/>
          <w:sz w:val="32"/>
          <w:szCs w:val="32"/>
          <w:highlight w:val="none"/>
          <w:lang w:val="en-US" w:eastAsia="zh-CN" w:bidi="ar-SA"/>
        </w:rPr>
        <w:t>8</w:t>
      </w:r>
      <w:r>
        <w:rPr>
          <w:rFonts w:hint="eastAsia" w:ascii="仿宋_GB2312" w:eastAsia="仿宋_GB2312" w:cs="仿宋_GB2312"/>
          <w:color w:val="auto"/>
          <w:sz w:val="32"/>
          <w:szCs w:val="32"/>
          <w:highlight w:val="none"/>
          <w:lang w:bidi="ar-SA"/>
        </w:rPr>
        <w:t>月</w:t>
      </w:r>
      <w:r>
        <w:rPr>
          <w:rFonts w:hint="eastAsia" w:ascii="仿宋_GB2312" w:eastAsia="仿宋_GB2312" w:cs="仿宋_GB2312"/>
          <w:color w:val="auto"/>
          <w:sz w:val="32"/>
          <w:szCs w:val="32"/>
          <w:highlight w:val="none"/>
          <w:lang w:val="en-US" w:eastAsia="zh-CN" w:bidi="ar-SA"/>
        </w:rPr>
        <w:t xml:space="preserve">21 </w:t>
      </w:r>
      <w:r>
        <w:rPr>
          <w:rFonts w:hint="eastAsia" w:ascii="仿宋_GB2312" w:eastAsia="仿宋_GB2312" w:cs="仿宋_GB2312"/>
          <w:color w:val="auto"/>
          <w:sz w:val="32"/>
          <w:szCs w:val="32"/>
          <w:highlight w:val="none"/>
          <w:lang w:bidi="ar-SA"/>
        </w:rPr>
        <w:t>日</w:t>
      </w:r>
      <w:r>
        <w:rPr>
          <w:rFonts w:hint="eastAsia" w:ascii="仿宋" w:hAnsi="仿宋" w:eastAsia="仿宋" w:cs="仿宋"/>
          <w:bCs/>
          <w:sz w:val="44"/>
          <w:szCs w:val="52"/>
        </w:rPr>
        <w:fldChar w:fldCharType="begin"/>
      </w:r>
      <w:r>
        <w:rPr>
          <w:rFonts w:hint="eastAsia" w:ascii="仿宋" w:hAnsi="仿宋" w:eastAsia="仿宋" w:cs="仿宋"/>
          <w:bCs/>
          <w:sz w:val="44"/>
          <w:szCs w:val="52"/>
        </w:rPr>
        <w:instrText xml:space="preserve">TOC \o "1-2" \h \u </w:instrText>
      </w:r>
      <w:r>
        <w:rPr>
          <w:rFonts w:hint="eastAsia" w:ascii="仿宋" w:hAnsi="仿宋" w:eastAsia="仿宋" w:cs="仿宋"/>
          <w:bCs/>
          <w:sz w:val="44"/>
          <w:szCs w:val="52"/>
        </w:rPr>
        <w:fldChar w:fldCharType="separate"/>
      </w:r>
    </w:p>
    <w:p w14:paraId="234243F9">
      <w:pPr>
        <w:pStyle w:val="10"/>
        <w:tabs>
          <w:tab w:val="right" w:leader="dot" w:pos="8306"/>
        </w:tabs>
        <w:rPr>
          <w:rFonts w:hint="eastAsia" w:ascii="仿宋" w:hAnsi="仿宋" w:eastAsia="仿宋" w:cs="仿宋"/>
          <w:sz w:val="32"/>
          <w:szCs w:val="40"/>
        </w:rPr>
      </w:pPr>
      <w:r>
        <w:rPr>
          <w:rFonts w:hint="eastAsia" w:ascii="仿宋" w:hAnsi="仿宋" w:eastAsia="仿宋" w:cs="仿宋"/>
          <w:bCs/>
          <w:sz w:val="32"/>
          <w:szCs w:val="52"/>
        </w:rPr>
        <w:fldChar w:fldCharType="begin"/>
      </w:r>
      <w:r>
        <w:rPr>
          <w:rFonts w:hint="eastAsia" w:ascii="仿宋" w:hAnsi="仿宋" w:eastAsia="仿宋" w:cs="仿宋"/>
          <w:bCs/>
          <w:sz w:val="32"/>
          <w:szCs w:val="52"/>
        </w:rPr>
        <w:instrText xml:space="preserve"> HYPERLINK \l _Toc25163 </w:instrText>
      </w:r>
      <w:r>
        <w:rPr>
          <w:rFonts w:hint="eastAsia" w:ascii="仿宋" w:hAnsi="仿宋" w:eastAsia="仿宋" w:cs="仿宋"/>
          <w:bCs/>
          <w:sz w:val="32"/>
          <w:szCs w:val="52"/>
        </w:rPr>
        <w:fldChar w:fldCharType="separate"/>
      </w:r>
      <w:r>
        <w:rPr>
          <w:rFonts w:hint="eastAsia" w:ascii="仿宋" w:hAnsi="仿宋" w:eastAsia="仿宋" w:cs="仿宋"/>
          <w:sz w:val="32"/>
          <w:szCs w:val="40"/>
        </w:rPr>
        <w:t xml:space="preserve">第一部分 </w:t>
      </w:r>
      <w:r>
        <w:rPr>
          <w:rFonts w:hint="eastAsia" w:ascii="仿宋" w:hAnsi="仿宋" w:eastAsia="仿宋" w:cs="仿宋"/>
          <w:bCs w:val="0"/>
          <w:sz w:val="32"/>
          <w:szCs w:val="40"/>
        </w:rPr>
        <w:t>部门概况</w:t>
      </w:r>
      <w:r>
        <w:rPr>
          <w:rFonts w:hint="eastAsia" w:ascii="仿宋" w:hAnsi="仿宋" w:eastAsia="仿宋" w:cs="仿宋"/>
          <w:sz w:val="32"/>
          <w:szCs w:val="40"/>
        </w:rPr>
        <w:tab/>
      </w:r>
      <w:r>
        <w:rPr>
          <w:rFonts w:hint="eastAsia" w:ascii="仿宋" w:hAnsi="仿宋" w:eastAsia="仿宋" w:cs="仿宋"/>
          <w:sz w:val="32"/>
          <w:szCs w:val="40"/>
        </w:rPr>
        <w:fldChar w:fldCharType="begin"/>
      </w:r>
      <w:r>
        <w:rPr>
          <w:rFonts w:hint="eastAsia" w:ascii="仿宋" w:hAnsi="仿宋" w:eastAsia="仿宋" w:cs="仿宋"/>
          <w:sz w:val="32"/>
          <w:szCs w:val="40"/>
        </w:rPr>
        <w:instrText xml:space="preserve"> PAGEREF _Toc25163 \h </w:instrText>
      </w:r>
      <w:r>
        <w:rPr>
          <w:rFonts w:hint="eastAsia" w:ascii="仿宋" w:hAnsi="仿宋" w:eastAsia="仿宋" w:cs="仿宋"/>
          <w:sz w:val="32"/>
          <w:szCs w:val="40"/>
        </w:rPr>
        <w:fldChar w:fldCharType="separate"/>
      </w:r>
      <w:r>
        <w:rPr>
          <w:rFonts w:hint="eastAsia" w:ascii="仿宋" w:hAnsi="仿宋" w:eastAsia="仿宋" w:cs="仿宋"/>
          <w:sz w:val="32"/>
          <w:szCs w:val="40"/>
        </w:rPr>
        <w:t>1</w:t>
      </w:r>
      <w:r>
        <w:rPr>
          <w:rFonts w:hint="eastAsia" w:ascii="仿宋" w:hAnsi="仿宋" w:eastAsia="仿宋" w:cs="仿宋"/>
          <w:sz w:val="32"/>
          <w:szCs w:val="40"/>
        </w:rPr>
        <w:fldChar w:fldCharType="end"/>
      </w:r>
      <w:r>
        <w:rPr>
          <w:rFonts w:hint="eastAsia" w:ascii="仿宋" w:hAnsi="仿宋" w:eastAsia="仿宋" w:cs="仿宋"/>
          <w:bCs/>
          <w:sz w:val="32"/>
          <w:szCs w:val="52"/>
        </w:rPr>
        <w:fldChar w:fldCharType="end"/>
      </w:r>
    </w:p>
    <w:p w14:paraId="400D34BF">
      <w:pPr>
        <w:pStyle w:val="11"/>
        <w:tabs>
          <w:tab w:val="right" w:leader="dot" w:pos="8306"/>
        </w:tabs>
        <w:rPr>
          <w:rFonts w:hint="eastAsia" w:ascii="仿宋" w:hAnsi="仿宋" w:eastAsia="仿宋" w:cs="仿宋"/>
          <w:sz w:val="32"/>
          <w:szCs w:val="40"/>
        </w:rPr>
      </w:pPr>
      <w:r>
        <w:rPr>
          <w:rFonts w:hint="eastAsia" w:ascii="仿宋" w:hAnsi="仿宋" w:eastAsia="仿宋" w:cs="仿宋"/>
          <w:bCs/>
          <w:sz w:val="32"/>
          <w:szCs w:val="52"/>
        </w:rPr>
        <w:fldChar w:fldCharType="begin"/>
      </w:r>
      <w:r>
        <w:rPr>
          <w:rFonts w:hint="eastAsia" w:ascii="仿宋" w:hAnsi="仿宋" w:eastAsia="仿宋" w:cs="仿宋"/>
          <w:bCs/>
          <w:sz w:val="32"/>
          <w:szCs w:val="52"/>
        </w:rPr>
        <w:instrText xml:space="preserve"> HYPERLINK \l _Toc1812 </w:instrText>
      </w:r>
      <w:r>
        <w:rPr>
          <w:rFonts w:hint="eastAsia" w:ascii="仿宋" w:hAnsi="仿宋" w:eastAsia="仿宋" w:cs="仿宋"/>
          <w:bCs/>
          <w:sz w:val="32"/>
          <w:szCs w:val="52"/>
        </w:rPr>
        <w:fldChar w:fldCharType="separate"/>
      </w:r>
      <w:r>
        <w:rPr>
          <w:rFonts w:hint="eastAsia" w:ascii="仿宋" w:hAnsi="仿宋" w:eastAsia="仿宋" w:cs="仿宋"/>
          <w:sz w:val="32"/>
          <w:szCs w:val="48"/>
        </w:rPr>
        <w:t>一、基本职能及主要工作</w:t>
      </w:r>
      <w:r>
        <w:rPr>
          <w:rFonts w:hint="eastAsia" w:ascii="仿宋" w:hAnsi="仿宋" w:eastAsia="仿宋" w:cs="仿宋"/>
          <w:sz w:val="32"/>
          <w:szCs w:val="40"/>
        </w:rPr>
        <w:tab/>
      </w:r>
      <w:r>
        <w:rPr>
          <w:rFonts w:hint="eastAsia" w:ascii="仿宋" w:hAnsi="仿宋" w:eastAsia="仿宋" w:cs="仿宋"/>
          <w:sz w:val="32"/>
          <w:szCs w:val="40"/>
        </w:rPr>
        <w:fldChar w:fldCharType="begin"/>
      </w:r>
      <w:r>
        <w:rPr>
          <w:rFonts w:hint="eastAsia" w:ascii="仿宋" w:hAnsi="仿宋" w:eastAsia="仿宋" w:cs="仿宋"/>
          <w:sz w:val="32"/>
          <w:szCs w:val="40"/>
        </w:rPr>
        <w:instrText xml:space="preserve"> PAGEREF _Toc1812 \h </w:instrText>
      </w:r>
      <w:r>
        <w:rPr>
          <w:rFonts w:hint="eastAsia" w:ascii="仿宋" w:hAnsi="仿宋" w:eastAsia="仿宋" w:cs="仿宋"/>
          <w:sz w:val="32"/>
          <w:szCs w:val="40"/>
        </w:rPr>
        <w:fldChar w:fldCharType="separate"/>
      </w:r>
      <w:r>
        <w:rPr>
          <w:rFonts w:hint="eastAsia" w:ascii="仿宋" w:hAnsi="仿宋" w:eastAsia="仿宋" w:cs="仿宋"/>
          <w:sz w:val="32"/>
          <w:szCs w:val="40"/>
        </w:rPr>
        <w:t>1</w:t>
      </w:r>
      <w:r>
        <w:rPr>
          <w:rFonts w:hint="eastAsia" w:ascii="仿宋" w:hAnsi="仿宋" w:eastAsia="仿宋" w:cs="仿宋"/>
          <w:sz w:val="32"/>
          <w:szCs w:val="40"/>
        </w:rPr>
        <w:fldChar w:fldCharType="end"/>
      </w:r>
      <w:r>
        <w:rPr>
          <w:rFonts w:hint="eastAsia" w:ascii="仿宋" w:hAnsi="仿宋" w:eastAsia="仿宋" w:cs="仿宋"/>
          <w:bCs/>
          <w:sz w:val="32"/>
          <w:szCs w:val="52"/>
        </w:rPr>
        <w:fldChar w:fldCharType="end"/>
      </w:r>
    </w:p>
    <w:p w14:paraId="4F349918">
      <w:pPr>
        <w:pStyle w:val="11"/>
        <w:tabs>
          <w:tab w:val="right" w:leader="dot" w:pos="8306"/>
        </w:tabs>
        <w:rPr>
          <w:rFonts w:hint="eastAsia" w:ascii="仿宋" w:hAnsi="仿宋" w:eastAsia="仿宋" w:cs="仿宋"/>
          <w:sz w:val="32"/>
          <w:szCs w:val="40"/>
        </w:rPr>
      </w:pPr>
      <w:r>
        <w:rPr>
          <w:rFonts w:hint="eastAsia" w:ascii="仿宋" w:hAnsi="仿宋" w:eastAsia="仿宋" w:cs="仿宋"/>
          <w:bCs/>
          <w:sz w:val="32"/>
          <w:szCs w:val="52"/>
        </w:rPr>
        <w:fldChar w:fldCharType="begin"/>
      </w:r>
      <w:r>
        <w:rPr>
          <w:rFonts w:hint="eastAsia" w:ascii="仿宋" w:hAnsi="仿宋" w:eastAsia="仿宋" w:cs="仿宋"/>
          <w:bCs/>
          <w:sz w:val="32"/>
          <w:szCs w:val="52"/>
        </w:rPr>
        <w:instrText xml:space="preserve"> HYPERLINK \l _Toc26426 </w:instrText>
      </w:r>
      <w:r>
        <w:rPr>
          <w:rFonts w:hint="eastAsia" w:ascii="仿宋" w:hAnsi="仿宋" w:eastAsia="仿宋" w:cs="仿宋"/>
          <w:bCs/>
          <w:sz w:val="32"/>
          <w:szCs w:val="52"/>
        </w:rPr>
        <w:fldChar w:fldCharType="separate"/>
      </w:r>
      <w:r>
        <w:rPr>
          <w:rFonts w:hint="eastAsia" w:ascii="仿宋" w:hAnsi="仿宋" w:eastAsia="仿宋" w:cs="仿宋"/>
          <w:sz w:val="32"/>
          <w:szCs w:val="48"/>
        </w:rPr>
        <w:t>二、机构设置</w:t>
      </w:r>
      <w:r>
        <w:rPr>
          <w:rFonts w:hint="eastAsia" w:ascii="仿宋" w:hAnsi="仿宋" w:eastAsia="仿宋" w:cs="仿宋"/>
          <w:sz w:val="32"/>
          <w:szCs w:val="40"/>
        </w:rPr>
        <w:tab/>
      </w:r>
      <w:r>
        <w:rPr>
          <w:rFonts w:hint="eastAsia" w:ascii="仿宋" w:hAnsi="仿宋" w:eastAsia="仿宋" w:cs="仿宋"/>
          <w:sz w:val="32"/>
          <w:szCs w:val="40"/>
        </w:rPr>
        <w:fldChar w:fldCharType="begin"/>
      </w:r>
      <w:r>
        <w:rPr>
          <w:rFonts w:hint="eastAsia" w:ascii="仿宋" w:hAnsi="仿宋" w:eastAsia="仿宋" w:cs="仿宋"/>
          <w:sz w:val="32"/>
          <w:szCs w:val="40"/>
        </w:rPr>
        <w:instrText xml:space="preserve"> PAGEREF _Toc26426 \h </w:instrText>
      </w:r>
      <w:r>
        <w:rPr>
          <w:rFonts w:hint="eastAsia" w:ascii="仿宋" w:hAnsi="仿宋" w:eastAsia="仿宋" w:cs="仿宋"/>
          <w:sz w:val="32"/>
          <w:szCs w:val="40"/>
        </w:rPr>
        <w:fldChar w:fldCharType="separate"/>
      </w:r>
      <w:r>
        <w:rPr>
          <w:rFonts w:hint="eastAsia" w:ascii="仿宋" w:hAnsi="仿宋" w:eastAsia="仿宋" w:cs="仿宋"/>
          <w:sz w:val="32"/>
          <w:szCs w:val="40"/>
        </w:rPr>
        <w:t>2</w:t>
      </w:r>
      <w:r>
        <w:rPr>
          <w:rFonts w:hint="eastAsia" w:ascii="仿宋" w:hAnsi="仿宋" w:eastAsia="仿宋" w:cs="仿宋"/>
          <w:sz w:val="32"/>
          <w:szCs w:val="40"/>
        </w:rPr>
        <w:fldChar w:fldCharType="end"/>
      </w:r>
      <w:r>
        <w:rPr>
          <w:rFonts w:hint="eastAsia" w:ascii="仿宋" w:hAnsi="仿宋" w:eastAsia="仿宋" w:cs="仿宋"/>
          <w:bCs/>
          <w:sz w:val="32"/>
          <w:szCs w:val="52"/>
        </w:rPr>
        <w:fldChar w:fldCharType="end"/>
      </w:r>
    </w:p>
    <w:p w14:paraId="3B831262">
      <w:pPr>
        <w:pStyle w:val="10"/>
        <w:tabs>
          <w:tab w:val="right" w:leader="dot" w:pos="8306"/>
        </w:tabs>
        <w:rPr>
          <w:rFonts w:hint="eastAsia" w:ascii="仿宋" w:hAnsi="仿宋" w:eastAsia="仿宋" w:cs="仿宋"/>
          <w:sz w:val="32"/>
          <w:szCs w:val="40"/>
        </w:rPr>
      </w:pPr>
      <w:r>
        <w:rPr>
          <w:rFonts w:hint="eastAsia" w:ascii="仿宋" w:hAnsi="仿宋" w:eastAsia="仿宋" w:cs="仿宋"/>
          <w:bCs/>
          <w:sz w:val="32"/>
          <w:szCs w:val="52"/>
        </w:rPr>
        <w:fldChar w:fldCharType="begin"/>
      </w:r>
      <w:r>
        <w:rPr>
          <w:rFonts w:hint="eastAsia" w:ascii="仿宋" w:hAnsi="仿宋" w:eastAsia="仿宋" w:cs="仿宋"/>
          <w:bCs/>
          <w:sz w:val="32"/>
          <w:szCs w:val="52"/>
        </w:rPr>
        <w:instrText xml:space="preserve"> HYPERLINK \l _Toc26685 </w:instrText>
      </w:r>
      <w:r>
        <w:rPr>
          <w:rFonts w:hint="eastAsia" w:ascii="仿宋" w:hAnsi="仿宋" w:eastAsia="仿宋" w:cs="仿宋"/>
          <w:bCs/>
          <w:sz w:val="32"/>
          <w:szCs w:val="52"/>
        </w:rPr>
        <w:fldChar w:fldCharType="separate"/>
      </w:r>
      <w:r>
        <w:rPr>
          <w:rFonts w:hint="eastAsia" w:ascii="仿宋" w:hAnsi="仿宋" w:eastAsia="仿宋" w:cs="仿宋"/>
          <w:sz w:val="32"/>
          <w:szCs w:val="40"/>
        </w:rPr>
        <w:t>第二部分</w:t>
      </w:r>
      <w:r>
        <w:rPr>
          <w:rFonts w:hint="eastAsia" w:ascii="仿宋" w:hAnsi="仿宋" w:eastAsia="仿宋" w:cs="仿宋"/>
          <w:bCs w:val="0"/>
          <w:sz w:val="32"/>
          <w:szCs w:val="40"/>
        </w:rPr>
        <w:t>2024年度部门决算情况说明</w:t>
      </w:r>
      <w:r>
        <w:rPr>
          <w:rFonts w:hint="eastAsia" w:ascii="仿宋" w:hAnsi="仿宋" w:eastAsia="仿宋" w:cs="仿宋"/>
          <w:sz w:val="32"/>
          <w:szCs w:val="40"/>
        </w:rPr>
        <w:tab/>
      </w:r>
      <w:r>
        <w:rPr>
          <w:rFonts w:hint="eastAsia" w:ascii="仿宋" w:hAnsi="仿宋" w:eastAsia="仿宋" w:cs="仿宋"/>
          <w:sz w:val="32"/>
          <w:szCs w:val="40"/>
        </w:rPr>
        <w:fldChar w:fldCharType="begin"/>
      </w:r>
      <w:r>
        <w:rPr>
          <w:rFonts w:hint="eastAsia" w:ascii="仿宋" w:hAnsi="仿宋" w:eastAsia="仿宋" w:cs="仿宋"/>
          <w:sz w:val="32"/>
          <w:szCs w:val="40"/>
        </w:rPr>
        <w:instrText xml:space="preserve"> PAGEREF _Toc26685 \h </w:instrText>
      </w:r>
      <w:r>
        <w:rPr>
          <w:rFonts w:hint="eastAsia" w:ascii="仿宋" w:hAnsi="仿宋" w:eastAsia="仿宋" w:cs="仿宋"/>
          <w:sz w:val="32"/>
          <w:szCs w:val="40"/>
        </w:rPr>
        <w:fldChar w:fldCharType="separate"/>
      </w:r>
      <w:r>
        <w:rPr>
          <w:rFonts w:hint="eastAsia" w:ascii="仿宋" w:hAnsi="仿宋" w:eastAsia="仿宋" w:cs="仿宋"/>
          <w:sz w:val="32"/>
          <w:szCs w:val="40"/>
        </w:rPr>
        <w:t>3</w:t>
      </w:r>
      <w:r>
        <w:rPr>
          <w:rFonts w:hint="eastAsia" w:ascii="仿宋" w:hAnsi="仿宋" w:eastAsia="仿宋" w:cs="仿宋"/>
          <w:sz w:val="32"/>
          <w:szCs w:val="40"/>
        </w:rPr>
        <w:fldChar w:fldCharType="end"/>
      </w:r>
      <w:r>
        <w:rPr>
          <w:rFonts w:hint="eastAsia" w:ascii="仿宋" w:hAnsi="仿宋" w:eastAsia="仿宋" w:cs="仿宋"/>
          <w:bCs/>
          <w:sz w:val="32"/>
          <w:szCs w:val="52"/>
        </w:rPr>
        <w:fldChar w:fldCharType="end"/>
      </w:r>
    </w:p>
    <w:p w14:paraId="7B006D63">
      <w:pPr>
        <w:pStyle w:val="11"/>
        <w:tabs>
          <w:tab w:val="right" w:leader="dot" w:pos="8306"/>
        </w:tabs>
        <w:rPr>
          <w:rFonts w:hint="eastAsia" w:ascii="仿宋" w:hAnsi="仿宋" w:eastAsia="仿宋" w:cs="仿宋"/>
          <w:sz w:val="32"/>
          <w:szCs w:val="40"/>
        </w:rPr>
      </w:pPr>
      <w:r>
        <w:rPr>
          <w:rFonts w:hint="eastAsia" w:ascii="仿宋" w:hAnsi="仿宋" w:eastAsia="仿宋" w:cs="仿宋"/>
          <w:bCs/>
          <w:sz w:val="32"/>
          <w:szCs w:val="52"/>
        </w:rPr>
        <w:fldChar w:fldCharType="begin"/>
      </w:r>
      <w:r>
        <w:rPr>
          <w:rFonts w:hint="eastAsia" w:ascii="仿宋" w:hAnsi="仿宋" w:eastAsia="仿宋" w:cs="仿宋"/>
          <w:bCs/>
          <w:sz w:val="32"/>
          <w:szCs w:val="52"/>
        </w:rPr>
        <w:instrText xml:space="preserve"> HYPERLINK \l _Toc6662 </w:instrText>
      </w:r>
      <w:r>
        <w:rPr>
          <w:rFonts w:hint="eastAsia" w:ascii="仿宋" w:hAnsi="仿宋" w:eastAsia="仿宋" w:cs="仿宋"/>
          <w:bCs/>
          <w:sz w:val="32"/>
          <w:szCs w:val="52"/>
        </w:rPr>
        <w:fldChar w:fldCharType="separate"/>
      </w:r>
      <w:r>
        <w:rPr>
          <w:rFonts w:hint="eastAsia" w:ascii="仿宋" w:hAnsi="仿宋" w:eastAsia="仿宋" w:cs="仿宋"/>
          <w:sz w:val="32"/>
          <w:szCs w:val="48"/>
        </w:rPr>
        <w:t>一、收入支出决算总体情况说明</w:t>
      </w:r>
      <w:r>
        <w:rPr>
          <w:rFonts w:hint="eastAsia" w:ascii="仿宋" w:hAnsi="仿宋" w:eastAsia="仿宋" w:cs="仿宋"/>
          <w:sz w:val="32"/>
          <w:szCs w:val="40"/>
        </w:rPr>
        <w:tab/>
      </w:r>
      <w:r>
        <w:rPr>
          <w:rFonts w:hint="eastAsia" w:ascii="仿宋" w:hAnsi="仿宋" w:eastAsia="仿宋" w:cs="仿宋"/>
          <w:sz w:val="32"/>
          <w:szCs w:val="40"/>
        </w:rPr>
        <w:fldChar w:fldCharType="begin"/>
      </w:r>
      <w:r>
        <w:rPr>
          <w:rFonts w:hint="eastAsia" w:ascii="仿宋" w:hAnsi="仿宋" w:eastAsia="仿宋" w:cs="仿宋"/>
          <w:sz w:val="32"/>
          <w:szCs w:val="40"/>
        </w:rPr>
        <w:instrText xml:space="preserve"> PAGEREF _Toc6662 \h </w:instrText>
      </w:r>
      <w:r>
        <w:rPr>
          <w:rFonts w:hint="eastAsia" w:ascii="仿宋" w:hAnsi="仿宋" w:eastAsia="仿宋" w:cs="仿宋"/>
          <w:sz w:val="32"/>
          <w:szCs w:val="40"/>
        </w:rPr>
        <w:fldChar w:fldCharType="separate"/>
      </w:r>
      <w:r>
        <w:rPr>
          <w:rFonts w:hint="eastAsia" w:ascii="仿宋" w:hAnsi="仿宋" w:eastAsia="仿宋" w:cs="仿宋"/>
          <w:sz w:val="32"/>
          <w:szCs w:val="40"/>
        </w:rPr>
        <w:t>3</w:t>
      </w:r>
      <w:r>
        <w:rPr>
          <w:rFonts w:hint="eastAsia" w:ascii="仿宋" w:hAnsi="仿宋" w:eastAsia="仿宋" w:cs="仿宋"/>
          <w:sz w:val="32"/>
          <w:szCs w:val="40"/>
        </w:rPr>
        <w:fldChar w:fldCharType="end"/>
      </w:r>
      <w:r>
        <w:rPr>
          <w:rFonts w:hint="eastAsia" w:ascii="仿宋" w:hAnsi="仿宋" w:eastAsia="仿宋" w:cs="仿宋"/>
          <w:bCs/>
          <w:sz w:val="32"/>
          <w:szCs w:val="52"/>
        </w:rPr>
        <w:fldChar w:fldCharType="end"/>
      </w:r>
    </w:p>
    <w:p w14:paraId="1C22FC44">
      <w:pPr>
        <w:pStyle w:val="11"/>
        <w:tabs>
          <w:tab w:val="right" w:leader="dot" w:pos="8306"/>
        </w:tabs>
        <w:rPr>
          <w:rFonts w:hint="eastAsia" w:ascii="仿宋" w:hAnsi="仿宋" w:eastAsia="仿宋" w:cs="仿宋"/>
          <w:sz w:val="32"/>
          <w:szCs w:val="40"/>
        </w:rPr>
      </w:pPr>
      <w:r>
        <w:rPr>
          <w:rFonts w:hint="eastAsia" w:ascii="仿宋" w:hAnsi="仿宋" w:eastAsia="仿宋" w:cs="仿宋"/>
          <w:bCs/>
          <w:sz w:val="32"/>
          <w:szCs w:val="52"/>
        </w:rPr>
        <w:fldChar w:fldCharType="begin"/>
      </w:r>
      <w:r>
        <w:rPr>
          <w:rFonts w:hint="eastAsia" w:ascii="仿宋" w:hAnsi="仿宋" w:eastAsia="仿宋" w:cs="仿宋"/>
          <w:bCs/>
          <w:sz w:val="32"/>
          <w:szCs w:val="52"/>
        </w:rPr>
        <w:instrText xml:space="preserve"> HYPERLINK \l _Toc23203 </w:instrText>
      </w:r>
      <w:r>
        <w:rPr>
          <w:rFonts w:hint="eastAsia" w:ascii="仿宋" w:hAnsi="仿宋" w:eastAsia="仿宋" w:cs="仿宋"/>
          <w:bCs/>
          <w:sz w:val="32"/>
          <w:szCs w:val="52"/>
        </w:rPr>
        <w:fldChar w:fldCharType="separate"/>
      </w:r>
      <w:r>
        <w:rPr>
          <w:rFonts w:hint="eastAsia" w:ascii="仿宋" w:hAnsi="仿宋" w:eastAsia="仿宋" w:cs="仿宋"/>
          <w:sz w:val="32"/>
          <w:szCs w:val="48"/>
        </w:rPr>
        <w:t>二、收入预算执行情况</w:t>
      </w:r>
      <w:r>
        <w:rPr>
          <w:rFonts w:hint="eastAsia" w:ascii="仿宋" w:hAnsi="仿宋" w:eastAsia="仿宋" w:cs="仿宋"/>
          <w:sz w:val="32"/>
          <w:szCs w:val="40"/>
        </w:rPr>
        <w:tab/>
      </w:r>
      <w:r>
        <w:rPr>
          <w:rFonts w:hint="eastAsia" w:ascii="仿宋" w:hAnsi="仿宋" w:eastAsia="仿宋" w:cs="仿宋"/>
          <w:sz w:val="32"/>
          <w:szCs w:val="40"/>
        </w:rPr>
        <w:fldChar w:fldCharType="begin"/>
      </w:r>
      <w:r>
        <w:rPr>
          <w:rFonts w:hint="eastAsia" w:ascii="仿宋" w:hAnsi="仿宋" w:eastAsia="仿宋" w:cs="仿宋"/>
          <w:sz w:val="32"/>
          <w:szCs w:val="40"/>
        </w:rPr>
        <w:instrText xml:space="preserve"> PAGEREF _Toc23203 \h </w:instrText>
      </w:r>
      <w:r>
        <w:rPr>
          <w:rFonts w:hint="eastAsia" w:ascii="仿宋" w:hAnsi="仿宋" w:eastAsia="仿宋" w:cs="仿宋"/>
          <w:sz w:val="32"/>
          <w:szCs w:val="40"/>
        </w:rPr>
        <w:fldChar w:fldCharType="separate"/>
      </w:r>
      <w:r>
        <w:rPr>
          <w:rFonts w:hint="eastAsia" w:ascii="仿宋" w:hAnsi="仿宋" w:eastAsia="仿宋" w:cs="仿宋"/>
          <w:sz w:val="32"/>
          <w:szCs w:val="40"/>
        </w:rPr>
        <w:t>3</w:t>
      </w:r>
      <w:r>
        <w:rPr>
          <w:rFonts w:hint="eastAsia" w:ascii="仿宋" w:hAnsi="仿宋" w:eastAsia="仿宋" w:cs="仿宋"/>
          <w:sz w:val="32"/>
          <w:szCs w:val="40"/>
        </w:rPr>
        <w:fldChar w:fldCharType="end"/>
      </w:r>
      <w:r>
        <w:rPr>
          <w:rFonts w:hint="eastAsia" w:ascii="仿宋" w:hAnsi="仿宋" w:eastAsia="仿宋" w:cs="仿宋"/>
          <w:bCs/>
          <w:sz w:val="32"/>
          <w:szCs w:val="52"/>
        </w:rPr>
        <w:fldChar w:fldCharType="end"/>
      </w:r>
    </w:p>
    <w:p w14:paraId="4D2CBF50">
      <w:pPr>
        <w:pStyle w:val="11"/>
        <w:tabs>
          <w:tab w:val="right" w:leader="dot" w:pos="8306"/>
        </w:tabs>
        <w:rPr>
          <w:rFonts w:hint="eastAsia" w:ascii="仿宋" w:hAnsi="仿宋" w:eastAsia="仿宋" w:cs="仿宋"/>
          <w:sz w:val="32"/>
          <w:szCs w:val="40"/>
        </w:rPr>
      </w:pPr>
      <w:r>
        <w:rPr>
          <w:rFonts w:hint="eastAsia" w:ascii="仿宋" w:hAnsi="仿宋" w:eastAsia="仿宋" w:cs="仿宋"/>
          <w:bCs/>
          <w:sz w:val="32"/>
          <w:szCs w:val="52"/>
        </w:rPr>
        <w:fldChar w:fldCharType="begin"/>
      </w:r>
      <w:r>
        <w:rPr>
          <w:rFonts w:hint="eastAsia" w:ascii="仿宋" w:hAnsi="仿宋" w:eastAsia="仿宋" w:cs="仿宋"/>
          <w:bCs/>
          <w:sz w:val="32"/>
          <w:szCs w:val="52"/>
        </w:rPr>
        <w:instrText xml:space="preserve"> HYPERLINK \l _Toc31122 </w:instrText>
      </w:r>
      <w:r>
        <w:rPr>
          <w:rFonts w:hint="eastAsia" w:ascii="仿宋" w:hAnsi="仿宋" w:eastAsia="仿宋" w:cs="仿宋"/>
          <w:bCs/>
          <w:sz w:val="32"/>
          <w:szCs w:val="52"/>
        </w:rPr>
        <w:fldChar w:fldCharType="separate"/>
      </w:r>
      <w:r>
        <w:rPr>
          <w:rFonts w:hint="eastAsia" w:ascii="仿宋" w:hAnsi="仿宋" w:eastAsia="仿宋" w:cs="仿宋"/>
          <w:sz w:val="32"/>
          <w:szCs w:val="48"/>
        </w:rPr>
        <w:t>三、支出预算执行情况</w:t>
      </w:r>
      <w:r>
        <w:rPr>
          <w:rFonts w:hint="eastAsia" w:ascii="仿宋" w:hAnsi="仿宋" w:eastAsia="仿宋" w:cs="仿宋"/>
          <w:sz w:val="32"/>
          <w:szCs w:val="40"/>
        </w:rPr>
        <w:tab/>
      </w:r>
      <w:r>
        <w:rPr>
          <w:rFonts w:hint="eastAsia" w:ascii="仿宋" w:hAnsi="仿宋" w:eastAsia="仿宋" w:cs="仿宋"/>
          <w:sz w:val="32"/>
          <w:szCs w:val="40"/>
        </w:rPr>
        <w:fldChar w:fldCharType="begin"/>
      </w:r>
      <w:r>
        <w:rPr>
          <w:rFonts w:hint="eastAsia" w:ascii="仿宋" w:hAnsi="仿宋" w:eastAsia="仿宋" w:cs="仿宋"/>
          <w:sz w:val="32"/>
          <w:szCs w:val="40"/>
        </w:rPr>
        <w:instrText xml:space="preserve"> PAGEREF _Toc31122 \h </w:instrText>
      </w:r>
      <w:r>
        <w:rPr>
          <w:rFonts w:hint="eastAsia" w:ascii="仿宋" w:hAnsi="仿宋" w:eastAsia="仿宋" w:cs="仿宋"/>
          <w:sz w:val="32"/>
          <w:szCs w:val="40"/>
        </w:rPr>
        <w:fldChar w:fldCharType="separate"/>
      </w:r>
      <w:r>
        <w:rPr>
          <w:rFonts w:hint="eastAsia" w:ascii="仿宋" w:hAnsi="仿宋" w:eastAsia="仿宋" w:cs="仿宋"/>
          <w:sz w:val="32"/>
          <w:szCs w:val="40"/>
        </w:rPr>
        <w:t>4</w:t>
      </w:r>
      <w:r>
        <w:rPr>
          <w:rFonts w:hint="eastAsia" w:ascii="仿宋" w:hAnsi="仿宋" w:eastAsia="仿宋" w:cs="仿宋"/>
          <w:sz w:val="32"/>
          <w:szCs w:val="40"/>
        </w:rPr>
        <w:fldChar w:fldCharType="end"/>
      </w:r>
      <w:r>
        <w:rPr>
          <w:rFonts w:hint="eastAsia" w:ascii="仿宋" w:hAnsi="仿宋" w:eastAsia="仿宋" w:cs="仿宋"/>
          <w:bCs/>
          <w:sz w:val="32"/>
          <w:szCs w:val="52"/>
        </w:rPr>
        <w:fldChar w:fldCharType="end"/>
      </w:r>
    </w:p>
    <w:p w14:paraId="152A1675">
      <w:pPr>
        <w:pStyle w:val="11"/>
        <w:tabs>
          <w:tab w:val="right" w:leader="dot" w:pos="8306"/>
        </w:tabs>
        <w:rPr>
          <w:rFonts w:hint="eastAsia" w:ascii="仿宋" w:hAnsi="仿宋" w:eastAsia="仿宋" w:cs="仿宋"/>
          <w:sz w:val="32"/>
          <w:szCs w:val="40"/>
        </w:rPr>
      </w:pPr>
      <w:r>
        <w:rPr>
          <w:rFonts w:hint="eastAsia" w:ascii="仿宋" w:hAnsi="仿宋" w:eastAsia="仿宋" w:cs="仿宋"/>
          <w:bCs/>
          <w:sz w:val="32"/>
          <w:szCs w:val="52"/>
        </w:rPr>
        <w:fldChar w:fldCharType="begin"/>
      </w:r>
      <w:r>
        <w:rPr>
          <w:rFonts w:hint="eastAsia" w:ascii="仿宋" w:hAnsi="仿宋" w:eastAsia="仿宋" w:cs="仿宋"/>
          <w:bCs/>
          <w:sz w:val="32"/>
          <w:szCs w:val="52"/>
        </w:rPr>
        <w:instrText xml:space="preserve"> HYPERLINK \l _Toc4708 </w:instrText>
      </w:r>
      <w:r>
        <w:rPr>
          <w:rFonts w:hint="eastAsia" w:ascii="仿宋" w:hAnsi="仿宋" w:eastAsia="仿宋" w:cs="仿宋"/>
          <w:bCs/>
          <w:sz w:val="32"/>
          <w:szCs w:val="52"/>
        </w:rPr>
        <w:fldChar w:fldCharType="separate"/>
      </w:r>
      <w:r>
        <w:rPr>
          <w:rFonts w:hint="eastAsia" w:ascii="仿宋" w:hAnsi="仿宋" w:eastAsia="仿宋" w:cs="仿宋"/>
          <w:sz w:val="32"/>
          <w:szCs w:val="48"/>
        </w:rPr>
        <w:t>四、财政拨款收入支出决算总体情况说明</w:t>
      </w:r>
      <w:r>
        <w:rPr>
          <w:rFonts w:hint="eastAsia" w:ascii="仿宋" w:hAnsi="仿宋" w:eastAsia="仿宋" w:cs="仿宋"/>
          <w:sz w:val="32"/>
          <w:szCs w:val="40"/>
        </w:rPr>
        <w:tab/>
      </w:r>
      <w:r>
        <w:rPr>
          <w:rFonts w:hint="eastAsia" w:ascii="仿宋" w:hAnsi="仿宋" w:eastAsia="仿宋" w:cs="仿宋"/>
          <w:sz w:val="32"/>
          <w:szCs w:val="40"/>
        </w:rPr>
        <w:fldChar w:fldCharType="begin"/>
      </w:r>
      <w:r>
        <w:rPr>
          <w:rFonts w:hint="eastAsia" w:ascii="仿宋" w:hAnsi="仿宋" w:eastAsia="仿宋" w:cs="仿宋"/>
          <w:sz w:val="32"/>
          <w:szCs w:val="40"/>
        </w:rPr>
        <w:instrText xml:space="preserve"> PAGEREF _Toc4708 \h </w:instrText>
      </w:r>
      <w:r>
        <w:rPr>
          <w:rFonts w:hint="eastAsia" w:ascii="仿宋" w:hAnsi="仿宋" w:eastAsia="仿宋" w:cs="仿宋"/>
          <w:sz w:val="32"/>
          <w:szCs w:val="40"/>
        </w:rPr>
        <w:fldChar w:fldCharType="separate"/>
      </w:r>
      <w:r>
        <w:rPr>
          <w:rFonts w:hint="eastAsia" w:ascii="仿宋" w:hAnsi="仿宋" w:eastAsia="仿宋" w:cs="仿宋"/>
          <w:sz w:val="32"/>
          <w:szCs w:val="40"/>
        </w:rPr>
        <w:t>4</w:t>
      </w:r>
      <w:r>
        <w:rPr>
          <w:rFonts w:hint="eastAsia" w:ascii="仿宋" w:hAnsi="仿宋" w:eastAsia="仿宋" w:cs="仿宋"/>
          <w:sz w:val="32"/>
          <w:szCs w:val="40"/>
        </w:rPr>
        <w:fldChar w:fldCharType="end"/>
      </w:r>
      <w:r>
        <w:rPr>
          <w:rFonts w:hint="eastAsia" w:ascii="仿宋" w:hAnsi="仿宋" w:eastAsia="仿宋" w:cs="仿宋"/>
          <w:bCs/>
          <w:sz w:val="32"/>
          <w:szCs w:val="52"/>
        </w:rPr>
        <w:fldChar w:fldCharType="end"/>
      </w:r>
    </w:p>
    <w:p w14:paraId="42C17D60">
      <w:pPr>
        <w:pStyle w:val="11"/>
        <w:tabs>
          <w:tab w:val="right" w:leader="dot" w:pos="8306"/>
        </w:tabs>
        <w:rPr>
          <w:rFonts w:hint="eastAsia" w:ascii="仿宋" w:hAnsi="仿宋" w:eastAsia="仿宋" w:cs="仿宋"/>
          <w:sz w:val="32"/>
          <w:szCs w:val="40"/>
        </w:rPr>
      </w:pPr>
      <w:r>
        <w:rPr>
          <w:rFonts w:hint="eastAsia" w:ascii="仿宋" w:hAnsi="仿宋" w:eastAsia="仿宋" w:cs="仿宋"/>
          <w:bCs/>
          <w:sz w:val="32"/>
          <w:szCs w:val="52"/>
        </w:rPr>
        <w:fldChar w:fldCharType="begin"/>
      </w:r>
      <w:r>
        <w:rPr>
          <w:rFonts w:hint="eastAsia" w:ascii="仿宋" w:hAnsi="仿宋" w:eastAsia="仿宋" w:cs="仿宋"/>
          <w:bCs/>
          <w:sz w:val="32"/>
          <w:szCs w:val="52"/>
        </w:rPr>
        <w:instrText xml:space="preserve"> HYPERLINK \l _Toc24381 </w:instrText>
      </w:r>
      <w:r>
        <w:rPr>
          <w:rFonts w:hint="eastAsia" w:ascii="仿宋" w:hAnsi="仿宋" w:eastAsia="仿宋" w:cs="仿宋"/>
          <w:bCs/>
          <w:sz w:val="32"/>
          <w:szCs w:val="52"/>
        </w:rPr>
        <w:fldChar w:fldCharType="separate"/>
      </w:r>
      <w:r>
        <w:rPr>
          <w:rFonts w:hint="eastAsia" w:ascii="仿宋" w:hAnsi="仿宋" w:eastAsia="仿宋" w:cs="仿宋"/>
          <w:sz w:val="32"/>
          <w:szCs w:val="48"/>
        </w:rPr>
        <w:t>五、一般公共预算财政拨款支出决算情况</w:t>
      </w:r>
      <w:r>
        <w:rPr>
          <w:rFonts w:hint="eastAsia" w:ascii="仿宋" w:hAnsi="仿宋" w:eastAsia="仿宋" w:cs="仿宋"/>
          <w:sz w:val="32"/>
          <w:szCs w:val="40"/>
        </w:rPr>
        <w:tab/>
      </w:r>
      <w:r>
        <w:rPr>
          <w:rFonts w:hint="eastAsia" w:ascii="仿宋" w:hAnsi="仿宋" w:eastAsia="仿宋" w:cs="仿宋"/>
          <w:sz w:val="32"/>
          <w:szCs w:val="40"/>
        </w:rPr>
        <w:fldChar w:fldCharType="begin"/>
      </w:r>
      <w:r>
        <w:rPr>
          <w:rFonts w:hint="eastAsia" w:ascii="仿宋" w:hAnsi="仿宋" w:eastAsia="仿宋" w:cs="仿宋"/>
          <w:sz w:val="32"/>
          <w:szCs w:val="40"/>
        </w:rPr>
        <w:instrText xml:space="preserve"> PAGEREF _Toc24381 \h </w:instrText>
      </w:r>
      <w:r>
        <w:rPr>
          <w:rFonts w:hint="eastAsia" w:ascii="仿宋" w:hAnsi="仿宋" w:eastAsia="仿宋" w:cs="仿宋"/>
          <w:sz w:val="32"/>
          <w:szCs w:val="40"/>
        </w:rPr>
        <w:fldChar w:fldCharType="separate"/>
      </w:r>
      <w:r>
        <w:rPr>
          <w:rFonts w:hint="eastAsia" w:ascii="仿宋" w:hAnsi="仿宋" w:eastAsia="仿宋" w:cs="仿宋"/>
          <w:sz w:val="32"/>
          <w:szCs w:val="40"/>
        </w:rPr>
        <w:t>5</w:t>
      </w:r>
      <w:r>
        <w:rPr>
          <w:rFonts w:hint="eastAsia" w:ascii="仿宋" w:hAnsi="仿宋" w:eastAsia="仿宋" w:cs="仿宋"/>
          <w:sz w:val="32"/>
          <w:szCs w:val="40"/>
        </w:rPr>
        <w:fldChar w:fldCharType="end"/>
      </w:r>
      <w:r>
        <w:rPr>
          <w:rFonts w:hint="eastAsia" w:ascii="仿宋" w:hAnsi="仿宋" w:eastAsia="仿宋" w:cs="仿宋"/>
          <w:bCs/>
          <w:sz w:val="32"/>
          <w:szCs w:val="52"/>
        </w:rPr>
        <w:fldChar w:fldCharType="end"/>
      </w:r>
    </w:p>
    <w:p w14:paraId="5485F430">
      <w:pPr>
        <w:pStyle w:val="11"/>
        <w:tabs>
          <w:tab w:val="right" w:leader="dot" w:pos="8306"/>
        </w:tabs>
        <w:rPr>
          <w:rFonts w:hint="eastAsia" w:ascii="仿宋" w:hAnsi="仿宋" w:eastAsia="仿宋" w:cs="仿宋"/>
          <w:sz w:val="32"/>
          <w:szCs w:val="40"/>
        </w:rPr>
      </w:pPr>
      <w:r>
        <w:rPr>
          <w:rFonts w:hint="eastAsia" w:ascii="仿宋" w:hAnsi="仿宋" w:eastAsia="仿宋" w:cs="仿宋"/>
          <w:bCs/>
          <w:sz w:val="32"/>
          <w:szCs w:val="52"/>
        </w:rPr>
        <w:fldChar w:fldCharType="begin"/>
      </w:r>
      <w:r>
        <w:rPr>
          <w:rFonts w:hint="eastAsia" w:ascii="仿宋" w:hAnsi="仿宋" w:eastAsia="仿宋" w:cs="仿宋"/>
          <w:bCs/>
          <w:sz w:val="32"/>
          <w:szCs w:val="52"/>
        </w:rPr>
        <w:instrText xml:space="preserve"> HYPERLINK \l _Toc2612 </w:instrText>
      </w:r>
      <w:r>
        <w:rPr>
          <w:rFonts w:hint="eastAsia" w:ascii="仿宋" w:hAnsi="仿宋" w:eastAsia="仿宋" w:cs="仿宋"/>
          <w:bCs/>
          <w:sz w:val="32"/>
          <w:szCs w:val="52"/>
        </w:rPr>
        <w:fldChar w:fldCharType="separate"/>
      </w:r>
      <w:r>
        <w:rPr>
          <w:rFonts w:hint="eastAsia" w:ascii="仿宋" w:hAnsi="仿宋" w:eastAsia="仿宋" w:cs="仿宋"/>
          <w:sz w:val="32"/>
          <w:szCs w:val="48"/>
        </w:rPr>
        <w:t>六、一</w:t>
      </w:r>
      <w:r>
        <w:rPr>
          <w:rFonts w:hint="eastAsia" w:ascii="仿宋" w:hAnsi="仿宋" w:eastAsia="仿宋" w:cs="仿宋"/>
          <w:sz w:val="32"/>
          <w:szCs w:val="40"/>
        </w:rPr>
        <w:t>般公共预算财政拨款基本支出决算情况说明</w:t>
      </w:r>
      <w:r>
        <w:rPr>
          <w:rFonts w:hint="eastAsia" w:ascii="仿宋" w:hAnsi="仿宋" w:eastAsia="仿宋" w:cs="仿宋"/>
          <w:sz w:val="32"/>
          <w:szCs w:val="40"/>
        </w:rPr>
        <w:tab/>
      </w:r>
      <w:r>
        <w:rPr>
          <w:rFonts w:hint="eastAsia" w:ascii="仿宋" w:hAnsi="仿宋" w:eastAsia="仿宋" w:cs="仿宋"/>
          <w:sz w:val="32"/>
          <w:szCs w:val="40"/>
        </w:rPr>
        <w:fldChar w:fldCharType="begin"/>
      </w:r>
      <w:r>
        <w:rPr>
          <w:rFonts w:hint="eastAsia" w:ascii="仿宋" w:hAnsi="仿宋" w:eastAsia="仿宋" w:cs="仿宋"/>
          <w:sz w:val="32"/>
          <w:szCs w:val="40"/>
        </w:rPr>
        <w:instrText xml:space="preserve"> PAGEREF _Toc2612 \h </w:instrText>
      </w:r>
      <w:r>
        <w:rPr>
          <w:rFonts w:hint="eastAsia" w:ascii="仿宋" w:hAnsi="仿宋" w:eastAsia="仿宋" w:cs="仿宋"/>
          <w:sz w:val="32"/>
          <w:szCs w:val="40"/>
        </w:rPr>
        <w:fldChar w:fldCharType="separate"/>
      </w:r>
      <w:r>
        <w:rPr>
          <w:rFonts w:hint="eastAsia" w:ascii="仿宋" w:hAnsi="仿宋" w:eastAsia="仿宋" w:cs="仿宋"/>
          <w:sz w:val="32"/>
          <w:szCs w:val="40"/>
        </w:rPr>
        <w:t>7</w:t>
      </w:r>
      <w:r>
        <w:rPr>
          <w:rFonts w:hint="eastAsia" w:ascii="仿宋" w:hAnsi="仿宋" w:eastAsia="仿宋" w:cs="仿宋"/>
          <w:sz w:val="32"/>
          <w:szCs w:val="40"/>
        </w:rPr>
        <w:fldChar w:fldCharType="end"/>
      </w:r>
      <w:r>
        <w:rPr>
          <w:rFonts w:hint="eastAsia" w:ascii="仿宋" w:hAnsi="仿宋" w:eastAsia="仿宋" w:cs="仿宋"/>
          <w:bCs/>
          <w:sz w:val="32"/>
          <w:szCs w:val="52"/>
        </w:rPr>
        <w:fldChar w:fldCharType="end"/>
      </w:r>
    </w:p>
    <w:p w14:paraId="6D910076">
      <w:pPr>
        <w:pStyle w:val="11"/>
        <w:tabs>
          <w:tab w:val="right" w:leader="dot" w:pos="8306"/>
        </w:tabs>
        <w:rPr>
          <w:rFonts w:hint="eastAsia" w:ascii="仿宋" w:hAnsi="仿宋" w:eastAsia="仿宋" w:cs="仿宋"/>
          <w:sz w:val="32"/>
          <w:szCs w:val="40"/>
        </w:rPr>
      </w:pPr>
      <w:r>
        <w:rPr>
          <w:rFonts w:hint="eastAsia" w:ascii="仿宋" w:hAnsi="仿宋" w:eastAsia="仿宋" w:cs="仿宋"/>
          <w:bCs/>
          <w:sz w:val="32"/>
          <w:szCs w:val="52"/>
        </w:rPr>
        <w:fldChar w:fldCharType="begin"/>
      </w:r>
      <w:r>
        <w:rPr>
          <w:rFonts w:hint="eastAsia" w:ascii="仿宋" w:hAnsi="仿宋" w:eastAsia="仿宋" w:cs="仿宋"/>
          <w:bCs/>
          <w:sz w:val="32"/>
          <w:szCs w:val="52"/>
        </w:rPr>
        <w:instrText xml:space="preserve"> HYPERLINK \l _Toc3704 </w:instrText>
      </w:r>
      <w:r>
        <w:rPr>
          <w:rFonts w:hint="eastAsia" w:ascii="仿宋" w:hAnsi="仿宋" w:eastAsia="仿宋" w:cs="仿宋"/>
          <w:bCs/>
          <w:sz w:val="32"/>
          <w:szCs w:val="52"/>
        </w:rPr>
        <w:fldChar w:fldCharType="separate"/>
      </w:r>
      <w:r>
        <w:rPr>
          <w:rFonts w:hint="eastAsia" w:ascii="仿宋" w:hAnsi="仿宋" w:eastAsia="仿宋" w:cs="仿宋"/>
          <w:sz w:val="32"/>
          <w:szCs w:val="48"/>
        </w:rPr>
        <w:t>七、</w:t>
      </w:r>
      <w:r>
        <w:rPr>
          <w:rFonts w:hint="eastAsia" w:ascii="仿宋" w:hAnsi="仿宋" w:eastAsia="仿宋" w:cs="仿宋"/>
          <w:sz w:val="32"/>
          <w:szCs w:val="40"/>
        </w:rPr>
        <w:t>财政拨款“三公”经费支出决算情况说明</w:t>
      </w:r>
      <w:r>
        <w:rPr>
          <w:rFonts w:hint="eastAsia" w:ascii="仿宋" w:hAnsi="仿宋" w:eastAsia="仿宋" w:cs="仿宋"/>
          <w:sz w:val="32"/>
          <w:szCs w:val="40"/>
        </w:rPr>
        <w:tab/>
      </w:r>
      <w:r>
        <w:rPr>
          <w:rFonts w:hint="eastAsia" w:ascii="仿宋" w:hAnsi="仿宋" w:eastAsia="仿宋" w:cs="仿宋"/>
          <w:sz w:val="32"/>
          <w:szCs w:val="40"/>
        </w:rPr>
        <w:fldChar w:fldCharType="begin"/>
      </w:r>
      <w:r>
        <w:rPr>
          <w:rFonts w:hint="eastAsia" w:ascii="仿宋" w:hAnsi="仿宋" w:eastAsia="仿宋" w:cs="仿宋"/>
          <w:sz w:val="32"/>
          <w:szCs w:val="40"/>
        </w:rPr>
        <w:instrText xml:space="preserve"> PAGEREF _Toc3704 \h </w:instrText>
      </w:r>
      <w:r>
        <w:rPr>
          <w:rFonts w:hint="eastAsia" w:ascii="仿宋" w:hAnsi="仿宋" w:eastAsia="仿宋" w:cs="仿宋"/>
          <w:sz w:val="32"/>
          <w:szCs w:val="40"/>
        </w:rPr>
        <w:fldChar w:fldCharType="separate"/>
      </w:r>
      <w:r>
        <w:rPr>
          <w:rFonts w:hint="eastAsia" w:ascii="仿宋" w:hAnsi="仿宋" w:eastAsia="仿宋" w:cs="仿宋"/>
          <w:sz w:val="32"/>
          <w:szCs w:val="40"/>
        </w:rPr>
        <w:t>8</w:t>
      </w:r>
      <w:r>
        <w:rPr>
          <w:rFonts w:hint="eastAsia" w:ascii="仿宋" w:hAnsi="仿宋" w:eastAsia="仿宋" w:cs="仿宋"/>
          <w:sz w:val="32"/>
          <w:szCs w:val="40"/>
        </w:rPr>
        <w:fldChar w:fldCharType="end"/>
      </w:r>
      <w:r>
        <w:rPr>
          <w:rFonts w:hint="eastAsia" w:ascii="仿宋" w:hAnsi="仿宋" w:eastAsia="仿宋" w:cs="仿宋"/>
          <w:bCs/>
          <w:sz w:val="32"/>
          <w:szCs w:val="52"/>
        </w:rPr>
        <w:fldChar w:fldCharType="end"/>
      </w:r>
    </w:p>
    <w:p w14:paraId="2D430045">
      <w:pPr>
        <w:pStyle w:val="11"/>
        <w:tabs>
          <w:tab w:val="right" w:leader="dot" w:pos="8306"/>
        </w:tabs>
        <w:rPr>
          <w:rFonts w:hint="eastAsia" w:ascii="仿宋" w:hAnsi="仿宋" w:eastAsia="仿宋" w:cs="仿宋"/>
          <w:sz w:val="32"/>
          <w:szCs w:val="40"/>
        </w:rPr>
      </w:pPr>
      <w:r>
        <w:rPr>
          <w:rFonts w:hint="eastAsia" w:ascii="仿宋" w:hAnsi="仿宋" w:eastAsia="仿宋" w:cs="仿宋"/>
          <w:bCs/>
          <w:sz w:val="32"/>
          <w:szCs w:val="52"/>
        </w:rPr>
        <w:fldChar w:fldCharType="begin"/>
      </w:r>
      <w:r>
        <w:rPr>
          <w:rFonts w:hint="eastAsia" w:ascii="仿宋" w:hAnsi="仿宋" w:eastAsia="仿宋" w:cs="仿宋"/>
          <w:bCs/>
          <w:sz w:val="32"/>
          <w:szCs w:val="52"/>
        </w:rPr>
        <w:instrText xml:space="preserve"> HYPERLINK \l _Toc1317 </w:instrText>
      </w:r>
      <w:r>
        <w:rPr>
          <w:rFonts w:hint="eastAsia" w:ascii="仿宋" w:hAnsi="仿宋" w:eastAsia="仿宋" w:cs="仿宋"/>
          <w:bCs/>
          <w:sz w:val="32"/>
          <w:szCs w:val="52"/>
        </w:rPr>
        <w:fldChar w:fldCharType="separate"/>
      </w:r>
      <w:r>
        <w:rPr>
          <w:rFonts w:hint="eastAsia" w:ascii="仿宋" w:hAnsi="仿宋" w:eastAsia="仿宋" w:cs="仿宋"/>
          <w:sz w:val="32"/>
          <w:szCs w:val="48"/>
        </w:rPr>
        <w:t>八、政府性基金预算财政拨款支出决算情况</w:t>
      </w:r>
      <w:r>
        <w:rPr>
          <w:rFonts w:hint="eastAsia" w:ascii="仿宋" w:hAnsi="仿宋" w:eastAsia="仿宋" w:cs="仿宋"/>
          <w:sz w:val="32"/>
          <w:szCs w:val="40"/>
        </w:rPr>
        <w:tab/>
      </w:r>
      <w:r>
        <w:rPr>
          <w:rFonts w:hint="eastAsia" w:ascii="仿宋" w:hAnsi="仿宋" w:eastAsia="仿宋" w:cs="仿宋"/>
          <w:sz w:val="32"/>
          <w:szCs w:val="40"/>
        </w:rPr>
        <w:fldChar w:fldCharType="begin"/>
      </w:r>
      <w:r>
        <w:rPr>
          <w:rFonts w:hint="eastAsia" w:ascii="仿宋" w:hAnsi="仿宋" w:eastAsia="仿宋" w:cs="仿宋"/>
          <w:sz w:val="32"/>
          <w:szCs w:val="40"/>
        </w:rPr>
        <w:instrText xml:space="preserve"> PAGEREF _Toc1317 \h </w:instrText>
      </w:r>
      <w:r>
        <w:rPr>
          <w:rFonts w:hint="eastAsia" w:ascii="仿宋" w:hAnsi="仿宋" w:eastAsia="仿宋" w:cs="仿宋"/>
          <w:sz w:val="32"/>
          <w:szCs w:val="40"/>
        </w:rPr>
        <w:fldChar w:fldCharType="separate"/>
      </w:r>
      <w:r>
        <w:rPr>
          <w:rFonts w:hint="eastAsia" w:ascii="仿宋" w:hAnsi="仿宋" w:eastAsia="仿宋" w:cs="仿宋"/>
          <w:sz w:val="32"/>
          <w:szCs w:val="40"/>
        </w:rPr>
        <w:t>10</w:t>
      </w:r>
      <w:r>
        <w:rPr>
          <w:rFonts w:hint="eastAsia" w:ascii="仿宋" w:hAnsi="仿宋" w:eastAsia="仿宋" w:cs="仿宋"/>
          <w:sz w:val="32"/>
          <w:szCs w:val="40"/>
        </w:rPr>
        <w:fldChar w:fldCharType="end"/>
      </w:r>
      <w:r>
        <w:rPr>
          <w:rFonts w:hint="eastAsia" w:ascii="仿宋" w:hAnsi="仿宋" w:eastAsia="仿宋" w:cs="仿宋"/>
          <w:bCs/>
          <w:sz w:val="32"/>
          <w:szCs w:val="52"/>
        </w:rPr>
        <w:fldChar w:fldCharType="end"/>
      </w:r>
    </w:p>
    <w:p w14:paraId="0AB62E26">
      <w:pPr>
        <w:pStyle w:val="11"/>
        <w:tabs>
          <w:tab w:val="right" w:leader="dot" w:pos="8306"/>
        </w:tabs>
        <w:rPr>
          <w:rFonts w:hint="eastAsia" w:ascii="仿宋" w:hAnsi="仿宋" w:eastAsia="仿宋" w:cs="仿宋"/>
          <w:sz w:val="32"/>
          <w:szCs w:val="40"/>
        </w:rPr>
      </w:pPr>
      <w:r>
        <w:rPr>
          <w:rFonts w:hint="eastAsia" w:ascii="仿宋" w:hAnsi="仿宋" w:eastAsia="仿宋" w:cs="仿宋"/>
          <w:bCs/>
          <w:sz w:val="32"/>
          <w:szCs w:val="52"/>
        </w:rPr>
        <w:fldChar w:fldCharType="begin"/>
      </w:r>
      <w:r>
        <w:rPr>
          <w:rFonts w:hint="eastAsia" w:ascii="仿宋" w:hAnsi="仿宋" w:eastAsia="仿宋" w:cs="仿宋"/>
          <w:bCs/>
          <w:sz w:val="32"/>
          <w:szCs w:val="52"/>
        </w:rPr>
        <w:instrText xml:space="preserve"> HYPERLINK \l _Toc7653 </w:instrText>
      </w:r>
      <w:r>
        <w:rPr>
          <w:rFonts w:hint="eastAsia" w:ascii="仿宋" w:hAnsi="仿宋" w:eastAsia="仿宋" w:cs="仿宋"/>
          <w:bCs/>
          <w:sz w:val="32"/>
          <w:szCs w:val="52"/>
        </w:rPr>
        <w:fldChar w:fldCharType="separate"/>
      </w:r>
      <w:r>
        <w:rPr>
          <w:rFonts w:hint="eastAsia" w:ascii="仿宋" w:hAnsi="仿宋" w:eastAsia="仿宋" w:cs="仿宋"/>
          <w:sz w:val="32"/>
          <w:szCs w:val="48"/>
        </w:rPr>
        <w:t>九、国有资本经营预算支出决算情况说明</w:t>
      </w:r>
      <w:r>
        <w:rPr>
          <w:rFonts w:hint="eastAsia" w:ascii="仿宋" w:hAnsi="仿宋" w:eastAsia="仿宋" w:cs="仿宋"/>
          <w:sz w:val="32"/>
          <w:szCs w:val="40"/>
        </w:rPr>
        <w:tab/>
      </w:r>
      <w:r>
        <w:rPr>
          <w:rFonts w:hint="eastAsia" w:ascii="仿宋" w:hAnsi="仿宋" w:eastAsia="仿宋" w:cs="仿宋"/>
          <w:sz w:val="32"/>
          <w:szCs w:val="40"/>
        </w:rPr>
        <w:fldChar w:fldCharType="begin"/>
      </w:r>
      <w:r>
        <w:rPr>
          <w:rFonts w:hint="eastAsia" w:ascii="仿宋" w:hAnsi="仿宋" w:eastAsia="仿宋" w:cs="仿宋"/>
          <w:sz w:val="32"/>
          <w:szCs w:val="40"/>
        </w:rPr>
        <w:instrText xml:space="preserve"> PAGEREF _Toc7653 \h </w:instrText>
      </w:r>
      <w:r>
        <w:rPr>
          <w:rFonts w:hint="eastAsia" w:ascii="仿宋" w:hAnsi="仿宋" w:eastAsia="仿宋" w:cs="仿宋"/>
          <w:sz w:val="32"/>
          <w:szCs w:val="40"/>
        </w:rPr>
        <w:fldChar w:fldCharType="separate"/>
      </w:r>
      <w:r>
        <w:rPr>
          <w:rFonts w:hint="eastAsia" w:ascii="仿宋" w:hAnsi="仿宋" w:eastAsia="仿宋" w:cs="仿宋"/>
          <w:sz w:val="32"/>
          <w:szCs w:val="40"/>
        </w:rPr>
        <w:t>10</w:t>
      </w:r>
      <w:r>
        <w:rPr>
          <w:rFonts w:hint="eastAsia" w:ascii="仿宋" w:hAnsi="仿宋" w:eastAsia="仿宋" w:cs="仿宋"/>
          <w:sz w:val="32"/>
          <w:szCs w:val="40"/>
        </w:rPr>
        <w:fldChar w:fldCharType="end"/>
      </w:r>
      <w:r>
        <w:rPr>
          <w:rFonts w:hint="eastAsia" w:ascii="仿宋" w:hAnsi="仿宋" w:eastAsia="仿宋" w:cs="仿宋"/>
          <w:bCs/>
          <w:sz w:val="32"/>
          <w:szCs w:val="52"/>
        </w:rPr>
        <w:fldChar w:fldCharType="end"/>
      </w:r>
    </w:p>
    <w:p w14:paraId="2ECE3CCF">
      <w:pPr>
        <w:pStyle w:val="11"/>
        <w:tabs>
          <w:tab w:val="right" w:leader="dot" w:pos="8306"/>
        </w:tabs>
        <w:rPr>
          <w:rFonts w:hint="eastAsia" w:ascii="仿宋" w:hAnsi="仿宋" w:eastAsia="仿宋" w:cs="仿宋"/>
          <w:sz w:val="32"/>
          <w:szCs w:val="40"/>
        </w:rPr>
      </w:pPr>
      <w:r>
        <w:rPr>
          <w:rFonts w:hint="eastAsia" w:ascii="仿宋" w:hAnsi="仿宋" w:eastAsia="仿宋" w:cs="仿宋"/>
          <w:bCs/>
          <w:sz w:val="32"/>
          <w:szCs w:val="52"/>
        </w:rPr>
        <w:fldChar w:fldCharType="begin"/>
      </w:r>
      <w:r>
        <w:rPr>
          <w:rFonts w:hint="eastAsia" w:ascii="仿宋" w:hAnsi="仿宋" w:eastAsia="仿宋" w:cs="仿宋"/>
          <w:bCs/>
          <w:sz w:val="32"/>
          <w:szCs w:val="52"/>
        </w:rPr>
        <w:instrText xml:space="preserve"> HYPERLINK \l _Toc1983 </w:instrText>
      </w:r>
      <w:r>
        <w:rPr>
          <w:rFonts w:hint="eastAsia" w:ascii="仿宋" w:hAnsi="仿宋" w:eastAsia="仿宋" w:cs="仿宋"/>
          <w:bCs/>
          <w:sz w:val="32"/>
          <w:szCs w:val="52"/>
        </w:rPr>
        <w:fldChar w:fldCharType="separate"/>
      </w:r>
      <w:r>
        <w:rPr>
          <w:rFonts w:hint="eastAsia" w:ascii="仿宋" w:hAnsi="仿宋" w:eastAsia="仿宋" w:cs="仿宋"/>
          <w:sz w:val="32"/>
          <w:szCs w:val="48"/>
        </w:rPr>
        <w:t>十、其他重要事项的情况说明</w:t>
      </w:r>
      <w:r>
        <w:rPr>
          <w:rFonts w:hint="eastAsia" w:ascii="仿宋" w:hAnsi="仿宋" w:eastAsia="仿宋" w:cs="仿宋"/>
          <w:sz w:val="32"/>
          <w:szCs w:val="40"/>
        </w:rPr>
        <w:tab/>
      </w:r>
      <w:r>
        <w:rPr>
          <w:rFonts w:hint="eastAsia" w:ascii="仿宋" w:hAnsi="仿宋" w:eastAsia="仿宋" w:cs="仿宋"/>
          <w:sz w:val="32"/>
          <w:szCs w:val="40"/>
        </w:rPr>
        <w:fldChar w:fldCharType="begin"/>
      </w:r>
      <w:r>
        <w:rPr>
          <w:rFonts w:hint="eastAsia" w:ascii="仿宋" w:hAnsi="仿宋" w:eastAsia="仿宋" w:cs="仿宋"/>
          <w:sz w:val="32"/>
          <w:szCs w:val="40"/>
        </w:rPr>
        <w:instrText xml:space="preserve"> PAGEREF _Toc1983 \h </w:instrText>
      </w:r>
      <w:r>
        <w:rPr>
          <w:rFonts w:hint="eastAsia" w:ascii="仿宋" w:hAnsi="仿宋" w:eastAsia="仿宋" w:cs="仿宋"/>
          <w:sz w:val="32"/>
          <w:szCs w:val="40"/>
        </w:rPr>
        <w:fldChar w:fldCharType="separate"/>
      </w:r>
      <w:r>
        <w:rPr>
          <w:rFonts w:hint="eastAsia" w:ascii="仿宋" w:hAnsi="仿宋" w:eastAsia="仿宋" w:cs="仿宋"/>
          <w:sz w:val="32"/>
          <w:szCs w:val="40"/>
        </w:rPr>
        <w:t>10</w:t>
      </w:r>
      <w:r>
        <w:rPr>
          <w:rFonts w:hint="eastAsia" w:ascii="仿宋" w:hAnsi="仿宋" w:eastAsia="仿宋" w:cs="仿宋"/>
          <w:sz w:val="32"/>
          <w:szCs w:val="40"/>
        </w:rPr>
        <w:fldChar w:fldCharType="end"/>
      </w:r>
      <w:r>
        <w:rPr>
          <w:rFonts w:hint="eastAsia" w:ascii="仿宋" w:hAnsi="仿宋" w:eastAsia="仿宋" w:cs="仿宋"/>
          <w:bCs/>
          <w:sz w:val="32"/>
          <w:szCs w:val="52"/>
        </w:rPr>
        <w:fldChar w:fldCharType="end"/>
      </w:r>
    </w:p>
    <w:p w14:paraId="269290E2">
      <w:pPr>
        <w:pStyle w:val="11"/>
        <w:tabs>
          <w:tab w:val="right" w:leader="dot" w:pos="8306"/>
        </w:tabs>
        <w:rPr>
          <w:rFonts w:hint="eastAsia" w:ascii="仿宋" w:hAnsi="仿宋" w:eastAsia="仿宋" w:cs="仿宋"/>
          <w:sz w:val="32"/>
          <w:szCs w:val="40"/>
        </w:rPr>
      </w:pPr>
      <w:r>
        <w:rPr>
          <w:rFonts w:hint="eastAsia" w:ascii="仿宋" w:hAnsi="仿宋" w:eastAsia="仿宋" w:cs="仿宋"/>
          <w:bCs/>
          <w:sz w:val="32"/>
          <w:szCs w:val="52"/>
        </w:rPr>
        <w:fldChar w:fldCharType="begin"/>
      </w:r>
      <w:r>
        <w:rPr>
          <w:rFonts w:hint="eastAsia" w:ascii="仿宋" w:hAnsi="仿宋" w:eastAsia="仿宋" w:cs="仿宋"/>
          <w:bCs/>
          <w:sz w:val="32"/>
          <w:szCs w:val="52"/>
        </w:rPr>
        <w:instrText xml:space="preserve"> HYPERLINK \l _Toc28311 </w:instrText>
      </w:r>
      <w:r>
        <w:rPr>
          <w:rFonts w:hint="eastAsia" w:ascii="仿宋" w:hAnsi="仿宋" w:eastAsia="仿宋" w:cs="仿宋"/>
          <w:bCs/>
          <w:sz w:val="32"/>
          <w:szCs w:val="52"/>
        </w:rPr>
        <w:fldChar w:fldCharType="separate"/>
      </w:r>
      <w:r>
        <w:rPr>
          <w:rFonts w:hint="eastAsia" w:ascii="仿宋" w:hAnsi="仿宋" w:eastAsia="仿宋" w:cs="仿宋"/>
          <w:sz w:val="32"/>
          <w:szCs w:val="48"/>
        </w:rPr>
        <w:t>十一、行政事业单位财务分析指标</w:t>
      </w:r>
      <w:r>
        <w:rPr>
          <w:rFonts w:hint="eastAsia" w:ascii="仿宋" w:hAnsi="仿宋" w:eastAsia="仿宋" w:cs="仿宋"/>
          <w:sz w:val="32"/>
          <w:szCs w:val="40"/>
        </w:rPr>
        <w:tab/>
      </w:r>
      <w:r>
        <w:rPr>
          <w:rFonts w:hint="eastAsia" w:ascii="仿宋" w:hAnsi="仿宋" w:eastAsia="仿宋" w:cs="仿宋"/>
          <w:sz w:val="32"/>
          <w:szCs w:val="40"/>
        </w:rPr>
        <w:fldChar w:fldCharType="begin"/>
      </w:r>
      <w:r>
        <w:rPr>
          <w:rFonts w:hint="eastAsia" w:ascii="仿宋" w:hAnsi="仿宋" w:eastAsia="仿宋" w:cs="仿宋"/>
          <w:sz w:val="32"/>
          <w:szCs w:val="40"/>
        </w:rPr>
        <w:instrText xml:space="preserve"> PAGEREF _Toc28311 \h </w:instrText>
      </w:r>
      <w:r>
        <w:rPr>
          <w:rFonts w:hint="eastAsia" w:ascii="仿宋" w:hAnsi="仿宋" w:eastAsia="仿宋" w:cs="仿宋"/>
          <w:sz w:val="32"/>
          <w:szCs w:val="40"/>
        </w:rPr>
        <w:fldChar w:fldCharType="separate"/>
      </w:r>
      <w:r>
        <w:rPr>
          <w:rFonts w:hint="eastAsia" w:ascii="仿宋" w:hAnsi="仿宋" w:eastAsia="仿宋" w:cs="仿宋"/>
          <w:sz w:val="32"/>
          <w:szCs w:val="40"/>
        </w:rPr>
        <w:t>12</w:t>
      </w:r>
      <w:r>
        <w:rPr>
          <w:rFonts w:hint="eastAsia" w:ascii="仿宋" w:hAnsi="仿宋" w:eastAsia="仿宋" w:cs="仿宋"/>
          <w:sz w:val="32"/>
          <w:szCs w:val="40"/>
        </w:rPr>
        <w:fldChar w:fldCharType="end"/>
      </w:r>
      <w:r>
        <w:rPr>
          <w:rFonts w:hint="eastAsia" w:ascii="仿宋" w:hAnsi="仿宋" w:eastAsia="仿宋" w:cs="仿宋"/>
          <w:bCs/>
          <w:sz w:val="32"/>
          <w:szCs w:val="52"/>
        </w:rPr>
        <w:fldChar w:fldCharType="end"/>
      </w:r>
    </w:p>
    <w:p w14:paraId="5B6C5E1A">
      <w:pPr>
        <w:pStyle w:val="10"/>
        <w:tabs>
          <w:tab w:val="right" w:leader="dot" w:pos="8306"/>
        </w:tabs>
        <w:rPr>
          <w:rFonts w:hint="eastAsia" w:ascii="仿宋" w:hAnsi="仿宋" w:eastAsia="仿宋" w:cs="仿宋"/>
          <w:sz w:val="32"/>
          <w:szCs w:val="40"/>
        </w:rPr>
      </w:pPr>
      <w:r>
        <w:rPr>
          <w:rFonts w:hint="eastAsia" w:ascii="仿宋" w:hAnsi="仿宋" w:eastAsia="仿宋" w:cs="仿宋"/>
          <w:bCs/>
          <w:sz w:val="32"/>
          <w:szCs w:val="52"/>
        </w:rPr>
        <w:fldChar w:fldCharType="begin"/>
      </w:r>
      <w:r>
        <w:rPr>
          <w:rFonts w:hint="eastAsia" w:ascii="仿宋" w:hAnsi="仿宋" w:eastAsia="仿宋" w:cs="仿宋"/>
          <w:bCs/>
          <w:sz w:val="32"/>
          <w:szCs w:val="52"/>
        </w:rPr>
        <w:instrText xml:space="preserve"> HYPERLINK \l _Toc19145 </w:instrText>
      </w:r>
      <w:r>
        <w:rPr>
          <w:rFonts w:hint="eastAsia" w:ascii="仿宋" w:hAnsi="仿宋" w:eastAsia="仿宋" w:cs="仿宋"/>
          <w:bCs/>
          <w:sz w:val="32"/>
          <w:szCs w:val="52"/>
        </w:rPr>
        <w:fldChar w:fldCharType="separate"/>
      </w:r>
      <w:r>
        <w:rPr>
          <w:rFonts w:hint="eastAsia" w:ascii="仿宋" w:hAnsi="仿宋" w:eastAsia="仿宋" w:cs="仿宋"/>
          <w:sz w:val="32"/>
          <w:szCs w:val="40"/>
        </w:rPr>
        <w:t xml:space="preserve">第三部分 </w:t>
      </w:r>
      <w:r>
        <w:rPr>
          <w:rFonts w:hint="eastAsia" w:ascii="仿宋" w:hAnsi="仿宋" w:eastAsia="仿宋" w:cs="仿宋"/>
          <w:sz w:val="32"/>
          <w:szCs w:val="60"/>
        </w:rPr>
        <w:t>名</w:t>
      </w:r>
      <w:r>
        <w:rPr>
          <w:rFonts w:hint="eastAsia" w:ascii="仿宋" w:hAnsi="仿宋" w:eastAsia="仿宋" w:cs="仿宋"/>
          <w:sz w:val="32"/>
          <w:szCs w:val="40"/>
        </w:rPr>
        <w:t>词解释</w:t>
      </w:r>
      <w:r>
        <w:rPr>
          <w:rFonts w:hint="eastAsia" w:ascii="仿宋" w:hAnsi="仿宋" w:eastAsia="仿宋" w:cs="仿宋"/>
          <w:sz w:val="32"/>
          <w:szCs w:val="40"/>
        </w:rPr>
        <w:tab/>
      </w:r>
      <w:r>
        <w:rPr>
          <w:rFonts w:hint="eastAsia" w:ascii="仿宋" w:hAnsi="仿宋" w:eastAsia="仿宋" w:cs="仿宋"/>
          <w:sz w:val="32"/>
          <w:szCs w:val="40"/>
        </w:rPr>
        <w:fldChar w:fldCharType="begin"/>
      </w:r>
      <w:r>
        <w:rPr>
          <w:rFonts w:hint="eastAsia" w:ascii="仿宋" w:hAnsi="仿宋" w:eastAsia="仿宋" w:cs="仿宋"/>
          <w:sz w:val="32"/>
          <w:szCs w:val="40"/>
        </w:rPr>
        <w:instrText xml:space="preserve"> PAGEREF _Toc19145 \h </w:instrText>
      </w:r>
      <w:r>
        <w:rPr>
          <w:rFonts w:hint="eastAsia" w:ascii="仿宋" w:hAnsi="仿宋" w:eastAsia="仿宋" w:cs="仿宋"/>
          <w:sz w:val="32"/>
          <w:szCs w:val="40"/>
        </w:rPr>
        <w:fldChar w:fldCharType="separate"/>
      </w:r>
      <w:r>
        <w:rPr>
          <w:rFonts w:hint="eastAsia" w:ascii="仿宋" w:hAnsi="仿宋" w:eastAsia="仿宋" w:cs="仿宋"/>
          <w:sz w:val="32"/>
          <w:szCs w:val="40"/>
        </w:rPr>
        <w:t>15</w:t>
      </w:r>
      <w:r>
        <w:rPr>
          <w:rFonts w:hint="eastAsia" w:ascii="仿宋" w:hAnsi="仿宋" w:eastAsia="仿宋" w:cs="仿宋"/>
          <w:sz w:val="32"/>
          <w:szCs w:val="40"/>
        </w:rPr>
        <w:fldChar w:fldCharType="end"/>
      </w:r>
      <w:r>
        <w:rPr>
          <w:rFonts w:hint="eastAsia" w:ascii="仿宋" w:hAnsi="仿宋" w:eastAsia="仿宋" w:cs="仿宋"/>
          <w:bCs/>
          <w:sz w:val="32"/>
          <w:szCs w:val="52"/>
        </w:rPr>
        <w:fldChar w:fldCharType="end"/>
      </w:r>
    </w:p>
    <w:p w14:paraId="61D57937">
      <w:pPr>
        <w:pStyle w:val="10"/>
        <w:tabs>
          <w:tab w:val="right" w:leader="dot" w:pos="8306"/>
        </w:tabs>
        <w:rPr>
          <w:rFonts w:hint="eastAsia" w:ascii="仿宋" w:hAnsi="仿宋" w:eastAsia="仿宋" w:cs="仿宋"/>
          <w:sz w:val="32"/>
          <w:szCs w:val="40"/>
        </w:rPr>
      </w:pPr>
      <w:r>
        <w:rPr>
          <w:rFonts w:hint="eastAsia" w:ascii="仿宋" w:hAnsi="仿宋" w:eastAsia="仿宋" w:cs="仿宋"/>
          <w:bCs/>
          <w:sz w:val="32"/>
          <w:szCs w:val="52"/>
        </w:rPr>
        <w:fldChar w:fldCharType="begin"/>
      </w:r>
      <w:r>
        <w:rPr>
          <w:rFonts w:hint="eastAsia" w:ascii="仿宋" w:hAnsi="仿宋" w:eastAsia="仿宋" w:cs="仿宋"/>
          <w:bCs/>
          <w:sz w:val="32"/>
          <w:szCs w:val="52"/>
        </w:rPr>
        <w:instrText xml:space="preserve"> HYPERLINK \l _Toc18991 </w:instrText>
      </w:r>
      <w:r>
        <w:rPr>
          <w:rFonts w:hint="eastAsia" w:ascii="仿宋" w:hAnsi="仿宋" w:eastAsia="仿宋" w:cs="仿宋"/>
          <w:bCs/>
          <w:sz w:val="32"/>
          <w:szCs w:val="52"/>
        </w:rPr>
        <w:fldChar w:fldCharType="separate"/>
      </w:r>
      <w:r>
        <w:rPr>
          <w:rFonts w:hint="eastAsia" w:ascii="仿宋" w:hAnsi="仿宋" w:eastAsia="仿宋" w:cs="仿宋"/>
          <w:bCs/>
          <w:sz w:val="32"/>
          <w:szCs w:val="60"/>
          <w:shd w:val="clear" w:fill="FFFFFF"/>
          <w:lang w:eastAsia="zh-CN"/>
        </w:rPr>
        <w:t xml:space="preserve">第四部分 </w:t>
      </w:r>
      <w:r>
        <w:rPr>
          <w:rFonts w:hint="eastAsia" w:ascii="仿宋" w:hAnsi="仿宋" w:eastAsia="仿宋" w:cs="仿宋"/>
          <w:bCs/>
          <w:sz w:val="32"/>
          <w:szCs w:val="60"/>
          <w:highlight w:val="none"/>
          <w:shd w:val="clear" w:color="auto" w:fill="FFFFFF"/>
          <w:lang w:eastAsia="zh-CN"/>
        </w:rPr>
        <w:t>附件</w:t>
      </w:r>
      <w:r>
        <w:rPr>
          <w:rFonts w:hint="eastAsia" w:ascii="仿宋" w:hAnsi="仿宋" w:eastAsia="仿宋" w:cs="仿宋"/>
          <w:sz w:val="32"/>
          <w:szCs w:val="40"/>
        </w:rPr>
        <w:tab/>
      </w:r>
      <w:r>
        <w:rPr>
          <w:rFonts w:hint="eastAsia" w:ascii="仿宋" w:hAnsi="仿宋" w:eastAsia="仿宋" w:cs="仿宋"/>
          <w:sz w:val="32"/>
          <w:szCs w:val="40"/>
        </w:rPr>
        <w:fldChar w:fldCharType="begin"/>
      </w:r>
      <w:r>
        <w:rPr>
          <w:rFonts w:hint="eastAsia" w:ascii="仿宋" w:hAnsi="仿宋" w:eastAsia="仿宋" w:cs="仿宋"/>
          <w:sz w:val="32"/>
          <w:szCs w:val="40"/>
        </w:rPr>
        <w:instrText xml:space="preserve"> PAGEREF _Toc18991 \h </w:instrText>
      </w:r>
      <w:r>
        <w:rPr>
          <w:rFonts w:hint="eastAsia" w:ascii="仿宋" w:hAnsi="仿宋" w:eastAsia="仿宋" w:cs="仿宋"/>
          <w:sz w:val="32"/>
          <w:szCs w:val="40"/>
        </w:rPr>
        <w:fldChar w:fldCharType="separate"/>
      </w:r>
      <w:r>
        <w:rPr>
          <w:rFonts w:hint="eastAsia" w:ascii="仿宋" w:hAnsi="仿宋" w:eastAsia="仿宋" w:cs="仿宋"/>
          <w:sz w:val="32"/>
          <w:szCs w:val="40"/>
        </w:rPr>
        <w:t>17</w:t>
      </w:r>
      <w:r>
        <w:rPr>
          <w:rFonts w:hint="eastAsia" w:ascii="仿宋" w:hAnsi="仿宋" w:eastAsia="仿宋" w:cs="仿宋"/>
          <w:sz w:val="32"/>
          <w:szCs w:val="40"/>
        </w:rPr>
        <w:fldChar w:fldCharType="end"/>
      </w:r>
      <w:r>
        <w:rPr>
          <w:rFonts w:hint="eastAsia" w:ascii="仿宋" w:hAnsi="仿宋" w:eastAsia="仿宋" w:cs="仿宋"/>
          <w:bCs/>
          <w:sz w:val="32"/>
          <w:szCs w:val="52"/>
        </w:rPr>
        <w:fldChar w:fldCharType="end"/>
      </w:r>
    </w:p>
    <w:p w14:paraId="634FC376">
      <w:pPr>
        <w:pStyle w:val="11"/>
        <w:tabs>
          <w:tab w:val="right" w:leader="dot" w:pos="8306"/>
        </w:tabs>
        <w:rPr>
          <w:rFonts w:hint="eastAsia" w:ascii="仿宋" w:hAnsi="仿宋" w:eastAsia="仿宋" w:cs="仿宋"/>
          <w:sz w:val="32"/>
          <w:szCs w:val="40"/>
        </w:rPr>
      </w:pPr>
      <w:r>
        <w:rPr>
          <w:rFonts w:hint="eastAsia" w:ascii="仿宋" w:hAnsi="仿宋" w:eastAsia="仿宋" w:cs="仿宋"/>
          <w:bCs/>
          <w:sz w:val="32"/>
          <w:szCs w:val="52"/>
        </w:rPr>
        <w:fldChar w:fldCharType="begin"/>
      </w:r>
      <w:r>
        <w:rPr>
          <w:rFonts w:hint="eastAsia" w:ascii="仿宋" w:hAnsi="仿宋" w:eastAsia="仿宋" w:cs="仿宋"/>
          <w:bCs/>
          <w:sz w:val="32"/>
          <w:szCs w:val="52"/>
        </w:rPr>
        <w:instrText xml:space="preserve"> HYPERLINK \l _Toc32120 </w:instrText>
      </w:r>
      <w:r>
        <w:rPr>
          <w:rFonts w:hint="eastAsia" w:ascii="仿宋" w:hAnsi="仿宋" w:eastAsia="仿宋" w:cs="仿宋"/>
          <w:bCs/>
          <w:sz w:val="32"/>
          <w:szCs w:val="52"/>
        </w:rPr>
        <w:fldChar w:fldCharType="separate"/>
      </w:r>
      <w:r>
        <w:rPr>
          <w:rFonts w:hint="eastAsia" w:ascii="仿宋" w:hAnsi="仿宋" w:eastAsia="仿宋" w:cs="仿宋"/>
          <w:sz w:val="32"/>
          <w:szCs w:val="60"/>
          <w:lang w:eastAsia="zh-CN"/>
        </w:rPr>
        <w:t>金川县社会保险事务中心</w:t>
      </w:r>
      <w:r>
        <w:rPr>
          <w:rFonts w:hint="eastAsia" w:ascii="仿宋" w:hAnsi="仿宋" w:eastAsia="仿宋" w:cs="仿宋"/>
          <w:bCs/>
          <w:sz w:val="32"/>
          <w:szCs w:val="52"/>
        </w:rPr>
        <w:fldChar w:fldCharType="end"/>
      </w:r>
      <w:r>
        <w:rPr>
          <w:rFonts w:hint="eastAsia" w:ascii="仿宋" w:hAnsi="仿宋" w:eastAsia="仿宋" w:cs="仿宋"/>
          <w:bCs/>
          <w:sz w:val="32"/>
          <w:szCs w:val="52"/>
        </w:rPr>
        <w:fldChar w:fldCharType="begin"/>
      </w:r>
      <w:r>
        <w:rPr>
          <w:rFonts w:hint="eastAsia" w:ascii="仿宋" w:hAnsi="仿宋" w:eastAsia="仿宋" w:cs="仿宋"/>
          <w:bCs/>
          <w:sz w:val="32"/>
          <w:szCs w:val="52"/>
        </w:rPr>
        <w:instrText xml:space="preserve"> HYPERLINK \l _Toc18144 </w:instrText>
      </w:r>
      <w:r>
        <w:rPr>
          <w:rFonts w:hint="eastAsia" w:ascii="仿宋" w:hAnsi="仿宋" w:eastAsia="仿宋" w:cs="仿宋"/>
          <w:bCs/>
          <w:sz w:val="32"/>
          <w:szCs w:val="52"/>
        </w:rPr>
        <w:fldChar w:fldCharType="separate"/>
      </w:r>
      <w:r>
        <w:rPr>
          <w:rFonts w:hint="eastAsia" w:ascii="仿宋" w:hAnsi="仿宋" w:eastAsia="仿宋" w:cs="仿宋"/>
          <w:sz w:val="32"/>
          <w:szCs w:val="60"/>
        </w:rPr>
        <w:t>部门</w:t>
      </w:r>
      <w:r>
        <w:rPr>
          <w:rFonts w:hint="eastAsia" w:ascii="仿宋" w:hAnsi="仿宋" w:eastAsia="仿宋" w:cs="仿宋"/>
          <w:sz w:val="32"/>
          <w:szCs w:val="60"/>
          <w:lang w:eastAsia="zh-CN"/>
        </w:rPr>
        <w:t>预算</w:t>
      </w:r>
      <w:r>
        <w:rPr>
          <w:rFonts w:hint="eastAsia" w:ascii="仿宋" w:hAnsi="仿宋" w:eastAsia="仿宋" w:cs="仿宋"/>
          <w:sz w:val="32"/>
          <w:szCs w:val="60"/>
        </w:rPr>
        <w:t>绩效</w:t>
      </w:r>
      <w:r>
        <w:rPr>
          <w:rFonts w:hint="eastAsia" w:ascii="仿宋" w:hAnsi="仿宋" w:eastAsia="仿宋" w:cs="仿宋"/>
          <w:sz w:val="32"/>
          <w:szCs w:val="60"/>
          <w:lang w:eastAsia="zh-CN"/>
        </w:rPr>
        <w:t>自评</w:t>
      </w:r>
      <w:r>
        <w:rPr>
          <w:rFonts w:hint="eastAsia" w:ascii="仿宋" w:hAnsi="仿宋" w:eastAsia="仿宋" w:cs="仿宋"/>
          <w:sz w:val="32"/>
          <w:szCs w:val="60"/>
        </w:rPr>
        <w:t>报告</w:t>
      </w:r>
      <w:r>
        <w:rPr>
          <w:rFonts w:hint="eastAsia" w:ascii="仿宋" w:hAnsi="仿宋" w:eastAsia="仿宋" w:cs="仿宋"/>
          <w:sz w:val="32"/>
          <w:szCs w:val="40"/>
        </w:rPr>
        <w:tab/>
      </w:r>
      <w:r>
        <w:rPr>
          <w:rFonts w:hint="eastAsia" w:ascii="仿宋" w:hAnsi="仿宋" w:eastAsia="仿宋" w:cs="仿宋"/>
          <w:sz w:val="32"/>
          <w:szCs w:val="40"/>
        </w:rPr>
        <w:fldChar w:fldCharType="begin"/>
      </w:r>
      <w:r>
        <w:rPr>
          <w:rFonts w:hint="eastAsia" w:ascii="仿宋" w:hAnsi="仿宋" w:eastAsia="仿宋" w:cs="仿宋"/>
          <w:sz w:val="32"/>
          <w:szCs w:val="40"/>
        </w:rPr>
        <w:instrText xml:space="preserve"> PAGEREF _Toc18144 \h </w:instrText>
      </w:r>
      <w:r>
        <w:rPr>
          <w:rFonts w:hint="eastAsia" w:ascii="仿宋" w:hAnsi="仿宋" w:eastAsia="仿宋" w:cs="仿宋"/>
          <w:sz w:val="32"/>
          <w:szCs w:val="40"/>
        </w:rPr>
        <w:fldChar w:fldCharType="separate"/>
      </w:r>
      <w:r>
        <w:rPr>
          <w:rFonts w:hint="eastAsia" w:ascii="仿宋" w:hAnsi="仿宋" w:eastAsia="仿宋" w:cs="仿宋"/>
          <w:sz w:val="32"/>
          <w:szCs w:val="40"/>
        </w:rPr>
        <w:t>17</w:t>
      </w:r>
      <w:r>
        <w:rPr>
          <w:rFonts w:hint="eastAsia" w:ascii="仿宋" w:hAnsi="仿宋" w:eastAsia="仿宋" w:cs="仿宋"/>
          <w:sz w:val="32"/>
          <w:szCs w:val="40"/>
        </w:rPr>
        <w:fldChar w:fldCharType="end"/>
      </w:r>
      <w:r>
        <w:rPr>
          <w:rFonts w:hint="eastAsia" w:ascii="仿宋" w:hAnsi="仿宋" w:eastAsia="仿宋" w:cs="仿宋"/>
          <w:bCs/>
          <w:sz w:val="32"/>
          <w:szCs w:val="52"/>
        </w:rPr>
        <w:fldChar w:fldCharType="end"/>
      </w:r>
    </w:p>
    <w:p w14:paraId="1506BB1F">
      <w:pPr>
        <w:pStyle w:val="10"/>
        <w:tabs>
          <w:tab w:val="right" w:leader="dot" w:pos="8306"/>
        </w:tabs>
        <w:rPr>
          <w:rFonts w:hint="eastAsia" w:ascii="仿宋" w:hAnsi="仿宋" w:eastAsia="仿宋" w:cs="仿宋"/>
          <w:sz w:val="32"/>
          <w:szCs w:val="40"/>
        </w:rPr>
      </w:pPr>
      <w:r>
        <w:rPr>
          <w:rFonts w:hint="eastAsia" w:ascii="仿宋" w:hAnsi="仿宋" w:eastAsia="仿宋" w:cs="仿宋"/>
          <w:bCs/>
          <w:sz w:val="32"/>
          <w:szCs w:val="52"/>
        </w:rPr>
        <w:fldChar w:fldCharType="begin"/>
      </w:r>
      <w:r>
        <w:rPr>
          <w:rFonts w:hint="eastAsia" w:ascii="仿宋" w:hAnsi="仿宋" w:eastAsia="仿宋" w:cs="仿宋"/>
          <w:bCs/>
          <w:sz w:val="32"/>
          <w:szCs w:val="52"/>
        </w:rPr>
        <w:instrText xml:space="preserve"> HYPERLINK \l _Toc6612 </w:instrText>
      </w:r>
      <w:r>
        <w:rPr>
          <w:rFonts w:hint="eastAsia" w:ascii="仿宋" w:hAnsi="仿宋" w:eastAsia="仿宋" w:cs="仿宋"/>
          <w:bCs/>
          <w:sz w:val="32"/>
          <w:szCs w:val="52"/>
        </w:rPr>
        <w:fldChar w:fldCharType="separate"/>
      </w:r>
      <w:r>
        <w:rPr>
          <w:rFonts w:hint="eastAsia" w:ascii="仿宋" w:hAnsi="仿宋" w:eastAsia="仿宋" w:cs="仿宋"/>
          <w:sz w:val="32"/>
          <w:szCs w:val="60"/>
          <w:lang w:val="zh-CN" w:eastAsia="zh-CN"/>
        </w:rPr>
        <w:t xml:space="preserve">第五部分 </w:t>
      </w:r>
      <w:r>
        <w:rPr>
          <w:rFonts w:hint="eastAsia" w:ascii="仿宋" w:hAnsi="仿宋" w:eastAsia="仿宋" w:cs="仿宋"/>
          <w:sz w:val="32"/>
          <w:szCs w:val="60"/>
        </w:rPr>
        <w:t>附表</w:t>
      </w:r>
      <w:r>
        <w:rPr>
          <w:rFonts w:hint="eastAsia" w:ascii="仿宋" w:hAnsi="仿宋" w:eastAsia="仿宋" w:cs="仿宋"/>
          <w:sz w:val="32"/>
          <w:szCs w:val="40"/>
        </w:rPr>
        <w:tab/>
      </w:r>
      <w:r>
        <w:rPr>
          <w:rFonts w:hint="eastAsia" w:ascii="仿宋" w:hAnsi="仿宋" w:eastAsia="仿宋" w:cs="仿宋"/>
          <w:sz w:val="32"/>
          <w:szCs w:val="40"/>
        </w:rPr>
        <w:fldChar w:fldCharType="begin"/>
      </w:r>
      <w:r>
        <w:rPr>
          <w:rFonts w:hint="eastAsia" w:ascii="仿宋" w:hAnsi="仿宋" w:eastAsia="仿宋" w:cs="仿宋"/>
          <w:sz w:val="32"/>
          <w:szCs w:val="40"/>
        </w:rPr>
        <w:instrText xml:space="preserve"> PAGEREF _Toc6612 \h </w:instrText>
      </w:r>
      <w:r>
        <w:rPr>
          <w:rFonts w:hint="eastAsia" w:ascii="仿宋" w:hAnsi="仿宋" w:eastAsia="仿宋" w:cs="仿宋"/>
          <w:sz w:val="32"/>
          <w:szCs w:val="40"/>
        </w:rPr>
        <w:fldChar w:fldCharType="separate"/>
      </w:r>
      <w:r>
        <w:rPr>
          <w:rFonts w:hint="eastAsia" w:ascii="仿宋" w:hAnsi="仿宋" w:eastAsia="仿宋" w:cs="仿宋"/>
          <w:sz w:val="32"/>
          <w:szCs w:val="40"/>
        </w:rPr>
        <w:t>30</w:t>
      </w:r>
      <w:r>
        <w:rPr>
          <w:rFonts w:hint="eastAsia" w:ascii="仿宋" w:hAnsi="仿宋" w:eastAsia="仿宋" w:cs="仿宋"/>
          <w:sz w:val="32"/>
          <w:szCs w:val="40"/>
        </w:rPr>
        <w:fldChar w:fldCharType="end"/>
      </w:r>
      <w:r>
        <w:rPr>
          <w:rFonts w:hint="eastAsia" w:ascii="仿宋" w:hAnsi="仿宋" w:eastAsia="仿宋" w:cs="仿宋"/>
          <w:bCs/>
          <w:sz w:val="32"/>
          <w:szCs w:val="52"/>
        </w:rPr>
        <w:fldChar w:fldCharType="end"/>
      </w:r>
    </w:p>
    <w:p w14:paraId="6A1D7ADC">
      <w:pPr>
        <w:pStyle w:val="11"/>
        <w:tabs>
          <w:tab w:val="right" w:leader="dot" w:pos="8306"/>
        </w:tabs>
        <w:rPr>
          <w:rFonts w:hint="eastAsia" w:ascii="仿宋" w:hAnsi="仿宋" w:eastAsia="仿宋" w:cs="仿宋"/>
          <w:sz w:val="32"/>
          <w:szCs w:val="40"/>
        </w:rPr>
      </w:pPr>
      <w:r>
        <w:rPr>
          <w:rFonts w:hint="eastAsia" w:ascii="仿宋" w:hAnsi="仿宋" w:eastAsia="仿宋" w:cs="仿宋"/>
          <w:bCs/>
          <w:sz w:val="32"/>
          <w:szCs w:val="52"/>
        </w:rPr>
        <w:fldChar w:fldCharType="begin"/>
      </w:r>
      <w:r>
        <w:rPr>
          <w:rFonts w:hint="eastAsia" w:ascii="仿宋" w:hAnsi="仿宋" w:eastAsia="仿宋" w:cs="仿宋"/>
          <w:bCs/>
          <w:sz w:val="32"/>
          <w:szCs w:val="52"/>
        </w:rPr>
        <w:instrText xml:space="preserve"> HYPERLINK \l _Toc18597 </w:instrText>
      </w:r>
      <w:r>
        <w:rPr>
          <w:rFonts w:hint="eastAsia" w:ascii="仿宋" w:hAnsi="仿宋" w:eastAsia="仿宋" w:cs="仿宋"/>
          <w:bCs/>
          <w:sz w:val="32"/>
          <w:szCs w:val="52"/>
        </w:rPr>
        <w:fldChar w:fldCharType="separate"/>
      </w:r>
      <w:r>
        <w:rPr>
          <w:rFonts w:hint="eastAsia" w:ascii="仿宋" w:hAnsi="仿宋" w:eastAsia="仿宋" w:cs="仿宋"/>
          <w:bCs/>
          <w:sz w:val="32"/>
          <w:szCs w:val="40"/>
          <w:highlight w:val="none"/>
        </w:rPr>
        <w:t>一、收入支出决算总表</w:t>
      </w:r>
      <w:r>
        <w:rPr>
          <w:rFonts w:hint="eastAsia" w:ascii="仿宋" w:hAnsi="仿宋" w:eastAsia="仿宋" w:cs="仿宋"/>
          <w:sz w:val="32"/>
          <w:szCs w:val="40"/>
        </w:rPr>
        <w:tab/>
      </w:r>
      <w:r>
        <w:rPr>
          <w:rFonts w:hint="eastAsia" w:ascii="仿宋" w:hAnsi="仿宋" w:eastAsia="仿宋" w:cs="仿宋"/>
          <w:sz w:val="32"/>
          <w:szCs w:val="40"/>
        </w:rPr>
        <w:fldChar w:fldCharType="begin"/>
      </w:r>
      <w:r>
        <w:rPr>
          <w:rFonts w:hint="eastAsia" w:ascii="仿宋" w:hAnsi="仿宋" w:eastAsia="仿宋" w:cs="仿宋"/>
          <w:sz w:val="32"/>
          <w:szCs w:val="40"/>
        </w:rPr>
        <w:instrText xml:space="preserve"> PAGEREF _Toc18597 \h </w:instrText>
      </w:r>
      <w:r>
        <w:rPr>
          <w:rFonts w:hint="eastAsia" w:ascii="仿宋" w:hAnsi="仿宋" w:eastAsia="仿宋" w:cs="仿宋"/>
          <w:sz w:val="32"/>
          <w:szCs w:val="40"/>
        </w:rPr>
        <w:fldChar w:fldCharType="separate"/>
      </w:r>
      <w:r>
        <w:rPr>
          <w:rFonts w:hint="eastAsia" w:ascii="仿宋" w:hAnsi="仿宋" w:eastAsia="仿宋" w:cs="仿宋"/>
          <w:sz w:val="32"/>
          <w:szCs w:val="40"/>
        </w:rPr>
        <w:t>30</w:t>
      </w:r>
      <w:r>
        <w:rPr>
          <w:rFonts w:hint="eastAsia" w:ascii="仿宋" w:hAnsi="仿宋" w:eastAsia="仿宋" w:cs="仿宋"/>
          <w:sz w:val="32"/>
          <w:szCs w:val="40"/>
        </w:rPr>
        <w:fldChar w:fldCharType="end"/>
      </w:r>
      <w:r>
        <w:rPr>
          <w:rFonts w:hint="eastAsia" w:ascii="仿宋" w:hAnsi="仿宋" w:eastAsia="仿宋" w:cs="仿宋"/>
          <w:bCs/>
          <w:sz w:val="32"/>
          <w:szCs w:val="52"/>
        </w:rPr>
        <w:fldChar w:fldCharType="end"/>
      </w:r>
    </w:p>
    <w:p w14:paraId="76A8CB03">
      <w:pPr>
        <w:pStyle w:val="11"/>
        <w:tabs>
          <w:tab w:val="right" w:leader="dot" w:pos="8306"/>
        </w:tabs>
        <w:rPr>
          <w:rFonts w:hint="eastAsia" w:ascii="仿宋" w:hAnsi="仿宋" w:eastAsia="仿宋" w:cs="仿宋"/>
          <w:sz w:val="32"/>
          <w:szCs w:val="40"/>
        </w:rPr>
      </w:pPr>
      <w:r>
        <w:rPr>
          <w:rFonts w:hint="eastAsia" w:ascii="仿宋" w:hAnsi="仿宋" w:eastAsia="仿宋" w:cs="仿宋"/>
          <w:bCs/>
          <w:sz w:val="32"/>
          <w:szCs w:val="52"/>
        </w:rPr>
        <w:fldChar w:fldCharType="begin"/>
      </w:r>
      <w:r>
        <w:rPr>
          <w:rFonts w:hint="eastAsia" w:ascii="仿宋" w:hAnsi="仿宋" w:eastAsia="仿宋" w:cs="仿宋"/>
          <w:bCs/>
          <w:sz w:val="32"/>
          <w:szCs w:val="52"/>
        </w:rPr>
        <w:instrText xml:space="preserve"> HYPERLINK \l _Toc26008 </w:instrText>
      </w:r>
      <w:r>
        <w:rPr>
          <w:rFonts w:hint="eastAsia" w:ascii="仿宋" w:hAnsi="仿宋" w:eastAsia="仿宋" w:cs="仿宋"/>
          <w:bCs/>
          <w:sz w:val="32"/>
          <w:szCs w:val="52"/>
        </w:rPr>
        <w:fldChar w:fldCharType="separate"/>
      </w:r>
      <w:r>
        <w:rPr>
          <w:rFonts w:hint="eastAsia" w:ascii="仿宋" w:hAnsi="仿宋" w:eastAsia="仿宋" w:cs="仿宋"/>
          <w:bCs/>
          <w:sz w:val="32"/>
          <w:szCs w:val="40"/>
          <w:highlight w:val="none"/>
        </w:rPr>
        <w:t>二、收入决算表</w:t>
      </w:r>
      <w:r>
        <w:rPr>
          <w:rFonts w:hint="eastAsia" w:ascii="仿宋" w:hAnsi="仿宋" w:eastAsia="仿宋" w:cs="仿宋"/>
          <w:sz w:val="32"/>
          <w:szCs w:val="40"/>
        </w:rPr>
        <w:tab/>
      </w:r>
      <w:r>
        <w:rPr>
          <w:rFonts w:hint="eastAsia" w:ascii="仿宋" w:hAnsi="仿宋" w:eastAsia="仿宋" w:cs="仿宋"/>
          <w:sz w:val="32"/>
          <w:szCs w:val="40"/>
        </w:rPr>
        <w:fldChar w:fldCharType="begin"/>
      </w:r>
      <w:r>
        <w:rPr>
          <w:rFonts w:hint="eastAsia" w:ascii="仿宋" w:hAnsi="仿宋" w:eastAsia="仿宋" w:cs="仿宋"/>
          <w:sz w:val="32"/>
          <w:szCs w:val="40"/>
        </w:rPr>
        <w:instrText xml:space="preserve"> PAGEREF _Toc26008 \h </w:instrText>
      </w:r>
      <w:r>
        <w:rPr>
          <w:rFonts w:hint="eastAsia" w:ascii="仿宋" w:hAnsi="仿宋" w:eastAsia="仿宋" w:cs="仿宋"/>
          <w:sz w:val="32"/>
          <w:szCs w:val="40"/>
        </w:rPr>
        <w:fldChar w:fldCharType="separate"/>
      </w:r>
      <w:r>
        <w:rPr>
          <w:rFonts w:hint="eastAsia" w:ascii="仿宋" w:hAnsi="仿宋" w:eastAsia="仿宋" w:cs="仿宋"/>
          <w:sz w:val="32"/>
          <w:szCs w:val="40"/>
        </w:rPr>
        <w:t>30</w:t>
      </w:r>
      <w:r>
        <w:rPr>
          <w:rFonts w:hint="eastAsia" w:ascii="仿宋" w:hAnsi="仿宋" w:eastAsia="仿宋" w:cs="仿宋"/>
          <w:sz w:val="32"/>
          <w:szCs w:val="40"/>
        </w:rPr>
        <w:fldChar w:fldCharType="end"/>
      </w:r>
      <w:r>
        <w:rPr>
          <w:rFonts w:hint="eastAsia" w:ascii="仿宋" w:hAnsi="仿宋" w:eastAsia="仿宋" w:cs="仿宋"/>
          <w:bCs/>
          <w:sz w:val="32"/>
          <w:szCs w:val="52"/>
        </w:rPr>
        <w:fldChar w:fldCharType="end"/>
      </w:r>
    </w:p>
    <w:p w14:paraId="0895A3C9">
      <w:pPr>
        <w:pStyle w:val="11"/>
        <w:tabs>
          <w:tab w:val="right" w:leader="dot" w:pos="8306"/>
        </w:tabs>
        <w:rPr>
          <w:rFonts w:hint="eastAsia" w:ascii="仿宋" w:hAnsi="仿宋" w:eastAsia="仿宋" w:cs="仿宋"/>
          <w:sz w:val="32"/>
          <w:szCs w:val="40"/>
        </w:rPr>
      </w:pPr>
      <w:r>
        <w:rPr>
          <w:rFonts w:hint="eastAsia" w:ascii="仿宋" w:hAnsi="仿宋" w:eastAsia="仿宋" w:cs="仿宋"/>
          <w:bCs/>
          <w:sz w:val="32"/>
          <w:szCs w:val="52"/>
        </w:rPr>
        <w:fldChar w:fldCharType="begin"/>
      </w:r>
      <w:r>
        <w:rPr>
          <w:rFonts w:hint="eastAsia" w:ascii="仿宋" w:hAnsi="仿宋" w:eastAsia="仿宋" w:cs="仿宋"/>
          <w:bCs/>
          <w:sz w:val="32"/>
          <w:szCs w:val="52"/>
        </w:rPr>
        <w:instrText xml:space="preserve"> HYPERLINK \l _Toc28983 </w:instrText>
      </w:r>
      <w:r>
        <w:rPr>
          <w:rFonts w:hint="eastAsia" w:ascii="仿宋" w:hAnsi="仿宋" w:eastAsia="仿宋" w:cs="仿宋"/>
          <w:bCs/>
          <w:sz w:val="32"/>
          <w:szCs w:val="52"/>
        </w:rPr>
        <w:fldChar w:fldCharType="separate"/>
      </w:r>
      <w:r>
        <w:rPr>
          <w:rFonts w:hint="eastAsia" w:ascii="仿宋" w:hAnsi="仿宋" w:eastAsia="仿宋" w:cs="仿宋"/>
          <w:bCs/>
          <w:sz w:val="32"/>
          <w:szCs w:val="40"/>
          <w:highlight w:val="none"/>
        </w:rPr>
        <w:t>三、支出决算表</w:t>
      </w:r>
      <w:r>
        <w:rPr>
          <w:rFonts w:hint="eastAsia" w:ascii="仿宋" w:hAnsi="仿宋" w:eastAsia="仿宋" w:cs="仿宋"/>
          <w:sz w:val="32"/>
          <w:szCs w:val="40"/>
        </w:rPr>
        <w:tab/>
      </w:r>
      <w:r>
        <w:rPr>
          <w:rFonts w:hint="eastAsia" w:ascii="仿宋" w:hAnsi="仿宋" w:eastAsia="仿宋" w:cs="仿宋"/>
          <w:sz w:val="32"/>
          <w:szCs w:val="40"/>
        </w:rPr>
        <w:fldChar w:fldCharType="begin"/>
      </w:r>
      <w:r>
        <w:rPr>
          <w:rFonts w:hint="eastAsia" w:ascii="仿宋" w:hAnsi="仿宋" w:eastAsia="仿宋" w:cs="仿宋"/>
          <w:sz w:val="32"/>
          <w:szCs w:val="40"/>
        </w:rPr>
        <w:instrText xml:space="preserve"> PAGEREF _Toc28983 \h </w:instrText>
      </w:r>
      <w:r>
        <w:rPr>
          <w:rFonts w:hint="eastAsia" w:ascii="仿宋" w:hAnsi="仿宋" w:eastAsia="仿宋" w:cs="仿宋"/>
          <w:sz w:val="32"/>
          <w:szCs w:val="40"/>
        </w:rPr>
        <w:fldChar w:fldCharType="separate"/>
      </w:r>
      <w:r>
        <w:rPr>
          <w:rFonts w:hint="eastAsia" w:ascii="仿宋" w:hAnsi="仿宋" w:eastAsia="仿宋" w:cs="仿宋"/>
          <w:sz w:val="32"/>
          <w:szCs w:val="40"/>
        </w:rPr>
        <w:t>30</w:t>
      </w:r>
      <w:r>
        <w:rPr>
          <w:rFonts w:hint="eastAsia" w:ascii="仿宋" w:hAnsi="仿宋" w:eastAsia="仿宋" w:cs="仿宋"/>
          <w:sz w:val="32"/>
          <w:szCs w:val="40"/>
        </w:rPr>
        <w:fldChar w:fldCharType="end"/>
      </w:r>
      <w:r>
        <w:rPr>
          <w:rFonts w:hint="eastAsia" w:ascii="仿宋" w:hAnsi="仿宋" w:eastAsia="仿宋" w:cs="仿宋"/>
          <w:bCs/>
          <w:sz w:val="32"/>
          <w:szCs w:val="52"/>
        </w:rPr>
        <w:fldChar w:fldCharType="end"/>
      </w:r>
    </w:p>
    <w:p w14:paraId="4CAB02E5">
      <w:pPr>
        <w:pStyle w:val="11"/>
        <w:tabs>
          <w:tab w:val="right" w:leader="dot" w:pos="8306"/>
        </w:tabs>
        <w:rPr>
          <w:rFonts w:hint="eastAsia" w:ascii="仿宋" w:hAnsi="仿宋" w:eastAsia="仿宋" w:cs="仿宋"/>
          <w:sz w:val="32"/>
          <w:szCs w:val="40"/>
        </w:rPr>
      </w:pPr>
      <w:r>
        <w:rPr>
          <w:rFonts w:hint="eastAsia" w:ascii="仿宋" w:hAnsi="仿宋" w:eastAsia="仿宋" w:cs="仿宋"/>
          <w:bCs/>
          <w:sz w:val="32"/>
          <w:szCs w:val="52"/>
        </w:rPr>
        <w:fldChar w:fldCharType="begin"/>
      </w:r>
      <w:r>
        <w:rPr>
          <w:rFonts w:hint="eastAsia" w:ascii="仿宋" w:hAnsi="仿宋" w:eastAsia="仿宋" w:cs="仿宋"/>
          <w:bCs/>
          <w:sz w:val="32"/>
          <w:szCs w:val="52"/>
        </w:rPr>
        <w:instrText xml:space="preserve"> HYPERLINK \l _Toc19172 </w:instrText>
      </w:r>
      <w:r>
        <w:rPr>
          <w:rFonts w:hint="eastAsia" w:ascii="仿宋" w:hAnsi="仿宋" w:eastAsia="仿宋" w:cs="仿宋"/>
          <w:bCs/>
          <w:sz w:val="32"/>
          <w:szCs w:val="52"/>
        </w:rPr>
        <w:fldChar w:fldCharType="separate"/>
      </w:r>
      <w:r>
        <w:rPr>
          <w:rFonts w:hint="eastAsia" w:ascii="仿宋" w:hAnsi="仿宋" w:eastAsia="仿宋" w:cs="仿宋"/>
          <w:bCs/>
          <w:sz w:val="32"/>
          <w:szCs w:val="40"/>
          <w:highlight w:val="none"/>
        </w:rPr>
        <w:t>四、财政拨款收入支出决算总表</w:t>
      </w:r>
      <w:r>
        <w:rPr>
          <w:rFonts w:hint="eastAsia" w:ascii="仿宋" w:hAnsi="仿宋" w:eastAsia="仿宋" w:cs="仿宋"/>
          <w:sz w:val="32"/>
          <w:szCs w:val="40"/>
        </w:rPr>
        <w:tab/>
      </w:r>
      <w:r>
        <w:rPr>
          <w:rFonts w:hint="eastAsia" w:ascii="仿宋" w:hAnsi="仿宋" w:eastAsia="仿宋" w:cs="仿宋"/>
          <w:sz w:val="32"/>
          <w:szCs w:val="40"/>
        </w:rPr>
        <w:fldChar w:fldCharType="begin"/>
      </w:r>
      <w:r>
        <w:rPr>
          <w:rFonts w:hint="eastAsia" w:ascii="仿宋" w:hAnsi="仿宋" w:eastAsia="仿宋" w:cs="仿宋"/>
          <w:sz w:val="32"/>
          <w:szCs w:val="40"/>
        </w:rPr>
        <w:instrText xml:space="preserve"> PAGEREF _Toc19172 \h </w:instrText>
      </w:r>
      <w:r>
        <w:rPr>
          <w:rFonts w:hint="eastAsia" w:ascii="仿宋" w:hAnsi="仿宋" w:eastAsia="仿宋" w:cs="仿宋"/>
          <w:sz w:val="32"/>
          <w:szCs w:val="40"/>
        </w:rPr>
        <w:fldChar w:fldCharType="separate"/>
      </w:r>
      <w:r>
        <w:rPr>
          <w:rFonts w:hint="eastAsia" w:ascii="仿宋" w:hAnsi="仿宋" w:eastAsia="仿宋" w:cs="仿宋"/>
          <w:sz w:val="32"/>
          <w:szCs w:val="40"/>
        </w:rPr>
        <w:t>30</w:t>
      </w:r>
      <w:r>
        <w:rPr>
          <w:rFonts w:hint="eastAsia" w:ascii="仿宋" w:hAnsi="仿宋" w:eastAsia="仿宋" w:cs="仿宋"/>
          <w:sz w:val="32"/>
          <w:szCs w:val="40"/>
        </w:rPr>
        <w:fldChar w:fldCharType="end"/>
      </w:r>
      <w:r>
        <w:rPr>
          <w:rFonts w:hint="eastAsia" w:ascii="仿宋" w:hAnsi="仿宋" w:eastAsia="仿宋" w:cs="仿宋"/>
          <w:bCs/>
          <w:sz w:val="32"/>
          <w:szCs w:val="52"/>
        </w:rPr>
        <w:fldChar w:fldCharType="end"/>
      </w:r>
    </w:p>
    <w:p w14:paraId="337E97D3">
      <w:pPr>
        <w:pStyle w:val="11"/>
        <w:tabs>
          <w:tab w:val="right" w:leader="dot" w:pos="8306"/>
        </w:tabs>
        <w:rPr>
          <w:rFonts w:hint="eastAsia" w:ascii="仿宋" w:hAnsi="仿宋" w:eastAsia="仿宋" w:cs="仿宋"/>
          <w:sz w:val="32"/>
          <w:szCs w:val="40"/>
        </w:rPr>
      </w:pPr>
      <w:r>
        <w:rPr>
          <w:rFonts w:hint="eastAsia" w:ascii="仿宋" w:hAnsi="仿宋" w:eastAsia="仿宋" w:cs="仿宋"/>
          <w:bCs/>
          <w:sz w:val="32"/>
          <w:szCs w:val="52"/>
        </w:rPr>
        <w:fldChar w:fldCharType="begin"/>
      </w:r>
      <w:r>
        <w:rPr>
          <w:rFonts w:hint="eastAsia" w:ascii="仿宋" w:hAnsi="仿宋" w:eastAsia="仿宋" w:cs="仿宋"/>
          <w:bCs/>
          <w:sz w:val="32"/>
          <w:szCs w:val="52"/>
        </w:rPr>
        <w:instrText xml:space="preserve"> HYPERLINK \l _Toc7286 </w:instrText>
      </w:r>
      <w:r>
        <w:rPr>
          <w:rFonts w:hint="eastAsia" w:ascii="仿宋" w:hAnsi="仿宋" w:eastAsia="仿宋" w:cs="仿宋"/>
          <w:bCs/>
          <w:sz w:val="32"/>
          <w:szCs w:val="52"/>
        </w:rPr>
        <w:fldChar w:fldCharType="separate"/>
      </w:r>
      <w:r>
        <w:rPr>
          <w:rFonts w:hint="eastAsia" w:ascii="仿宋" w:hAnsi="仿宋" w:eastAsia="仿宋" w:cs="仿宋"/>
          <w:bCs/>
          <w:sz w:val="32"/>
          <w:szCs w:val="40"/>
          <w:highlight w:val="none"/>
        </w:rPr>
        <w:t>五、财政拨款支出决算明细表</w:t>
      </w:r>
      <w:r>
        <w:rPr>
          <w:rFonts w:hint="eastAsia" w:ascii="仿宋" w:hAnsi="仿宋" w:eastAsia="仿宋" w:cs="仿宋"/>
          <w:sz w:val="32"/>
          <w:szCs w:val="40"/>
        </w:rPr>
        <w:tab/>
      </w:r>
      <w:r>
        <w:rPr>
          <w:rFonts w:hint="eastAsia" w:ascii="仿宋" w:hAnsi="仿宋" w:eastAsia="仿宋" w:cs="仿宋"/>
          <w:sz w:val="32"/>
          <w:szCs w:val="40"/>
        </w:rPr>
        <w:fldChar w:fldCharType="begin"/>
      </w:r>
      <w:r>
        <w:rPr>
          <w:rFonts w:hint="eastAsia" w:ascii="仿宋" w:hAnsi="仿宋" w:eastAsia="仿宋" w:cs="仿宋"/>
          <w:sz w:val="32"/>
          <w:szCs w:val="40"/>
        </w:rPr>
        <w:instrText xml:space="preserve"> PAGEREF _Toc7286 \h </w:instrText>
      </w:r>
      <w:r>
        <w:rPr>
          <w:rFonts w:hint="eastAsia" w:ascii="仿宋" w:hAnsi="仿宋" w:eastAsia="仿宋" w:cs="仿宋"/>
          <w:sz w:val="32"/>
          <w:szCs w:val="40"/>
        </w:rPr>
        <w:fldChar w:fldCharType="separate"/>
      </w:r>
      <w:r>
        <w:rPr>
          <w:rFonts w:hint="eastAsia" w:ascii="仿宋" w:hAnsi="仿宋" w:eastAsia="仿宋" w:cs="仿宋"/>
          <w:sz w:val="32"/>
          <w:szCs w:val="40"/>
        </w:rPr>
        <w:t>30</w:t>
      </w:r>
      <w:r>
        <w:rPr>
          <w:rFonts w:hint="eastAsia" w:ascii="仿宋" w:hAnsi="仿宋" w:eastAsia="仿宋" w:cs="仿宋"/>
          <w:sz w:val="32"/>
          <w:szCs w:val="40"/>
        </w:rPr>
        <w:fldChar w:fldCharType="end"/>
      </w:r>
      <w:r>
        <w:rPr>
          <w:rFonts w:hint="eastAsia" w:ascii="仿宋" w:hAnsi="仿宋" w:eastAsia="仿宋" w:cs="仿宋"/>
          <w:bCs/>
          <w:sz w:val="32"/>
          <w:szCs w:val="52"/>
        </w:rPr>
        <w:fldChar w:fldCharType="end"/>
      </w:r>
    </w:p>
    <w:p w14:paraId="79C00F3F">
      <w:pPr>
        <w:pStyle w:val="11"/>
        <w:tabs>
          <w:tab w:val="right" w:leader="dot" w:pos="8306"/>
        </w:tabs>
        <w:rPr>
          <w:rFonts w:hint="eastAsia" w:ascii="仿宋" w:hAnsi="仿宋" w:eastAsia="仿宋" w:cs="仿宋"/>
          <w:sz w:val="32"/>
          <w:szCs w:val="40"/>
        </w:rPr>
      </w:pPr>
      <w:r>
        <w:rPr>
          <w:rFonts w:hint="eastAsia" w:ascii="仿宋" w:hAnsi="仿宋" w:eastAsia="仿宋" w:cs="仿宋"/>
          <w:bCs/>
          <w:sz w:val="32"/>
          <w:szCs w:val="52"/>
        </w:rPr>
        <w:fldChar w:fldCharType="begin"/>
      </w:r>
      <w:r>
        <w:rPr>
          <w:rFonts w:hint="eastAsia" w:ascii="仿宋" w:hAnsi="仿宋" w:eastAsia="仿宋" w:cs="仿宋"/>
          <w:bCs/>
          <w:sz w:val="32"/>
          <w:szCs w:val="52"/>
        </w:rPr>
        <w:instrText xml:space="preserve"> HYPERLINK \l _Toc20321 </w:instrText>
      </w:r>
      <w:r>
        <w:rPr>
          <w:rFonts w:hint="eastAsia" w:ascii="仿宋" w:hAnsi="仿宋" w:eastAsia="仿宋" w:cs="仿宋"/>
          <w:bCs/>
          <w:sz w:val="32"/>
          <w:szCs w:val="52"/>
        </w:rPr>
        <w:fldChar w:fldCharType="separate"/>
      </w:r>
      <w:r>
        <w:rPr>
          <w:rFonts w:hint="eastAsia" w:ascii="仿宋" w:hAnsi="仿宋" w:eastAsia="仿宋" w:cs="仿宋"/>
          <w:bCs/>
          <w:sz w:val="32"/>
          <w:szCs w:val="40"/>
          <w:highlight w:val="none"/>
        </w:rPr>
        <w:t>六、一般公共预算财政拨款支出决算表</w:t>
      </w:r>
      <w:r>
        <w:rPr>
          <w:rFonts w:hint="eastAsia" w:ascii="仿宋" w:hAnsi="仿宋" w:eastAsia="仿宋" w:cs="仿宋"/>
          <w:sz w:val="32"/>
          <w:szCs w:val="40"/>
        </w:rPr>
        <w:tab/>
      </w:r>
      <w:r>
        <w:rPr>
          <w:rFonts w:hint="eastAsia" w:ascii="仿宋" w:hAnsi="仿宋" w:eastAsia="仿宋" w:cs="仿宋"/>
          <w:sz w:val="32"/>
          <w:szCs w:val="40"/>
        </w:rPr>
        <w:fldChar w:fldCharType="begin"/>
      </w:r>
      <w:r>
        <w:rPr>
          <w:rFonts w:hint="eastAsia" w:ascii="仿宋" w:hAnsi="仿宋" w:eastAsia="仿宋" w:cs="仿宋"/>
          <w:sz w:val="32"/>
          <w:szCs w:val="40"/>
        </w:rPr>
        <w:instrText xml:space="preserve"> PAGEREF _Toc20321 \h </w:instrText>
      </w:r>
      <w:r>
        <w:rPr>
          <w:rFonts w:hint="eastAsia" w:ascii="仿宋" w:hAnsi="仿宋" w:eastAsia="仿宋" w:cs="仿宋"/>
          <w:sz w:val="32"/>
          <w:szCs w:val="40"/>
        </w:rPr>
        <w:fldChar w:fldCharType="separate"/>
      </w:r>
      <w:r>
        <w:rPr>
          <w:rFonts w:hint="eastAsia" w:ascii="仿宋" w:hAnsi="仿宋" w:eastAsia="仿宋" w:cs="仿宋"/>
          <w:sz w:val="32"/>
          <w:szCs w:val="40"/>
        </w:rPr>
        <w:t>30</w:t>
      </w:r>
      <w:r>
        <w:rPr>
          <w:rFonts w:hint="eastAsia" w:ascii="仿宋" w:hAnsi="仿宋" w:eastAsia="仿宋" w:cs="仿宋"/>
          <w:sz w:val="32"/>
          <w:szCs w:val="40"/>
        </w:rPr>
        <w:fldChar w:fldCharType="end"/>
      </w:r>
      <w:r>
        <w:rPr>
          <w:rFonts w:hint="eastAsia" w:ascii="仿宋" w:hAnsi="仿宋" w:eastAsia="仿宋" w:cs="仿宋"/>
          <w:bCs/>
          <w:sz w:val="32"/>
          <w:szCs w:val="52"/>
        </w:rPr>
        <w:fldChar w:fldCharType="end"/>
      </w:r>
    </w:p>
    <w:p w14:paraId="6ED7B1A1">
      <w:pPr>
        <w:pStyle w:val="11"/>
        <w:tabs>
          <w:tab w:val="right" w:leader="dot" w:pos="8306"/>
        </w:tabs>
        <w:rPr>
          <w:rFonts w:hint="eastAsia" w:ascii="仿宋" w:hAnsi="仿宋" w:eastAsia="仿宋" w:cs="仿宋"/>
          <w:sz w:val="32"/>
          <w:szCs w:val="40"/>
        </w:rPr>
      </w:pPr>
      <w:r>
        <w:rPr>
          <w:rFonts w:hint="eastAsia" w:ascii="仿宋" w:hAnsi="仿宋" w:eastAsia="仿宋" w:cs="仿宋"/>
          <w:bCs/>
          <w:sz w:val="32"/>
          <w:szCs w:val="52"/>
        </w:rPr>
        <w:fldChar w:fldCharType="begin"/>
      </w:r>
      <w:r>
        <w:rPr>
          <w:rFonts w:hint="eastAsia" w:ascii="仿宋" w:hAnsi="仿宋" w:eastAsia="仿宋" w:cs="仿宋"/>
          <w:bCs/>
          <w:sz w:val="32"/>
          <w:szCs w:val="52"/>
        </w:rPr>
        <w:instrText xml:space="preserve"> HYPERLINK \l _Toc13675 </w:instrText>
      </w:r>
      <w:r>
        <w:rPr>
          <w:rFonts w:hint="eastAsia" w:ascii="仿宋" w:hAnsi="仿宋" w:eastAsia="仿宋" w:cs="仿宋"/>
          <w:bCs/>
          <w:sz w:val="32"/>
          <w:szCs w:val="52"/>
        </w:rPr>
        <w:fldChar w:fldCharType="separate"/>
      </w:r>
      <w:r>
        <w:rPr>
          <w:rFonts w:hint="eastAsia" w:ascii="仿宋" w:hAnsi="仿宋" w:eastAsia="仿宋" w:cs="仿宋"/>
          <w:bCs/>
          <w:sz w:val="32"/>
          <w:szCs w:val="40"/>
          <w:highlight w:val="none"/>
        </w:rPr>
        <w:t>七、一般公共预算财政拨款支出决算明细表</w:t>
      </w:r>
      <w:r>
        <w:rPr>
          <w:rFonts w:hint="eastAsia" w:ascii="仿宋" w:hAnsi="仿宋" w:eastAsia="仿宋" w:cs="仿宋"/>
          <w:sz w:val="32"/>
          <w:szCs w:val="40"/>
        </w:rPr>
        <w:tab/>
      </w:r>
      <w:r>
        <w:rPr>
          <w:rFonts w:hint="eastAsia" w:ascii="仿宋" w:hAnsi="仿宋" w:eastAsia="仿宋" w:cs="仿宋"/>
          <w:sz w:val="32"/>
          <w:szCs w:val="40"/>
        </w:rPr>
        <w:fldChar w:fldCharType="begin"/>
      </w:r>
      <w:r>
        <w:rPr>
          <w:rFonts w:hint="eastAsia" w:ascii="仿宋" w:hAnsi="仿宋" w:eastAsia="仿宋" w:cs="仿宋"/>
          <w:sz w:val="32"/>
          <w:szCs w:val="40"/>
        </w:rPr>
        <w:instrText xml:space="preserve"> PAGEREF _Toc13675 \h </w:instrText>
      </w:r>
      <w:r>
        <w:rPr>
          <w:rFonts w:hint="eastAsia" w:ascii="仿宋" w:hAnsi="仿宋" w:eastAsia="仿宋" w:cs="仿宋"/>
          <w:sz w:val="32"/>
          <w:szCs w:val="40"/>
        </w:rPr>
        <w:fldChar w:fldCharType="separate"/>
      </w:r>
      <w:r>
        <w:rPr>
          <w:rFonts w:hint="eastAsia" w:ascii="仿宋" w:hAnsi="仿宋" w:eastAsia="仿宋" w:cs="仿宋"/>
          <w:sz w:val="32"/>
          <w:szCs w:val="40"/>
        </w:rPr>
        <w:t>30</w:t>
      </w:r>
      <w:r>
        <w:rPr>
          <w:rFonts w:hint="eastAsia" w:ascii="仿宋" w:hAnsi="仿宋" w:eastAsia="仿宋" w:cs="仿宋"/>
          <w:sz w:val="32"/>
          <w:szCs w:val="40"/>
        </w:rPr>
        <w:fldChar w:fldCharType="end"/>
      </w:r>
      <w:r>
        <w:rPr>
          <w:rFonts w:hint="eastAsia" w:ascii="仿宋" w:hAnsi="仿宋" w:eastAsia="仿宋" w:cs="仿宋"/>
          <w:bCs/>
          <w:sz w:val="32"/>
          <w:szCs w:val="52"/>
        </w:rPr>
        <w:fldChar w:fldCharType="end"/>
      </w:r>
    </w:p>
    <w:p w14:paraId="5B414D88">
      <w:pPr>
        <w:pStyle w:val="11"/>
        <w:tabs>
          <w:tab w:val="right" w:leader="dot" w:pos="8306"/>
        </w:tabs>
        <w:rPr>
          <w:rFonts w:hint="eastAsia" w:ascii="仿宋" w:hAnsi="仿宋" w:eastAsia="仿宋" w:cs="仿宋"/>
          <w:sz w:val="32"/>
          <w:szCs w:val="40"/>
        </w:rPr>
      </w:pPr>
      <w:r>
        <w:rPr>
          <w:rFonts w:hint="eastAsia" w:ascii="仿宋" w:hAnsi="仿宋" w:eastAsia="仿宋" w:cs="仿宋"/>
          <w:bCs/>
          <w:sz w:val="32"/>
          <w:szCs w:val="52"/>
        </w:rPr>
        <w:fldChar w:fldCharType="begin"/>
      </w:r>
      <w:r>
        <w:rPr>
          <w:rFonts w:hint="eastAsia" w:ascii="仿宋" w:hAnsi="仿宋" w:eastAsia="仿宋" w:cs="仿宋"/>
          <w:bCs/>
          <w:sz w:val="32"/>
          <w:szCs w:val="52"/>
        </w:rPr>
        <w:instrText xml:space="preserve"> HYPERLINK \l _Toc26075 </w:instrText>
      </w:r>
      <w:r>
        <w:rPr>
          <w:rFonts w:hint="eastAsia" w:ascii="仿宋" w:hAnsi="仿宋" w:eastAsia="仿宋" w:cs="仿宋"/>
          <w:bCs/>
          <w:sz w:val="32"/>
          <w:szCs w:val="52"/>
        </w:rPr>
        <w:fldChar w:fldCharType="separate"/>
      </w:r>
      <w:r>
        <w:rPr>
          <w:rFonts w:hint="eastAsia" w:ascii="仿宋" w:hAnsi="仿宋" w:eastAsia="仿宋" w:cs="仿宋"/>
          <w:bCs/>
          <w:sz w:val="32"/>
          <w:szCs w:val="40"/>
          <w:highlight w:val="none"/>
        </w:rPr>
        <w:t>八、一般公共预算财政拨款基本支出决算表</w:t>
      </w:r>
      <w:r>
        <w:rPr>
          <w:rFonts w:hint="eastAsia" w:ascii="仿宋" w:hAnsi="仿宋" w:eastAsia="仿宋" w:cs="仿宋"/>
          <w:sz w:val="32"/>
          <w:szCs w:val="40"/>
        </w:rPr>
        <w:tab/>
      </w:r>
      <w:r>
        <w:rPr>
          <w:rFonts w:hint="eastAsia" w:ascii="仿宋" w:hAnsi="仿宋" w:eastAsia="仿宋" w:cs="仿宋"/>
          <w:sz w:val="32"/>
          <w:szCs w:val="40"/>
        </w:rPr>
        <w:fldChar w:fldCharType="begin"/>
      </w:r>
      <w:r>
        <w:rPr>
          <w:rFonts w:hint="eastAsia" w:ascii="仿宋" w:hAnsi="仿宋" w:eastAsia="仿宋" w:cs="仿宋"/>
          <w:sz w:val="32"/>
          <w:szCs w:val="40"/>
        </w:rPr>
        <w:instrText xml:space="preserve"> PAGEREF _Toc26075 \h </w:instrText>
      </w:r>
      <w:r>
        <w:rPr>
          <w:rFonts w:hint="eastAsia" w:ascii="仿宋" w:hAnsi="仿宋" w:eastAsia="仿宋" w:cs="仿宋"/>
          <w:sz w:val="32"/>
          <w:szCs w:val="40"/>
        </w:rPr>
        <w:fldChar w:fldCharType="separate"/>
      </w:r>
      <w:r>
        <w:rPr>
          <w:rFonts w:hint="eastAsia" w:ascii="仿宋" w:hAnsi="仿宋" w:eastAsia="仿宋" w:cs="仿宋"/>
          <w:sz w:val="32"/>
          <w:szCs w:val="40"/>
        </w:rPr>
        <w:t>30</w:t>
      </w:r>
      <w:r>
        <w:rPr>
          <w:rFonts w:hint="eastAsia" w:ascii="仿宋" w:hAnsi="仿宋" w:eastAsia="仿宋" w:cs="仿宋"/>
          <w:sz w:val="32"/>
          <w:szCs w:val="40"/>
        </w:rPr>
        <w:fldChar w:fldCharType="end"/>
      </w:r>
      <w:r>
        <w:rPr>
          <w:rFonts w:hint="eastAsia" w:ascii="仿宋" w:hAnsi="仿宋" w:eastAsia="仿宋" w:cs="仿宋"/>
          <w:bCs/>
          <w:sz w:val="32"/>
          <w:szCs w:val="52"/>
        </w:rPr>
        <w:fldChar w:fldCharType="end"/>
      </w:r>
    </w:p>
    <w:p w14:paraId="3CB97C6E">
      <w:pPr>
        <w:pStyle w:val="11"/>
        <w:tabs>
          <w:tab w:val="right" w:leader="dot" w:pos="8306"/>
        </w:tabs>
        <w:rPr>
          <w:rFonts w:hint="eastAsia" w:ascii="仿宋" w:hAnsi="仿宋" w:eastAsia="仿宋" w:cs="仿宋"/>
          <w:sz w:val="32"/>
          <w:szCs w:val="40"/>
        </w:rPr>
      </w:pPr>
      <w:r>
        <w:rPr>
          <w:rFonts w:hint="eastAsia" w:ascii="仿宋" w:hAnsi="仿宋" w:eastAsia="仿宋" w:cs="仿宋"/>
          <w:bCs/>
          <w:sz w:val="32"/>
          <w:szCs w:val="52"/>
        </w:rPr>
        <w:fldChar w:fldCharType="begin"/>
      </w:r>
      <w:r>
        <w:rPr>
          <w:rFonts w:hint="eastAsia" w:ascii="仿宋" w:hAnsi="仿宋" w:eastAsia="仿宋" w:cs="仿宋"/>
          <w:bCs/>
          <w:sz w:val="32"/>
          <w:szCs w:val="52"/>
        </w:rPr>
        <w:instrText xml:space="preserve"> HYPERLINK \l _Toc20494 </w:instrText>
      </w:r>
      <w:r>
        <w:rPr>
          <w:rFonts w:hint="eastAsia" w:ascii="仿宋" w:hAnsi="仿宋" w:eastAsia="仿宋" w:cs="仿宋"/>
          <w:bCs/>
          <w:sz w:val="32"/>
          <w:szCs w:val="52"/>
        </w:rPr>
        <w:fldChar w:fldCharType="separate"/>
      </w:r>
      <w:r>
        <w:rPr>
          <w:rFonts w:hint="eastAsia" w:ascii="仿宋" w:hAnsi="仿宋" w:eastAsia="仿宋" w:cs="仿宋"/>
          <w:bCs/>
          <w:sz w:val="32"/>
          <w:szCs w:val="40"/>
          <w:highlight w:val="none"/>
        </w:rPr>
        <w:t>九、一般公共预算财政拨款项目支出决算表</w:t>
      </w:r>
      <w:r>
        <w:rPr>
          <w:rFonts w:hint="eastAsia" w:ascii="仿宋" w:hAnsi="仿宋" w:eastAsia="仿宋" w:cs="仿宋"/>
          <w:sz w:val="32"/>
          <w:szCs w:val="40"/>
        </w:rPr>
        <w:tab/>
      </w:r>
      <w:r>
        <w:rPr>
          <w:rFonts w:hint="eastAsia" w:ascii="仿宋" w:hAnsi="仿宋" w:eastAsia="仿宋" w:cs="仿宋"/>
          <w:sz w:val="32"/>
          <w:szCs w:val="40"/>
        </w:rPr>
        <w:fldChar w:fldCharType="begin"/>
      </w:r>
      <w:r>
        <w:rPr>
          <w:rFonts w:hint="eastAsia" w:ascii="仿宋" w:hAnsi="仿宋" w:eastAsia="仿宋" w:cs="仿宋"/>
          <w:sz w:val="32"/>
          <w:szCs w:val="40"/>
        </w:rPr>
        <w:instrText xml:space="preserve"> PAGEREF _Toc20494 \h </w:instrText>
      </w:r>
      <w:r>
        <w:rPr>
          <w:rFonts w:hint="eastAsia" w:ascii="仿宋" w:hAnsi="仿宋" w:eastAsia="仿宋" w:cs="仿宋"/>
          <w:sz w:val="32"/>
          <w:szCs w:val="40"/>
        </w:rPr>
        <w:fldChar w:fldCharType="separate"/>
      </w:r>
      <w:r>
        <w:rPr>
          <w:rFonts w:hint="eastAsia" w:ascii="仿宋" w:hAnsi="仿宋" w:eastAsia="仿宋" w:cs="仿宋"/>
          <w:sz w:val="32"/>
          <w:szCs w:val="40"/>
        </w:rPr>
        <w:t>30</w:t>
      </w:r>
      <w:r>
        <w:rPr>
          <w:rFonts w:hint="eastAsia" w:ascii="仿宋" w:hAnsi="仿宋" w:eastAsia="仿宋" w:cs="仿宋"/>
          <w:sz w:val="32"/>
          <w:szCs w:val="40"/>
        </w:rPr>
        <w:fldChar w:fldCharType="end"/>
      </w:r>
      <w:r>
        <w:rPr>
          <w:rFonts w:hint="eastAsia" w:ascii="仿宋" w:hAnsi="仿宋" w:eastAsia="仿宋" w:cs="仿宋"/>
          <w:bCs/>
          <w:sz w:val="32"/>
          <w:szCs w:val="52"/>
        </w:rPr>
        <w:fldChar w:fldCharType="end"/>
      </w:r>
    </w:p>
    <w:p w14:paraId="17528A5A">
      <w:pPr>
        <w:pStyle w:val="11"/>
        <w:tabs>
          <w:tab w:val="right" w:leader="dot" w:pos="8306"/>
        </w:tabs>
        <w:rPr>
          <w:rFonts w:hint="eastAsia" w:ascii="仿宋" w:hAnsi="仿宋" w:eastAsia="仿宋" w:cs="仿宋"/>
          <w:sz w:val="32"/>
          <w:szCs w:val="40"/>
        </w:rPr>
      </w:pPr>
      <w:r>
        <w:rPr>
          <w:rFonts w:hint="eastAsia" w:ascii="仿宋" w:hAnsi="仿宋" w:eastAsia="仿宋" w:cs="仿宋"/>
          <w:bCs/>
          <w:sz w:val="32"/>
          <w:szCs w:val="52"/>
        </w:rPr>
        <w:fldChar w:fldCharType="begin"/>
      </w:r>
      <w:r>
        <w:rPr>
          <w:rFonts w:hint="eastAsia" w:ascii="仿宋" w:hAnsi="仿宋" w:eastAsia="仿宋" w:cs="仿宋"/>
          <w:bCs/>
          <w:sz w:val="32"/>
          <w:szCs w:val="52"/>
        </w:rPr>
        <w:instrText xml:space="preserve"> HYPERLINK \l _Toc30044 </w:instrText>
      </w:r>
      <w:r>
        <w:rPr>
          <w:rFonts w:hint="eastAsia" w:ascii="仿宋" w:hAnsi="仿宋" w:eastAsia="仿宋" w:cs="仿宋"/>
          <w:bCs/>
          <w:sz w:val="32"/>
          <w:szCs w:val="52"/>
        </w:rPr>
        <w:fldChar w:fldCharType="separate"/>
      </w:r>
      <w:r>
        <w:rPr>
          <w:rFonts w:hint="eastAsia" w:ascii="仿宋" w:hAnsi="仿宋" w:eastAsia="仿宋" w:cs="仿宋"/>
          <w:bCs/>
          <w:sz w:val="32"/>
          <w:szCs w:val="40"/>
          <w:highlight w:val="none"/>
        </w:rPr>
        <w:t>十、政府性基金预算财政拨款收入支出决算表</w:t>
      </w:r>
      <w:r>
        <w:rPr>
          <w:rFonts w:hint="eastAsia" w:ascii="仿宋" w:hAnsi="仿宋" w:eastAsia="仿宋" w:cs="仿宋"/>
          <w:sz w:val="32"/>
          <w:szCs w:val="40"/>
        </w:rPr>
        <w:tab/>
      </w:r>
      <w:r>
        <w:rPr>
          <w:rFonts w:hint="eastAsia" w:ascii="仿宋" w:hAnsi="仿宋" w:eastAsia="仿宋" w:cs="仿宋"/>
          <w:sz w:val="32"/>
          <w:szCs w:val="40"/>
        </w:rPr>
        <w:fldChar w:fldCharType="begin"/>
      </w:r>
      <w:r>
        <w:rPr>
          <w:rFonts w:hint="eastAsia" w:ascii="仿宋" w:hAnsi="仿宋" w:eastAsia="仿宋" w:cs="仿宋"/>
          <w:sz w:val="32"/>
          <w:szCs w:val="40"/>
        </w:rPr>
        <w:instrText xml:space="preserve"> PAGEREF _Toc30044 \h </w:instrText>
      </w:r>
      <w:r>
        <w:rPr>
          <w:rFonts w:hint="eastAsia" w:ascii="仿宋" w:hAnsi="仿宋" w:eastAsia="仿宋" w:cs="仿宋"/>
          <w:sz w:val="32"/>
          <w:szCs w:val="40"/>
        </w:rPr>
        <w:fldChar w:fldCharType="separate"/>
      </w:r>
      <w:r>
        <w:rPr>
          <w:rFonts w:hint="eastAsia" w:ascii="仿宋" w:hAnsi="仿宋" w:eastAsia="仿宋" w:cs="仿宋"/>
          <w:sz w:val="32"/>
          <w:szCs w:val="40"/>
        </w:rPr>
        <w:t>30</w:t>
      </w:r>
      <w:r>
        <w:rPr>
          <w:rFonts w:hint="eastAsia" w:ascii="仿宋" w:hAnsi="仿宋" w:eastAsia="仿宋" w:cs="仿宋"/>
          <w:sz w:val="32"/>
          <w:szCs w:val="40"/>
        </w:rPr>
        <w:fldChar w:fldCharType="end"/>
      </w:r>
      <w:r>
        <w:rPr>
          <w:rFonts w:hint="eastAsia" w:ascii="仿宋" w:hAnsi="仿宋" w:eastAsia="仿宋" w:cs="仿宋"/>
          <w:bCs/>
          <w:sz w:val="32"/>
          <w:szCs w:val="52"/>
        </w:rPr>
        <w:fldChar w:fldCharType="end"/>
      </w:r>
    </w:p>
    <w:p w14:paraId="42FF1D28">
      <w:pPr>
        <w:pStyle w:val="11"/>
        <w:tabs>
          <w:tab w:val="right" w:leader="dot" w:pos="8306"/>
        </w:tabs>
        <w:rPr>
          <w:rFonts w:hint="eastAsia" w:ascii="仿宋" w:hAnsi="仿宋" w:eastAsia="仿宋" w:cs="仿宋"/>
          <w:sz w:val="32"/>
          <w:szCs w:val="40"/>
        </w:rPr>
      </w:pPr>
      <w:r>
        <w:rPr>
          <w:rFonts w:hint="eastAsia" w:ascii="仿宋" w:hAnsi="仿宋" w:eastAsia="仿宋" w:cs="仿宋"/>
          <w:bCs/>
          <w:sz w:val="32"/>
          <w:szCs w:val="52"/>
        </w:rPr>
        <w:fldChar w:fldCharType="begin"/>
      </w:r>
      <w:r>
        <w:rPr>
          <w:rFonts w:hint="eastAsia" w:ascii="仿宋" w:hAnsi="仿宋" w:eastAsia="仿宋" w:cs="仿宋"/>
          <w:bCs/>
          <w:sz w:val="32"/>
          <w:szCs w:val="52"/>
        </w:rPr>
        <w:instrText xml:space="preserve"> HYPERLINK \l _Toc5740 </w:instrText>
      </w:r>
      <w:r>
        <w:rPr>
          <w:rFonts w:hint="eastAsia" w:ascii="仿宋" w:hAnsi="仿宋" w:eastAsia="仿宋" w:cs="仿宋"/>
          <w:bCs/>
          <w:sz w:val="32"/>
          <w:szCs w:val="52"/>
        </w:rPr>
        <w:fldChar w:fldCharType="separate"/>
      </w:r>
      <w:r>
        <w:rPr>
          <w:rFonts w:hint="eastAsia" w:ascii="仿宋" w:hAnsi="仿宋" w:eastAsia="仿宋" w:cs="仿宋"/>
          <w:bCs/>
          <w:sz w:val="32"/>
          <w:szCs w:val="40"/>
          <w:highlight w:val="none"/>
        </w:rPr>
        <w:t>十一、国有资本经营预算</w:t>
      </w:r>
      <w:r>
        <w:rPr>
          <w:rFonts w:hint="eastAsia" w:ascii="仿宋" w:hAnsi="仿宋" w:eastAsia="仿宋" w:cs="仿宋"/>
          <w:bCs/>
          <w:sz w:val="32"/>
          <w:szCs w:val="40"/>
          <w:highlight w:val="none"/>
          <w:lang w:eastAsia="zh-CN"/>
        </w:rPr>
        <w:t>财政拨款收入</w:t>
      </w:r>
      <w:r>
        <w:rPr>
          <w:rFonts w:hint="eastAsia" w:ascii="仿宋" w:hAnsi="仿宋" w:eastAsia="仿宋" w:cs="仿宋"/>
          <w:bCs/>
          <w:sz w:val="32"/>
          <w:szCs w:val="40"/>
          <w:highlight w:val="none"/>
        </w:rPr>
        <w:t>支出决算表</w:t>
      </w:r>
      <w:r>
        <w:rPr>
          <w:rFonts w:hint="eastAsia" w:ascii="仿宋" w:hAnsi="仿宋" w:eastAsia="仿宋" w:cs="仿宋"/>
          <w:sz w:val="32"/>
          <w:szCs w:val="40"/>
        </w:rPr>
        <w:tab/>
      </w:r>
      <w:r>
        <w:rPr>
          <w:rFonts w:hint="eastAsia" w:ascii="仿宋" w:hAnsi="仿宋" w:eastAsia="仿宋" w:cs="仿宋"/>
          <w:sz w:val="32"/>
          <w:szCs w:val="40"/>
        </w:rPr>
        <w:fldChar w:fldCharType="begin"/>
      </w:r>
      <w:r>
        <w:rPr>
          <w:rFonts w:hint="eastAsia" w:ascii="仿宋" w:hAnsi="仿宋" w:eastAsia="仿宋" w:cs="仿宋"/>
          <w:sz w:val="32"/>
          <w:szCs w:val="40"/>
        </w:rPr>
        <w:instrText xml:space="preserve"> PAGEREF _Toc5740 \h </w:instrText>
      </w:r>
      <w:r>
        <w:rPr>
          <w:rFonts w:hint="eastAsia" w:ascii="仿宋" w:hAnsi="仿宋" w:eastAsia="仿宋" w:cs="仿宋"/>
          <w:sz w:val="32"/>
          <w:szCs w:val="40"/>
        </w:rPr>
        <w:fldChar w:fldCharType="separate"/>
      </w:r>
      <w:r>
        <w:rPr>
          <w:rFonts w:hint="eastAsia" w:ascii="仿宋" w:hAnsi="仿宋" w:eastAsia="仿宋" w:cs="仿宋"/>
          <w:sz w:val="32"/>
          <w:szCs w:val="40"/>
        </w:rPr>
        <w:t>30</w:t>
      </w:r>
      <w:r>
        <w:rPr>
          <w:rFonts w:hint="eastAsia" w:ascii="仿宋" w:hAnsi="仿宋" w:eastAsia="仿宋" w:cs="仿宋"/>
          <w:sz w:val="32"/>
          <w:szCs w:val="40"/>
        </w:rPr>
        <w:fldChar w:fldCharType="end"/>
      </w:r>
      <w:r>
        <w:rPr>
          <w:rFonts w:hint="eastAsia" w:ascii="仿宋" w:hAnsi="仿宋" w:eastAsia="仿宋" w:cs="仿宋"/>
          <w:bCs/>
          <w:sz w:val="32"/>
          <w:szCs w:val="52"/>
        </w:rPr>
        <w:fldChar w:fldCharType="end"/>
      </w:r>
    </w:p>
    <w:p w14:paraId="65B19015">
      <w:pPr>
        <w:pStyle w:val="11"/>
        <w:tabs>
          <w:tab w:val="right" w:leader="dot" w:pos="8306"/>
        </w:tabs>
        <w:rPr>
          <w:rFonts w:hint="eastAsia" w:ascii="仿宋" w:hAnsi="仿宋" w:eastAsia="仿宋" w:cs="仿宋"/>
          <w:sz w:val="32"/>
          <w:szCs w:val="40"/>
        </w:rPr>
      </w:pPr>
      <w:r>
        <w:rPr>
          <w:rFonts w:hint="eastAsia" w:ascii="仿宋" w:hAnsi="仿宋" w:eastAsia="仿宋" w:cs="仿宋"/>
          <w:bCs/>
          <w:sz w:val="32"/>
          <w:szCs w:val="52"/>
        </w:rPr>
        <w:fldChar w:fldCharType="begin"/>
      </w:r>
      <w:r>
        <w:rPr>
          <w:rFonts w:hint="eastAsia" w:ascii="仿宋" w:hAnsi="仿宋" w:eastAsia="仿宋" w:cs="仿宋"/>
          <w:bCs/>
          <w:sz w:val="32"/>
          <w:szCs w:val="52"/>
        </w:rPr>
        <w:instrText xml:space="preserve"> HYPERLINK \l _Toc2624 </w:instrText>
      </w:r>
      <w:r>
        <w:rPr>
          <w:rFonts w:hint="eastAsia" w:ascii="仿宋" w:hAnsi="仿宋" w:eastAsia="仿宋" w:cs="仿宋"/>
          <w:bCs/>
          <w:sz w:val="32"/>
          <w:szCs w:val="52"/>
        </w:rPr>
        <w:fldChar w:fldCharType="separate"/>
      </w:r>
      <w:r>
        <w:rPr>
          <w:rFonts w:hint="eastAsia" w:ascii="仿宋" w:hAnsi="仿宋" w:eastAsia="仿宋" w:cs="仿宋"/>
          <w:bCs/>
          <w:sz w:val="32"/>
          <w:szCs w:val="40"/>
          <w:highlight w:val="none"/>
        </w:rPr>
        <w:t>十二、</w:t>
      </w:r>
      <w:r>
        <w:rPr>
          <w:rFonts w:hint="eastAsia" w:ascii="仿宋" w:hAnsi="仿宋" w:eastAsia="仿宋" w:cs="仿宋"/>
          <w:bCs/>
          <w:sz w:val="32"/>
          <w:szCs w:val="40"/>
          <w:highlight w:val="none"/>
          <w:lang w:eastAsia="zh-CN"/>
        </w:rPr>
        <w:t>国有资本经营预算财政拨款支出决算表</w:t>
      </w:r>
      <w:r>
        <w:rPr>
          <w:rFonts w:hint="eastAsia" w:ascii="仿宋" w:hAnsi="仿宋" w:eastAsia="仿宋" w:cs="仿宋"/>
          <w:sz w:val="32"/>
          <w:szCs w:val="40"/>
        </w:rPr>
        <w:tab/>
      </w:r>
      <w:r>
        <w:rPr>
          <w:rFonts w:hint="eastAsia" w:ascii="仿宋" w:hAnsi="仿宋" w:eastAsia="仿宋" w:cs="仿宋"/>
          <w:sz w:val="32"/>
          <w:szCs w:val="40"/>
        </w:rPr>
        <w:fldChar w:fldCharType="begin"/>
      </w:r>
      <w:r>
        <w:rPr>
          <w:rFonts w:hint="eastAsia" w:ascii="仿宋" w:hAnsi="仿宋" w:eastAsia="仿宋" w:cs="仿宋"/>
          <w:sz w:val="32"/>
          <w:szCs w:val="40"/>
        </w:rPr>
        <w:instrText xml:space="preserve"> PAGEREF _Toc2624 \h </w:instrText>
      </w:r>
      <w:r>
        <w:rPr>
          <w:rFonts w:hint="eastAsia" w:ascii="仿宋" w:hAnsi="仿宋" w:eastAsia="仿宋" w:cs="仿宋"/>
          <w:sz w:val="32"/>
          <w:szCs w:val="40"/>
        </w:rPr>
        <w:fldChar w:fldCharType="separate"/>
      </w:r>
      <w:r>
        <w:rPr>
          <w:rFonts w:hint="eastAsia" w:ascii="仿宋" w:hAnsi="仿宋" w:eastAsia="仿宋" w:cs="仿宋"/>
          <w:sz w:val="32"/>
          <w:szCs w:val="40"/>
        </w:rPr>
        <w:t>30</w:t>
      </w:r>
      <w:r>
        <w:rPr>
          <w:rFonts w:hint="eastAsia" w:ascii="仿宋" w:hAnsi="仿宋" w:eastAsia="仿宋" w:cs="仿宋"/>
          <w:sz w:val="32"/>
          <w:szCs w:val="40"/>
        </w:rPr>
        <w:fldChar w:fldCharType="end"/>
      </w:r>
      <w:r>
        <w:rPr>
          <w:rFonts w:hint="eastAsia" w:ascii="仿宋" w:hAnsi="仿宋" w:eastAsia="仿宋" w:cs="仿宋"/>
          <w:bCs/>
          <w:sz w:val="32"/>
          <w:szCs w:val="52"/>
        </w:rPr>
        <w:fldChar w:fldCharType="end"/>
      </w:r>
    </w:p>
    <w:p w14:paraId="1485A7F8">
      <w:pPr>
        <w:pStyle w:val="11"/>
        <w:tabs>
          <w:tab w:val="right" w:leader="dot" w:pos="8306"/>
        </w:tabs>
        <w:rPr>
          <w:rFonts w:hint="eastAsia" w:ascii="仿宋" w:hAnsi="仿宋" w:eastAsia="仿宋" w:cs="仿宋"/>
          <w:sz w:val="32"/>
          <w:szCs w:val="40"/>
        </w:rPr>
      </w:pPr>
      <w:r>
        <w:rPr>
          <w:rFonts w:hint="eastAsia" w:ascii="仿宋" w:hAnsi="仿宋" w:eastAsia="仿宋" w:cs="仿宋"/>
          <w:bCs/>
          <w:sz w:val="32"/>
          <w:szCs w:val="52"/>
        </w:rPr>
        <w:fldChar w:fldCharType="begin"/>
      </w:r>
      <w:r>
        <w:rPr>
          <w:rFonts w:hint="eastAsia" w:ascii="仿宋" w:hAnsi="仿宋" w:eastAsia="仿宋" w:cs="仿宋"/>
          <w:bCs/>
          <w:sz w:val="32"/>
          <w:szCs w:val="52"/>
        </w:rPr>
        <w:instrText xml:space="preserve"> HYPERLINK \l _Toc19434 </w:instrText>
      </w:r>
      <w:r>
        <w:rPr>
          <w:rFonts w:hint="eastAsia" w:ascii="仿宋" w:hAnsi="仿宋" w:eastAsia="仿宋" w:cs="仿宋"/>
          <w:bCs/>
          <w:sz w:val="32"/>
          <w:szCs w:val="52"/>
        </w:rPr>
        <w:fldChar w:fldCharType="separate"/>
      </w:r>
      <w:r>
        <w:rPr>
          <w:rFonts w:hint="eastAsia" w:ascii="仿宋" w:hAnsi="仿宋" w:eastAsia="仿宋" w:cs="仿宋"/>
          <w:bCs/>
          <w:sz w:val="32"/>
          <w:szCs w:val="40"/>
          <w:highlight w:val="none"/>
        </w:rPr>
        <w:t>十三、</w:t>
      </w:r>
      <w:r>
        <w:rPr>
          <w:rFonts w:hint="eastAsia" w:ascii="仿宋" w:hAnsi="仿宋" w:eastAsia="仿宋" w:cs="仿宋"/>
          <w:bCs/>
          <w:sz w:val="32"/>
          <w:szCs w:val="40"/>
          <w:highlight w:val="none"/>
          <w:lang w:eastAsia="zh-CN"/>
        </w:rPr>
        <w:t>财政拨款“三公”经费支出决算表</w:t>
      </w:r>
      <w:r>
        <w:rPr>
          <w:rFonts w:hint="eastAsia" w:ascii="仿宋" w:hAnsi="仿宋" w:eastAsia="仿宋" w:cs="仿宋"/>
          <w:sz w:val="32"/>
          <w:szCs w:val="40"/>
        </w:rPr>
        <w:tab/>
      </w:r>
      <w:r>
        <w:rPr>
          <w:rFonts w:hint="eastAsia" w:ascii="仿宋" w:hAnsi="仿宋" w:eastAsia="仿宋" w:cs="仿宋"/>
          <w:sz w:val="32"/>
          <w:szCs w:val="40"/>
        </w:rPr>
        <w:fldChar w:fldCharType="begin"/>
      </w:r>
      <w:r>
        <w:rPr>
          <w:rFonts w:hint="eastAsia" w:ascii="仿宋" w:hAnsi="仿宋" w:eastAsia="仿宋" w:cs="仿宋"/>
          <w:sz w:val="32"/>
          <w:szCs w:val="40"/>
        </w:rPr>
        <w:instrText xml:space="preserve"> PAGEREF _Toc19434 \h </w:instrText>
      </w:r>
      <w:r>
        <w:rPr>
          <w:rFonts w:hint="eastAsia" w:ascii="仿宋" w:hAnsi="仿宋" w:eastAsia="仿宋" w:cs="仿宋"/>
          <w:sz w:val="32"/>
          <w:szCs w:val="40"/>
        </w:rPr>
        <w:fldChar w:fldCharType="separate"/>
      </w:r>
      <w:r>
        <w:rPr>
          <w:rFonts w:hint="eastAsia" w:ascii="仿宋" w:hAnsi="仿宋" w:eastAsia="仿宋" w:cs="仿宋"/>
          <w:sz w:val="32"/>
          <w:szCs w:val="40"/>
        </w:rPr>
        <w:t>30</w:t>
      </w:r>
      <w:r>
        <w:rPr>
          <w:rFonts w:hint="eastAsia" w:ascii="仿宋" w:hAnsi="仿宋" w:eastAsia="仿宋" w:cs="仿宋"/>
          <w:sz w:val="32"/>
          <w:szCs w:val="40"/>
        </w:rPr>
        <w:fldChar w:fldCharType="end"/>
      </w:r>
      <w:r>
        <w:rPr>
          <w:rFonts w:hint="eastAsia" w:ascii="仿宋" w:hAnsi="仿宋" w:eastAsia="仿宋" w:cs="仿宋"/>
          <w:bCs/>
          <w:sz w:val="32"/>
          <w:szCs w:val="52"/>
        </w:rPr>
        <w:fldChar w:fldCharType="end"/>
      </w:r>
    </w:p>
    <w:p w14:paraId="4B79234A">
      <w:pPr>
        <w:pStyle w:val="11"/>
        <w:tabs>
          <w:tab w:val="right" w:leader="dot" w:pos="8306"/>
        </w:tabs>
        <w:rPr>
          <w:rFonts w:hint="eastAsia" w:ascii="仿宋" w:hAnsi="仿宋" w:eastAsia="仿宋" w:cs="仿宋"/>
          <w:sz w:val="32"/>
          <w:szCs w:val="40"/>
        </w:rPr>
      </w:pPr>
      <w:r>
        <w:rPr>
          <w:rFonts w:hint="eastAsia" w:ascii="仿宋" w:hAnsi="仿宋" w:eastAsia="仿宋" w:cs="仿宋"/>
          <w:bCs/>
          <w:sz w:val="32"/>
          <w:szCs w:val="52"/>
        </w:rPr>
        <w:fldChar w:fldCharType="begin"/>
      </w:r>
      <w:r>
        <w:rPr>
          <w:rFonts w:hint="eastAsia" w:ascii="仿宋" w:hAnsi="仿宋" w:eastAsia="仿宋" w:cs="仿宋"/>
          <w:bCs/>
          <w:sz w:val="32"/>
          <w:szCs w:val="52"/>
        </w:rPr>
        <w:instrText xml:space="preserve"> HYPERLINK \l _Toc2278 </w:instrText>
      </w:r>
      <w:r>
        <w:rPr>
          <w:rFonts w:hint="eastAsia" w:ascii="仿宋" w:hAnsi="仿宋" w:eastAsia="仿宋" w:cs="仿宋"/>
          <w:bCs/>
          <w:sz w:val="32"/>
          <w:szCs w:val="52"/>
        </w:rPr>
        <w:fldChar w:fldCharType="separate"/>
      </w:r>
      <w:r>
        <w:rPr>
          <w:rFonts w:hint="eastAsia" w:ascii="仿宋" w:hAnsi="仿宋" w:eastAsia="仿宋" w:cs="仿宋"/>
          <w:sz w:val="32"/>
          <w:szCs w:val="40"/>
        </w:rPr>
        <w:t>十四、金川县社会保险事务中心202</w:t>
      </w:r>
      <w:r>
        <w:rPr>
          <w:rFonts w:hint="eastAsia" w:ascii="仿宋" w:hAnsi="仿宋" w:eastAsia="仿宋" w:cs="仿宋"/>
          <w:sz w:val="32"/>
          <w:szCs w:val="40"/>
          <w:lang w:val="en-US"/>
        </w:rPr>
        <w:t>4</w:t>
      </w:r>
      <w:r>
        <w:rPr>
          <w:rFonts w:hint="eastAsia" w:ascii="仿宋" w:hAnsi="仿宋" w:eastAsia="仿宋" w:cs="仿宋"/>
          <w:sz w:val="32"/>
          <w:szCs w:val="40"/>
        </w:rPr>
        <w:t>年部门预算项目支出绩效自评表</w:t>
      </w:r>
      <w:r>
        <w:rPr>
          <w:rFonts w:hint="eastAsia" w:ascii="仿宋" w:hAnsi="仿宋" w:eastAsia="仿宋" w:cs="仿宋"/>
          <w:sz w:val="32"/>
          <w:szCs w:val="40"/>
        </w:rPr>
        <w:tab/>
      </w:r>
      <w:r>
        <w:rPr>
          <w:rFonts w:hint="eastAsia" w:ascii="仿宋" w:hAnsi="仿宋" w:eastAsia="仿宋" w:cs="仿宋"/>
          <w:sz w:val="32"/>
          <w:szCs w:val="40"/>
        </w:rPr>
        <w:fldChar w:fldCharType="begin"/>
      </w:r>
      <w:r>
        <w:rPr>
          <w:rFonts w:hint="eastAsia" w:ascii="仿宋" w:hAnsi="仿宋" w:eastAsia="仿宋" w:cs="仿宋"/>
          <w:sz w:val="32"/>
          <w:szCs w:val="40"/>
        </w:rPr>
        <w:instrText xml:space="preserve"> PAGEREF _Toc2278 \h </w:instrText>
      </w:r>
      <w:r>
        <w:rPr>
          <w:rFonts w:hint="eastAsia" w:ascii="仿宋" w:hAnsi="仿宋" w:eastAsia="仿宋" w:cs="仿宋"/>
          <w:sz w:val="32"/>
          <w:szCs w:val="40"/>
        </w:rPr>
        <w:fldChar w:fldCharType="separate"/>
      </w:r>
      <w:r>
        <w:rPr>
          <w:rFonts w:hint="eastAsia" w:ascii="仿宋" w:hAnsi="仿宋" w:eastAsia="仿宋" w:cs="仿宋"/>
          <w:sz w:val="32"/>
          <w:szCs w:val="40"/>
        </w:rPr>
        <w:t>30</w:t>
      </w:r>
      <w:r>
        <w:rPr>
          <w:rFonts w:hint="eastAsia" w:ascii="仿宋" w:hAnsi="仿宋" w:eastAsia="仿宋" w:cs="仿宋"/>
          <w:sz w:val="32"/>
          <w:szCs w:val="40"/>
        </w:rPr>
        <w:fldChar w:fldCharType="end"/>
      </w:r>
      <w:r>
        <w:rPr>
          <w:rFonts w:hint="eastAsia" w:ascii="仿宋" w:hAnsi="仿宋" w:eastAsia="仿宋" w:cs="仿宋"/>
          <w:bCs/>
          <w:sz w:val="32"/>
          <w:szCs w:val="52"/>
        </w:rPr>
        <w:fldChar w:fldCharType="end"/>
      </w:r>
    </w:p>
    <w:p w14:paraId="786092E2">
      <w:pPr>
        <w:pStyle w:val="11"/>
        <w:tabs>
          <w:tab w:val="right" w:leader="dot" w:pos="8306"/>
        </w:tabs>
        <w:ind w:left="420"/>
        <w:rPr>
          <w:rFonts w:hint="eastAsia" w:ascii="仿宋" w:hAnsi="仿宋" w:eastAsia="仿宋" w:cs="仿宋"/>
          <w:b/>
          <w:color w:val="000000"/>
          <w:sz w:val="96"/>
          <w:szCs w:val="96"/>
        </w:rPr>
        <w:sectPr>
          <w:footerReference r:id="rId5" w:type="default"/>
          <w:pgSz w:w="11906" w:h="16838"/>
          <w:pgMar w:top="1440" w:right="1800" w:bottom="1440" w:left="1800" w:header="851" w:footer="992" w:gutter="0"/>
          <w:pgNumType w:start="1"/>
          <w:cols w:space="720" w:num="1"/>
          <w:docGrid w:type="lines" w:linePitch="312" w:charSpace="0"/>
        </w:sectPr>
      </w:pPr>
      <w:r>
        <w:rPr>
          <w:rFonts w:hint="eastAsia" w:ascii="仿宋" w:hAnsi="仿宋" w:eastAsia="仿宋" w:cs="仿宋"/>
          <w:bCs/>
          <w:sz w:val="32"/>
          <w:szCs w:val="52"/>
        </w:rPr>
        <w:fldChar w:fldCharType="end"/>
      </w:r>
    </w:p>
    <w:p w14:paraId="289B3E7C">
      <w:pPr>
        <w:pStyle w:val="2"/>
        <w:jc w:val="center"/>
        <w:rPr>
          <w:rFonts w:ascii="宋体"/>
          <w:color w:val="000000"/>
        </w:rPr>
      </w:pPr>
      <w:bookmarkStart w:id="33" w:name="_Toc14857"/>
      <w:bookmarkStart w:id="34" w:name="_Toc25163"/>
      <w:r>
        <w:rPr>
          <w:rFonts w:hint="eastAsia" w:ascii="黑体" w:eastAsia="黑体"/>
          <w:b w:val="0"/>
        </w:rPr>
        <w:t xml:space="preserve">第一部分 </w:t>
      </w:r>
      <w:r>
        <w:rPr>
          <w:rStyle w:val="19"/>
          <w:rFonts w:hint="eastAsia" w:ascii="黑体" w:eastAsia="黑体"/>
          <w:b w:val="0"/>
          <w:bCs w:val="0"/>
        </w:rPr>
        <w:t>部门概况</w:t>
      </w:r>
      <w:bookmarkEnd w:id="33"/>
      <w:bookmarkEnd w:id="34"/>
    </w:p>
    <w:p w14:paraId="50DB6F8F">
      <w:pPr>
        <w:spacing w:line="600" w:lineRule="exact"/>
        <w:ind w:firstLine="640" w:firstLineChars="200"/>
        <w:outlineLvl w:val="1"/>
        <w:rPr>
          <w:rFonts w:ascii="黑体" w:eastAsia="黑体"/>
          <w:color w:val="000000"/>
          <w:sz w:val="32"/>
          <w:szCs w:val="32"/>
        </w:rPr>
      </w:pPr>
      <w:bookmarkStart w:id="35" w:name="_Toc1812"/>
      <w:r>
        <w:rPr>
          <w:rFonts w:hint="eastAsia" w:ascii="黑体" w:eastAsia="黑体"/>
          <w:color w:val="000000"/>
          <w:sz w:val="32"/>
          <w:szCs w:val="32"/>
        </w:rPr>
        <w:t>一、基本职能及主要工作</w:t>
      </w:r>
      <w:bookmarkEnd w:id="35"/>
    </w:p>
    <w:p w14:paraId="42E2B432">
      <w:pPr>
        <w:pStyle w:val="5"/>
        <w:adjustRightInd w:val="0"/>
        <w:snapToGrid w:val="0"/>
        <w:spacing w:beforeLines="0" w:line="600" w:lineRule="exact"/>
        <w:ind w:firstLine="665" w:firstLineChars="208"/>
        <w:outlineLvl w:val="2"/>
        <w:rPr>
          <w:bCs/>
          <w:color w:val="000000"/>
          <w:sz w:val="32"/>
          <w:szCs w:val="32"/>
        </w:rPr>
      </w:pPr>
      <w:r>
        <w:rPr>
          <w:rFonts w:hint="eastAsia"/>
          <w:bCs/>
          <w:color w:val="000000"/>
          <w:sz w:val="32"/>
          <w:szCs w:val="32"/>
        </w:rPr>
        <w:t>（一）主要职能</w:t>
      </w:r>
    </w:p>
    <w:p w14:paraId="539B227B">
      <w:pPr>
        <w:widowControl/>
        <w:spacing w:line="560" w:lineRule="exact"/>
        <w:ind w:firstLine="640" w:firstLineChars="200"/>
        <w:jc w:val="left"/>
        <w:rPr>
          <w:rFonts w:ascii="仿宋_GB2312" w:eastAsia="仿宋_GB2312" w:cs="仿宋_GB2312"/>
          <w:color w:val="333333"/>
          <w:sz w:val="32"/>
          <w:szCs w:val="32"/>
          <w:shd w:val="clear" w:color="auto" w:fill="FFFFFF"/>
        </w:rPr>
      </w:pPr>
      <w:r>
        <w:rPr>
          <w:rFonts w:hint="eastAsia" w:ascii="仿宋_GB2312" w:eastAsia="仿宋_GB2312" w:cs="仿宋_GB2312"/>
          <w:color w:val="333333"/>
          <w:sz w:val="32"/>
          <w:szCs w:val="32"/>
          <w:shd w:val="clear" w:color="auto" w:fill="FFFFFF"/>
          <w:lang w:eastAsia="zh-CN"/>
        </w:rPr>
        <w:t>1.</w:t>
      </w:r>
      <w:r>
        <w:rPr>
          <w:rFonts w:hint="eastAsia" w:ascii="仿宋_GB2312" w:eastAsia="仿宋_GB2312" w:cs="仿宋_GB2312"/>
          <w:color w:val="333333"/>
          <w:sz w:val="32"/>
          <w:szCs w:val="32"/>
          <w:shd w:val="clear" w:color="auto" w:fill="FFFFFF"/>
        </w:rPr>
        <w:t>根据有关法律法规和规章，制定全县社会保险登记、申报、管理、使用、运营和待遇支付以及社会保险关系建立、中断、转移、接续和基金转移的办事程序与操作规范并组织实施；</w:t>
      </w:r>
    </w:p>
    <w:p w14:paraId="4708299C">
      <w:pPr>
        <w:widowControl/>
        <w:spacing w:line="560" w:lineRule="exact"/>
        <w:ind w:firstLine="640" w:firstLineChars="200"/>
        <w:jc w:val="left"/>
        <w:rPr>
          <w:rFonts w:ascii="仿宋_GB2312" w:eastAsia="仿宋_GB2312" w:cs="仿宋_GB2312"/>
          <w:color w:val="333333"/>
          <w:sz w:val="32"/>
          <w:szCs w:val="32"/>
          <w:shd w:val="clear" w:color="auto" w:fill="FFFFFF"/>
        </w:rPr>
      </w:pPr>
      <w:r>
        <w:rPr>
          <w:rFonts w:hint="eastAsia" w:ascii="仿宋_GB2312" w:eastAsia="仿宋_GB2312" w:cs="仿宋_GB2312"/>
          <w:color w:val="333333"/>
          <w:sz w:val="32"/>
          <w:szCs w:val="32"/>
          <w:shd w:val="clear" w:color="auto" w:fill="FFFFFF"/>
          <w:lang w:eastAsia="zh-CN"/>
        </w:rPr>
        <w:t>2.</w:t>
      </w:r>
      <w:r>
        <w:rPr>
          <w:rFonts w:hint="eastAsia" w:ascii="仿宋_GB2312" w:eastAsia="仿宋_GB2312" w:cs="仿宋_GB2312"/>
          <w:color w:val="333333"/>
          <w:sz w:val="32"/>
          <w:szCs w:val="32"/>
          <w:shd w:val="clear" w:color="auto" w:fill="FFFFFF"/>
        </w:rPr>
        <w:t>制定全县社会保险个人账户、缴费记录、档案管理等业务工作规范并组织实施；</w:t>
      </w:r>
    </w:p>
    <w:p w14:paraId="3F813210">
      <w:pPr>
        <w:widowControl/>
        <w:spacing w:line="560" w:lineRule="exact"/>
        <w:ind w:firstLine="640" w:firstLineChars="200"/>
        <w:jc w:val="left"/>
        <w:rPr>
          <w:rFonts w:ascii="仿宋_GB2312" w:eastAsia="仿宋_GB2312"/>
          <w:bCs/>
          <w:sz w:val="32"/>
          <w:szCs w:val="32"/>
          <w:shd w:val="clear" w:color="auto" w:fill="FFFFFF"/>
        </w:rPr>
      </w:pPr>
      <w:r>
        <w:rPr>
          <w:rFonts w:hint="eastAsia" w:ascii="仿宋_GB2312" w:eastAsia="仿宋_GB2312"/>
          <w:bCs/>
          <w:sz w:val="32"/>
          <w:szCs w:val="32"/>
          <w:shd w:val="clear" w:color="auto" w:fill="FFFFFF"/>
          <w:lang w:eastAsia="zh-CN"/>
        </w:rPr>
        <w:t>3.</w:t>
      </w:r>
      <w:r>
        <w:rPr>
          <w:rFonts w:hint="eastAsia" w:ascii="仿宋_GB2312" w:eastAsia="仿宋_GB2312"/>
          <w:bCs/>
          <w:sz w:val="32"/>
          <w:szCs w:val="32"/>
          <w:shd w:val="clear" w:color="auto" w:fill="FFFFFF"/>
        </w:rPr>
        <w:t>制定全县保险基金财务、会计制度的具体操作办法并组织实施，指导各单位财务按照社会保险基金财务、会计制度进行规范管理，编制汇总全县社会保险基金年度预决算报告，加强基金财务管理和会计核算；</w:t>
      </w:r>
    </w:p>
    <w:p w14:paraId="688E78D5">
      <w:pPr>
        <w:widowControl/>
        <w:spacing w:line="560" w:lineRule="exact"/>
        <w:ind w:firstLine="640" w:firstLineChars="200"/>
        <w:jc w:val="left"/>
        <w:rPr>
          <w:rFonts w:ascii="仿宋_GB2312" w:eastAsia="仿宋_GB2312"/>
          <w:bCs/>
          <w:sz w:val="32"/>
          <w:szCs w:val="32"/>
          <w:shd w:val="clear" w:color="auto" w:fill="FFFFFF"/>
        </w:rPr>
      </w:pPr>
      <w:r>
        <w:rPr>
          <w:rFonts w:hint="eastAsia" w:ascii="仿宋_GB2312" w:eastAsia="仿宋_GB2312"/>
          <w:bCs/>
          <w:sz w:val="32"/>
          <w:szCs w:val="32"/>
          <w:shd w:val="clear" w:color="auto" w:fill="FFFFFF"/>
          <w:lang w:eastAsia="zh-CN"/>
        </w:rPr>
        <w:t>4.</w:t>
      </w:r>
      <w:r>
        <w:rPr>
          <w:rFonts w:hint="eastAsia" w:ascii="仿宋_GB2312" w:eastAsia="仿宋_GB2312"/>
          <w:bCs/>
          <w:sz w:val="32"/>
          <w:szCs w:val="32"/>
          <w:shd w:val="clear" w:color="auto" w:fill="FFFFFF"/>
        </w:rPr>
        <w:t>负责全县社会保险统筹规划，研究提出年度筹划和实施意见，负责全县社会保险调剂金的上解；</w:t>
      </w:r>
    </w:p>
    <w:p w14:paraId="11A4A2F5">
      <w:pPr>
        <w:widowControl/>
        <w:spacing w:line="560" w:lineRule="exact"/>
        <w:ind w:firstLine="640" w:firstLineChars="200"/>
        <w:jc w:val="left"/>
        <w:rPr>
          <w:rFonts w:ascii="仿宋_GB2312" w:eastAsia="仿宋_GB2312"/>
          <w:bCs/>
          <w:sz w:val="32"/>
          <w:szCs w:val="32"/>
          <w:shd w:val="clear" w:color="auto" w:fill="FFFFFF"/>
        </w:rPr>
      </w:pPr>
      <w:r>
        <w:rPr>
          <w:rFonts w:hint="eastAsia" w:ascii="仿宋_GB2312" w:eastAsia="仿宋_GB2312"/>
          <w:bCs/>
          <w:sz w:val="32"/>
          <w:szCs w:val="32"/>
          <w:shd w:val="clear" w:color="auto" w:fill="FFFFFF"/>
          <w:lang w:eastAsia="zh-CN"/>
        </w:rPr>
        <w:t>5.</w:t>
      </w:r>
      <w:r>
        <w:rPr>
          <w:rFonts w:hint="eastAsia" w:ascii="仿宋_GB2312" w:eastAsia="仿宋_GB2312"/>
          <w:bCs/>
          <w:sz w:val="32"/>
          <w:szCs w:val="32"/>
          <w:shd w:val="clear" w:color="auto" w:fill="FFFFFF"/>
        </w:rPr>
        <w:t>督促检查全县参保单位离退休人员基本养老保险金按时足额发放和工伤待遇的落实，制定社会保险社会化管理规范，对全县机关单位和企事业退休人员开展社会化管理服务和推进、巩固完善和规范基本养老保险金社会化发放工作</w:t>
      </w:r>
    </w:p>
    <w:p w14:paraId="239ACC9D">
      <w:pPr>
        <w:widowControl/>
        <w:spacing w:line="560" w:lineRule="exact"/>
        <w:ind w:firstLine="640" w:firstLineChars="200"/>
        <w:jc w:val="left"/>
        <w:rPr>
          <w:rFonts w:ascii="仿宋_GB2312" w:eastAsia="仿宋_GB2312"/>
          <w:bCs/>
          <w:sz w:val="32"/>
          <w:szCs w:val="32"/>
          <w:shd w:val="clear" w:color="auto" w:fill="FFFFFF"/>
        </w:rPr>
      </w:pPr>
      <w:r>
        <w:rPr>
          <w:rFonts w:hint="eastAsia" w:ascii="仿宋_GB2312" w:eastAsia="仿宋_GB2312"/>
          <w:bCs/>
          <w:sz w:val="32"/>
          <w:szCs w:val="32"/>
          <w:shd w:val="clear" w:color="auto" w:fill="FFFFFF"/>
          <w:lang w:eastAsia="zh-CN"/>
        </w:rPr>
        <w:t>6.</w:t>
      </w:r>
      <w:r>
        <w:rPr>
          <w:rFonts w:hint="eastAsia" w:ascii="仿宋_GB2312" w:eastAsia="仿宋_GB2312"/>
          <w:bCs/>
          <w:sz w:val="32"/>
          <w:szCs w:val="32"/>
          <w:shd w:val="clear" w:color="auto" w:fill="FFFFFF"/>
        </w:rPr>
        <w:t>制定全县社会保险稽核工作规范，并开展社会保险稽核工作；</w:t>
      </w:r>
    </w:p>
    <w:p w14:paraId="25AB267A">
      <w:pPr>
        <w:widowControl/>
        <w:spacing w:line="560" w:lineRule="exact"/>
        <w:ind w:firstLine="640" w:firstLineChars="200"/>
        <w:jc w:val="left"/>
        <w:rPr>
          <w:rFonts w:ascii="仿宋_GB2312" w:eastAsia="仿宋_GB2312"/>
          <w:bCs/>
          <w:sz w:val="32"/>
          <w:szCs w:val="32"/>
          <w:shd w:val="clear" w:color="auto" w:fill="FFFFFF"/>
        </w:rPr>
      </w:pPr>
      <w:r>
        <w:rPr>
          <w:rFonts w:hint="eastAsia" w:ascii="仿宋_GB2312" w:eastAsia="仿宋_GB2312"/>
          <w:bCs/>
          <w:sz w:val="32"/>
          <w:szCs w:val="32"/>
          <w:shd w:val="clear" w:color="auto" w:fill="FFFFFF"/>
          <w:lang w:eastAsia="zh-CN"/>
        </w:rPr>
        <w:t>7.</w:t>
      </w:r>
      <w:r>
        <w:rPr>
          <w:rFonts w:hint="eastAsia" w:ascii="仿宋_GB2312" w:eastAsia="仿宋_GB2312"/>
          <w:bCs/>
          <w:sz w:val="32"/>
          <w:szCs w:val="32"/>
          <w:shd w:val="clear" w:color="auto" w:fill="FFFFFF"/>
        </w:rPr>
        <w:t>负责经办县属参保单位职工养老、工伤工作；</w:t>
      </w:r>
    </w:p>
    <w:p w14:paraId="3C1B138A">
      <w:pPr>
        <w:widowControl/>
        <w:spacing w:line="560" w:lineRule="exact"/>
        <w:ind w:firstLine="640" w:firstLineChars="200"/>
        <w:jc w:val="left"/>
        <w:rPr>
          <w:rFonts w:ascii="仿宋_GB2312" w:eastAsia="仿宋_GB2312"/>
          <w:bCs/>
          <w:sz w:val="32"/>
          <w:szCs w:val="32"/>
          <w:shd w:val="clear" w:color="auto" w:fill="FFFFFF"/>
        </w:rPr>
      </w:pPr>
      <w:r>
        <w:rPr>
          <w:rFonts w:hint="eastAsia" w:ascii="仿宋_GB2312" w:eastAsia="仿宋_GB2312"/>
          <w:bCs/>
          <w:sz w:val="32"/>
          <w:szCs w:val="32"/>
          <w:shd w:val="clear" w:color="auto" w:fill="FFFFFF"/>
          <w:lang w:eastAsia="zh-CN"/>
        </w:rPr>
        <w:t>8.</w:t>
      </w:r>
      <w:r>
        <w:rPr>
          <w:rFonts w:hint="eastAsia" w:ascii="仿宋_GB2312" w:eastAsia="仿宋_GB2312"/>
          <w:bCs/>
          <w:sz w:val="32"/>
          <w:szCs w:val="32"/>
          <w:shd w:val="clear" w:color="auto" w:fill="FFFFFF"/>
        </w:rPr>
        <w:t>承担全县社会保险信息、统计数据的采集、整理、分析及管理工作，负责全县社会保险信息管理系统的开发建设、运行管理和网络管理等工作。</w:t>
      </w:r>
    </w:p>
    <w:p w14:paraId="75F764CE">
      <w:pPr>
        <w:pStyle w:val="5"/>
        <w:adjustRightInd w:val="0"/>
        <w:snapToGrid w:val="0"/>
        <w:spacing w:beforeLines="0" w:line="600" w:lineRule="exact"/>
        <w:ind w:firstLine="665" w:firstLineChars="208"/>
        <w:outlineLvl w:val="2"/>
        <w:rPr>
          <w:bCs/>
          <w:color w:val="000000"/>
          <w:sz w:val="32"/>
          <w:szCs w:val="32"/>
        </w:rPr>
      </w:pPr>
      <w:r>
        <w:rPr>
          <w:rFonts w:hint="eastAsia"/>
          <w:bCs/>
          <w:color w:val="000000"/>
          <w:sz w:val="32"/>
          <w:szCs w:val="32"/>
        </w:rPr>
        <w:t>（二）2024年重点工作完成情况。</w:t>
      </w:r>
    </w:p>
    <w:p w14:paraId="7E323906">
      <w:pPr>
        <w:ind w:firstLine="627" w:firstLineChars="196"/>
        <w:rPr>
          <w:bCs/>
          <w:color w:val="000000"/>
          <w:sz w:val="32"/>
          <w:szCs w:val="32"/>
        </w:rPr>
      </w:pPr>
      <w:r>
        <w:rPr>
          <w:rFonts w:hint="eastAsia" w:ascii="仿宋_GB2312" w:eastAsia="仿宋_GB2312"/>
          <w:sz w:val="32"/>
          <w:szCs w:val="32"/>
        </w:rPr>
        <w:t>2024年我中心继续坚持积极稳妥，收入预算与经济发展相协调；坚持民生优先，继续加大民生投入；坚持厉行节约，努力降低行政成本；坚持改革创新，着力提高财政绩效。全面完成2024年各项工作，取得了实效。</w:t>
      </w:r>
    </w:p>
    <w:p w14:paraId="7209D914">
      <w:pPr>
        <w:spacing w:line="600" w:lineRule="exact"/>
        <w:ind w:firstLine="640" w:firstLineChars="200"/>
        <w:outlineLvl w:val="1"/>
        <w:rPr>
          <w:rFonts w:ascii="黑体" w:eastAsia="黑体"/>
          <w:color w:val="000000"/>
          <w:sz w:val="32"/>
          <w:szCs w:val="32"/>
        </w:rPr>
      </w:pPr>
      <w:bookmarkStart w:id="36" w:name="_Toc26426"/>
      <w:r>
        <w:rPr>
          <w:rFonts w:hint="eastAsia" w:ascii="黑体" w:eastAsia="黑体"/>
          <w:color w:val="000000"/>
          <w:sz w:val="32"/>
          <w:szCs w:val="32"/>
        </w:rPr>
        <w:t>二、机构设置</w:t>
      </w:r>
      <w:bookmarkEnd w:id="36"/>
    </w:p>
    <w:p w14:paraId="16E2FA67">
      <w:pPr>
        <w:spacing w:line="576" w:lineRule="exact"/>
        <w:ind w:firstLine="640" w:firstLineChars="200"/>
        <w:rPr>
          <w:rFonts w:ascii="仿宋_GB2312" w:eastAsia="仿宋_GB2312" w:cs="仿宋_GB2312"/>
          <w:sz w:val="32"/>
          <w:szCs w:val="32"/>
        </w:rPr>
      </w:pPr>
      <w:r>
        <w:rPr>
          <w:rFonts w:hint="eastAsia" w:ascii="仿宋_GB2312" w:eastAsia="仿宋_GB2312"/>
          <w:bCs/>
          <w:sz w:val="32"/>
          <w:szCs w:val="32"/>
          <w:shd w:val="clear" w:color="auto" w:fill="FFFFFF"/>
          <w:lang w:eastAsia="zh-CN"/>
        </w:rPr>
        <w:t>1.</w:t>
      </w:r>
      <w:r>
        <w:rPr>
          <w:rFonts w:hint="eastAsia" w:ascii="仿宋_GB2312" w:eastAsia="仿宋_GB2312"/>
          <w:bCs/>
          <w:sz w:val="32"/>
          <w:szCs w:val="32"/>
          <w:shd w:val="clear" w:color="auto" w:fill="FFFFFF"/>
        </w:rPr>
        <w:t>机构情况：</w:t>
      </w:r>
      <w:r>
        <w:rPr>
          <w:rFonts w:hint="eastAsia" w:ascii="仿宋_GB2312" w:eastAsia="仿宋_GB2312"/>
          <w:bCs/>
          <w:sz w:val="32"/>
        </w:rPr>
        <w:t>金川县社会保险事务中心属独立编制机构核算的参公事业单位，金川县社会保险服务指导站属独立编制机构和核算的事业单位</w:t>
      </w:r>
    </w:p>
    <w:p w14:paraId="6F9A183D">
      <w:pPr>
        <w:spacing w:line="600" w:lineRule="exact"/>
        <w:ind w:firstLine="640" w:firstLineChars="200"/>
        <w:rPr>
          <w:rFonts w:ascii="仿宋_GB2312" w:eastAsia="仿宋_GB2312"/>
          <w:bCs/>
          <w:sz w:val="32"/>
        </w:rPr>
      </w:pPr>
      <w:r>
        <w:rPr>
          <w:rFonts w:hint="eastAsia" w:ascii="仿宋_GB2312" w:eastAsia="仿宋_GB2312"/>
          <w:bCs/>
          <w:sz w:val="32"/>
          <w:lang w:eastAsia="zh-CN"/>
        </w:rPr>
        <w:t>2.</w:t>
      </w:r>
      <w:r>
        <w:rPr>
          <w:rFonts w:hint="eastAsia" w:ascii="仿宋_GB2312" w:eastAsia="仿宋_GB2312"/>
          <w:bCs/>
          <w:sz w:val="32"/>
        </w:rPr>
        <w:t>人员情况：金川县社会保险事务中心人员编制数19人，其中：参公17人（工勤1人），事业2人，2024年末实有在职职工15人， 参公13人，事业2人。</w:t>
      </w:r>
    </w:p>
    <w:p w14:paraId="40B8CE4A">
      <w:pPr>
        <w:spacing w:line="600" w:lineRule="exact"/>
        <w:ind w:firstLine="640" w:firstLineChars="200"/>
        <w:rPr>
          <w:rFonts w:ascii="仿宋_GB2312" w:eastAsia="仿宋_GB2312"/>
          <w:bCs/>
          <w:sz w:val="32"/>
        </w:rPr>
      </w:pPr>
      <w:r>
        <w:rPr>
          <w:rFonts w:hint="eastAsia" w:ascii="仿宋_GB2312" w:eastAsia="仿宋_GB2312"/>
          <w:bCs/>
          <w:sz w:val="32"/>
        </w:rPr>
        <w:drawing>
          <wp:anchor distT="0" distB="0" distL="114300" distR="114300" simplePos="0" relativeHeight="251659264" behindDoc="0" locked="0" layoutInCell="1" allowOverlap="1">
            <wp:simplePos x="0" y="0"/>
            <wp:positionH relativeFrom="column">
              <wp:posOffset>410210</wp:posOffset>
            </wp:positionH>
            <wp:positionV relativeFrom="paragraph">
              <wp:posOffset>83185</wp:posOffset>
            </wp:positionV>
            <wp:extent cx="4354830" cy="2298065"/>
            <wp:effectExtent l="0" t="0" r="0" b="0"/>
            <wp:wrapTight wrapText="bothSides">
              <wp:wrapPolygon>
                <wp:start x="-3" y="-48"/>
                <wp:lineTo x="-3" y="21527"/>
                <wp:lineTo x="21586" y="21527"/>
                <wp:lineTo x="21586" y="-48"/>
                <wp:lineTo x="-3" y="-48"/>
              </wp:wrapPolygon>
            </wp:wrapTight>
            <wp:docPr id="7"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14:paraId="743DDFC6">
      <w:pPr>
        <w:pStyle w:val="2"/>
        <w:ind w:right="440"/>
        <w:jc w:val="right"/>
        <w:rPr>
          <w:rFonts w:ascii="黑体" w:eastAsia="黑体"/>
          <w:color w:val="000000"/>
          <w:sz w:val="32"/>
          <w:szCs w:val="32"/>
        </w:rPr>
      </w:pPr>
      <w:bookmarkStart w:id="37" w:name="_Toc26685"/>
      <w:bookmarkStart w:id="38" w:name="_Toc23365"/>
      <w:r>
        <w:rPr>
          <w:rFonts w:hint="eastAsia" w:ascii="黑体" w:eastAsia="黑体"/>
          <w:b w:val="0"/>
          <w:color w:val="000000"/>
        </w:rPr>
        <w:t>第二部分</w:t>
      </w:r>
      <w:r>
        <w:rPr>
          <w:rStyle w:val="19"/>
          <w:rFonts w:hint="eastAsia" w:ascii="黑体" w:eastAsia="黑体"/>
          <w:b w:val="0"/>
          <w:bCs w:val="0"/>
        </w:rPr>
        <w:t>2024年度部门决算情况说明</w:t>
      </w:r>
      <w:bookmarkEnd w:id="37"/>
      <w:bookmarkEnd w:id="38"/>
      <w:bookmarkStart w:id="39" w:name="_Toc26843608"/>
      <w:bookmarkStart w:id="40" w:name="_Toc15396603"/>
      <w:bookmarkStart w:id="41" w:name="_Toc15377205"/>
    </w:p>
    <w:p w14:paraId="2622281F">
      <w:pPr>
        <w:spacing w:line="600" w:lineRule="exact"/>
        <w:ind w:firstLine="640" w:firstLineChars="200"/>
        <w:outlineLvl w:val="1"/>
        <w:rPr>
          <w:rFonts w:ascii="黑体" w:eastAsia="黑体"/>
          <w:color w:val="000000"/>
          <w:sz w:val="32"/>
          <w:szCs w:val="32"/>
        </w:rPr>
      </w:pPr>
      <w:bookmarkStart w:id="42" w:name="_Toc6662"/>
      <w:r>
        <w:rPr>
          <w:rFonts w:hint="eastAsia" w:ascii="黑体" w:eastAsia="黑体"/>
          <w:color w:val="000000"/>
          <w:sz w:val="32"/>
          <w:szCs w:val="32"/>
        </w:rPr>
        <w:t>一、收入支出决算总体情况说明</w:t>
      </w:r>
      <w:bookmarkEnd w:id="39"/>
      <w:bookmarkEnd w:id="40"/>
      <w:bookmarkEnd w:id="41"/>
      <w:bookmarkEnd w:id="42"/>
    </w:p>
    <w:p w14:paraId="0D812F99">
      <w:pPr>
        <w:ind w:firstLine="640" w:firstLineChars="200"/>
        <w:jc w:val="left"/>
        <w:rPr>
          <w:rFonts w:ascii="仿宋_GB2312" w:eastAsia="仿宋_GB2312" w:cs="仿宋_GB2312"/>
          <w:bCs/>
          <w:sz w:val="32"/>
          <w:szCs w:val="32"/>
        </w:rPr>
      </w:pPr>
      <w:r>
        <w:rPr>
          <w:rFonts w:hint="eastAsia" w:ascii="仿宋_GB2312" w:eastAsia="仿宋_GB2312" w:cs="仿宋_GB2312"/>
          <w:sz w:val="32"/>
          <w:szCs w:val="32"/>
        </w:rPr>
        <w:t>2024年度收、支总342.22万元。与2023年相比，收、支总计各减少17.44万元，减少4.85%。主要变动原因是2024年人员退休。</w:t>
      </w:r>
    </w:p>
    <w:p w14:paraId="04439768">
      <w:pPr>
        <w:spacing w:line="600" w:lineRule="exact"/>
        <w:ind w:firstLine="640" w:firstLineChars="200"/>
        <w:outlineLvl w:val="1"/>
        <w:rPr>
          <w:rFonts w:ascii="黑体" w:eastAsia="黑体"/>
          <w:color w:val="000000"/>
          <w:sz w:val="32"/>
          <w:szCs w:val="32"/>
        </w:rPr>
      </w:pPr>
      <w:bookmarkStart w:id="43" w:name="_Toc23203"/>
      <w:r>
        <w:rPr>
          <w:rFonts w:hint="eastAsia" w:ascii="黑体" w:eastAsia="黑体"/>
          <w:color w:val="000000"/>
          <w:sz w:val="32"/>
          <w:szCs w:val="32"/>
        </w:rPr>
        <w:drawing>
          <wp:anchor distT="0" distB="0" distL="114300" distR="114300" simplePos="0" relativeHeight="251660288" behindDoc="0" locked="0" layoutInCell="1" allowOverlap="1">
            <wp:simplePos x="0" y="0"/>
            <wp:positionH relativeFrom="column">
              <wp:posOffset>-147955</wp:posOffset>
            </wp:positionH>
            <wp:positionV relativeFrom="paragraph">
              <wp:posOffset>46990</wp:posOffset>
            </wp:positionV>
            <wp:extent cx="5775325" cy="2686685"/>
            <wp:effectExtent l="0" t="0" r="0" b="0"/>
            <wp:wrapSquare wrapText="bothSides"/>
            <wp:docPr id="8"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Pr>
          <w:rFonts w:hint="eastAsia" w:ascii="黑体" w:eastAsia="黑体"/>
          <w:color w:val="000000"/>
          <w:sz w:val="32"/>
          <w:szCs w:val="32"/>
        </w:rPr>
        <w:t>二、收入预算执行情况</w:t>
      </w:r>
      <w:bookmarkEnd w:id="43"/>
    </w:p>
    <w:p w14:paraId="340B9991">
      <w:pPr>
        <w:ind w:firstLine="640" w:firstLineChars="200"/>
        <w:jc w:val="left"/>
        <w:rPr>
          <w:rFonts w:ascii="仿宋_GB2312" w:eastAsia="仿宋_GB2312" w:cs="仿宋_GB2312"/>
          <w:sz w:val="32"/>
          <w:szCs w:val="32"/>
        </w:rPr>
      </w:pPr>
      <w:r>
        <w:rPr>
          <w:rFonts w:hint="eastAsia" w:ascii="仿宋_GB2312" w:eastAsia="仿宋_GB2312" w:cs="仿宋_GB2312"/>
          <w:sz w:val="32"/>
          <w:szCs w:val="32"/>
        </w:rPr>
        <w:t>2024年金川县社会保险事务中心本年收入合计342.22万元，其中：财政拨款收入342.22万元，占100%；事业收入0万元；经营收入0万元；附属单位上缴收入0万元；其他收入0万元。</w:t>
      </w:r>
    </w:p>
    <w:p w14:paraId="47C8559C">
      <w:pPr>
        <w:jc w:val="left"/>
        <w:rPr>
          <w:rFonts w:ascii="仿宋_GB2312" w:eastAsia="仿宋_GB2312" w:cs="仿宋_GB2312"/>
          <w:sz w:val="32"/>
          <w:szCs w:val="32"/>
        </w:rPr>
      </w:pPr>
      <w:r>
        <w:rPr>
          <w:rFonts w:hint="eastAsia" w:ascii="仿宋_GB2312" w:eastAsia="仿宋_GB2312" w:cs="仿宋_GB2312"/>
          <w:sz w:val="32"/>
          <w:szCs w:val="32"/>
        </w:rPr>
        <w:drawing>
          <wp:inline distT="0" distB="0" distL="114300" distR="114300">
            <wp:extent cx="4867275" cy="1156335"/>
            <wp:effectExtent l="4445" t="4445" r="5080" b="20320"/>
            <wp:docPr id="9"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BA6F935">
      <w:pPr>
        <w:ind w:firstLine="640" w:firstLineChars="200"/>
        <w:jc w:val="left"/>
        <w:rPr>
          <w:rFonts w:ascii="仿宋_GB2312" w:eastAsia="仿宋_GB2312" w:cs="仿宋_GB2312"/>
          <w:sz w:val="32"/>
          <w:szCs w:val="32"/>
        </w:rPr>
      </w:pPr>
      <w:r>
        <w:rPr>
          <w:rFonts w:hint="eastAsia" w:ascii="仿宋_GB2312" w:eastAsia="仿宋_GB2312" w:cs="仿宋_GB2312"/>
          <w:sz w:val="32"/>
          <w:szCs w:val="32"/>
          <w:lang w:eastAsia="zh-CN"/>
        </w:rPr>
        <w:t>1.</w:t>
      </w:r>
      <w:r>
        <w:rPr>
          <w:rFonts w:hint="eastAsia" w:ascii="仿宋_GB2312" w:eastAsia="仿宋_GB2312" w:cs="仿宋_GB2312"/>
          <w:sz w:val="32"/>
          <w:szCs w:val="32"/>
        </w:rPr>
        <w:t>2024年社会保险事务中心本年收入合计299.34万元，其中：财政拨款收入299.34万元，占100%。</w:t>
      </w:r>
    </w:p>
    <w:p w14:paraId="5D6DC7E1">
      <w:pPr>
        <w:ind w:firstLine="640" w:firstLineChars="200"/>
        <w:jc w:val="left"/>
        <w:rPr>
          <w:rFonts w:ascii="仿宋_GB2312" w:eastAsia="仿宋_GB2312" w:cs="仿宋_GB2312"/>
          <w:sz w:val="32"/>
          <w:szCs w:val="32"/>
        </w:rPr>
      </w:pPr>
      <w:r>
        <w:rPr>
          <w:rFonts w:hint="eastAsia" w:ascii="仿宋_GB2312" w:eastAsia="仿宋_GB2312" w:cs="仿宋_GB2312"/>
          <w:sz w:val="32"/>
          <w:szCs w:val="32"/>
          <w:lang w:eastAsia="zh-CN"/>
        </w:rPr>
        <w:t>2.</w:t>
      </w:r>
      <w:r>
        <w:rPr>
          <w:rFonts w:hint="eastAsia" w:ascii="仿宋_GB2312" w:eastAsia="仿宋_GB2312" w:cs="仿宋_GB2312"/>
          <w:sz w:val="32"/>
          <w:szCs w:val="32"/>
        </w:rPr>
        <w:t>2023年</w:t>
      </w:r>
      <w:r>
        <w:rPr>
          <w:rFonts w:hint="eastAsia" w:ascii="仿宋_GB2312" w:eastAsia="仿宋_GB2312"/>
          <w:bCs/>
          <w:sz w:val="32"/>
        </w:rPr>
        <w:t>金川县社会保险服务指导站</w:t>
      </w:r>
      <w:r>
        <w:rPr>
          <w:rFonts w:hint="eastAsia" w:ascii="仿宋_GB2312" w:eastAsia="仿宋_GB2312" w:cs="仿宋_GB2312"/>
          <w:sz w:val="32"/>
          <w:szCs w:val="32"/>
        </w:rPr>
        <w:t>本年收入合计42.88万元，其中：财政拨款收入42.88万元，占100%。</w:t>
      </w:r>
    </w:p>
    <w:p w14:paraId="3E674866">
      <w:pPr>
        <w:spacing w:line="600" w:lineRule="exact"/>
        <w:ind w:firstLine="640" w:firstLineChars="200"/>
        <w:outlineLvl w:val="1"/>
        <w:rPr>
          <w:rFonts w:ascii="黑体" w:eastAsia="黑体"/>
          <w:color w:val="000000"/>
          <w:sz w:val="32"/>
          <w:szCs w:val="32"/>
        </w:rPr>
      </w:pPr>
      <w:bookmarkStart w:id="44" w:name="_Toc31122"/>
      <w:r>
        <w:rPr>
          <w:rFonts w:hint="eastAsia" w:ascii="黑体" w:eastAsia="黑体"/>
          <w:color w:val="000000"/>
          <w:sz w:val="32"/>
          <w:szCs w:val="32"/>
        </w:rPr>
        <w:t>三、支出预算执行情况</w:t>
      </w:r>
      <w:bookmarkEnd w:id="44"/>
    </w:p>
    <w:p w14:paraId="72A41762">
      <w:pPr>
        <w:ind w:firstLine="640" w:firstLineChars="200"/>
        <w:rPr>
          <w:rFonts w:ascii="仿宋_GB2312" w:eastAsia="仿宋_GB2312"/>
          <w:color w:val="000000"/>
          <w:sz w:val="32"/>
          <w:szCs w:val="32"/>
        </w:rPr>
      </w:pPr>
      <w:r>
        <w:rPr>
          <w:rFonts w:hint="eastAsia" w:ascii="仿宋_GB2312" w:eastAsia="仿宋_GB2312"/>
          <w:color w:val="000000"/>
          <w:sz w:val="32"/>
          <w:szCs w:val="32"/>
        </w:rPr>
        <w:t>2024年社会保险事务中心本年支出合计</w:t>
      </w:r>
      <w:r>
        <w:rPr>
          <w:rFonts w:hint="eastAsia" w:ascii="仿宋_GB2312" w:eastAsia="仿宋_GB2312" w:cs="仿宋_GB2312"/>
          <w:sz w:val="32"/>
          <w:szCs w:val="32"/>
        </w:rPr>
        <w:t>342.22</w:t>
      </w:r>
      <w:r>
        <w:rPr>
          <w:rFonts w:hint="eastAsia" w:ascii="仿宋_GB2312" w:eastAsia="仿宋_GB2312"/>
          <w:color w:val="000000"/>
          <w:sz w:val="32"/>
          <w:szCs w:val="32"/>
        </w:rPr>
        <w:t>万元，其中：基本支出318.33万元；占总支出的93.02%，项目支出23.88万元，占总支出的6.98%。</w:t>
      </w:r>
    </w:p>
    <w:p w14:paraId="292594F6">
      <w:pPr>
        <w:ind w:firstLine="640" w:firstLineChars="200"/>
        <w:rPr>
          <w:rFonts w:ascii="仿宋_GB2312" w:eastAsia="仿宋_GB2312"/>
          <w:color w:val="000000"/>
          <w:sz w:val="32"/>
          <w:szCs w:val="32"/>
        </w:rPr>
      </w:pPr>
      <w:r>
        <w:rPr>
          <w:rFonts w:hint="eastAsia" w:ascii="仿宋_GB2312" w:eastAsia="仿宋_GB2312"/>
          <w:color w:val="000000"/>
          <w:sz w:val="32"/>
          <w:szCs w:val="32"/>
        </w:rPr>
        <w:drawing>
          <wp:inline distT="0" distB="0" distL="114300" distR="114300">
            <wp:extent cx="4654550" cy="1570355"/>
            <wp:effectExtent l="4445" t="4445" r="8255" b="6350"/>
            <wp:docPr id="10"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EBBED62">
      <w:pPr>
        <w:ind w:firstLine="640" w:firstLineChars="200"/>
        <w:rPr>
          <w:rFonts w:ascii="仿宋_GB2312" w:eastAsia="仿宋_GB2312"/>
          <w:color w:val="000000"/>
          <w:sz w:val="32"/>
          <w:szCs w:val="32"/>
        </w:rPr>
      </w:pPr>
      <w:r>
        <w:rPr>
          <w:rFonts w:hint="eastAsia" w:ascii="仿宋_GB2312" w:eastAsia="仿宋_GB2312"/>
          <w:color w:val="000000"/>
          <w:sz w:val="32"/>
          <w:szCs w:val="32"/>
          <w:lang w:eastAsia="zh-CN"/>
        </w:rPr>
        <w:t>1.</w:t>
      </w:r>
      <w:r>
        <w:rPr>
          <w:rFonts w:hint="eastAsia" w:ascii="仿宋_GB2312" w:eastAsia="仿宋_GB2312"/>
          <w:color w:val="000000"/>
          <w:sz w:val="32"/>
          <w:szCs w:val="32"/>
        </w:rPr>
        <w:t>2024年社会保险事务中心本年支出合计299.34万元，其中：基本支出275.46万元；占总支出的92.02%，项目支出23.88万元，占总支出的7.98%。</w:t>
      </w:r>
    </w:p>
    <w:p w14:paraId="28C7F679">
      <w:pPr>
        <w:ind w:firstLine="640" w:firstLineChars="200"/>
        <w:rPr>
          <w:rFonts w:ascii="仿宋_GB2312" w:eastAsia="仿宋_GB2312"/>
          <w:color w:val="000000"/>
          <w:sz w:val="32"/>
          <w:szCs w:val="32"/>
        </w:rPr>
      </w:pPr>
      <w:r>
        <w:rPr>
          <w:rFonts w:hint="eastAsia" w:ascii="仿宋_GB2312" w:eastAsia="仿宋_GB2312"/>
          <w:color w:val="000000"/>
          <w:sz w:val="32"/>
          <w:szCs w:val="32"/>
          <w:lang w:eastAsia="zh-CN"/>
        </w:rPr>
        <w:t>2.</w:t>
      </w:r>
      <w:r>
        <w:rPr>
          <w:rFonts w:hint="eastAsia" w:ascii="仿宋_GB2312" w:eastAsia="仿宋_GB2312"/>
          <w:color w:val="000000"/>
          <w:sz w:val="32"/>
          <w:szCs w:val="32"/>
        </w:rPr>
        <w:t>2024年金川县社会保险服务指导站本年支出合计42.88万元，其中：基本支出42.88万元；占总支出的100%。</w:t>
      </w:r>
    </w:p>
    <w:p w14:paraId="0F734635">
      <w:pPr>
        <w:spacing w:line="600" w:lineRule="exact"/>
        <w:ind w:firstLine="640" w:firstLineChars="200"/>
        <w:outlineLvl w:val="1"/>
        <w:rPr>
          <w:rFonts w:ascii="黑体" w:eastAsia="黑体"/>
          <w:color w:val="000000"/>
          <w:sz w:val="32"/>
          <w:szCs w:val="32"/>
        </w:rPr>
      </w:pPr>
      <w:bookmarkStart w:id="45" w:name="_Toc4708"/>
      <w:r>
        <w:rPr>
          <w:rFonts w:hint="eastAsia" w:ascii="黑体" w:eastAsia="黑体"/>
          <w:color w:val="000000"/>
          <w:sz w:val="32"/>
          <w:szCs w:val="32"/>
        </w:rPr>
        <w:t>四、财政拨款收入支出决算总体情况说明</w:t>
      </w:r>
      <w:bookmarkEnd w:id="45"/>
    </w:p>
    <w:p w14:paraId="4E3546EC">
      <w:pPr>
        <w:ind w:firstLine="640" w:firstLineChars="200"/>
        <w:rPr>
          <w:rFonts w:ascii="仿宋_GB2312" w:eastAsia="仿宋_GB2312" w:cs="仿宋_GB2312"/>
          <w:sz w:val="32"/>
          <w:szCs w:val="32"/>
        </w:rPr>
      </w:pPr>
      <w:r>
        <w:rPr>
          <w:rFonts w:hint="eastAsia" w:ascii="仿宋_GB2312" w:eastAsia="仿宋_GB2312"/>
          <w:sz w:val="32"/>
          <w:szCs w:val="32"/>
        </w:rPr>
        <w:t>社会保险事务中心2024年度财政拨款收支总决算</w:t>
      </w:r>
      <w:r>
        <w:rPr>
          <w:rFonts w:hint="eastAsia" w:ascii="仿宋_GB2312" w:eastAsia="仿宋_GB2312" w:cs="仿宋_GB2312"/>
          <w:sz w:val="32"/>
          <w:szCs w:val="32"/>
        </w:rPr>
        <w:t>342.22</w:t>
      </w:r>
      <w:r>
        <w:rPr>
          <w:rFonts w:hint="eastAsia" w:ascii="仿宋_GB2312" w:eastAsia="仿宋_GB2312"/>
          <w:sz w:val="32"/>
          <w:szCs w:val="32"/>
        </w:rPr>
        <w:t>万元，与2023度财政拨款收支总决算359.66万元相比，</w:t>
      </w:r>
      <w:r>
        <w:rPr>
          <w:rFonts w:hint="eastAsia" w:ascii="仿宋_GB2312" w:eastAsia="仿宋_GB2312" w:cs="仿宋_GB2312"/>
          <w:sz w:val="32"/>
          <w:szCs w:val="32"/>
        </w:rPr>
        <w:t>减少17.44万元，减少4.85%。主</w:t>
      </w:r>
      <w:r>
        <w:rPr>
          <w:rFonts w:hint="eastAsia" w:ascii="仿宋_GB2312" w:eastAsia="仿宋_GB2312" w:cs="仿宋_GB2312"/>
          <w:sz w:val="32"/>
          <w:szCs w:val="32"/>
          <w:lang w:eastAsia="zh-CN"/>
        </w:rPr>
        <w:t>要</w:t>
      </w:r>
      <w:r>
        <w:rPr>
          <w:rFonts w:hint="eastAsia" w:ascii="仿宋_GB2312" w:eastAsia="仿宋_GB2312" w:cs="仿宋_GB2312"/>
          <w:sz w:val="32"/>
          <w:szCs w:val="32"/>
        </w:rPr>
        <w:t>变动原因是2024年人员退休。</w:t>
      </w:r>
    </w:p>
    <w:p w14:paraId="51E4A264">
      <w:pPr>
        <w:spacing w:line="600" w:lineRule="exact"/>
        <w:ind w:firstLine="640" w:firstLineChars="200"/>
        <w:outlineLvl w:val="1"/>
        <w:rPr>
          <w:rFonts w:ascii="黑体" w:eastAsia="黑体"/>
          <w:color w:val="000000"/>
          <w:sz w:val="32"/>
          <w:szCs w:val="32"/>
        </w:rPr>
      </w:pPr>
      <w:bookmarkStart w:id="46" w:name="_Toc24381"/>
      <w:r>
        <w:rPr>
          <w:rFonts w:hint="eastAsia" w:ascii="黑体" w:eastAsia="黑体"/>
          <w:color w:val="000000"/>
          <w:sz w:val="32"/>
          <w:szCs w:val="32"/>
        </w:rPr>
        <w:drawing>
          <wp:anchor distT="0" distB="0" distL="114300" distR="114300" simplePos="0" relativeHeight="251661312" behindDoc="0" locked="0" layoutInCell="1" allowOverlap="1">
            <wp:simplePos x="0" y="0"/>
            <wp:positionH relativeFrom="column">
              <wp:posOffset>41275</wp:posOffset>
            </wp:positionH>
            <wp:positionV relativeFrom="paragraph">
              <wp:posOffset>25400</wp:posOffset>
            </wp:positionV>
            <wp:extent cx="5191760" cy="2382520"/>
            <wp:effectExtent l="0" t="0" r="0" b="0"/>
            <wp:wrapSquare wrapText="bothSides"/>
            <wp:docPr id="11"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Pr>
          <w:rFonts w:hint="eastAsia" w:ascii="黑体" w:eastAsia="黑体"/>
          <w:color w:val="000000"/>
          <w:sz w:val="32"/>
          <w:szCs w:val="32"/>
        </w:rPr>
        <w:t>五、一般公共预算财政拨款支出决算情况</w:t>
      </w:r>
      <w:bookmarkEnd w:id="46"/>
    </w:p>
    <w:p w14:paraId="09DE9917">
      <w:pPr>
        <w:spacing w:line="600" w:lineRule="exact"/>
        <w:ind w:firstLine="643" w:firstLineChars="200"/>
        <w:outlineLvl w:val="2"/>
        <w:rPr>
          <w:rFonts w:ascii="仿宋_GB2312" w:eastAsia="仿宋_GB2312"/>
          <w:color w:val="000000"/>
          <w:sz w:val="32"/>
          <w:szCs w:val="32"/>
        </w:rPr>
      </w:pPr>
      <w:r>
        <w:rPr>
          <w:rFonts w:hint="eastAsia" w:ascii="仿宋" w:eastAsia="仿宋"/>
          <w:b/>
          <w:sz w:val="32"/>
          <w:szCs w:val="32"/>
        </w:rPr>
        <w:t>（一）一般公共预算财政拨款支出决算总体情况</w:t>
      </w:r>
    </w:p>
    <w:p w14:paraId="0B8B7418">
      <w:pPr>
        <w:spacing w:line="600" w:lineRule="exact"/>
        <w:ind w:firstLine="640" w:firstLineChars="200"/>
        <w:rPr>
          <w:rFonts w:ascii="仿宋_GB2312" w:eastAsia="仿宋_GB2312"/>
          <w:color w:val="000000"/>
          <w:sz w:val="32"/>
          <w:szCs w:val="32"/>
          <w:highlight w:val="green"/>
        </w:rPr>
      </w:pPr>
      <w:r>
        <w:rPr>
          <w:rFonts w:hint="eastAsia" w:ascii="仿宋_GB2312" w:eastAsia="仿宋_GB2312"/>
          <w:color w:val="000000"/>
          <w:sz w:val="32"/>
          <w:szCs w:val="32"/>
        </w:rPr>
        <w:t>金川县社会保险事务中心2024年度一般公共预算财政拨款支出342.22万元，占本年支出合计的100%。与2023年相比，</w:t>
      </w:r>
      <w:r>
        <w:rPr>
          <w:rFonts w:hint="eastAsia" w:ascii="仿宋_GB2312" w:eastAsia="仿宋_GB2312" w:cs="仿宋_GB2312"/>
          <w:sz w:val="32"/>
          <w:szCs w:val="32"/>
        </w:rPr>
        <w:t>减少17.44万元，减少4.85%</w:t>
      </w:r>
      <w:r>
        <w:rPr>
          <w:rFonts w:hint="eastAsia" w:ascii="仿宋_GB2312" w:eastAsia="仿宋_GB2312"/>
          <w:sz w:val="32"/>
          <w:szCs w:val="32"/>
        </w:rPr>
        <w:t>。</w:t>
      </w:r>
    </w:p>
    <w:p w14:paraId="49B28806">
      <w:pPr>
        <w:spacing w:line="600" w:lineRule="exact"/>
        <w:ind w:firstLine="643" w:firstLineChars="200"/>
        <w:outlineLvl w:val="2"/>
        <w:rPr>
          <w:rFonts w:ascii="仿宋" w:eastAsia="仿宋"/>
          <w:b/>
          <w:sz w:val="32"/>
          <w:szCs w:val="32"/>
        </w:rPr>
      </w:pPr>
      <w:r>
        <w:rPr>
          <w:rFonts w:hint="eastAsia" w:ascii="仿宋" w:eastAsia="仿宋"/>
          <w:b/>
          <w:sz w:val="32"/>
          <w:szCs w:val="32"/>
        </w:rPr>
        <w:t>（二）一般公共预算财政拨款支出决算结构情况</w:t>
      </w:r>
    </w:p>
    <w:p w14:paraId="377607FD">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金川县社会保险事务中心2024年一般公共预算财政拨款支出359.66万元，主要用于以下方面：</w:t>
      </w:r>
      <w:r>
        <w:rPr>
          <w:rFonts w:hint="eastAsia" w:ascii="仿宋_GB2312" w:eastAsia="仿宋_GB2312"/>
          <w:color w:val="000000"/>
          <w:sz w:val="32"/>
          <w:szCs w:val="32"/>
          <w:lang w:val="zh-CN"/>
        </w:rPr>
        <w:t>社会保障和就业支出</w:t>
      </w:r>
      <w:r>
        <w:rPr>
          <w:rFonts w:hint="eastAsia" w:ascii="仿宋_GB2312" w:eastAsia="仿宋_GB2312"/>
          <w:color w:val="000000"/>
          <w:sz w:val="32"/>
          <w:szCs w:val="32"/>
        </w:rPr>
        <w:t>297.67</w:t>
      </w:r>
      <w:r>
        <w:rPr>
          <w:rFonts w:hint="eastAsia" w:ascii="仿宋_GB2312" w:eastAsia="仿宋_GB2312"/>
          <w:color w:val="000000"/>
          <w:sz w:val="32"/>
          <w:szCs w:val="32"/>
          <w:lang w:val="zh-CN"/>
        </w:rPr>
        <w:t>万元，占</w:t>
      </w:r>
      <w:r>
        <w:rPr>
          <w:rFonts w:hint="eastAsia" w:ascii="仿宋_GB2312" w:eastAsia="仿宋_GB2312"/>
          <w:color w:val="000000"/>
          <w:sz w:val="32"/>
          <w:szCs w:val="32"/>
        </w:rPr>
        <w:t>86.98</w:t>
      </w:r>
      <w:r>
        <w:rPr>
          <w:rFonts w:hint="eastAsia" w:ascii="仿宋_GB2312" w:eastAsia="仿宋_GB2312"/>
          <w:color w:val="000000"/>
          <w:sz w:val="32"/>
          <w:szCs w:val="32"/>
          <w:lang w:val="zh-CN"/>
        </w:rPr>
        <w:t>%；卫生健康支出</w:t>
      </w:r>
      <w:r>
        <w:rPr>
          <w:rFonts w:hint="eastAsia" w:ascii="仿宋_GB2312" w:eastAsia="仿宋_GB2312"/>
          <w:color w:val="000000"/>
          <w:sz w:val="32"/>
          <w:szCs w:val="32"/>
        </w:rPr>
        <w:t>17.38</w:t>
      </w:r>
      <w:r>
        <w:rPr>
          <w:rFonts w:hint="eastAsia" w:ascii="仿宋_GB2312" w:eastAsia="仿宋_GB2312"/>
          <w:color w:val="000000"/>
          <w:sz w:val="32"/>
          <w:szCs w:val="32"/>
          <w:lang w:val="zh-CN"/>
        </w:rPr>
        <w:t>万元，占</w:t>
      </w:r>
      <w:r>
        <w:rPr>
          <w:rFonts w:hint="eastAsia" w:ascii="仿宋_GB2312" w:eastAsia="仿宋_GB2312"/>
          <w:color w:val="000000"/>
          <w:sz w:val="32"/>
          <w:szCs w:val="32"/>
        </w:rPr>
        <w:t>5.08</w:t>
      </w:r>
      <w:r>
        <w:rPr>
          <w:rFonts w:hint="eastAsia" w:ascii="仿宋_GB2312" w:eastAsia="仿宋_GB2312"/>
          <w:color w:val="000000"/>
          <w:sz w:val="32"/>
          <w:szCs w:val="32"/>
          <w:lang w:val="zh-CN"/>
        </w:rPr>
        <w:t>%；住房保障支出</w:t>
      </w:r>
      <w:r>
        <w:rPr>
          <w:rFonts w:hint="eastAsia" w:ascii="仿宋_GB2312" w:eastAsia="仿宋_GB2312"/>
          <w:color w:val="000000"/>
          <w:sz w:val="32"/>
          <w:szCs w:val="32"/>
        </w:rPr>
        <w:t>26.28</w:t>
      </w:r>
      <w:r>
        <w:rPr>
          <w:rFonts w:hint="eastAsia" w:ascii="仿宋_GB2312" w:eastAsia="仿宋_GB2312"/>
          <w:color w:val="000000"/>
          <w:sz w:val="32"/>
          <w:szCs w:val="32"/>
          <w:lang w:val="zh-CN"/>
        </w:rPr>
        <w:t>万元，占</w:t>
      </w:r>
      <w:r>
        <w:rPr>
          <w:rFonts w:hint="eastAsia" w:ascii="仿宋_GB2312" w:eastAsia="仿宋_GB2312"/>
          <w:color w:val="000000"/>
          <w:sz w:val="32"/>
          <w:szCs w:val="32"/>
        </w:rPr>
        <w:t>7.68</w:t>
      </w:r>
      <w:r>
        <w:rPr>
          <w:rFonts w:hint="eastAsia" w:ascii="仿宋_GB2312" w:eastAsia="仿宋_GB2312"/>
          <w:color w:val="000000"/>
          <w:sz w:val="32"/>
          <w:szCs w:val="32"/>
          <w:lang w:val="zh-CN"/>
        </w:rPr>
        <w:t>%；教育支出</w:t>
      </w:r>
      <w:r>
        <w:rPr>
          <w:rFonts w:hint="eastAsia" w:ascii="仿宋_GB2312" w:eastAsia="仿宋_GB2312"/>
          <w:color w:val="000000"/>
          <w:sz w:val="32"/>
          <w:szCs w:val="32"/>
        </w:rPr>
        <w:t>0.89万元，占0.26%。其他支出0万元，占0%。</w:t>
      </w:r>
    </w:p>
    <w:p w14:paraId="1CA94A60">
      <w:pPr>
        <w:pStyle w:val="5"/>
        <w:spacing w:before="93"/>
        <w:rPr>
          <w:color w:val="000000"/>
          <w:sz w:val="32"/>
          <w:szCs w:val="32"/>
        </w:rPr>
      </w:pPr>
      <w:r>
        <w:rPr>
          <w:bCs/>
          <w:sz w:val="32"/>
        </w:rPr>
        <w:drawing>
          <wp:inline distT="0" distB="0" distL="114300" distR="114300">
            <wp:extent cx="5422265" cy="1306830"/>
            <wp:effectExtent l="0" t="0" r="0" b="0"/>
            <wp:docPr id="12"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50B990C">
      <w:pPr>
        <w:pStyle w:val="5"/>
        <w:spacing w:before="93"/>
        <w:rPr>
          <w:color w:val="000000"/>
          <w:sz w:val="32"/>
          <w:szCs w:val="32"/>
        </w:rPr>
      </w:pPr>
    </w:p>
    <w:p w14:paraId="089C1201">
      <w:pPr>
        <w:pStyle w:val="24"/>
        <w:tabs>
          <w:tab w:val="left" w:pos="0"/>
        </w:tabs>
        <w:spacing w:line="600" w:lineRule="exact"/>
        <w:ind w:firstLine="640"/>
        <w:rPr>
          <w:rFonts w:ascii="仿宋_GB2312" w:eastAsia="仿宋_GB2312"/>
          <w:color w:val="000000"/>
          <w:sz w:val="32"/>
          <w:szCs w:val="32"/>
        </w:rPr>
      </w:pPr>
      <w:r>
        <w:rPr>
          <w:rFonts w:hint="eastAsia" w:ascii="仿宋_GB2312" w:eastAsia="仿宋_GB2312"/>
          <w:color w:val="000000"/>
          <w:sz w:val="32"/>
          <w:szCs w:val="32"/>
          <w:lang w:eastAsia="zh-CN"/>
        </w:rPr>
        <w:t>1.</w:t>
      </w:r>
      <w:r>
        <w:rPr>
          <w:rFonts w:hint="eastAsia" w:ascii="仿宋_GB2312" w:eastAsia="仿宋_GB2312"/>
          <w:color w:val="000000"/>
          <w:sz w:val="32"/>
          <w:szCs w:val="32"/>
        </w:rPr>
        <w:t>金川县社会保险事务中心2024年一般公共预算财政拨款支出</w:t>
      </w:r>
      <w:r>
        <w:rPr>
          <w:rFonts w:hint="eastAsia" w:ascii="仿宋_GB2312" w:eastAsia="仿宋_GB2312" w:cs="仿宋_GB2312"/>
          <w:sz w:val="32"/>
          <w:szCs w:val="32"/>
        </w:rPr>
        <w:t>299.34</w:t>
      </w:r>
      <w:r>
        <w:rPr>
          <w:rFonts w:hint="eastAsia" w:ascii="仿宋_GB2312" w:eastAsia="仿宋_GB2312"/>
          <w:color w:val="000000"/>
          <w:sz w:val="32"/>
          <w:szCs w:val="32"/>
        </w:rPr>
        <w:t>万元，</w:t>
      </w:r>
      <w:r>
        <w:rPr>
          <w:rFonts w:hint="eastAsia" w:ascii="仿宋_GB2312" w:eastAsia="仿宋_GB2312"/>
          <w:sz w:val="32"/>
          <w:szCs w:val="32"/>
        </w:rPr>
        <w:t>主要用于以下方面：</w:t>
      </w:r>
      <w:r>
        <w:rPr>
          <w:rFonts w:hint="eastAsia" w:ascii="仿宋_GB2312" w:eastAsia="仿宋_GB2312"/>
          <w:sz w:val="32"/>
          <w:szCs w:val="32"/>
          <w:lang w:val="zh-CN"/>
        </w:rPr>
        <w:t>社会保障和就业支出</w:t>
      </w:r>
      <w:r>
        <w:rPr>
          <w:rFonts w:hint="eastAsia" w:ascii="仿宋_GB2312" w:eastAsia="仿宋_GB2312"/>
          <w:sz w:val="32"/>
          <w:szCs w:val="32"/>
        </w:rPr>
        <w:t>260.46</w:t>
      </w:r>
      <w:r>
        <w:rPr>
          <w:rFonts w:hint="eastAsia" w:ascii="仿宋_GB2312" w:eastAsia="仿宋_GB2312"/>
          <w:sz w:val="32"/>
          <w:szCs w:val="32"/>
          <w:lang w:val="zh-CN"/>
        </w:rPr>
        <w:t>万元，占</w:t>
      </w:r>
      <w:r>
        <w:rPr>
          <w:rFonts w:hint="eastAsia" w:ascii="仿宋_GB2312" w:eastAsia="仿宋_GB2312"/>
          <w:sz w:val="32"/>
          <w:szCs w:val="32"/>
        </w:rPr>
        <w:t>87.01</w:t>
      </w:r>
      <w:r>
        <w:rPr>
          <w:rFonts w:hint="eastAsia" w:ascii="仿宋_GB2312" w:eastAsia="仿宋_GB2312"/>
          <w:sz w:val="32"/>
          <w:szCs w:val="32"/>
          <w:lang w:val="zh-CN"/>
        </w:rPr>
        <w:t>%，卫生健康支出</w:t>
      </w:r>
      <w:r>
        <w:rPr>
          <w:rFonts w:hint="eastAsia" w:ascii="仿宋_GB2312" w:eastAsia="仿宋_GB2312"/>
          <w:sz w:val="32"/>
          <w:szCs w:val="32"/>
        </w:rPr>
        <w:t>14.94</w:t>
      </w:r>
      <w:r>
        <w:rPr>
          <w:rFonts w:hint="eastAsia" w:ascii="仿宋_GB2312" w:eastAsia="仿宋_GB2312"/>
          <w:sz w:val="32"/>
          <w:szCs w:val="32"/>
          <w:lang w:val="zh-CN"/>
        </w:rPr>
        <w:t>万元，占</w:t>
      </w:r>
      <w:r>
        <w:rPr>
          <w:rFonts w:hint="eastAsia" w:ascii="仿宋_GB2312" w:eastAsia="仿宋_GB2312"/>
          <w:sz w:val="32"/>
          <w:szCs w:val="32"/>
        </w:rPr>
        <w:t>4.99</w:t>
      </w:r>
      <w:r>
        <w:rPr>
          <w:rFonts w:hint="eastAsia" w:ascii="仿宋_GB2312" w:eastAsia="仿宋_GB2312"/>
          <w:sz w:val="32"/>
          <w:szCs w:val="32"/>
          <w:lang w:val="zh-CN"/>
        </w:rPr>
        <w:t>%；住房保障支出</w:t>
      </w:r>
      <w:r>
        <w:rPr>
          <w:rFonts w:hint="eastAsia" w:ascii="仿宋_GB2312" w:eastAsia="仿宋_GB2312"/>
          <w:sz w:val="32"/>
          <w:szCs w:val="32"/>
        </w:rPr>
        <w:t>23.04</w:t>
      </w:r>
      <w:r>
        <w:rPr>
          <w:rFonts w:hint="eastAsia" w:ascii="仿宋_GB2312" w:eastAsia="仿宋_GB2312"/>
          <w:sz w:val="32"/>
          <w:szCs w:val="32"/>
          <w:lang w:val="zh-CN"/>
        </w:rPr>
        <w:t>万元，占</w:t>
      </w:r>
      <w:r>
        <w:rPr>
          <w:rFonts w:hint="eastAsia" w:ascii="仿宋_GB2312" w:eastAsia="仿宋_GB2312"/>
          <w:sz w:val="32"/>
          <w:szCs w:val="32"/>
        </w:rPr>
        <w:t>7.7</w:t>
      </w:r>
      <w:r>
        <w:rPr>
          <w:rFonts w:hint="eastAsia" w:ascii="仿宋_GB2312" w:eastAsia="仿宋_GB2312"/>
          <w:sz w:val="32"/>
          <w:szCs w:val="32"/>
          <w:lang w:val="zh-CN"/>
        </w:rPr>
        <w:t>%；教育支出</w:t>
      </w:r>
      <w:r>
        <w:rPr>
          <w:rFonts w:hint="eastAsia" w:ascii="仿宋_GB2312" w:eastAsia="仿宋_GB2312"/>
          <w:sz w:val="32"/>
          <w:szCs w:val="32"/>
        </w:rPr>
        <w:t>0.89万元，占0.3%。其他支出0万元，占0%。</w:t>
      </w:r>
    </w:p>
    <w:p w14:paraId="44C9CD1F">
      <w:pPr>
        <w:spacing w:line="600" w:lineRule="exact"/>
        <w:ind w:firstLine="640" w:firstLineChars="200"/>
        <w:rPr>
          <w:rFonts w:ascii="仿宋_GB2312" w:eastAsia="仿宋_GB2312"/>
          <w:sz w:val="32"/>
          <w:szCs w:val="32"/>
          <w:lang w:val="zh-CN"/>
        </w:rPr>
      </w:pPr>
      <w:r>
        <w:rPr>
          <w:rFonts w:hint="eastAsia" w:ascii="仿宋_GB2312" w:eastAsia="仿宋_GB2312"/>
          <w:color w:val="000000"/>
          <w:sz w:val="32"/>
          <w:szCs w:val="32"/>
          <w:lang w:eastAsia="zh-CN"/>
        </w:rPr>
        <w:t>2.</w:t>
      </w:r>
      <w:r>
        <w:rPr>
          <w:rFonts w:hint="eastAsia" w:ascii="仿宋_GB2312" w:eastAsia="仿宋_GB2312"/>
          <w:sz w:val="32"/>
          <w:szCs w:val="32"/>
        </w:rPr>
        <w:t>金川县社会保险服务指导站2024年一般公共预算财政拨款支出42.88万元，主要用于以下方面：社会保障和就业支出37.2万元，占86.75%；医疗卫生与计划生育支出2.44万元，占5.69%；住房保障支出3.24万元，占7.56%。</w:t>
      </w:r>
    </w:p>
    <w:p w14:paraId="48A493E6">
      <w:pPr>
        <w:spacing w:line="600" w:lineRule="exact"/>
        <w:jc w:val="left"/>
        <w:outlineLvl w:val="2"/>
        <w:rPr>
          <w:rFonts w:ascii="仿宋" w:eastAsia="仿宋"/>
          <w:b/>
          <w:sz w:val="32"/>
          <w:szCs w:val="32"/>
        </w:rPr>
      </w:pPr>
      <w:r>
        <w:rPr>
          <w:rFonts w:hint="eastAsia" w:ascii="仿宋" w:eastAsia="仿宋"/>
          <w:b/>
          <w:sz w:val="32"/>
          <w:szCs w:val="32"/>
        </w:rPr>
        <w:t>（三）一般公共预算财政拨款支出决算具体情况</w:t>
      </w:r>
    </w:p>
    <w:p w14:paraId="684C9A02">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金川县社会保险事务中心一般公共预算财政拨款支出决算具体汇总如下：</w:t>
      </w:r>
    </w:p>
    <w:p w14:paraId="70C78473">
      <w:pPr>
        <w:pStyle w:val="24"/>
        <w:numPr>
          <w:ilvl w:val="0"/>
          <w:numId w:val="1"/>
        </w:numPr>
        <w:spacing w:line="600" w:lineRule="exact"/>
        <w:ind w:firstLineChars="0"/>
        <w:outlineLvl w:val="3"/>
        <w:rPr>
          <w:rFonts w:ascii="仿宋_GB2312" w:eastAsia="仿宋_GB2312"/>
          <w:sz w:val="32"/>
          <w:szCs w:val="32"/>
        </w:rPr>
      </w:pPr>
      <w:r>
        <w:rPr>
          <w:rFonts w:hint="eastAsia" w:ascii="仿宋_GB2312" w:eastAsia="仿宋_GB2312"/>
          <w:sz w:val="32"/>
          <w:szCs w:val="32"/>
        </w:rPr>
        <w:t>社会保障和就业</w:t>
      </w:r>
    </w:p>
    <w:p w14:paraId="08440E9F">
      <w:pPr>
        <w:pStyle w:val="24"/>
        <w:spacing w:line="600" w:lineRule="exact"/>
        <w:ind w:firstLine="640"/>
        <w:rPr>
          <w:rFonts w:ascii="仿宋_GB2312" w:eastAsia="仿宋_GB2312"/>
          <w:sz w:val="32"/>
          <w:szCs w:val="32"/>
        </w:rPr>
      </w:pPr>
      <w:r>
        <w:rPr>
          <w:rFonts w:hint="eastAsia" w:ascii="仿宋_GB2312" w:eastAsia="仿宋_GB2312"/>
          <w:sz w:val="32"/>
          <w:szCs w:val="32"/>
        </w:rPr>
        <w:t>社会保障和就业支出208（类）人力资</w:t>
      </w:r>
      <w:r>
        <w:rPr>
          <w:rFonts w:hint="eastAsia" w:ascii="仿宋_GB2312" w:eastAsia="仿宋_GB2312"/>
          <w:color w:val="000000"/>
          <w:sz w:val="32"/>
          <w:szCs w:val="32"/>
        </w:rPr>
        <w:t>源和社会保障管理事务01（款）社会保险经办机构09（项）</w:t>
      </w:r>
      <w:r>
        <w:rPr>
          <w:rFonts w:hint="eastAsia" w:ascii="仿宋_GB2312" w:eastAsia="仿宋_GB2312"/>
          <w:sz w:val="32"/>
          <w:szCs w:val="32"/>
        </w:rPr>
        <w:t>：2024年决算数为251.47万元，完成预算106.21%，决算数大于预算数的主要原因是：人员晋升，人员经费增加。</w:t>
      </w:r>
    </w:p>
    <w:p w14:paraId="3B9112A0">
      <w:pPr>
        <w:spacing w:line="600" w:lineRule="exact"/>
        <w:ind w:firstLine="640" w:firstLineChars="200"/>
        <w:rPr>
          <w:rFonts w:ascii="仿宋_GB2312" w:eastAsia="仿宋_GB2312"/>
          <w:sz w:val="32"/>
          <w:szCs w:val="32"/>
        </w:rPr>
      </w:pPr>
      <w:r>
        <w:rPr>
          <w:rFonts w:hint="eastAsia" w:ascii="仿宋_GB2312" w:eastAsia="仿宋_GB2312"/>
          <w:color w:val="000000"/>
          <w:sz w:val="32"/>
          <w:szCs w:val="32"/>
        </w:rPr>
        <w:t>社会保障和就业支出208（类）行政事业单位离退休05（款）机关事业单位基本养老保险缴费05（项）</w:t>
      </w:r>
      <w:r>
        <w:rPr>
          <w:rFonts w:hint="eastAsia" w:ascii="仿宋_GB2312" w:eastAsia="仿宋_GB2312"/>
          <w:sz w:val="32"/>
          <w:szCs w:val="32"/>
        </w:rPr>
        <w:t>：2024年决算数27.46万元，完成预算96.35%，原因是人员退休。</w:t>
      </w:r>
    </w:p>
    <w:p w14:paraId="30BC8532">
      <w:pPr>
        <w:spacing w:line="600" w:lineRule="exact"/>
        <w:ind w:firstLine="640" w:firstLineChars="200"/>
        <w:rPr>
          <w:rFonts w:ascii="仿宋_GB2312" w:eastAsia="仿宋_GB2312"/>
          <w:sz w:val="32"/>
          <w:szCs w:val="32"/>
        </w:rPr>
      </w:pPr>
      <w:r>
        <w:rPr>
          <w:rFonts w:hint="eastAsia" w:ascii="仿宋_GB2312" w:eastAsia="仿宋_GB2312"/>
          <w:color w:val="000000"/>
          <w:sz w:val="32"/>
          <w:szCs w:val="32"/>
        </w:rPr>
        <w:t>社会保障和就业支出208（类）行政事业单位离退休05（款）机关事业单位职业年金缴费06（项）</w:t>
      </w:r>
      <w:r>
        <w:rPr>
          <w:rFonts w:hint="eastAsia" w:ascii="仿宋_GB2312" w:eastAsia="仿宋_GB2312"/>
          <w:sz w:val="32"/>
          <w:szCs w:val="32"/>
        </w:rPr>
        <w:t>：2024年决算数为13.73万元，完成预算96.35%，原因是退休。</w:t>
      </w:r>
    </w:p>
    <w:p w14:paraId="07E61033">
      <w:pPr>
        <w:pStyle w:val="24"/>
        <w:numPr>
          <w:ilvl w:val="0"/>
          <w:numId w:val="1"/>
        </w:numPr>
        <w:spacing w:line="600" w:lineRule="exact"/>
        <w:ind w:left="0" w:firstLine="643" w:firstLineChars="0"/>
        <w:outlineLvl w:val="3"/>
        <w:rPr>
          <w:rStyle w:val="16"/>
          <w:rFonts w:ascii="仿宋_GB2312" w:eastAsia="仿宋_GB2312"/>
          <w:sz w:val="32"/>
          <w:szCs w:val="32"/>
        </w:rPr>
      </w:pPr>
      <w:r>
        <w:rPr>
          <w:rStyle w:val="16"/>
          <w:rFonts w:hint="eastAsia" w:ascii="仿宋_GB2312" w:eastAsia="仿宋_GB2312"/>
          <w:sz w:val="32"/>
          <w:szCs w:val="32"/>
        </w:rPr>
        <w:t>医疗卫生与计划生育：</w:t>
      </w:r>
    </w:p>
    <w:p w14:paraId="0C11A039">
      <w:pPr>
        <w:spacing w:line="600" w:lineRule="exact"/>
        <w:ind w:firstLine="640" w:firstLineChars="200"/>
        <w:rPr>
          <w:rFonts w:ascii="仿宋_GB2312" w:eastAsia="仿宋_GB2312"/>
          <w:sz w:val="32"/>
          <w:szCs w:val="32"/>
        </w:rPr>
      </w:pPr>
      <w:r>
        <w:rPr>
          <w:rFonts w:hint="eastAsia" w:ascii="仿宋_GB2312" w:eastAsia="仿宋_GB2312"/>
          <w:sz w:val="32"/>
          <w:szCs w:val="32"/>
        </w:rPr>
        <w:t>医疗卫生与计划生育支出210（类）医疗保障11（款）行政单位医疗01（项）：2024年决算数为11.31元，完成预算94.17%，原因是人员退休。</w:t>
      </w:r>
    </w:p>
    <w:p w14:paraId="01DAE5E8">
      <w:pPr>
        <w:spacing w:line="600" w:lineRule="exact"/>
        <w:ind w:firstLine="640" w:firstLineChars="200"/>
        <w:jc w:val="left"/>
        <w:rPr>
          <w:rFonts w:ascii="仿宋_GB2312" w:eastAsia="仿宋_GB2312"/>
          <w:sz w:val="32"/>
          <w:szCs w:val="32"/>
        </w:rPr>
      </w:pPr>
      <w:r>
        <w:rPr>
          <w:rFonts w:hint="eastAsia" w:ascii="仿宋_GB2312" w:eastAsia="仿宋_GB2312"/>
          <w:color w:val="000000"/>
          <w:sz w:val="32"/>
          <w:szCs w:val="32"/>
        </w:rPr>
        <w:t>医疗卫生与计划生育支出210（类）医疗保障11（款）事业单位医疗02（项）：2024年决算数为2万元，</w:t>
      </w:r>
      <w:r>
        <w:rPr>
          <w:rFonts w:hint="eastAsia" w:ascii="仿宋_GB2312" w:eastAsia="仿宋_GB2312"/>
          <w:sz w:val="32"/>
          <w:szCs w:val="32"/>
        </w:rPr>
        <w:t>完成预算101.52%，决算数大于预算数，主要原因为基数增加。</w:t>
      </w:r>
    </w:p>
    <w:p w14:paraId="655D517D">
      <w:pPr>
        <w:spacing w:line="600" w:lineRule="exact"/>
        <w:ind w:firstLine="640" w:firstLineChars="200"/>
        <w:jc w:val="left"/>
        <w:rPr>
          <w:rFonts w:ascii="仿宋_GB2312" w:eastAsia="仿宋_GB2312"/>
          <w:sz w:val="32"/>
          <w:szCs w:val="32"/>
        </w:rPr>
      </w:pPr>
      <w:r>
        <w:rPr>
          <w:rFonts w:hint="eastAsia" w:ascii="仿宋_GB2312" w:eastAsia="仿宋_GB2312"/>
          <w:sz w:val="32"/>
          <w:szCs w:val="32"/>
        </w:rPr>
        <w:t>医疗卫生与计划生育支出210（类）医疗保障11（款）公务员医疗补助03（项）： 2024年决算数为3.36万元，完成预算91.3%，决算数小于预算数，人员退休。</w:t>
      </w:r>
    </w:p>
    <w:p w14:paraId="2A50C89A">
      <w:pPr>
        <w:pStyle w:val="5"/>
        <w:spacing w:before="93"/>
        <w:ind w:firstLine="640" w:firstLineChars="200"/>
      </w:pPr>
      <w:r>
        <w:rPr>
          <w:rFonts w:hint="eastAsia"/>
          <w:color w:val="000000"/>
          <w:sz w:val="32"/>
          <w:szCs w:val="32"/>
        </w:rPr>
        <w:t>医疗卫生与计划生育支出210（类）医疗保障11（款）其他行政事业单位医疗支出99（项）： 2024年决算数为0.44</w:t>
      </w:r>
      <w:r>
        <w:rPr>
          <w:rFonts w:hint="eastAsia"/>
          <w:sz w:val="32"/>
          <w:szCs w:val="32"/>
        </w:rPr>
        <w:t>万元，完成预算102.32%，决算数大于预算数，原因为人员基数增加。</w:t>
      </w:r>
    </w:p>
    <w:p w14:paraId="7D05B71C">
      <w:pPr>
        <w:spacing w:line="600" w:lineRule="exact"/>
        <w:ind w:firstLine="643" w:firstLineChars="200"/>
        <w:outlineLvl w:val="3"/>
        <w:rPr>
          <w:rStyle w:val="16"/>
          <w:rFonts w:ascii="仿宋_GB2312" w:eastAsia="仿宋_GB2312"/>
          <w:sz w:val="32"/>
          <w:szCs w:val="32"/>
        </w:rPr>
      </w:pPr>
      <w:r>
        <w:rPr>
          <w:rStyle w:val="16"/>
          <w:rFonts w:hint="eastAsia" w:ascii="仿宋_GB2312" w:eastAsia="仿宋_GB2312"/>
          <w:sz w:val="32"/>
          <w:szCs w:val="32"/>
        </w:rPr>
        <w:t>3.住房保障支出：</w:t>
      </w:r>
    </w:p>
    <w:p w14:paraId="42E3AB45">
      <w:pPr>
        <w:spacing w:line="600" w:lineRule="exact"/>
        <w:ind w:firstLine="640" w:firstLineChars="200"/>
        <w:rPr>
          <w:rFonts w:ascii="仿宋_GB2312" w:eastAsia="仿宋_GB2312"/>
          <w:sz w:val="32"/>
          <w:szCs w:val="32"/>
        </w:rPr>
      </w:pPr>
      <w:r>
        <w:rPr>
          <w:rFonts w:hint="eastAsia" w:ascii="仿宋_GB2312" w:eastAsia="仿宋_GB2312"/>
          <w:color w:val="000000"/>
          <w:sz w:val="32"/>
          <w:szCs w:val="32"/>
        </w:rPr>
        <w:t>住房保障支出221（类）住房改革支出02（款）住房公积金01（项）</w:t>
      </w:r>
      <w:r>
        <w:rPr>
          <w:rFonts w:hint="eastAsia" w:ascii="仿宋_GB2312" w:eastAsia="仿宋_GB2312"/>
          <w:sz w:val="32"/>
          <w:szCs w:val="32"/>
        </w:rPr>
        <w:t>： 2024年决算数为21.88万元，完成预算91.32%，原因是人员退休。</w:t>
      </w:r>
    </w:p>
    <w:p w14:paraId="28D29FF9">
      <w:pPr>
        <w:spacing w:line="600" w:lineRule="exact"/>
        <w:ind w:firstLine="640" w:firstLineChars="200"/>
        <w:outlineLvl w:val="1"/>
        <w:rPr>
          <w:rFonts w:ascii="黑体" w:eastAsia="黑体"/>
          <w:color w:val="000000"/>
          <w:sz w:val="32"/>
          <w:szCs w:val="32"/>
        </w:rPr>
      </w:pPr>
      <w:bookmarkStart w:id="47" w:name="_Toc15396608"/>
      <w:bookmarkStart w:id="48" w:name="_Toc15377214"/>
      <w:bookmarkStart w:id="49" w:name="_Toc14976"/>
      <w:bookmarkStart w:id="50" w:name="_Toc2612"/>
      <w:r>
        <w:rPr>
          <w:rFonts w:hint="eastAsia" w:ascii="黑体" w:eastAsia="黑体"/>
          <w:sz w:val="32"/>
          <w:szCs w:val="32"/>
        </w:rPr>
        <w:t>六</w:t>
      </w:r>
      <w:r>
        <w:rPr>
          <w:rFonts w:hint="eastAsia" w:ascii="黑体" w:eastAsia="黑体"/>
          <w:b/>
          <w:sz w:val="32"/>
          <w:szCs w:val="32"/>
        </w:rPr>
        <w:t>、一</w:t>
      </w:r>
      <w:r>
        <w:rPr>
          <w:rStyle w:val="20"/>
          <w:rFonts w:hint="eastAsia" w:ascii="黑体" w:eastAsia="黑体"/>
          <w:b w:val="0"/>
        </w:rPr>
        <w:t>般公共预算财政拨款基本支出决算情况说明</w:t>
      </w:r>
      <w:bookmarkEnd w:id="47"/>
      <w:bookmarkEnd w:id="48"/>
      <w:bookmarkEnd w:id="49"/>
      <w:bookmarkEnd w:id="50"/>
    </w:p>
    <w:p w14:paraId="11A7711E">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金川县社会保险事务中心2024年财政拨款基本支出318.33万元，其中：人员经费298.43</w:t>
      </w:r>
      <w:r>
        <w:rPr>
          <w:rFonts w:hint="eastAsia" w:ascii="仿宋_GB2312" w:eastAsia="仿宋_GB2312"/>
          <w:sz w:val="32"/>
          <w:szCs w:val="32"/>
        </w:rPr>
        <w:t>万元，主要包括：基本工资53.93万元、津贴补贴71.1万元、奖金70.63万元、</w:t>
      </w:r>
      <w:r>
        <w:rPr>
          <w:rFonts w:hint="eastAsia" w:ascii="仿宋_GB2312" w:eastAsia="仿宋_GB2312"/>
          <w:color w:val="000000"/>
          <w:sz w:val="32"/>
          <w:szCs w:val="32"/>
        </w:rPr>
        <w:t>绩效工资6.1万元、机关事业单位基本养老保险缴费27.46万元、职业年金缴13.73万元、职工基本医疗保险缴费13.31万元、公务员医疗补助缴费3.63万元、其他社会保障缴费支出3.73万元、住房公积金21.88万元、奖励金0.02万元、生活补助、12.91万元。公用经费19.91万元，主要包括：办公费6.55万元、水费0.55万元、电费0.3万元、邮电费2万元、差旅费6万元、维修（护）费0.49万元，其他交通费用0.2万元，劳务费0.36万元，公务用车运行维护费1.48万元、福利费0.45万元，印刷费1.53万元。</w:t>
      </w:r>
    </w:p>
    <w:p w14:paraId="2ADCE4B0">
      <w:pPr>
        <w:spacing w:line="600" w:lineRule="exact"/>
        <w:ind w:firstLine="640"/>
        <w:outlineLvl w:val="1"/>
        <w:rPr>
          <w:rFonts w:ascii="黑体" w:eastAsia="黑体"/>
          <w:color w:val="000000"/>
          <w:sz w:val="32"/>
          <w:szCs w:val="32"/>
        </w:rPr>
      </w:pPr>
      <w:bookmarkStart w:id="51" w:name="_Toc15377215"/>
      <w:bookmarkStart w:id="52" w:name="_Toc12320"/>
      <w:bookmarkStart w:id="53" w:name="_Toc3704"/>
      <w:bookmarkStart w:id="54" w:name="_Toc15396609"/>
      <w:r>
        <w:rPr>
          <w:rFonts w:hint="eastAsia" w:ascii="黑体" w:eastAsia="黑体"/>
          <w:sz w:val="32"/>
          <w:szCs w:val="32"/>
        </w:rPr>
        <w:t>七、</w:t>
      </w:r>
      <w:r>
        <w:rPr>
          <w:rStyle w:val="20"/>
          <w:rFonts w:hint="eastAsia" w:ascii="黑体" w:eastAsia="黑体"/>
          <w:b w:val="0"/>
        </w:rPr>
        <w:t>财政拨款</w:t>
      </w:r>
      <w:r>
        <w:rPr>
          <w:rStyle w:val="20"/>
          <w:rFonts w:hint="eastAsia" w:ascii="黑体" w:eastAsia="黑体"/>
        </w:rPr>
        <w:t>“</w:t>
      </w:r>
      <w:r>
        <w:rPr>
          <w:rStyle w:val="20"/>
          <w:rFonts w:hint="eastAsia" w:ascii="黑体" w:eastAsia="黑体"/>
          <w:b w:val="0"/>
        </w:rPr>
        <w:t>三公”经费支出决算情况说明</w:t>
      </w:r>
      <w:bookmarkEnd w:id="51"/>
      <w:bookmarkEnd w:id="52"/>
      <w:bookmarkEnd w:id="53"/>
      <w:bookmarkEnd w:id="54"/>
    </w:p>
    <w:p w14:paraId="1B1447B6">
      <w:pPr>
        <w:spacing w:line="600" w:lineRule="exact"/>
        <w:ind w:firstLine="640"/>
        <w:outlineLvl w:val="2"/>
        <w:rPr>
          <w:rFonts w:ascii="仿宋_GB2312" w:eastAsia="仿宋_GB2312"/>
          <w:b/>
          <w:color w:val="000000"/>
          <w:sz w:val="32"/>
          <w:szCs w:val="32"/>
        </w:rPr>
      </w:pPr>
      <w:r>
        <w:rPr>
          <w:rFonts w:hint="eastAsia" w:ascii="仿宋_GB2312" w:eastAsia="仿宋_GB2312"/>
          <w:b/>
          <w:color w:val="000000"/>
          <w:sz w:val="32"/>
          <w:szCs w:val="32"/>
        </w:rPr>
        <w:t>（一）“三公”经费财政拨款支出决算总体情况说明</w:t>
      </w:r>
    </w:p>
    <w:p w14:paraId="3E7C800B">
      <w:pPr>
        <w:spacing w:line="600" w:lineRule="exact"/>
        <w:ind w:firstLine="640"/>
        <w:rPr>
          <w:rFonts w:ascii="仿宋_GB2312" w:eastAsia="仿宋_GB2312"/>
          <w:color w:val="333333"/>
          <w:sz w:val="32"/>
          <w:szCs w:val="32"/>
        </w:rPr>
      </w:pPr>
      <w:r>
        <w:rPr>
          <w:rFonts w:hint="eastAsia" w:ascii="仿宋_GB2312" w:eastAsia="仿宋_GB2312"/>
          <w:color w:val="333333"/>
          <w:sz w:val="32"/>
          <w:szCs w:val="32"/>
        </w:rPr>
        <w:t>（1）社会保险事务中心2024年度“三公”经费财政拨款支出决算为1.48万元，完成预算98.67%，其中：无因公出国（境）费支出；无公务接待费支出；公务用车购置及运行维护费支出决算为1.48万元，完成预算98.67%。</w:t>
      </w:r>
    </w:p>
    <w:p w14:paraId="3A8C9196">
      <w:pPr>
        <w:spacing w:line="600" w:lineRule="exact"/>
        <w:ind w:firstLine="640"/>
        <w:rPr>
          <w:rFonts w:ascii="仿宋_GB2312" w:eastAsia="仿宋_GB2312"/>
          <w:sz w:val="32"/>
          <w:szCs w:val="32"/>
        </w:rPr>
      </w:pPr>
      <w:r>
        <w:rPr>
          <w:rFonts w:hint="eastAsia" w:ascii="仿宋_GB2312" w:eastAsia="仿宋_GB2312"/>
          <w:color w:val="333333"/>
          <w:sz w:val="32"/>
          <w:szCs w:val="32"/>
        </w:rPr>
        <w:t>2024年度“三公”经费财政拨款支出决算数比2022年减少0.32万元，减少17.78%，其中：无因公出国（境）费支出；公务接待费用0元，公务用车购置及运行维护费支出决算为1.48万元，原因是2024年公务用车购置及运行维护费支出决算减少0.32万元，减少17.78%；原因在于单位车辆老旧。</w:t>
      </w:r>
    </w:p>
    <w:p w14:paraId="6A931AE8">
      <w:pPr>
        <w:spacing w:line="600" w:lineRule="exact"/>
        <w:ind w:firstLine="640"/>
        <w:rPr>
          <w:rFonts w:ascii="仿宋_GB2312" w:eastAsia="仿宋_GB2312"/>
          <w:sz w:val="32"/>
          <w:szCs w:val="32"/>
        </w:rPr>
      </w:pPr>
    </w:p>
    <w:p w14:paraId="026A4718">
      <w:pPr>
        <w:spacing w:line="600" w:lineRule="exact"/>
        <w:ind w:firstLine="640"/>
        <w:rPr>
          <w:rFonts w:ascii="仿宋_GB2312" w:eastAsia="仿宋_GB2312"/>
          <w:sz w:val="32"/>
          <w:szCs w:val="32"/>
        </w:rPr>
      </w:pPr>
    </w:p>
    <w:p w14:paraId="4DBB00AF">
      <w:pPr>
        <w:spacing w:line="600" w:lineRule="exact"/>
        <w:ind w:firstLine="640"/>
        <w:rPr>
          <w:rFonts w:ascii="仿宋_GB2312" w:eastAsia="仿宋_GB2312"/>
          <w:sz w:val="32"/>
          <w:szCs w:val="32"/>
        </w:rPr>
      </w:pPr>
      <w:r>
        <w:rPr>
          <w:rFonts w:hint="eastAsia" w:ascii="仿宋_GB2312" w:eastAsia="仿宋_GB2312"/>
          <w:sz w:val="32"/>
          <w:szCs w:val="32"/>
        </w:rPr>
        <w:drawing>
          <wp:anchor distT="0" distB="0" distL="114300" distR="114300" simplePos="0" relativeHeight="251662336" behindDoc="0" locked="0" layoutInCell="1" allowOverlap="1">
            <wp:simplePos x="0" y="0"/>
            <wp:positionH relativeFrom="column">
              <wp:posOffset>379095</wp:posOffset>
            </wp:positionH>
            <wp:positionV relativeFrom="paragraph">
              <wp:posOffset>-647700</wp:posOffset>
            </wp:positionV>
            <wp:extent cx="5189855" cy="2448560"/>
            <wp:effectExtent l="0" t="0" r="0" b="0"/>
            <wp:wrapSquare wrapText="bothSides"/>
            <wp:docPr id="13"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14:paraId="68148DBE">
      <w:pPr>
        <w:spacing w:line="600" w:lineRule="exact"/>
        <w:ind w:firstLine="640"/>
        <w:rPr>
          <w:rFonts w:ascii="仿宋_GB2312" w:eastAsia="仿宋_GB2312"/>
          <w:sz w:val="32"/>
          <w:szCs w:val="32"/>
        </w:rPr>
      </w:pPr>
    </w:p>
    <w:p w14:paraId="3DE21AB2">
      <w:pPr>
        <w:spacing w:line="600" w:lineRule="exact"/>
        <w:ind w:firstLine="640"/>
        <w:rPr>
          <w:rFonts w:ascii="仿宋_GB2312" w:eastAsia="仿宋_GB2312"/>
          <w:sz w:val="32"/>
          <w:szCs w:val="32"/>
        </w:rPr>
      </w:pPr>
    </w:p>
    <w:p w14:paraId="2AF65511">
      <w:pPr>
        <w:spacing w:line="600" w:lineRule="exact"/>
        <w:ind w:firstLine="640"/>
        <w:rPr>
          <w:rFonts w:ascii="仿宋_GB2312" w:eastAsia="仿宋_GB2312"/>
          <w:sz w:val="32"/>
          <w:szCs w:val="32"/>
        </w:rPr>
      </w:pPr>
    </w:p>
    <w:p w14:paraId="248C0042">
      <w:pPr>
        <w:tabs>
          <w:tab w:val="left" w:pos="0"/>
        </w:tabs>
        <w:spacing w:line="600" w:lineRule="exact"/>
        <w:ind w:left="640"/>
        <w:outlineLvl w:val="2"/>
        <w:rPr>
          <w:rFonts w:ascii="仿宋_GB2312" w:eastAsia="仿宋_GB2312"/>
          <w:b/>
          <w:color w:val="333333"/>
          <w:sz w:val="32"/>
          <w:szCs w:val="32"/>
        </w:rPr>
      </w:pPr>
      <w:r>
        <w:rPr>
          <w:rFonts w:hint="eastAsia" w:ascii="仿宋_GB2312" w:eastAsia="仿宋_GB2312"/>
          <w:b/>
          <w:color w:val="333333"/>
          <w:sz w:val="32"/>
          <w:szCs w:val="32"/>
        </w:rPr>
        <w:t>（（二）“三公”经费财政拨款支出决算具体情况说明</w:t>
      </w:r>
    </w:p>
    <w:p w14:paraId="1C765FEE">
      <w:pPr>
        <w:spacing w:line="600" w:lineRule="exact"/>
        <w:ind w:firstLine="640"/>
        <w:rPr>
          <w:rFonts w:ascii="仿宋_GB2312" w:eastAsia="仿宋_GB2312"/>
          <w:color w:val="333333"/>
          <w:sz w:val="32"/>
          <w:szCs w:val="32"/>
        </w:rPr>
      </w:pPr>
      <w:r>
        <w:rPr>
          <w:rFonts w:hint="eastAsia" w:ascii="仿宋_GB2312" w:eastAsia="仿宋_GB2312"/>
          <w:color w:val="333333"/>
          <w:sz w:val="32"/>
          <w:szCs w:val="32"/>
        </w:rPr>
        <w:t>2024年度“三公”经费财政拨款支出决算中，无因公出国（境）费支出；公务接待费支出决算0万元，完成预算0%；公务用车购置及运行维护费支出决算为1.48万元，完成预算98.67%。具体情况如下</w:t>
      </w:r>
      <w:r>
        <w:rPr>
          <w:rFonts w:hint="eastAsia" w:ascii="仿宋_GB2312" w:eastAsia="仿宋_GB2312"/>
          <w:color w:val="000000"/>
          <w:sz w:val="32"/>
          <w:szCs w:val="32"/>
        </w:rPr>
        <w:t>：</w:t>
      </w:r>
    </w:p>
    <w:p w14:paraId="6F5B94DA">
      <w:pPr>
        <w:spacing w:line="600" w:lineRule="exact"/>
        <w:ind w:firstLine="640"/>
        <w:outlineLvl w:val="3"/>
        <w:rPr>
          <w:rFonts w:ascii="仿宋_GB2312" w:eastAsia="仿宋_GB2312"/>
          <w:b/>
          <w:color w:val="000000"/>
          <w:sz w:val="32"/>
          <w:szCs w:val="32"/>
        </w:rPr>
      </w:pPr>
      <w:r>
        <w:rPr>
          <w:rFonts w:hint="eastAsia" w:ascii="仿宋_GB2312" w:eastAsia="仿宋_GB2312"/>
          <w:b/>
          <w:color w:val="000000"/>
          <w:sz w:val="32"/>
          <w:szCs w:val="32"/>
        </w:rPr>
        <w:t>1.因公出国（境）经费</w:t>
      </w:r>
    </w:p>
    <w:p w14:paraId="5A76694B">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rPr>
        <w:t>2024年无因公出国（境）费。</w:t>
      </w:r>
    </w:p>
    <w:p w14:paraId="0C1C3879">
      <w:pPr>
        <w:spacing w:line="600" w:lineRule="exact"/>
        <w:ind w:firstLine="640"/>
        <w:outlineLvl w:val="3"/>
        <w:rPr>
          <w:rFonts w:ascii="仿宋_GB2312" w:eastAsia="仿宋_GB2312"/>
          <w:b/>
          <w:color w:val="000000"/>
          <w:sz w:val="32"/>
          <w:szCs w:val="32"/>
        </w:rPr>
      </w:pPr>
      <w:r>
        <w:rPr>
          <w:rFonts w:hint="eastAsia" w:ascii="仿宋_GB2312" w:eastAsia="仿宋_GB2312"/>
          <w:b/>
          <w:color w:val="000000"/>
          <w:sz w:val="32"/>
          <w:szCs w:val="32"/>
        </w:rPr>
        <w:t>2.公务用车购置及运行维护费</w:t>
      </w:r>
    </w:p>
    <w:p w14:paraId="630EB563">
      <w:pPr>
        <w:spacing w:line="600" w:lineRule="exact"/>
        <w:ind w:firstLine="640"/>
        <w:rPr>
          <w:rFonts w:ascii="仿宋_GB2312" w:eastAsia="仿宋_GB2312"/>
          <w:b/>
          <w:color w:val="000000"/>
          <w:sz w:val="32"/>
          <w:szCs w:val="32"/>
        </w:rPr>
      </w:pPr>
      <w:r>
        <w:rPr>
          <w:rFonts w:hint="eastAsia" w:ascii="仿宋_GB2312" w:eastAsia="仿宋_GB2312"/>
          <w:color w:val="000000"/>
          <w:sz w:val="32"/>
          <w:szCs w:val="32"/>
        </w:rPr>
        <w:t>2024年公务用车购置及运行维护费1.48万元，无公务用车购置支出。公务用车运行维护费支出1.48万元。主要用于开展各项财政工作所需的公务用车燃料费、维修费、过路过桥费、保险费等支出。</w:t>
      </w:r>
    </w:p>
    <w:p w14:paraId="0BE0F0AC">
      <w:pPr>
        <w:spacing w:line="600" w:lineRule="exact"/>
        <w:ind w:firstLine="643" w:firstLineChars="200"/>
        <w:outlineLvl w:val="3"/>
        <w:rPr>
          <w:rFonts w:ascii="仿宋_GB2312" w:eastAsia="仿宋_GB2312" w:cs="仿宋"/>
          <w:color w:val="000000"/>
          <w:sz w:val="32"/>
          <w:szCs w:val="32"/>
        </w:rPr>
      </w:pPr>
      <w:r>
        <w:rPr>
          <w:rFonts w:hint="eastAsia" w:ascii="仿宋_GB2312" w:eastAsia="仿宋_GB2312"/>
          <w:b/>
          <w:color w:val="000000"/>
          <w:sz w:val="32"/>
          <w:szCs w:val="32"/>
        </w:rPr>
        <w:t>3.公务接待费支出</w:t>
      </w:r>
      <w:r>
        <w:rPr>
          <w:rFonts w:ascii="仿宋_GB2312" w:eastAsia="仿宋_GB2312"/>
          <w:color w:val="000000"/>
          <w:sz w:val="32"/>
          <w:szCs w:val="32"/>
        </w:rPr>
        <w:t>0</w:t>
      </w:r>
      <w:r>
        <w:rPr>
          <w:rFonts w:hint="eastAsia" w:ascii="仿宋_GB2312" w:eastAsia="仿宋_GB2312"/>
          <w:color w:val="000000"/>
          <w:sz w:val="32"/>
          <w:szCs w:val="32"/>
        </w:rPr>
        <w:t>万元，</w:t>
      </w:r>
      <w:r>
        <w:rPr>
          <w:rFonts w:hint="eastAsia" w:ascii="仿宋_GB2312" w:eastAsia="仿宋_GB2312" w:cs="仿宋"/>
          <w:color w:val="000000"/>
          <w:sz w:val="32"/>
          <w:szCs w:val="32"/>
        </w:rPr>
        <w:t>较上年无变动。</w:t>
      </w:r>
    </w:p>
    <w:p w14:paraId="1144B0BA">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国内公务接待0批次，0人次，共计支出0万元。</w:t>
      </w:r>
    </w:p>
    <w:p w14:paraId="5C7CF2B9">
      <w:pPr>
        <w:spacing w:line="600" w:lineRule="exact"/>
        <w:ind w:left="643"/>
        <w:outlineLvl w:val="3"/>
        <w:rPr>
          <w:rFonts w:ascii="仿宋_GB2312" w:eastAsia="仿宋_GB2312"/>
          <w:color w:val="000000"/>
          <w:sz w:val="32"/>
          <w:szCs w:val="32"/>
        </w:rPr>
      </w:pPr>
      <w:r>
        <w:rPr>
          <w:rFonts w:hint="eastAsia" w:ascii="仿宋_GB2312" w:eastAsia="仿宋_GB2312"/>
          <w:b/>
          <w:color w:val="000000"/>
          <w:sz w:val="32"/>
          <w:szCs w:val="32"/>
        </w:rPr>
        <w:t>4.外事接待支出</w:t>
      </w:r>
      <w:r>
        <w:rPr>
          <w:rFonts w:hint="eastAsia" w:ascii="仿宋" w:eastAsia="仿宋"/>
          <w:color w:val="000000"/>
          <w:sz w:val="32"/>
          <w:szCs w:val="32"/>
        </w:rPr>
        <w:t>0</w:t>
      </w:r>
      <w:r>
        <w:rPr>
          <w:rFonts w:hint="eastAsia" w:ascii="仿宋_GB2312" w:eastAsia="仿宋_GB2312"/>
          <w:color w:val="000000"/>
          <w:sz w:val="32"/>
          <w:szCs w:val="32"/>
        </w:rPr>
        <w:t>万元</w:t>
      </w:r>
    </w:p>
    <w:p w14:paraId="787D79E0">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外事接待0批次，0人，共计支出0万元。</w:t>
      </w:r>
    </w:p>
    <w:p w14:paraId="7420D880">
      <w:pPr>
        <w:numPr>
          <w:ilvl w:val="0"/>
          <w:numId w:val="2"/>
        </w:numPr>
        <w:spacing w:line="600" w:lineRule="exact"/>
        <w:ind w:firstLine="640"/>
        <w:outlineLvl w:val="2"/>
        <w:rPr>
          <w:rFonts w:ascii="仿宋_GB2312" w:eastAsia="仿宋_GB2312"/>
          <w:b/>
          <w:color w:val="333333"/>
          <w:sz w:val="32"/>
          <w:szCs w:val="32"/>
        </w:rPr>
      </w:pPr>
      <w:bookmarkStart w:id="55" w:name="_Toc156656944"/>
      <w:r>
        <w:rPr>
          <w:rFonts w:hint="eastAsia" w:ascii="仿宋_GB2312" w:eastAsia="仿宋_GB2312"/>
          <w:b/>
          <w:color w:val="333333"/>
          <w:sz w:val="32"/>
          <w:szCs w:val="32"/>
        </w:rPr>
        <w:t>会议费支出情况</w:t>
      </w:r>
      <w:bookmarkEnd w:id="55"/>
    </w:p>
    <w:p w14:paraId="599F0C0C">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rPr>
        <w:t>本单位本年度无会议费支出。</w:t>
      </w:r>
    </w:p>
    <w:p w14:paraId="0995771A">
      <w:pPr>
        <w:numPr>
          <w:ilvl w:val="0"/>
          <w:numId w:val="2"/>
        </w:numPr>
        <w:spacing w:line="600" w:lineRule="exact"/>
        <w:ind w:firstLine="640"/>
        <w:outlineLvl w:val="2"/>
        <w:rPr>
          <w:rFonts w:ascii="仿宋_GB2312" w:eastAsia="仿宋_GB2312"/>
          <w:b/>
          <w:color w:val="333333"/>
          <w:sz w:val="32"/>
          <w:szCs w:val="32"/>
        </w:rPr>
      </w:pPr>
      <w:bookmarkStart w:id="56" w:name="_Toc156656945"/>
      <w:r>
        <w:rPr>
          <w:rFonts w:hint="eastAsia" w:ascii="仿宋_GB2312" w:eastAsia="仿宋_GB2312"/>
          <w:b/>
          <w:color w:val="333333"/>
          <w:sz w:val="32"/>
          <w:szCs w:val="32"/>
        </w:rPr>
        <w:t>培训费支出情况</w:t>
      </w:r>
      <w:bookmarkEnd w:id="56"/>
    </w:p>
    <w:p w14:paraId="03940954">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rPr>
        <w:t>本单位本年度培训费支出0.89万元</w:t>
      </w:r>
    </w:p>
    <w:p w14:paraId="0D3DB828">
      <w:pPr>
        <w:spacing w:line="600" w:lineRule="exact"/>
        <w:ind w:firstLine="640" w:firstLineChars="200"/>
        <w:outlineLvl w:val="1"/>
        <w:rPr>
          <w:rFonts w:ascii="黑体" w:eastAsia="黑体"/>
          <w:color w:val="000000"/>
          <w:sz w:val="32"/>
          <w:szCs w:val="32"/>
        </w:rPr>
      </w:pPr>
      <w:bookmarkStart w:id="57" w:name="_Toc1317"/>
      <w:r>
        <w:rPr>
          <w:rFonts w:hint="eastAsia" w:ascii="黑体" w:eastAsia="黑体"/>
          <w:color w:val="000000"/>
          <w:sz w:val="32"/>
          <w:szCs w:val="32"/>
        </w:rPr>
        <w:t>八、政府性基金预算财政拨款支出决算情况</w:t>
      </w:r>
      <w:bookmarkEnd w:id="57"/>
    </w:p>
    <w:p w14:paraId="6F0DC671">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rPr>
        <w:t>本单位2024年无政府性基金预算财政拨款支出。</w:t>
      </w:r>
    </w:p>
    <w:p w14:paraId="520F2C33">
      <w:pPr>
        <w:spacing w:line="600" w:lineRule="exact"/>
        <w:ind w:firstLine="640" w:firstLineChars="200"/>
        <w:outlineLvl w:val="1"/>
        <w:rPr>
          <w:rFonts w:ascii="黑体" w:eastAsia="黑体"/>
          <w:color w:val="000000"/>
          <w:sz w:val="32"/>
          <w:szCs w:val="32"/>
        </w:rPr>
      </w:pPr>
      <w:bookmarkStart w:id="58" w:name="_Toc15377219"/>
      <w:bookmarkStart w:id="59" w:name="_Toc15396611"/>
      <w:bookmarkStart w:id="60" w:name="_Toc26843620"/>
      <w:bookmarkStart w:id="61" w:name="_Toc7653"/>
      <w:r>
        <w:rPr>
          <w:rFonts w:hint="eastAsia" w:ascii="黑体" w:eastAsia="黑体"/>
          <w:color w:val="000000"/>
          <w:sz w:val="32"/>
          <w:szCs w:val="32"/>
        </w:rPr>
        <w:t>九、国有资本经营预算支出决算情况说明</w:t>
      </w:r>
      <w:bookmarkEnd w:id="58"/>
      <w:bookmarkEnd w:id="59"/>
      <w:bookmarkEnd w:id="60"/>
      <w:bookmarkEnd w:id="61"/>
    </w:p>
    <w:p w14:paraId="19E93D7A">
      <w:pPr>
        <w:spacing w:line="576" w:lineRule="exact"/>
        <w:ind w:firstLine="640"/>
      </w:pPr>
      <w:r>
        <w:rPr>
          <w:rFonts w:hint="eastAsia" w:ascii="仿宋_GB2312" w:eastAsia="仿宋_GB2312"/>
          <w:color w:val="000000"/>
          <w:sz w:val="32"/>
          <w:szCs w:val="32"/>
        </w:rPr>
        <w:t>2024</w:t>
      </w:r>
      <w:r>
        <w:rPr>
          <w:rFonts w:eastAsia="仿宋_GB2312"/>
          <w:sz w:val="32"/>
          <w:szCs w:val="32"/>
        </w:rPr>
        <w:t>年国有资本经营预算财政拨款支出0万元。</w:t>
      </w:r>
    </w:p>
    <w:p w14:paraId="1171C5A9">
      <w:pPr>
        <w:spacing w:line="600" w:lineRule="exact"/>
        <w:ind w:firstLine="640" w:firstLineChars="200"/>
        <w:outlineLvl w:val="1"/>
        <w:rPr>
          <w:rFonts w:ascii="黑体" w:eastAsia="黑体"/>
          <w:color w:val="000000"/>
          <w:sz w:val="32"/>
          <w:szCs w:val="32"/>
        </w:rPr>
      </w:pPr>
      <w:bookmarkStart w:id="62" w:name="_Toc1983"/>
      <w:r>
        <w:rPr>
          <w:rFonts w:hint="eastAsia" w:ascii="黑体" w:eastAsia="黑体"/>
          <w:color w:val="000000"/>
          <w:sz w:val="32"/>
          <w:szCs w:val="32"/>
        </w:rPr>
        <w:t>十、其他重要事项的情况说明</w:t>
      </w:r>
      <w:bookmarkEnd w:id="62"/>
    </w:p>
    <w:p w14:paraId="7BC07E90">
      <w:pPr>
        <w:spacing w:line="600" w:lineRule="exact"/>
        <w:ind w:firstLine="643" w:firstLineChars="200"/>
        <w:outlineLvl w:val="2"/>
        <w:rPr>
          <w:rFonts w:ascii="仿宋_GB2312" w:eastAsia="仿宋_GB2312"/>
          <w:color w:val="000000"/>
          <w:sz w:val="32"/>
          <w:szCs w:val="32"/>
        </w:rPr>
      </w:pPr>
      <w:r>
        <w:rPr>
          <w:rFonts w:hint="eastAsia" w:ascii="仿宋_GB2312" w:eastAsia="仿宋_GB2312"/>
          <w:b/>
          <w:color w:val="000000"/>
          <w:sz w:val="32"/>
          <w:szCs w:val="32"/>
        </w:rPr>
        <w:t>（一）机关运行经费支出情况</w:t>
      </w:r>
    </w:p>
    <w:p w14:paraId="3C4FE332">
      <w:pPr>
        <w:spacing w:line="600" w:lineRule="exact"/>
        <w:ind w:firstLine="640" w:firstLineChars="200"/>
        <w:rPr>
          <w:rFonts w:ascii="仿宋_GB2312" w:eastAsia="仿宋_GB2312"/>
          <w:sz w:val="32"/>
          <w:szCs w:val="32"/>
        </w:rPr>
      </w:pPr>
      <w:r>
        <w:rPr>
          <w:rFonts w:hint="eastAsia" w:ascii="仿宋_GB2312" w:eastAsia="仿宋_GB2312"/>
          <w:sz w:val="32"/>
          <w:szCs w:val="32"/>
        </w:rPr>
        <w:t>2024年度，我中心机关运行经费支出19.317万元，比2023年增加1.04万元</w:t>
      </w:r>
      <w:r>
        <w:rPr>
          <w:rFonts w:hint="eastAsia" w:eastAsia="仿宋_GB2312"/>
          <w:sz w:val="32"/>
          <w:szCs w:val="32"/>
        </w:rPr>
        <w:t>。</w:t>
      </w:r>
    </w:p>
    <w:p w14:paraId="37838BC0">
      <w:pPr>
        <w:autoSpaceDE w:val="0"/>
        <w:autoSpaceDN w:val="0"/>
        <w:adjustRightInd w:val="0"/>
        <w:spacing w:line="600" w:lineRule="exact"/>
        <w:ind w:firstLine="643" w:firstLineChars="200"/>
        <w:jc w:val="left"/>
        <w:outlineLvl w:val="2"/>
        <w:rPr>
          <w:rFonts w:ascii="仿宋_GB2312" w:eastAsia="仿宋_GB2312"/>
          <w:b/>
          <w:color w:val="000000"/>
          <w:sz w:val="32"/>
          <w:szCs w:val="32"/>
        </w:rPr>
      </w:pPr>
      <w:r>
        <w:rPr>
          <w:rFonts w:hint="eastAsia" w:ascii="仿宋_GB2312" w:eastAsia="仿宋_GB2312"/>
          <w:b/>
          <w:color w:val="000000"/>
          <w:sz w:val="32"/>
          <w:szCs w:val="32"/>
        </w:rPr>
        <w:t>（二）政府采购支出情况</w:t>
      </w:r>
    </w:p>
    <w:p w14:paraId="6AB4B55B">
      <w:pPr>
        <w:pStyle w:val="12"/>
        <w:widowControl/>
        <w:spacing w:beforeAutospacing="0" w:afterAutospacing="0"/>
        <w:ind w:firstLine="640" w:firstLineChars="200"/>
        <w:rPr>
          <w:rFonts w:ascii="仿宋" w:eastAsia="仿宋" w:cs="仿宋"/>
          <w:sz w:val="32"/>
          <w:szCs w:val="32"/>
          <w:shd w:val="clear" w:color="auto" w:fill="FFFFFF"/>
        </w:rPr>
      </w:pPr>
      <w:r>
        <w:rPr>
          <w:rFonts w:hint="eastAsia" w:ascii="仿宋" w:eastAsia="仿宋" w:cs="仿宋"/>
          <w:sz w:val="32"/>
          <w:szCs w:val="32"/>
          <w:shd w:val="clear" w:color="auto" w:fill="FFFFFF"/>
        </w:rPr>
        <w:t>2024年，政府采购支出总额0.00万元，其中：政府采购货物支出0.00万元</w:t>
      </w:r>
      <w:bookmarkStart w:id="126" w:name="_GoBack"/>
      <w:bookmarkEnd w:id="126"/>
      <w:r>
        <w:rPr>
          <w:rFonts w:hint="eastAsia" w:ascii="仿宋" w:eastAsia="仿宋" w:cs="仿宋"/>
          <w:sz w:val="32"/>
          <w:szCs w:val="32"/>
          <w:shd w:val="clear" w:color="auto" w:fill="FFFFFF"/>
        </w:rPr>
        <w:t>、政府采购工程支出0.00万元、政府采购服务支出0.00万元。授予中小企业合同金额0.00万元，占政府采购支出总额的0.00%，其中：授予小微企业合同金额0.00万元，占政府采购支出总额的0.00%。</w:t>
      </w:r>
    </w:p>
    <w:p w14:paraId="2190BB90">
      <w:pPr>
        <w:spacing w:line="600" w:lineRule="exact"/>
        <w:ind w:firstLine="643" w:firstLineChars="200"/>
        <w:outlineLvl w:val="2"/>
        <w:rPr>
          <w:rFonts w:ascii="仿宋_GB2312" w:eastAsia="仿宋_GB2312"/>
          <w:b/>
          <w:color w:val="000000"/>
          <w:sz w:val="32"/>
          <w:szCs w:val="32"/>
        </w:rPr>
      </w:pPr>
      <w:r>
        <w:rPr>
          <w:rFonts w:hint="eastAsia" w:ascii="仿宋_GB2312" w:eastAsia="仿宋_GB2312"/>
          <w:b/>
          <w:color w:val="000000"/>
          <w:sz w:val="32"/>
          <w:szCs w:val="32"/>
        </w:rPr>
        <w:t>（三）国有资产占有使用情况</w:t>
      </w:r>
    </w:p>
    <w:p w14:paraId="18104AF0">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截至2024年12月31日，我中心有公有车辆1辆，均为一般公务用车；无单价50万元以上通用设备，无单价100万元以上专用设备。</w:t>
      </w:r>
    </w:p>
    <w:p w14:paraId="66462905">
      <w:pPr>
        <w:spacing w:line="600" w:lineRule="exact"/>
        <w:ind w:firstLine="643" w:firstLineChars="200"/>
        <w:outlineLvl w:val="2"/>
        <w:rPr>
          <w:rFonts w:ascii="仿宋_GB2312" w:eastAsia="仿宋_GB2312"/>
          <w:b/>
          <w:color w:val="000000"/>
          <w:sz w:val="32"/>
          <w:szCs w:val="32"/>
        </w:rPr>
      </w:pPr>
      <w:r>
        <w:rPr>
          <w:rFonts w:hint="eastAsia" w:ascii="仿宋_GB2312" w:eastAsia="仿宋_GB2312"/>
          <w:b/>
          <w:color w:val="000000"/>
          <w:sz w:val="32"/>
          <w:szCs w:val="32"/>
        </w:rPr>
        <w:t>（四）预算绩效情况</w:t>
      </w:r>
    </w:p>
    <w:p w14:paraId="3BC9B2BB">
      <w:pPr>
        <w:pStyle w:val="5"/>
        <w:spacing w:before="93"/>
        <w:ind w:firstLine="640" w:firstLineChars="200"/>
        <w:rPr>
          <w:rFonts w:cs="仿宋_GB2312"/>
          <w:sz w:val="32"/>
          <w:szCs w:val="32"/>
        </w:rPr>
      </w:pPr>
      <w:r>
        <w:rPr>
          <w:rFonts w:hint="eastAsia" w:cs="仿宋_GB2312"/>
          <w:sz w:val="32"/>
          <w:szCs w:val="32"/>
        </w:rPr>
        <w:t>按照预算绩效管理要求，本单位在2024年度预算编制阶段，组织对51000021R000000019951-工资性支出等项目开展了预算事前绩效评估，预算执行过程中，对项目开展绩效监控及绩效自评，绩效自评报告详见第四部分附件。</w:t>
      </w:r>
    </w:p>
    <w:p w14:paraId="4D934E81">
      <w:pPr>
        <w:widowControl/>
        <w:adjustRightInd w:val="0"/>
        <w:snapToGrid w:val="0"/>
        <w:spacing w:line="560" w:lineRule="exact"/>
        <w:ind w:firstLine="643" w:firstLineChars="200"/>
        <w:contextualSpacing/>
        <w:jc w:val="left"/>
        <w:outlineLvl w:val="2"/>
        <w:rPr>
          <w:rFonts w:eastAsia="楷体_GB2312"/>
          <w:b/>
          <w:bCs/>
          <w:kern w:val="0"/>
          <w:sz w:val="32"/>
          <w:szCs w:val="32"/>
          <w:shd w:val="clear" w:color="auto" w:fill="FFFFFF"/>
          <w:lang w:val="zh-CN"/>
        </w:rPr>
      </w:pPr>
      <w:r>
        <w:rPr>
          <w:rFonts w:eastAsia="楷体_GB2312"/>
          <w:b/>
          <w:bCs/>
          <w:kern w:val="0"/>
          <w:sz w:val="32"/>
          <w:szCs w:val="32"/>
          <w:shd w:val="clear" w:color="auto" w:fill="FFFFFF"/>
          <w:lang w:val="zh-CN"/>
        </w:rPr>
        <w:t>（一）评价结论。</w:t>
      </w:r>
    </w:p>
    <w:p w14:paraId="7F5CEBCE">
      <w:pPr>
        <w:widowControl/>
        <w:adjustRightInd w:val="0"/>
        <w:snapToGrid w:val="0"/>
        <w:spacing w:line="560" w:lineRule="exact"/>
        <w:ind w:firstLine="640" w:firstLineChars="200"/>
        <w:contextualSpacing/>
        <w:jc w:val="left"/>
        <w:rPr>
          <w:rFonts w:eastAsia="楷体_GB2312"/>
          <w:b/>
          <w:bCs/>
          <w:kern w:val="0"/>
          <w:sz w:val="32"/>
          <w:szCs w:val="32"/>
          <w:shd w:val="clear" w:color="auto" w:fill="FFFFFF"/>
          <w:lang w:val="zh-CN"/>
        </w:rPr>
      </w:pPr>
      <w:r>
        <w:rPr>
          <w:rFonts w:ascii="仿宋_GB2312" w:eastAsia="仿宋_GB2312" w:cs="仿宋_GB2312"/>
          <w:kern w:val="0"/>
          <w:sz w:val="32"/>
          <w:szCs w:val="32"/>
          <w:lang w:val="zh-CN"/>
        </w:rPr>
        <w:t>部门预算执行情况良好，无不良记录及违规违纪行为，预算支出和决算支出情况相符</w:t>
      </w:r>
      <w:r>
        <w:rPr>
          <w:rFonts w:ascii="仿宋_GB2312" w:eastAsia="仿宋_GB2312" w:cs="仿宋_GB2312"/>
          <w:sz w:val="32"/>
          <w:szCs w:val="32"/>
          <w:lang w:val="zh-CN"/>
        </w:rPr>
        <w:t>。</w:t>
      </w:r>
    </w:p>
    <w:p w14:paraId="2572BC25">
      <w:pPr>
        <w:widowControl/>
        <w:adjustRightInd w:val="0"/>
        <w:snapToGrid w:val="0"/>
        <w:spacing w:line="560" w:lineRule="exact"/>
        <w:ind w:firstLine="643" w:firstLineChars="200"/>
        <w:contextualSpacing/>
        <w:jc w:val="left"/>
        <w:outlineLvl w:val="2"/>
        <w:rPr>
          <w:rFonts w:ascii="仿宋_GB2312" w:eastAsia="仿宋_GB2312" w:cs="仿宋_GB2312"/>
          <w:sz w:val="32"/>
          <w:szCs w:val="32"/>
          <w:lang w:val="zh-CN"/>
        </w:rPr>
      </w:pPr>
      <w:r>
        <w:rPr>
          <w:rFonts w:eastAsia="楷体_GB2312"/>
          <w:b/>
          <w:bCs/>
          <w:kern w:val="0"/>
          <w:sz w:val="32"/>
          <w:szCs w:val="32"/>
          <w:shd w:val="clear" w:color="auto" w:fill="FFFFFF"/>
          <w:lang w:val="zh-CN"/>
        </w:rPr>
        <w:t>（二）存在问题。</w:t>
      </w:r>
    </w:p>
    <w:p w14:paraId="739D5E59">
      <w:pPr>
        <w:pStyle w:val="17"/>
        <w:ind w:left="420" w:firstLine="640"/>
        <w:rPr>
          <w:rFonts w:ascii="仿宋_GB2312" w:eastAsia="仿宋_GB2312" w:cs="仿宋_GB2312"/>
          <w:kern w:val="0"/>
          <w:sz w:val="32"/>
          <w:szCs w:val="32"/>
          <w:lang w:val="zh-CN"/>
        </w:rPr>
      </w:pPr>
      <w:r>
        <w:rPr>
          <w:rFonts w:ascii="仿宋_GB2312" w:eastAsia="仿宋_GB2312" w:cs="仿宋_GB2312"/>
          <w:kern w:val="0"/>
          <w:sz w:val="32"/>
          <w:szCs w:val="32"/>
          <w:lang w:val="zh-CN"/>
        </w:rPr>
        <w:t>在资金的使用和安排上取得了较好的预算执行结果，但仍存在预算管理不够完善，资金使用不够科学等问题，我</w:t>
      </w:r>
      <w:r>
        <w:rPr>
          <w:rFonts w:hint="eastAsia" w:ascii="仿宋_GB2312" w:eastAsia="仿宋_GB2312" w:cs="仿宋_GB2312"/>
          <w:kern w:val="0"/>
          <w:sz w:val="32"/>
          <w:szCs w:val="32"/>
          <w:lang w:val="zh-CN"/>
        </w:rPr>
        <w:t>单位</w:t>
      </w:r>
      <w:r>
        <w:rPr>
          <w:rFonts w:ascii="仿宋_GB2312" w:eastAsia="仿宋_GB2312" w:cs="仿宋_GB2312"/>
          <w:kern w:val="0"/>
          <w:sz w:val="32"/>
          <w:szCs w:val="32"/>
          <w:lang w:val="zh-CN"/>
        </w:rPr>
        <w:t>认真梳理存在的问题，改进提高工作效率。</w:t>
      </w:r>
      <w:r>
        <w:rPr>
          <w:rFonts w:hint="eastAsia" w:ascii="仿宋_GB2312" w:eastAsia="仿宋_GB2312" w:cs="仿宋_GB2312"/>
          <w:kern w:val="0"/>
          <w:sz w:val="32"/>
          <w:szCs w:val="32"/>
          <w:lang w:val="zh-CN"/>
        </w:rPr>
        <w:t>一是</w:t>
      </w:r>
      <w:r>
        <w:rPr>
          <w:rFonts w:ascii="仿宋_GB2312" w:eastAsia="仿宋_GB2312" w:cs="仿宋_GB2312"/>
          <w:kern w:val="0"/>
          <w:sz w:val="32"/>
          <w:szCs w:val="32"/>
          <w:lang w:val="zh-CN"/>
        </w:rPr>
        <w:t xml:space="preserve">资金的使用还不完全符合科学性，效益性，基本支出占比较大。 </w:t>
      </w:r>
      <w:r>
        <w:rPr>
          <w:rFonts w:hint="eastAsia" w:ascii="仿宋_GB2312" w:eastAsia="仿宋_GB2312" w:cs="仿宋_GB2312"/>
          <w:kern w:val="0"/>
          <w:sz w:val="32"/>
          <w:szCs w:val="32"/>
          <w:lang w:val="zh-CN"/>
        </w:rPr>
        <w:t>二是</w:t>
      </w:r>
      <w:r>
        <w:rPr>
          <w:rFonts w:ascii="仿宋_GB2312" w:eastAsia="仿宋_GB2312" w:cs="仿宋_GB2312"/>
          <w:kern w:val="0"/>
          <w:sz w:val="32"/>
          <w:szCs w:val="32"/>
          <w:lang w:val="zh-CN"/>
        </w:rPr>
        <w:t>固定资产管理不够完善</w:t>
      </w:r>
      <w:r>
        <w:rPr>
          <w:rFonts w:hint="eastAsia" w:ascii="仿宋_GB2312" w:eastAsia="仿宋_GB2312" w:cs="仿宋_GB2312"/>
          <w:kern w:val="0"/>
          <w:sz w:val="32"/>
          <w:szCs w:val="32"/>
          <w:lang w:val="zh-CN"/>
        </w:rPr>
        <w:t>，</w:t>
      </w:r>
      <w:r>
        <w:rPr>
          <w:rFonts w:ascii="仿宋_GB2312" w:eastAsia="仿宋_GB2312" w:cs="仿宋_GB2312"/>
          <w:kern w:val="0"/>
          <w:sz w:val="32"/>
          <w:szCs w:val="32"/>
          <w:lang w:val="zh-CN"/>
        </w:rPr>
        <w:t>固定资产管理有待提高，</w:t>
      </w:r>
      <w:r>
        <w:rPr>
          <w:rFonts w:hint="eastAsia" w:ascii="仿宋_GB2312" w:eastAsia="仿宋_GB2312" w:cs="仿宋_GB2312"/>
          <w:kern w:val="0"/>
          <w:sz w:val="32"/>
          <w:szCs w:val="32"/>
          <w:lang w:val="zh-CN"/>
        </w:rPr>
        <w:t>未</w:t>
      </w:r>
      <w:r>
        <w:rPr>
          <w:rFonts w:ascii="仿宋_GB2312" w:eastAsia="仿宋_GB2312" w:cs="仿宋_GB2312"/>
          <w:kern w:val="0"/>
          <w:sz w:val="32"/>
          <w:szCs w:val="32"/>
        </w:rPr>
        <w:t>定期对固定资产清查盘点</w:t>
      </w:r>
      <w:r>
        <w:rPr>
          <w:rFonts w:hint="eastAsia" w:ascii="仿宋_GB2312" w:eastAsia="仿宋_GB2312" w:cs="仿宋_GB2312"/>
          <w:kern w:val="0"/>
          <w:sz w:val="32"/>
          <w:szCs w:val="32"/>
        </w:rPr>
        <w:t>。三是</w:t>
      </w:r>
      <w:r>
        <w:rPr>
          <w:rFonts w:ascii="仿宋_GB2312" w:eastAsia="仿宋_GB2312" w:cs="仿宋_GB2312"/>
          <w:kern w:val="0"/>
          <w:sz w:val="32"/>
          <w:szCs w:val="32"/>
          <w:lang w:val="zh-CN"/>
        </w:rPr>
        <w:t>部门信息化建设程度仍比较低，着力推进信息化建设势在必行。</w:t>
      </w:r>
    </w:p>
    <w:p w14:paraId="4F8B54AA">
      <w:pPr>
        <w:widowControl/>
        <w:adjustRightInd w:val="0"/>
        <w:snapToGrid w:val="0"/>
        <w:spacing w:line="560" w:lineRule="exact"/>
        <w:ind w:firstLine="643" w:firstLineChars="200"/>
        <w:contextualSpacing/>
        <w:jc w:val="left"/>
        <w:outlineLvl w:val="2"/>
        <w:rPr>
          <w:rFonts w:eastAsia="楷体_GB2312"/>
          <w:b/>
          <w:bCs/>
          <w:kern w:val="0"/>
          <w:sz w:val="32"/>
          <w:szCs w:val="32"/>
          <w:shd w:val="clear" w:color="auto" w:fill="FFFFFF"/>
          <w:lang w:val="zh-CN"/>
        </w:rPr>
      </w:pPr>
      <w:r>
        <w:rPr>
          <w:rFonts w:eastAsia="楷体_GB2312"/>
          <w:b/>
          <w:bCs/>
          <w:kern w:val="0"/>
          <w:sz w:val="32"/>
          <w:szCs w:val="32"/>
          <w:shd w:val="clear" w:color="auto" w:fill="FFFFFF"/>
          <w:lang w:val="zh-CN"/>
        </w:rPr>
        <w:t>（三）改进建议。</w:t>
      </w:r>
    </w:p>
    <w:p w14:paraId="59673BF4">
      <w:pPr>
        <w:widowControl/>
        <w:adjustRightInd w:val="0"/>
        <w:snapToGrid w:val="0"/>
        <w:spacing w:line="560" w:lineRule="exact"/>
        <w:ind w:firstLine="720"/>
        <w:jc w:val="left"/>
        <w:rPr>
          <w:rFonts w:ascii="宋体" w:hAnsi="宋体" w:eastAsia="仿宋_GB2312"/>
          <w:bCs/>
          <w:sz w:val="32"/>
          <w:szCs w:val="32"/>
        </w:rPr>
      </w:pPr>
      <w:r>
        <w:rPr>
          <w:rFonts w:hint="eastAsia" w:ascii="宋体" w:hAnsi="宋体" w:eastAsia="仿宋_GB2312"/>
          <w:bCs/>
          <w:sz w:val="32"/>
          <w:szCs w:val="32"/>
          <w:lang w:eastAsia="zh-CN"/>
        </w:rPr>
        <w:t>1.</w:t>
      </w:r>
      <w:r>
        <w:rPr>
          <w:rFonts w:hint="eastAsia" w:ascii="宋体" w:hAnsi="宋体" w:eastAsia="仿宋_GB2312"/>
          <w:bCs/>
          <w:sz w:val="32"/>
          <w:szCs w:val="32"/>
        </w:rPr>
        <w:t>严格按照《</w:t>
      </w:r>
      <w:r>
        <w:rPr>
          <w:rFonts w:hint="eastAsia" w:ascii="宋体" w:hAnsi="宋体" w:eastAsia="仿宋_GB2312"/>
          <w:bCs/>
          <w:sz w:val="32"/>
          <w:szCs w:val="32"/>
          <w:lang w:eastAsia="zh-CN"/>
        </w:rPr>
        <w:t>中华人民共和国会计法</w:t>
      </w:r>
      <w:r>
        <w:rPr>
          <w:rFonts w:hint="eastAsia" w:ascii="宋体" w:hAnsi="宋体" w:eastAsia="仿宋_GB2312"/>
          <w:bCs/>
          <w:sz w:val="32"/>
          <w:szCs w:val="32"/>
        </w:rPr>
        <w:t>》《行政单位会计制度》《行政单位财务规则》等规定执行财务核算，并结合实际情况，完整、准确地披露相关信息，尽可能地做到决算与预算相衔接。</w:t>
      </w:r>
    </w:p>
    <w:p w14:paraId="66E3EFFE">
      <w:pPr>
        <w:widowControl/>
        <w:adjustRightInd w:val="0"/>
        <w:snapToGrid w:val="0"/>
        <w:spacing w:line="560" w:lineRule="exact"/>
        <w:ind w:firstLine="720"/>
        <w:jc w:val="left"/>
        <w:rPr>
          <w:rFonts w:ascii="宋体" w:hAnsi="宋体" w:eastAsia="仿宋_GB2312"/>
          <w:bCs/>
          <w:sz w:val="32"/>
          <w:szCs w:val="32"/>
        </w:rPr>
      </w:pPr>
      <w:r>
        <w:rPr>
          <w:rFonts w:hint="eastAsia" w:ascii="宋体" w:hAnsi="宋体" w:eastAsia="仿宋_GB2312"/>
          <w:bCs/>
          <w:sz w:val="32"/>
          <w:szCs w:val="32"/>
          <w:lang w:eastAsia="zh-CN"/>
        </w:rPr>
        <w:t>2.</w:t>
      </w:r>
      <w:r>
        <w:rPr>
          <w:rFonts w:hint="eastAsia" w:ascii="宋体" w:hAnsi="宋体" w:eastAsia="仿宋_GB2312"/>
          <w:bCs/>
          <w:sz w:val="32"/>
          <w:szCs w:val="32"/>
        </w:rPr>
        <w:t xml:space="preserve">进一步加强内部控制，注重资金管理的事前、事中、事后的全过程监督，加强资金使用效率。 </w:t>
      </w:r>
    </w:p>
    <w:p w14:paraId="5CE32AE4">
      <w:pPr>
        <w:widowControl/>
        <w:adjustRightInd w:val="0"/>
        <w:snapToGrid w:val="0"/>
        <w:spacing w:line="560" w:lineRule="exact"/>
        <w:ind w:firstLine="720"/>
        <w:jc w:val="left"/>
        <w:rPr>
          <w:rFonts w:ascii="宋体" w:hAnsi="宋体" w:eastAsia="仿宋_GB2312"/>
          <w:bCs/>
          <w:sz w:val="32"/>
          <w:szCs w:val="32"/>
        </w:rPr>
      </w:pPr>
      <w:r>
        <w:rPr>
          <w:rFonts w:hint="eastAsia" w:ascii="宋体" w:hAnsi="宋体" w:eastAsia="仿宋_GB2312"/>
          <w:bCs/>
          <w:sz w:val="32"/>
          <w:szCs w:val="32"/>
          <w:lang w:eastAsia="zh-CN"/>
        </w:rPr>
        <w:t>3.</w:t>
      </w:r>
      <w:r>
        <w:rPr>
          <w:rFonts w:hint="eastAsia" w:ascii="宋体" w:hAnsi="宋体" w:eastAsia="仿宋_GB2312"/>
          <w:bCs/>
          <w:sz w:val="32"/>
          <w:szCs w:val="32"/>
        </w:rPr>
        <w:t xml:space="preserve">资产的核销与报废应加强管理，严格按照《固定资产管理办法》的规定加强固定资产管理，及时办理登记、报废等手续，每年对资产进行及时盘点和清查，真正做到账实相符。                        </w:t>
      </w:r>
    </w:p>
    <w:p w14:paraId="01CC4E78">
      <w:pPr>
        <w:widowControl/>
        <w:adjustRightInd w:val="0"/>
        <w:snapToGrid w:val="0"/>
        <w:spacing w:line="560" w:lineRule="exact"/>
        <w:ind w:firstLine="720"/>
        <w:jc w:val="left"/>
        <w:rPr>
          <w:rFonts w:ascii="宋体" w:hAnsi="宋体" w:eastAsia="仿宋_GB2312"/>
          <w:bCs/>
          <w:sz w:val="32"/>
          <w:szCs w:val="32"/>
        </w:rPr>
      </w:pPr>
      <w:r>
        <w:rPr>
          <w:rFonts w:hint="eastAsia" w:ascii="宋体" w:hAnsi="宋体" w:eastAsia="仿宋_GB2312"/>
          <w:bCs/>
          <w:sz w:val="32"/>
          <w:szCs w:val="32"/>
        </w:rPr>
        <w:t>加快完成机关财务管理规章制度建设、加强会计核算和财务管理能力，及时与县财政局相关科室对接工作，提升工作效率。</w:t>
      </w:r>
    </w:p>
    <w:p w14:paraId="532DC616">
      <w:pPr>
        <w:pStyle w:val="17"/>
        <w:numPr>
          <w:ilvl w:val="0"/>
          <w:numId w:val="3"/>
        </w:numPr>
        <w:ind w:leftChars="0" w:firstLineChars="0"/>
        <w:outlineLvl w:val="2"/>
        <w:rPr>
          <w:rFonts w:ascii="仿宋" w:eastAsia="仿宋"/>
          <w:b/>
          <w:sz w:val="32"/>
          <w:szCs w:val="32"/>
        </w:rPr>
      </w:pPr>
      <w:r>
        <w:rPr>
          <w:rFonts w:hint="eastAsia" w:ascii="仿宋" w:eastAsia="仿宋"/>
          <w:b/>
          <w:sz w:val="32"/>
          <w:szCs w:val="32"/>
        </w:rPr>
        <w:t>年末结转和结余情况</w:t>
      </w:r>
    </w:p>
    <w:p w14:paraId="6556007B">
      <w:pPr>
        <w:spacing w:line="600" w:lineRule="atLeast"/>
        <w:ind w:firstLine="640" w:firstLineChars="200"/>
        <w:rPr>
          <w:rFonts w:ascii="仿宋_GB2312" w:eastAsia="仿宋_GB2312"/>
          <w:sz w:val="32"/>
          <w:szCs w:val="32"/>
        </w:rPr>
      </w:pPr>
      <w:r>
        <w:rPr>
          <w:rFonts w:hint="eastAsia" w:ascii="仿宋_GB2312" w:eastAsia="仿宋_GB2312"/>
          <w:sz w:val="32"/>
          <w:szCs w:val="32"/>
        </w:rPr>
        <w:t>本单位2023年决算报表无结转结余。</w:t>
      </w:r>
    </w:p>
    <w:p w14:paraId="181D3ED6">
      <w:pPr>
        <w:spacing w:line="600" w:lineRule="exact"/>
        <w:ind w:firstLine="640" w:firstLineChars="200"/>
        <w:outlineLvl w:val="1"/>
        <w:rPr>
          <w:rFonts w:ascii="黑体" w:eastAsia="黑体"/>
          <w:color w:val="000000"/>
          <w:sz w:val="32"/>
          <w:szCs w:val="32"/>
        </w:rPr>
      </w:pPr>
      <w:bookmarkStart w:id="63" w:name="_Toc28311"/>
      <w:r>
        <w:rPr>
          <w:rFonts w:hint="eastAsia" w:ascii="黑体" w:eastAsia="黑体"/>
          <w:color w:val="000000"/>
          <w:sz w:val="32"/>
          <w:szCs w:val="32"/>
        </w:rPr>
        <w:t>十一、行政事业单位财务分析指标</w:t>
      </w:r>
      <w:bookmarkEnd w:id="63"/>
    </w:p>
    <w:p w14:paraId="573088F0">
      <w:pPr>
        <w:pStyle w:val="21"/>
        <w:spacing w:line="560" w:lineRule="exact"/>
        <w:ind w:firstLine="643" w:firstLineChars="200"/>
        <w:rPr>
          <w:rFonts w:ascii="仿宋_GB2312" w:eastAsia="仿宋_GB2312" w:cs="Times New Roman"/>
          <w:b/>
          <w:kern w:val="2"/>
          <w:sz w:val="32"/>
          <w:szCs w:val="32"/>
        </w:rPr>
      </w:pPr>
      <w:r>
        <w:rPr>
          <w:rFonts w:hint="eastAsia" w:ascii="仿宋_GB2312" w:eastAsia="仿宋_GB2312" w:cs="Times New Roman"/>
          <w:b/>
          <w:kern w:val="2"/>
          <w:sz w:val="32"/>
          <w:szCs w:val="32"/>
        </w:rPr>
        <w:t>一、行政单位财务分析指标</w:t>
      </w:r>
    </w:p>
    <w:p w14:paraId="3E7BB776">
      <w:pPr>
        <w:pStyle w:val="21"/>
        <w:spacing w:line="560" w:lineRule="exact"/>
        <w:ind w:firstLine="640" w:firstLineChars="200"/>
        <w:rPr>
          <w:rFonts w:ascii="仿宋_GB2312" w:eastAsia="仿宋_GB2312"/>
          <w:sz w:val="32"/>
          <w:szCs w:val="32"/>
        </w:rPr>
      </w:pPr>
      <w:r>
        <w:rPr>
          <w:rFonts w:hint="eastAsia" w:ascii="仿宋_GB2312" w:eastAsia="仿宋_GB2312"/>
          <w:sz w:val="32"/>
          <w:szCs w:val="32"/>
        </w:rPr>
        <w:t>1.支出增长率，衡量行政单位支出的增长水平。计算公式为：</w:t>
      </w:r>
    </w:p>
    <w:p w14:paraId="237278C0">
      <w:pPr>
        <w:pStyle w:val="21"/>
        <w:spacing w:line="560" w:lineRule="exact"/>
        <w:ind w:firstLine="640" w:firstLineChars="200"/>
        <w:rPr>
          <w:rFonts w:ascii="仿宋_GB2312" w:eastAsia="仿宋_GB2312"/>
          <w:sz w:val="32"/>
          <w:szCs w:val="32"/>
        </w:rPr>
      </w:pPr>
      <w:r>
        <w:rPr>
          <w:rFonts w:hint="eastAsia" w:ascii="仿宋_GB2312" w:eastAsia="仿宋_GB2312"/>
          <w:sz w:val="32"/>
          <w:szCs w:val="32"/>
        </w:rPr>
        <w:t>支出增长率＝</w:t>
      </w:r>
      <w:r>
        <w:rPr>
          <w:rFonts w:hint="eastAsia" w:ascii="仿宋_GB2312" w:eastAsia="仿宋_GB2312"/>
          <w:sz w:val="32"/>
          <w:szCs w:val="32"/>
          <w:lang w:eastAsia="zh-CN"/>
        </w:rPr>
        <w:t>（</w:t>
      </w:r>
      <w:r>
        <w:rPr>
          <w:rFonts w:hint="eastAsia" w:ascii="仿宋_GB2312" w:eastAsia="仿宋_GB2312"/>
          <w:sz w:val="32"/>
          <w:szCs w:val="32"/>
        </w:rPr>
        <w:t>本期支出总额÷上期支出总额-1</w:t>
      </w:r>
      <w:r>
        <w:rPr>
          <w:rFonts w:hint="eastAsia" w:ascii="仿宋_GB2312" w:eastAsia="仿宋_GB2312"/>
          <w:sz w:val="32"/>
          <w:szCs w:val="32"/>
          <w:lang w:eastAsia="zh-CN"/>
        </w:rPr>
        <w:t>）</w:t>
      </w:r>
      <w:r>
        <w:rPr>
          <w:rFonts w:hint="eastAsia" w:ascii="仿宋_GB2312" w:eastAsia="仿宋_GB2312"/>
          <w:sz w:val="32"/>
          <w:szCs w:val="32"/>
        </w:rPr>
        <w:t>×100%=-4.85%</w:t>
      </w:r>
    </w:p>
    <w:p w14:paraId="29A897DF">
      <w:pPr>
        <w:pStyle w:val="21"/>
        <w:spacing w:line="560" w:lineRule="exact"/>
        <w:ind w:firstLine="640" w:firstLineChars="200"/>
        <w:rPr>
          <w:rFonts w:ascii="仿宋_GB2312" w:eastAsia="仿宋_GB2312"/>
          <w:sz w:val="32"/>
          <w:szCs w:val="32"/>
        </w:rPr>
      </w:pPr>
      <w:r>
        <w:rPr>
          <w:rFonts w:hint="eastAsia" w:ascii="仿宋_GB2312" w:eastAsia="仿宋_GB2312"/>
          <w:sz w:val="32"/>
          <w:szCs w:val="32"/>
        </w:rPr>
        <w:t>2.当年预算支出完成率，衡量行政单位当年支出总预算及分项预算完成的程度。计算公式为：</w:t>
      </w:r>
    </w:p>
    <w:p w14:paraId="72FA1588">
      <w:pPr>
        <w:pStyle w:val="21"/>
        <w:spacing w:line="560" w:lineRule="exact"/>
        <w:ind w:firstLine="640" w:firstLineChars="200"/>
        <w:rPr>
          <w:rFonts w:ascii="仿宋_GB2312" w:eastAsia="仿宋_GB2312"/>
          <w:sz w:val="32"/>
          <w:szCs w:val="32"/>
        </w:rPr>
      </w:pPr>
      <w:r>
        <w:rPr>
          <w:rFonts w:hint="eastAsia" w:ascii="仿宋_GB2312" w:eastAsia="仿宋_GB2312"/>
          <w:sz w:val="32"/>
          <w:szCs w:val="32"/>
        </w:rPr>
        <w:t>当年预算支出完成率＝年终执行数÷调整预算数×100%=100.00%</w:t>
      </w:r>
    </w:p>
    <w:p w14:paraId="6C883021">
      <w:pPr>
        <w:pStyle w:val="21"/>
        <w:spacing w:line="560" w:lineRule="exact"/>
        <w:ind w:firstLine="640" w:firstLineChars="200"/>
        <w:rPr>
          <w:rFonts w:ascii="仿宋_GB2312" w:eastAsia="仿宋_GB2312"/>
          <w:sz w:val="32"/>
          <w:szCs w:val="32"/>
        </w:rPr>
      </w:pPr>
      <w:r>
        <w:rPr>
          <w:rFonts w:hint="eastAsia" w:ascii="仿宋_GB2312" w:eastAsia="仿宋_GB2312"/>
          <w:sz w:val="32"/>
          <w:szCs w:val="32"/>
        </w:rPr>
        <w:t>3.人均开支，衡量行政单位人均年消耗经费水平。计算公式为：</w:t>
      </w:r>
    </w:p>
    <w:p w14:paraId="6B4B5E09">
      <w:pPr>
        <w:pStyle w:val="21"/>
        <w:spacing w:line="560" w:lineRule="exact"/>
        <w:ind w:firstLine="640" w:firstLineChars="200"/>
        <w:rPr>
          <w:rFonts w:ascii="仿宋_GB2312" w:eastAsia="仿宋_GB2312"/>
          <w:sz w:val="32"/>
          <w:szCs w:val="32"/>
        </w:rPr>
      </w:pPr>
      <w:r>
        <w:rPr>
          <w:rFonts w:hint="eastAsia" w:ascii="仿宋_GB2312" w:eastAsia="仿宋_GB2312"/>
          <w:sz w:val="32"/>
          <w:szCs w:val="32"/>
        </w:rPr>
        <w:t>人均开支＝本期支出数÷本期平均在职人员数=26.32.项目支出占总支出的比率，衡量行政单位的支出结构。计算公式为：</w:t>
      </w:r>
    </w:p>
    <w:p w14:paraId="06C63B16">
      <w:pPr>
        <w:pStyle w:val="21"/>
        <w:spacing w:line="560" w:lineRule="exact"/>
        <w:ind w:firstLine="640" w:firstLineChars="200"/>
        <w:rPr>
          <w:rFonts w:ascii="仿宋_GB2312" w:eastAsia="仿宋_GB2312"/>
          <w:sz w:val="32"/>
          <w:szCs w:val="32"/>
        </w:rPr>
      </w:pPr>
      <w:r>
        <w:rPr>
          <w:rFonts w:hint="eastAsia" w:ascii="仿宋_GB2312" w:eastAsia="仿宋_GB2312"/>
          <w:sz w:val="32"/>
          <w:szCs w:val="32"/>
        </w:rPr>
        <w:t>项目支出比率=本期项目支出数÷本期支出总数×100%=6.98%</w:t>
      </w:r>
    </w:p>
    <w:p w14:paraId="6D5E6D7F">
      <w:pPr>
        <w:pStyle w:val="21"/>
        <w:spacing w:line="560" w:lineRule="exact"/>
        <w:ind w:firstLine="640" w:firstLineChars="200"/>
        <w:rPr>
          <w:rFonts w:ascii="仿宋_GB2312" w:eastAsia="仿宋_GB2312"/>
          <w:sz w:val="32"/>
          <w:szCs w:val="32"/>
        </w:rPr>
      </w:pPr>
      <w:r>
        <w:rPr>
          <w:rFonts w:hint="eastAsia" w:ascii="仿宋_GB2312" w:eastAsia="仿宋_GB2312"/>
          <w:sz w:val="32"/>
          <w:szCs w:val="32"/>
        </w:rPr>
        <w:t>5.人员支出、公用支出占总支出的比率，衡量行政单位的支出结构。计算公式为：</w:t>
      </w:r>
    </w:p>
    <w:p w14:paraId="4D7000EE">
      <w:pPr>
        <w:pStyle w:val="21"/>
        <w:spacing w:line="560" w:lineRule="exact"/>
        <w:ind w:firstLine="640" w:firstLineChars="200"/>
        <w:rPr>
          <w:rFonts w:ascii="仿宋_GB2312" w:eastAsia="仿宋_GB2312"/>
          <w:sz w:val="32"/>
          <w:szCs w:val="32"/>
        </w:rPr>
      </w:pPr>
      <w:r>
        <w:rPr>
          <w:rFonts w:hint="eastAsia" w:ascii="仿宋_GB2312" w:eastAsia="仿宋_GB2312"/>
          <w:sz w:val="32"/>
          <w:szCs w:val="32"/>
        </w:rPr>
        <w:t>人员支出比率=本期人员支出数÷本期支出总数×100%=87.2%</w:t>
      </w:r>
    </w:p>
    <w:p w14:paraId="4904CB39">
      <w:pPr>
        <w:pStyle w:val="21"/>
        <w:spacing w:line="560" w:lineRule="exact"/>
        <w:ind w:firstLine="640" w:firstLineChars="200"/>
        <w:rPr>
          <w:rFonts w:ascii="仿宋_GB2312" w:eastAsia="仿宋_GB2312"/>
          <w:sz w:val="32"/>
          <w:szCs w:val="32"/>
        </w:rPr>
      </w:pPr>
      <w:r>
        <w:rPr>
          <w:rFonts w:hint="eastAsia" w:ascii="仿宋_GB2312" w:eastAsia="仿宋_GB2312"/>
          <w:sz w:val="32"/>
          <w:szCs w:val="32"/>
        </w:rPr>
        <w:t>公用支出比率=本期公用支出数÷本期支出总数×100%=5.82%</w:t>
      </w:r>
    </w:p>
    <w:p w14:paraId="76AAD86E">
      <w:pPr>
        <w:pStyle w:val="21"/>
        <w:spacing w:line="560" w:lineRule="exact"/>
        <w:ind w:firstLine="640" w:firstLineChars="200"/>
        <w:rPr>
          <w:rFonts w:ascii="仿宋_GB2312" w:eastAsia="仿宋_GB2312"/>
          <w:sz w:val="32"/>
          <w:szCs w:val="32"/>
        </w:rPr>
      </w:pPr>
      <w:r>
        <w:rPr>
          <w:rFonts w:hint="eastAsia" w:ascii="仿宋_GB2312" w:eastAsia="仿宋_GB2312"/>
          <w:sz w:val="32"/>
          <w:szCs w:val="32"/>
        </w:rPr>
        <w:t>6.人均办公使用面积，衡量行政单位办公用房配备情况。计算公式为：</w:t>
      </w:r>
    </w:p>
    <w:p w14:paraId="276732DF">
      <w:pPr>
        <w:pStyle w:val="21"/>
        <w:spacing w:line="560" w:lineRule="exact"/>
        <w:ind w:firstLine="640" w:firstLineChars="200"/>
        <w:rPr>
          <w:rFonts w:ascii="仿宋_GB2312" w:eastAsia="仿宋_GB2312"/>
          <w:sz w:val="32"/>
          <w:szCs w:val="32"/>
        </w:rPr>
      </w:pPr>
      <w:r>
        <w:rPr>
          <w:rFonts w:hint="eastAsia" w:ascii="仿宋_GB2312" w:eastAsia="仿宋_GB2312"/>
          <w:sz w:val="32"/>
          <w:szCs w:val="32"/>
        </w:rPr>
        <w:t>人均办公使用面积=本期末单位办公用房使用面积÷本期末在职人员数=0.00</w:t>
      </w:r>
    </w:p>
    <w:p w14:paraId="25BDC868">
      <w:pPr>
        <w:pStyle w:val="21"/>
        <w:spacing w:line="560" w:lineRule="exact"/>
        <w:ind w:firstLine="640" w:firstLineChars="200"/>
        <w:rPr>
          <w:rFonts w:ascii="仿宋_GB2312" w:eastAsia="仿宋_GB2312"/>
          <w:sz w:val="32"/>
          <w:szCs w:val="32"/>
        </w:rPr>
      </w:pPr>
      <w:r>
        <w:rPr>
          <w:rFonts w:hint="eastAsia" w:ascii="仿宋_GB2312" w:eastAsia="仿宋_GB2312"/>
          <w:sz w:val="32"/>
          <w:szCs w:val="32"/>
        </w:rPr>
        <w:t>7.人车比例，衡量行政单位公务用车配备情况。计算公式为：</w:t>
      </w:r>
    </w:p>
    <w:p w14:paraId="628A0BA4">
      <w:pPr>
        <w:pStyle w:val="21"/>
        <w:spacing w:line="560" w:lineRule="exact"/>
        <w:ind w:firstLine="640" w:firstLineChars="200"/>
        <w:rPr>
          <w:rFonts w:ascii="仿宋_GB2312" w:eastAsia="仿宋_GB2312"/>
          <w:sz w:val="32"/>
          <w:szCs w:val="32"/>
        </w:rPr>
      </w:pPr>
      <w:r>
        <w:rPr>
          <w:rFonts w:hint="eastAsia" w:ascii="仿宋_GB2312" w:eastAsia="仿宋_GB2312"/>
          <w:sz w:val="32"/>
          <w:szCs w:val="32"/>
        </w:rPr>
        <w:t>人车比例=本期末在职人员数÷本期末公务用车实有数=14</w:t>
      </w:r>
    </w:p>
    <w:p w14:paraId="565E8AB9">
      <w:pPr>
        <w:pStyle w:val="21"/>
        <w:spacing w:line="560" w:lineRule="exact"/>
        <w:ind w:firstLine="643" w:firstLineChars="200"/>
        <w:rPr>
          <w:rFonts w:ascii="仿宋_GB2312" w:eastAsia="仿宋_GB2312" w:cs="Times New Roman"/>
          <w:b/>
          <w:kern w:val="2"/>
          <w:sz w:val="32"/>
          <w:szCs w:val="32"/>
        </w:rPr>
      </w:pPr>
      <w:r>
        <w:rPr>
          <w:rFonts w:hint="eastAsia" w:ascii="仿宋_GB2312" w:eastAsia="仿宋_GB2312" w:cs="Times New Roman"/>
          <w:b/>
          <w:kern w:val="2"/>
          <w:sz w:val="32"/>
          <w:szCs w:val="32"/>
        </w:rPr>
        <w:t>二、事业单位财务分析指标</w:t>
      </w:r>
    </w:p>
    <w:p w14:paraId="6B0FB480">
      <w:pPr>
        <w:pStyle w:val="21"/>
        <w:spacing w:line="560" w:lineRule="exact"/>
        <w:ind w:firstLine="640" w:firstLineChars="200"/>
        <w:rPr>
          <w:rFonts w:ascii="仿宋_GB2312" w:eastAsia="仿宋_GB2312"/>
          <w:sz w:val="32"/>
          <w:szCs w:val="32"/>
        </w:rPr>
      </w:pPr>
      <w:r>
        <w:rPr>
          <w:rFonts w:hint="eastAsia" w:ascii="仿宋_GB2312" w:eastAsia="仿宋_GB2312"/>
          <w:sz w:val="32"/>
          <w:szCs w:val="32"/>
        </w:rPr>
        <w:t>1.预算收入和支出完成率，衡量事业单位收入和支出总预算及分项预算完成的程度。计算公式为：</w:t>
      </w:r>
    </w:p>
    <w:p w14:paraId="799D81E5">
      <w:pPr>
        <w:pStyle w:val="21"/>
        <w:spacing w:line="560" w:lineRule="exact"/>
        <w:ind w:firstLine="640" w:firstLineChars="200"/>
        <w:rPr>
          <w:rFonts w:ascii="仿宋_GB2312" w:eastAsia="仿宋_GB2312"/>
          <w:sz w:val="32"/>
          <w:szCs w:val="32"/>
        </w:rPr>
      </w:pPr>
      <w:r>
        <w:rPr>
          <w:rFonts w:hint="eastAsia" w:ascii="仿宋_GB2312" w:eastAsia="仿宋_GB2312"/>
          <w:sz w:val="32"/>
          <w:szCs w:val="32"/>
        </w:rPr>
        <w:t>预算收入完成率＝年终执行数÷调整预算数×100%=100.00%</w:t>
      </w:r>
    </w:p>
    <w:p w14:paraId="61F1B7BE">
      <w:pPr>
        <w:pStyle w:val="21"/>
        <w:spacing w:line="560" w:lineRule="exact"/>
        <w:ind w:firstLine="640" w:firstLineChars="200"/>
        <w:rPr>
          <w:rFonts w:ascii="仿宋_GB2312" w:eastAsia="仿宋_GB2312"/>
          <w:sz w:val="32"/>
          <w:szCs w:val="32"/>
        </w:rPr>
      </w:pPr>
      <w:r>
        <w:rPr>
          <w:rFonts w:hint="eastAsia" w:ascii="仿宋_GB2312" w:eastAsia="仿宋_GB2312"/>
          <w:sz w:val="32"/>
          <w:szCs w:val="32"/>
        </w:rPr>
        <w:t>预算支出完成率＝年终执行数÷调整预算数×100%=100.00%</w:t>
      </w:r>
    </w:p>
    <w:p w14:paraId="2B781CEC">
      <w:pPr>
        <w:pStyle w:val="21"/>
        <w:spacing w:line="560" w:lineRule="exact"/>
        <w:ind w:firstLine="640" w:firstLineChars="200"/>
        <w:rPr>
          <w:rFonts w:ascii="仿宋_GB2312" w:eastAsia="仿宋_GB2312"/>
          <w:sz w:val="32"/>
          <w:szCs w:val="32"/>
        </w:rPr>
      </w:pPr>
      <w:r>
        <w:rPr>
          <w:rFonts w:hint="eastAsia" w:ascii="仿宋_GB2312" w:eastAsia="仿宋_GB2312"/>
          <w:sz w:val="32"/>
          <w:szCs w:val="32"/>
        </w:rPr>
        <w:t>2.人员支出、公用支出占事业支出的比率，衡量事业单位事业支出结构。计算公式为：</w:t>
      </w:r>
    </w:p>
    <w:p w14:paraId="763499E6">
      <w:pPr>
        <w:pStyle w:val="21"/>
        <w:spacing w:line="560" w:lineRule="exact"/>
        <w:ind w:firstLine="640" w:firstLineChars="200"/>
        <w:rPr>
          <w:rFonts w:ascii="仿宋_GB2312" w:eastAsia="仿宋_GB2312"/>
          <w:sz w:val="32"/>
          <w:szCs w:val="32"/>
        </w:rPr>
      </w:pPr>
      <w:r>
        <w:rPr>
          <w:rFonts w:hint="eastAsia" w:ascii="仿宋_GB2312" w:eastAsia="仿宋_GB2312"/>
          <w:sz w:val="32"/>
          <w:szCs w:val="32"/>
        </w:rPr>
        <w:t>人员支出比率＝人员支出÷事业支出×100%=87.2%</w:t>
      </w:r>
    </w:p>
    <w:p w14:paraId="46E389B2">
      <w:pPr>
        <w:pStyle w:val="21"/>
        <w:spacing w:line="560" w:lineRule="exact"/>
        <w:ind w:firstLine="640" w:firstLineChars="200"/>
        <w:rPr>
          <w:rFonts w:ascii="仿宋_GB2312" w:eastAsia="仿宋_GB2312"/>
          <w:sz w:val="32"/>
          <w:szCs w:val="32"/>
        </w:rPr>
      </w:pPr>
      <w:r>
        <w:rPr>
          <w:rFonts w:hint="eastAsia" w:ascii="仿宋_GB2312" w:eastAsia="仿宋_GB2312"/>
          <w:sz w:val="32"/>
          <w:szCs w:val="32"/>
        </w:rPr>
        <w:t>公用支出比率＝公用支出÷事业支出×100%=5.82%</w:t>
      </w:r>
    </w:p>
    <w:p w14:paraId="4FBA62DF">
      <w:pPr>
        <w:pStyle w:val="21"/>
        <w:spacing w:line="560" w:lineRule="exact"/>
        <w:ind w:firstLine="640" w:firstLineChars="200"/>
        <w:rPr>
          <w:rFonts w:ascii="仿宋_GB2312" w:eastAsia="仿宋_GB2312"/>
          <w:sz w:val="32"/>
          <w:szCs w:val="32"/>
        </w:rPr>
      </w:pPr>
      <w:r>
        <w:rPr>
          <w:rFonts w:hint="eastAsia" w:ascii="仿宋_GB2312" w:eastAsia="仿宋_GB2312"/>
          <w:sz w:val="32"/>
          <w:szCs w:val="32"/>
        </w:rPr>
        <w:t>3.人均基本支出，衡量事业单位按照实际在编人数平均的基本支出水平。计算公式为：</w:t>
      </w:r>
    </w:p>
    <w:p w14:paraId="01DA6725">
      <w:pPr>
        <w:pStyle w:val="21"/>
        <w:spacing w:line="560" w:lineRule="exact"/>
        <w:ind w:firstLine="640" w:firstLineChars="200"/>
        <w:rPr>
          <w:rFonts w:ascii="仿宋_GB2312" w:eastAsia="仿宋_GB2312"/>
          <w:sz w:val="32"/>
          <w:szCs w:val="32"/>
        </w:rPr>
      </w:pPr>
      <w:r>
        <w:rPr>
          <w:rFonts w:hint="eastAsia" w:ascii="仿宋_GB2312" w:eastAsia="仿宋_GB2312"/>
          <w:sz w:val="32"/>
          <w:szCs w:val="32"/>
        </w:rPr>
        <w:t>人均基本支出＝（基本支出-离退休人员支出）÷实际在编人数=26.32此外，行业事业单位还可根据相关财务制度规定和分析需要增加相关分析指标，如：</w:t>
      </w:r>
    </w:p>
    <w:p w14:paraId="210E7376">
      <w:pPr>
        <w:pStyle w:val="21"/>
        <w:spacing w:line="560" w:lineRule="exact"/>
        <w:ind w:firstLine="640" w:firstLineChars="200"/>
        <w:rPr>
          <w:rFonts w:ascii="仿宋_GB2312" w:eastAsia="仿宋_GB2312"/>
          <w:sz w:val="32"/>
          <w:szCs w:val="32"/>
        </w:rPr>
      </w:pPr>
      <w:r>
        <w:rPr>
          <w:rFonts w:hint="eastAsia" w:ascii="仿宋_GB2312" w:eastAsia="仿宋_GB2312"/>
          <w:sz w:val="32"/>
          <w:szCs w:val="32"/>
        </w:rPr>
        <w:t>1.财政拨款依存度， 衡量部门（单位）对财政拨款的依赖程度。</w:t>
      </w:r>
    </w:p>
    <w:p w14:paraId="7902492E">
      <w:pPr>
        <w:pStyle w:val="21"/>
        <w:spacing w:line="560" w:lineRule="exact"/>
        <w:ind w:firstLine="640" w:firstLineChars="200"/>
        <w:rPr>
          <w:rFonts w:ascii="黑体" w:eastAsia="黑体"/>
          <w:sz w:val="32"/>
          <w:szCs w:val="32"/>
        </w:rPr>
      </w:pPr>
      <w:r>
        <w:rPr>
          <w:rFonts w:hint="eastAsia" w:ascii="仿宋_GB2312" w:eastAsia="仿宋_GB2312"/>
          <w:sz w:val="32"/>
          <w:szCs w:val="32"/>
        </w:rPr>
        <w:t>财政拨款依存度＝财政拨款收入÷收入总额×100%=100.00%</w:t>
      </w:r>
    </w:p>
    <w:p w14:paraId="2B0E124D">
      <w:pPr>
        <w:rPr>
          <w:rStyle w:val="19"/>
          <w:rFonts w:ascii="黑体" w:eastAsia="黑体"/>
          <w:b w:val="0"/>
        </w:rPr>
      </w:pPr>
      <w:bookmarkStart w:id="64" w:name="_Toc15377225"/>
      <w:bookmarkStart w:id="65" w:name="_Toc30041"/>
      <w:bookmarkStart w:id="66" w:name="_Toc15396613"/>
      <w:r>
        <w:rPr>
          <w:rFonts w:hint="eastAsia" w:ascii="黑体" w:eastAsia="黑体"/>
          <w:b/>
          <w:color w:val="000000"/>
          <w:sz w:val="44"/>
          <w:szCs w:val="44"/>
        </w:rPr>
        <w:br w:type="page"/>
      </w:r>
    </w:p>
    <w:p w14:paraId="2C199B5C">
      <w:pPr>
        <w:numPr>
          <w:ilvl w:val="0"/>
          <w:numId w:val="4"/>
        </w:numPr>
        <w:spacing w:line="600" w:lineRule="exact"/>
        <w:ind w:firstLine="663" w:firstLineChars="150"/>
        <w:jc w:val="center"/>
        <w:outlineLvl w:val="0"/>
        <w:rPr>
          <w:rStyle w:val="19"/>
          <w:rFonts w:ascii="黑体" w:eastAsia="黑体"/>
          <w:b w:val="0"/>
        </w:rPr>
      </w:pPr>
      <w:bookmarkStart w:id="67" w:name="_Toc19145"/>
      <w:r>
        <w:rPr>
          <w:rFonts w:hint="eastAsia" w:ascii="黑体" w:eastAsia="黑体"/>
          <w:b/>
          <w:color w:val="000000"/>
          <w:sz w:val="44"/>
          <w:szCs w:val="44"/>
        </w:rPr>
        <w:t>名</w:t>
      </w:r>
      <w:r>
        <w:rPr>
          <w:rStyle w:val="19"/>
          <w:rFonts w:hint="eastAsia" w:ascii="黑体" w:eastAsia="黑体"/>
          <w:b w:val="0"/>
        </w:rPr>
        <w:t>词解释</w:t>
      </w:r>
      <w:bookmarkEnd w:id="64"/>
      <w:bookmarkEnd w:id="65"/>
      <w:bookmarkEnd w:id="66"/>
      <w:bookmarkEnd w:id="67"/>
    </w:p>
    <w:p w14:paraId="14821F75">
      <w:pPr>
        <w:pStyle w:val="21"/>
        <w:spacing w:line="560" w:lineRule="exact"/>
        <w:ind w:firstLine="640" w:firstLineChars="200"/>
        <w:rPr>
          <w:rFonts w:ascii="仿宋_GB2312" w:eastAsia="仿宋_GB2312"/>
          <w:sz w:val="32"/>
          <w:szCs w:val="32"/>
        </w:rPr>
      </w:pPr>
      <w:r>
        <w:rPr>
          <w:rFonts w:hint="eastAsia" w:ascii="仿宋_GB2312" w:eastAsia="仿宋_GB2312"/>
          <w:sz w:val="32"/>
          <w:szCs w:val="32"/>
          <w:lang w:eastAsia="zh-CN"/>
        </w:rPr>
        <w:t>1.</w:t>
      </w:r>
      <w:r>
        <w:rPr>
          <w:rFonts w:hint="eastAsia" w:ascii="仿宋_GB2312" w:eastAsia="仿宋_GB2312"/>
          <w:sz w:val="32"/>
          <w:szCs w:val="32"/>
        </w:rPr>
        <w:t>财政拨款收入：指州级财政当年拨付的资金。</w:t>
      </w:r>
    </w:p>
    <w:p w14:paraId="229B810B">
      <w:pPr>
        <w:pStyle w:val="21"/>
        <w:spacing w:line="560" w:lineRule="exact"/>
        <w:ind w:firstLine="640" w:firstLineChars="200"/>
        <w:rPr>
          <w:rFonts w:ascii="仿宋_GB2312" w:eastAsia="仿宋_GB2312"/>
          <w:sz w:val="32"/>
          <w:szCs w:val="32"/>
        </w:rPr>
      </w:pPr>
      <w:r>
        <w:rPr>
          <w:rFonts w:hint="eastAsia" w:ascii="仿宋_GB2312" w:eastAsia="仿宋_GB2312"/>
          <w:sz w:val="32"/>
          <w:szCs w:val="32"/>
          <w:lang w:eastAsia="zh-CN"/>
        </w:rPr>
        <w:t>2.</w:t>
      </w:r>
      <w:r>
        <w:rPr>
          <w:rFonts w:hint="eastAsia" w:ascii="仿宋_GB2312" w:eastAsia="仿宋_GB2312"/>
          <w:sz w:val="32"/>
          <w:szCs w:val="32"/>
        </w:rPr>
        <w:t xml:space="preserve">年初结转和结余：指以前年度尚未完成、结转到本年按有关规定继续使用的资金。 </w:t>
      </w:r>
    </w:p>
    <w:p w14:paraId="12BDBEDF">
      <w:pPr>
        <w:pStyle w:val="21"/>
        <w:spacing w:line="560" w:lineRule="exact"/>
        <w:ind w:firstLine="640" w:firstLineChars="200"/>
        <w:rPr>
          <w:rFonts w:ascii="仿宋_GB2312" w:eastAsia="仿宋_GB2312"/>
          <w:sz w:val="32"/>
          <w:szCs w:val="32"/>
        </w:rPr>
      </w:pPr>
      <w:r>
        <w:rPr>
          <w:rFonts w:hint="eastAsia" w:ascii="仿宋_GB2312" w:eastAsia="仿宋_GB2312"/>
          <w:sz w:val="32"/>
          <w:szCs w:val="32"/>
          <w:lang w:eastAsia="zh-CN"/>
        </w:rPr>
        <w:t>3.</w:t>
      </w:r>
      <w:r>
        <w:rPr>
          <w:rFonts w:hint="eastAsia" w:ascii="仿宋_GB2312" w:eastAsia="仿宋_GB2312"/>
          <w:sz w:val="32"/>
          <w:szCs w:val="32"/>
        </w:rPr>
        <w:t>社会保障和就业208人力资源和社会保障管理事务01社会保险经办机构09：指社会保险经办机构开展业务工作的支出。</w:t>
      </w:r>
    </w:p>
    <w:p w14:paraId="7B8E35A1">
      <w:pPr>
        <w:ind w:firstLine="640" w:firstLineChars="200"/>
        <w:rPr>
          <w:rFonts w:ascii="仿宋_GB2312" w:eastAsia="仿宋_GB2312"/>
          <w:color w:val="000000"/>
          <w:sz w:val="32"/>
          <w:szCs w:val="32"/>
        </w:rPr>
      </w:pPr>
      <w:r>
        <w:rPr>
          <w:rFonts w:hint="eastAsia" w:ascii="仿宋_GB2312" w:eastAsia="仿宋_GB2312"/>
          <w:color w:val="000000"/>
          <w:sz w:val="32"/>
          <w:szCs w:val="32"/>
          <w:lang w:eastAsia="zh-CN"/>
        </w:rPr>
        <w:t>4.</w:t>
      </w:r>
      <w:r>
        <w:rPr>
          <w:rFonts w:hint="eastAsia" w:ascii="仿宋_GB2312" w:eastAsia="仿宋_GB2312"/>
          <w:color w:val="000000"/>
          <w:sz w:val="32"/>
          <w:szCs w:val="32"/>
        </w:rPr>
        <w:t>社会保障和就业208行政事业单位离退休05机关事业单位基本养老保险缴费支出05：指机关事业单位实施养老保险制度由单位缴纳的基本养老保险费支出。</w:t>
      </w:r>
    </w:p>
    <w:p w14:paraId="73542B6D">
      <w:pPr>
        <w:ind w:firstLine="640" w:firstLineChars="200"/>
        <w:rPr>
          <w:rFonts w:ascii="仿宋_GB2312" w:eastAsia="仿宋_GB2312"/>
          <w:color w:val="000000"/>
          <w:sz w:val="32"/>
          <w:szCs w:val="32"/>
        </w:rPr>
      </w:pPr>
      <w:r>
        <w:rPr>
          <w:rFonts w:hint="eastAsia" w:ascii="仿宋_GB2312" w:eastAsia="仿宋_GB2312"/>
          <w:color w:val="000000"/>
          <w:sz w:val="32"/>
          <w:szCs w:val="32"/>
          <w:lang w:eastAsia="zh-CN"/>
        </w:rPr>
        <w:t>5.</w:t>
      </w:r>
      <w:r>
        <w:rPr>
          <w:rFonts w:hint="eastAsia" w:ascii="仿宋_GB2312" w:eastAsia="仿宋_GB2312"/>
          <w:color w:val="000000"/>
          <w:sz w:val="32"/>
          <w:szCs w:val="32"/>
        </w:rPr>
        <w:t>社会保障和就业208行政事业单位离退休05机关事业单位职业年金缴费支出06：指机关事业单位实施养老保险制度由单位缴纳的职业年金支出。</w:t>
      </w:r>
    </w:p>
    <w:p w14:paraId="75358E4A">
      <w:pPr>
        <w:ind w:firstLine="640" w:firstLineChars="200"/>
        <w:rPr>
          <w:rFonts w:ascii="仿宋_GB2312" w:eastAsia="仿宋_GB2312"/>
          <w:color w:val="000000"/>
          <w:sz w:val="32"/>
          <w:szCs w:val="32"/>
        </w:rPr>
      </w:pPr>
      <w:r>
        <w:rPr>
          <w:rFonts w:hint="eastAsia" w:ascii="仿宋_GB2312" w:eastAsia="仿宋_GB2312"/>
          <w:color w:val="000000"/>
          <w:sz w:val="32"/>
          <w:szCs w:val="32"/>
          <w:lang w:eastAsia="zh-CN"/>
        </w:rPr>
        <w:t>6.</w:t>
      </w:r>
      <w:r>
        <w:rPr>
          <w:rFonts w:hint="eastAsia" w:ascii="仿宋_GB2312" w:eastAsia="仿宋_GB2312"/>
          <w:color w:val="000000"/>
          <w:sz w:val="32"/>
          <w:szCs w:val="32"/>
        </w:rPr>
        <w:t>医疗卫生与计划生育支出210医疗保障11事业单位医疗02：指反映财政部门集中安排的事业单位基本医疗保险缴费经费。</w:t>
      </w:r>
    </w:p>
    <w:p w14:paraId="470FBAC1">
      <w:pPr>
        <w:ind w:firstLine="640" w:firstLineChars="200"/>
        <w:rPr>
          <w:rFonts w:ascii="仿宋_GB2312" w:eastAsia="仿宋_GB2312"/>
          <w:color w:val="000000"/>
          <w:sz w:val="32"/>
          <w:szCs w:val="32"/>
        </w:rPr>
      </w:pPr>
      <w:r>
        <w:rPr>
          <w:rFonts w:hint="eastAsia" w:ascii="仿宋_GB2312" w:eastAsia="仿宋_GB2312"/>
          <w:color w:val="000000"/>
          <w:sz w:val="32"/>
          <w:szCs w:val="32"/>
          <w:lang w:eastAsia="zh-CN"/>
        </w:rPr>
        <w:t>7.</w:t>
      </w:r>
      <w:r>
        <w:rPr>
          <w:rFonts w:hint="eastAsia" w:ascii="仿宋_GB2312" w:eastAsia="仿宋_GB2312"/>
          <w:color w:val="000000"/>
          <w:sz w:val="32"/>
          <w:szCs w:val="32"/>
        </w:rPr>
        <w:t>住房保障支出221住房改革支出02住房公积金01：指反映行政事业单位按人力资源和社会保障部、财政部规定的基本工资和津贴补贴以及规定比例为职工缴纳的住房公积金。</w:t>
      </w:r>
    </w:p>
    <w:p w14:paraId="451B6A93">
      <w:pPr>
        <w:ind w:firstLine="640" w:firstLineChars="200"/>
        <w:rPr>
          <w:rFonts w:ascii="仿宋_GB2312" w:eastAsia="仿宋_GB2312"/>
          <w:color w:val="000000"/>
          <w:sz w:val="32"/>
          <w:szCs w:val="32"/>
        </w:rPr>
      </w:pPr>
      <w:r>
        <w:rPr>
          <w:rFonts w:hint="eastAsia" w:ascii="仿宋_GB2312" w:eastAsia="仿宋_GB2312"/>
          <w:color w:val="000000"/>
          <w:sz w:val="32"/>
          <w:szCs w:val="32"/>
          <w:lang w:eastAsia="zh-CN"/>
        </w:rPr>
        <w:t>8.</w:t>
      </w:r>
      <w:r>
        <w:rPr>
          <w:rFonts w:hint="eastAsia" w:ascii="仿宋_GB2312" w:eastAsia="仿宋_GB2312"/>
          <w:color w:val="000000"/>
          <w:sz w:val="32"/>
          <w:szCs w:val="32"/>
        </w:rPr>
        <w:t>年末结转和结余：指本年度或以前年度预算安排、因客观条件发生变化无法按原计划实施，需延迟到以后年度按有关规定继续使用的资金。</w:t>
      </w:r>
    </w:p>
    <w:p w14:paraId="46DD39F2">
      <w:pPr>
        <w:ind w:firstLine="640" w:firstLineChars="200"/>
        <w:rPr>
          <w:rFonts w:ascii="仿宋_GB2312" w:eastAsia="仿宋_GB2312"/>
          <w:color w:val="000000"/>
          <w:sz w:val="32"/>
          <w:szCs w:val="32"/>
        </w:rPr>
      </w:pPr>
      <w:r>
        <w:rPr>
          <w:rFonts w:hint="eastAsia" w:ascii="仿宋_GB2312" w:eastAsia="仿宋_GB2312"/>
          <w:color w:val="000000"/>
          <w:sz w:val="32"/>
          <w:szCs w:val="32"/>
          <w:lang w:eastAsia="zh-CN"/>
        </w:rPr>
        <w:t>9.</w:t>
      </w:r>
      <w:r>
        <w:rPr>
          <w:rFonts w:hint="eastAsia" w:ascii="仿宋_GB2312" w:eastAsia="仿宋_GB2312"/>
          <w:color w:val="000000"/>
          <w:sz w:val="32"/>
          <w:szCs w:val="32"/>
        </w:rPr>
        <w:t>基本支出：指为保障机构正常运转、完成日常工作任务而发生的人员支出和公用支出。</w:t>
      </w:r>
    </w:p>
    <w:p w14:paraId="14EF7F64">
      <w:pPr>
        <w:pStyle w:val="21"/>
        <w:spacing w:line="560" w:lineRule="exact"/>
        <w:ind w:firstLine="640" w:firstLineChars="200"/>
        <w:rPr>
          <w:rFonts w:ascii="仿宋_GB2312" w:eastAsia="仿宋_GB2312"/>
          <w:sz w:val="32"/>
          <w:szCs w:val="32"/>
        </w:rPr>
      </w:pPr>
      <w:r>
        <w:rPr>
          <w:rFonts w:hint="eastAsia" w:ascii="仿宋_GB2312" w:eastAsia="仿宋_GB2312"/>
          <w:sz w:val="32"/>
          <w:szCs w:val="32"/>
          <w:lang w:eastAsia="zh-CN"/>
        </w:rPr>
        <w:t>10.</w:t>
      </w:r>
      <w:r>
        <w:rPr>
          <w:rFonts w:hint="eastAsia" w:ascii="仿宋_GB2312" w:eastAsia="仿宋_GB2312"/>
          <w:sz w:val="32"/>
          <w:szCs w:val="32"/>
        </w:rPr>
        <w:t>“三公”经费：纳入州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14:paraId="03403029">
      <w:pPr>
        <w:keepNext w:val="0"/>
        <w:keepLines w:val="0"/>
        <w:pageBreakBefore w:val="0"/>
        <w:widowControl/>
        <w:kinsoku/>
        <w:wordWrap/>
        <w:overflowPunct/>
        <w:topLinePunct w:val="0"/>
        <w:autoSpaceDE/>
        <w:autoSpaceDN/>
        <w:bidi w:val="0"/>
        <w:spacing w:line="578" w:lineRule="exact"/>
        <w:contextualSpacing/>
        <w:jc w:val="center"/>
        <w:textAlignment w:val="auto"/>
        <w:outlineLvl w:val="9"/>
        <w:rPr>
          <w:rFonts w:hint="eastAsia" w:ascii="仿宋_GB2312" w:eastAsia="仿宋_GB2312"/>
          <w:sz w:val="32"/>
          <w:szCs w:val="32"/>
          <w:lang w:eastAsia="zh-CN"/>
        </w:rPr>
      </w:pPr>
      <w:r>
        <w:rPr>
          <w:rFonts w:hint="eastAsia" w:ascii="仿宋_GB2312" w:eastAsia="仿宋_GB2312"/>
          <w:sz w:val="32"/>
          <w:szCs w:val="32"/>
          <w:lang w:eastAsia="zh-CN"/>
        </w:rPr>
        <w:object>
          <v:shape id="_x0000_i1025" o:spt="75" type="#_x0000_t75" style="height:489pt;width:416.25pt;" o:ole="t" filled="f" o:preferrelative="t" stroked="f" coordsize="21600,21600">
            <v:path/>
            <v:fill on="f" focussize="0,0"/>
            <v:stroke on="f"/>
            <v:imagedata r:id="rId16" o:title=""/>
            <o:lock v:ext="edit" aspectratio="t"/>
            <w10:wrap type="none"/>
            <w10:anchorlock/>
          </v:shape>
          <o:OLEObject Type="Embed" ProgID="Office12.wps.Document.8" ShapeID="_x0000_i1025" DrawAspect="Content" ObjectID="_1468075725" r:id="rId15">
            <o:LockedField>false</o:LockedField>
          </o:OLEObject>
        </w:object>
      </w:r>
    </w:p>
    <w:p w14:paraId="14A882BF">
      <w:pPr>
        <w:rPr>
          <w:rFonts w:hint="eastAsia" w:ascii="仿宋_GB2312" w:eastAsia="仿宋_GB2312"/>
          <w:sz w:val="32"/>
          <w:szCs w:val="32"/>
          <w:lang w:eastAsia="zh-CN"/>
        </w:rPr>
      </w:pPr>
      <w:r>
        <w:rPr>
          <w:rFonts w:hint="eastAsia" w:ascii="仿宋_GB2312" w:eastAsia="仿宋_GB2312"/>
          <w:sz w:val="32"/>
          <w:szCs w:val="32"/>
          <w:lang w:eastAsia="zh-CN"/>
        </w:rPr>
        <w:br w:type="page"/>
      </w:r>
    </w:p>
    <w:p w14:paraId="02DF372B">
      <w:pPr>
        <w:numPr>
          <w:ilvl w:val="0"/>
          <w:numId w:val="4"/>
        </w:numPr>
        <w:spacing w:line="600" w:lineRule="exact"/>
        <w:ind w:firstLine="660" w:firstLineChars="150"/>
        <w:jc w:val="center"/>
        <w:outlineLvl w:val="0"/>
        <w:rPr>
          <w:rFonts w:hint="eastAsia" w:eastAsia="方正小标宋简体" w:cs="Times New Roman"/>
          <w:b w:val="0"/>
          <w:bCs/>
          <w:sz w:val="44"/>
          <w:szCs w:val="44"/>
          <w:highlight w:val="none"/>
          <w:shd w:val="clear" w:color="auto" w:fill="FFFFFF"/>
          <w:lang w:eastAsia="zh-CN"/>
        </w:rPr>
      </w:pPr>
      <w:bookmarkStart w:id="68" w:name="_Toc18991"/>
      <w:r>
        <w:rPr>
          <w:rFonts w:hint="eastAsia" w:eastAsia="方正小标宋简体" w:cs="Times New Roman"/>
          <w:b w:val="0"/>
          <w:bCs/>
          <w:sz w:val="44"/>
          <w:szCs w:val="44"/>
          <w:highlight w:val="none"/>
          <w:shd w:val="clear" w:color="auto" w:fill="FFFFFF"/>
          <w:lang w:eastAsia="zh-CN"/>
        </w:rPr>
        <w:t>附件</w:t>
      </w:r>
      <w:bookmarkEnd w:id="68"/>
    </w:p>
    <w:p w14:paraId="3C207D79">
      <w:pPr>
        <w:keepNext w:val="0"/>
        <w:keepLines w:val="0"/>
        <w:pageBreakBefore w:val="0"/>
        <w:widowControl/>
        <w:kinsoku/>
        <w:wordWrap/>
        <w:overflowPunct/>
        <w:topLinePunct w:val="0"/>
        <w:autoSpaceDE/>
        <w:autoSpaceDN/>
        <w:bidi w:val="0"/>
        <w:spacing w:line="578" w:lineRule="exact"/>
        <w:contextualSpacing/>
        <w:jc w:val="center"/>
        <w:textAlignment w:val="auto"/>
        <w:outlineLvl w:val="9"/>
        <w:rPr>
          <w:rFonts w:hint="eastAsia" w:eastAsia="方正小标宋简体" w:cs="Times New Roman"/>
          <w:b w:val="0"/>
          <w:bCs/>
          <w:sz w:val="44"/>
          <w:szCs w:val="44"/>
          <w:highlight w:val="none"/>
          <w:shd w:val="clear" w:color="auto" w:fill="FFFFFF"/>
          <w:lang w:eastAsia="zh-CN"/>
        </w:rPr>
      </w:pPr>
    </w:p>
    <w:p w14:paraId="2214AC81">
      <w:pPr>
        <w:spacing w:line="600" w:lineRule="exact"/>
        <w:ind w:firstLine="880" w:firstLineChars="200"/>
        <w:jc w:val="center"/>
        <w:outlineLvl w:val="1"/>
        <w:rPr>
          <w:rFonts w:hint="eastAsia" w:ascii="黑体" w:eastAsia="黑体"/>
          <w:color w:val="000000"/>
          <w:sz w:val="44"/>
          <w:szCs w:val="44"/>
          <w:lang w:eastAsia="zh-CN"/>
        </w:rPr>
      </w:pPr>
      <w:bookmarkStart w:id="69" w:name="_Toc32120"/>
      <w:r>
        <w:rPr>
          <w:rFonts w:hint="eastAsia" w:ascii="黑体" w:eastAsia="黑体"/>
          <w:color w:val="000000"/>
          <w:sz w:val="44"/>
          <w:szCs w:val="44"/>
          <w:lang w:eastAsia="zh-CN"/>
        </w:rPr>
        <w:t>金川县社会保险事务中心</w:t>
      </w:r>
      <w:bookmarkEnd w:id="69"/>
    </w:p>
    <w:p w14:paraId="2C45C39E">
      <w:pPr>
        <w:spacing w:line="600" w:lineRule="exact"/>
        <w:ind w:firstLine="880" w:firstLineChars="200"/>
        <w:jc w:val="center"/>
        <w:outlineLvl w:val="1"/>
        <w:rPr>
          <w:rFonts w:hint="default" w:ascii="黑体" w:eastAsia="黑体"/>
          <w:color w:val="000000"/>
          <w:sz w:val="44"/>
          <w:szCs w:val="44"/>
        </w:rPr>
      </w:pPr>
      <w:bookmarkStart w:id="70" w:name="_Toc18144"/>
      <w:r>
        <w:rPr>
          <w:rFonts w:hint="default" w:ascii="黑体" w:eastAsia="黑体"/>
          <w:color w:val="000000"/>
          <w:sz w:val="44"/>
          <w:szCs w:val="44"/>
        </w:rPr>
        <w:t>部门</w:t>
      </w:r>
      <w:r>
        <w:rPr>
          <w:rFonts w:hint="default" w:ascii="黑体" w:eastAsia="黑体"/>
          <w:color w:val="000000"/>
          <w:sz w:val="44"/>
          <w:szCs w:val="44"/>
          <w:lang w:eastAsia="zh-CN"/>
        </w:rPr>
        <w:t>预算</w:t>
      </w:r>
      <w:r>
        <w:rPr>
          <w:rFonts w:hint="default" w:ascii="黑体" w:eastAsia="黑体"/>
          <w:color w:val="000000"/>
          <w:sz w:val="44"/>
          <w:szCs w:val="44"/>
        </w:rPr>
        <w:t>绩效</w:t>
      </w:r>
      <w:r>
        <w:rPr>
          <w:rFonts w:hint="eastAsia" w:ascii="黑体" w:eastAsia="黑体"/>
          <w:color w:val="000000"/>
          <w:sz w:val="44"/>
          <w:szCs w:val="44"/>
          <w:lang w:eastAsia="zh-CN"/>
        </w:rPr>
        <w:t>自评</w:t>
      </w:r>
      <w:r>
        <w:rPr>
          <w:rFonts w:hint="default" w:ascii="黑体" w:eastAsia="黑体"/>
          <w:color w:val="000000"/>
          <w:sz w:val="44"/>
          <w:szCs w:val="44"/>
        </w:rPr>
        <w:t>报告</w:t>
      </w:r>
      <w:bookmarkEnd w:id="70"/>
    </w:p>
    <w:p w14:paraId="67CDA85E">
      <w:pPr>
        <w:keepNext w:val="0"/>
        <w:keepLines w:val="0"/>
        <w:pageBreakBefore w:val="0"/>
        <w:widowControl/>
        <w:kinsoku/>
        <w:wordWrap/>
        <w:overflowPunct/>
        <w:topLinePunct w:val="0"/>
        <w:autoSpaceDE/>
        <w:autoSpaceDN/>
        <w:bidi w:val="0"/>
        <w:spacing w:line="578" w:lineRule="exact"/>
        <w:contextualSpacing/>
        <w:jc w:val="center"/>
        <w:textAlignment w:val="auto"/>
        <w:outlineLvl w:val="9"/>
        <w:rPr>
          <w:rFonts w:hint="default" w:ascii="Times New Roman" w:hAnsi="Times New Roman" w:eastAsia="方正小标宋简体" w:cs="Times New Roman"/>
          <w:b w:val="0"/>
          <w:bCs/>
          <w:sz w:val="44"/>
          <w:szCs w:val="44"/>
          <w:highlight w:val="none"/>
          <w:shd w:val="clear" w:color="auto" w:fill="FFFFFF"/>
        </w:rPr>
      </w:pPr>
    </w:p>
    <w:p w14:paraId="26F401A4">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仿宋_GB2312" w:hAnsi="Times New Roman" w:eastAsia="仿宋_GB2312" w:cs="仿宋"/>
          <w:color w:val="000000"/>
          <w:kern w:val="0"/>
          <w:sz w:val="32"/>
          <w:szCs w:val="32"/>
          <w:lang w:val="en-US" w:eastAsia="zh-CN" w:bidi="ar-SA"/>
        </w:rPr>
      </w:pPr>
      <w:r>
        <w:rPr>
          <w:rFonts w:hint="default" w:ascii="仿宋_GB2312" w:hAnsi="Times New Roman" w:eastAsia="仿宋_GB2312" w:cs="仿宋"/>
          <w:color w:val="000000"/>
          <w:kern w:val="0"/>
          <w:sz w:val="32"/>
          <w:szCs w:val="32"/>
          <w:lang w:val="zh-CN" w:eastAsia="zh-CN" w:bidi="ar-SA"/>
        </w:rPr>
        <w:t>一、部门（单位）基本情况</w:t>
      </w:r>
    </w:p>
    <w:p w14:paraId="1D8B7110">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仿宋_GB2312" w:hAnsi="Times New Roman" w:eastAsia="仿宋_GB2312" w:cs="仿宋"/>
          <w:color w:val="000000"/>
          <w:kern w:val="0"/>
          <w:sz w:val="32"/>
          <w:szCs w:val="32"/>
          <w:lang w:val="zh-CN" w:eastAsia="zh-CN" w:bidi="ar-SA"/>
        </w:rPr>
      </w:pPr>
      <w:r>
        <w:rPr>
          <w:rFonts w:hint="default" w:ascii="仿宋_GB2312" w:hAnsi="Times New Roman" w:eastAsia="仿宋_GB2312" w:cs="仿宋"/>
          <w:color w:val="000000"/>
          <w:kern w:val="0"/>
          <w:sz w:val="32"/>
          <w:szCs w:val="32"/>
          <w:lang w:val="zh-CN" w:eastAsia="zh-CN" w:bidi="ar-SA"/>
        </w:rPr>
        <w:t>（一）机构组成。</w:t>
      </w:r>
    </w:p>
    <w:p w14:paraId="247873DB">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仿宋_GB2312" w:hAnsi="Times New Roman" w:eastAsia="仿宋_GB2312" w:cs="仿宋"/>
          <w:color w:val="000000"/>
          <w:kern w:val="0"/>
          <w:sz w:val="32"/>
          <w:szCs w:val="32"/>
          <w:lang w:val="en-US" w:eastAsia="zh-CN" w:bidi="ar-SA"/>
        </w:rPr>
      </w:pPr>
      <w:r>
        <w:rPr>
          <w:rFonts w:hint="default" w:ascii="仿宋_GB2312" w:hAnsi="Times New Roman" w:eastAsia="仿宋_GB2312" w:cs="仿宋"/>
          <w:color w:val="000000"/>
          <w:kern w:val="0"/>
          <w:sz w:val="32"/>
          <w:szCs w:val="32"/>
          <w:lang w:val="en-US" w:eastAsia="zh-CN" w:bidi="ar-SA"/>
        </w:rPr>
        <w:t>金川县社会保险事务中心属独立编制机构和独立核算的参公事业单位。内设办公室、财务股、统筹计划股、退管股、审计股、事业单位保险股、工伤生育股共7个股室。</w:t>
      </w:r>
    </w:p>
    <w:p w14:paraId="0979CFC8">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仿宋_GB2312" w:hAnsi="Times New Roman" w:eastAsia="仿宋_GB2312" w:cs="仿宋"/>
          <w:color w:val="000000"/>
          <w:kern w:val="0"/>
          <w:sz w:val="32"/>
          <w:szCs w:val="32"/>
          <w:lang w:val="zh-CN" w:eastAsia="zh-CN" w:bidi="ar-SA"/>
        </w:rPr>
      </w:pPr>
      <w:r>
        <w:rPr>
          <w:rFonts w:hint="default" w:ascii="仿宋_GB2312" w:hAnsi="Times New Roman" w:eastAsia="仿宋_GB2312" w:cs="仿宋"/>
          <w:color w:val="000000"/>
          <w:kern w:val="0"/>
          <w:sz w:val="32"/>
          <w:szCs w:val="32"/>
          <w:lang w:val="zh-CN" w:eastAsia="zh-CN" w:bidi="ar-SA"/>
        </w:rPr>
        <w:t>（二）机构职能。</w:t>
      </w:r>
    </w:p>
    <w:p w14:paraId="2FB13E79">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_GB2312" w:hAnsi="Times New Roman" w:eastAsia="仿宋_GB2312" w:cs="仿宋"/>
          <w:color w:val="000000"/>
          <w:kern w:val="0"/>
          <w:sz w:val="32"/>
          <w:szCs w:val="32"/>
          <w:lang w:val="zh-CN" w:eastAsia="zh-CN" w:bidi="ar-SA"/>
        </w:rPr>
      </w:pPr>
      <w:r>
        <w:rPr>
          <w:rFonts w:hint="eastAsia" w:ascii="仿宋_GB2312" w:eastAsia="仿宋_GB2312" w:cs="仿宋"/>
          <w:color w:val="000000"/>
          <w:kern w:val="0"/>
          <w:sz w:val="32"/>
          <w:szCs w:val="32"/>
          <w:lang w:val="zh-CN" w:eastAsia="zh-CN" w:bidi="ar-SA"/>
        </w:rPr>
        <w:t>1.</w:t>
      </w:r>
      <w:r>
        <w:rPr>
          <w:rFonts w:hint="eastAsia" w:ascii="仿宋_GB2312" w:hAnsi="Times New Roman" w:eastAsia="仿宋_GB2312" w:cs="仿宋"/>
          <w:color w:val="000000"/>
          <w:kern w:val="0"/>
          <w:sz w:val="32"/>
          <w:szCs w:val="32"/>
          <w:lang w:val="zh-CN" w:eastAsia="zh-CN" w:bidi="ar-SA"/>
        </w:rPr>
        <w:t>根据有关法律、法规和规章，制定全县社会保险登记、申报、征缴、管理、使用、运营和待遇支付以及社会保险关系建立、中断、转移、接续和基金转移的办事程序与操作规范并组织实施；</w:t>
      </w:r>
    </w:p>
    <w:p w14:paraId="11229965">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_GB2312" w:hAnsi="Times New Roman" w:eastAsia="仿宋_GB2312" w:cs="仿宋"/>
          <w:color w:val="000000"/>
          <w:kern w:val="0"/>
          <w:sz w:val="32"/>
          <w:szCs w:val="32"/>
          <w:lang w:val="zh-CN" w:eastAsia="zh-CN" w:bidi="ar-SA"/>
        </w:rPr>
      </w:pPr>
      <w:r>
        <w:rPr>
          <w:rFonts w:hint="eastAsia" w:ascii="仿宋_GB2312" w:eastAsia="仿宋_GB2312" w:cs="仿宋"/>
          <w:color w:val="000000"/>
          <w:kern w:val="0"/>
          <w:sz w:val="32"/>
          <w:szCs w:val="32"/>
          <w:lang w:val="zh-CN" w:eastAsia="zh-CN" w:bidi="ar-SA"/>
        </w:rPr>
        <w:t>2.</w:t>
      </w:r>
      <w:r>
        <w:rPr>
          <w:rFonts w:hint="eastAsia" w:ascii="仿宋_GB2312" w:hAnsi="Times New Roman" w:eastAsia="仿宋_GB2312" w:cs="仿宋"/>
          <w:color w:val="000000"/>
          <w:kern w:val="0"/>
          <w:sz w:val="32"/>
          <w:szCs w:val="32"/>
          <w:lang w:val="zh-CN" w:eastAsia="zh-CN" w:bidi="ar-SA"/>
        </w:rPr>
        <w:t>制定全县社会保险个人账户、缴费记录、档案管理等业务工作规范并组织实施；</w:t>
      </w:r>
    </w:p>
    <w:p w14:paraId="7F7B4318">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_GB2312" w:hAnsi="Times New Roman" w:eastAsia="仿宋_GB2312" w:cs="仿宋"/>
          <w:color w:val="000000"/>
          <w:kern w:val="0"/>
          <w:sz w:val="32"/>
          <w:szCs w:val="32"/>
          <w:lang w:val="zh-CN" w:eastAsia="zh-CN" w:bidi="ar-SA"/>
        </w:rPr>
      </w:pPr>
      <w:r>
        <w:rPr>
          <w:rFonts w:hint="eastAsia" w:ascii="仿宋_GB2312" w:eastAsia="仿宋_GB2312" w:cs="仿宋"/>
          <w:color w:val="000000"/>
          <w:kern w:val="0"/>
          <w:sz w:val="32"/>
          <w:szCs w:val="32"/>
          <w:lang w:val="zh-CN" w:eastAsia="zh-CN" w:bidi="ar-SA"/>
        </w:rPr>
        <w:t>3.</w:t>
      </w:r>
      <w:r>
        <w:rPr>
          <w:rFonts w:hint="eastAsia" w:ascii="仿宋_GB2312" w:hAnsi="Times New Roman" w:eastAsia="仿宋_GB2312" w:cs="仿宋"/>
          <w:color w:val="000000"/>
          <w:kern w:val="0"/>
          <w:sz w:val="32"/>
          <w:szCs w:val="32"/>
          <w:lang w:val="zh-CN" w:eastAsia="zh-CN" w:bidi="ar-SA"/>
        </w:rPr>
        <w:t>制定全县保险基金财务、会计制度的具体操作办法并组织实施，指导各单位财务按照社会保险基金财务、会计制度进行规范管理，编制汇总全县社会保险基金年度预决算报告，加强基金财务管理和会计核算；</w:t>
      </w:r>
    </w:p>
    <w:p w14:paraId="539CF6D6">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_GB2312" w:hAnsi="Times New Roman" w:eastAsia="仿宋_GB2312" w:cs="仿宋"/>
          <w:color w:val="000000"/>
          <w:kern w:val="0"/>
          <w:sz w:val="32"/>
          <w:szCs w:val="32"/>
          <w:lang w:val="zh-CN" w:eastAsia="zh-CN" w:bidi="ar-SA"/>
        </w:rPr>
      </w:pPr>
      <w:r>
        <w:rPr>
          <w:rFonts w:hint="eastAsia" w:ascii="仿宋_GB2312" w:eastAsia="仿宋_GB2312" w:cs="仿宋"/>
          <w:color w:val="000000"/>
          <w:kern w:val="0"/>
          <w:sz w:val="32"/>
          <w:szCs w:val="32"/>
          <w:lang w:val="zh-CN" w:eastAsia="zh-CN" w:bidi="ar-SA"/>
        </w:rPr>
        <w:t>4.</w:t>
      </w:r>
      <w:r>
        <w:rPr>
          <w:rFonts w:hint="eastAsia" w:ascii="仿宋_GB2312" w:hAnsi="Times New Roman" w:eastAsia="仿宋_GB2312" w:cs="仿宋"/>
          <w:color w:val="000000"/>
          <w:kern w:val="0"/>
          <w:sz w:val="32"/>
          <w:szCs w:val="32"/>
          <w:lang w:val="zh-CN" w:eastAsia="zh-CN" w:bidi="ar-SA"/>
        </w:rPr>
        <w:t>负责全县社会保险统筹规划，研究提出年度筹划和实施意见，负责全县社会保险调剂金的上解；</w:t>
      </w:r>
    </w:p>
    <w:p w14:paraId="3C67C8AC">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_GB2312" w:hAnsi="Times New Roman" w:eastAsia="仿宋_GB2312" w:cs="仿宋"/>
          <w:color w:val="000000"/>
          <w:kern w:val="0"/>
          <w:sz w:val="32"/>
          <w:szCs w:val="32"/>
          <w:lang w:val="zh-CN" w:eastAsia="zh-CN" w:bidi="ar-SA"/>
        </w:rPr>
      </w:pPr>
      <w:r>
        <w:rPr>
          <w:rFonts w:hint="eastAsia" w:ascii="仿宋_GB2312" w:eastAsia="仿宋_GB2312" w:cs="仿宋"/>
          <w:color w:val="000000"/>
          <w:kern w:val="0"/>
          <w:sz w:val="32"/>
          <w:szCs w:val="32"/>
          <w:lang w:val="zh-CN" w:eastAsia="zh-CN" w:bidi="ar-SA"/>
        </w:rPr>
        <w:t>5.</w:t>
      </w:r>
      <w:r>
        <w:rPr>
          <w:rFonts w:hint="eastAsia" w:ascii="仿宋_GB2312" w:hAnsi="Times New Roman" w:eastAsia="仿宋_GB2312" w:cs="仿宋"/>
          <w:color w:val="000000"/>
          <w:kern w:val="0"/>
          <w:sz w:val="32"/>
          <w:szCs w:val="32"/>
          <w:lang w:val="zh-CN" w:eastAsia="zh-CN" w:bidi="ar-SA"/>
        </w:rPr>
        <w:t>督促检查全县参保单位离退休人员基本养老保险金按时足额发放和工伤待遇的落实，制定社会保险社会化管理规范，对全县机关单位和企事业退休人员开展社会化管理服务和推进、巩固完善和规范基本养老保险金社会化发放工作</w:t>
      </w:r>
    </w:p>
    <w:p w14:paraId="1C7CE642">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_GB2312" w:hAnsi="Times New Roman" w:eastAsia="仿宋_GB2312" w:cs="仿宋"/>
          <w:color w:val="000000"/>
          <w:kern w:val="0"/>
          <w:sz w:val="32"/>
          <w:szCs w:val="32"/>
          <w:lang w:val="zh-CN" w:eastAsia="zh-CN" w:bidi="ar-SA"/>
        </w:rPr>
      </w:pPr>
      <w:r>
        <w:rPr>
          <w:rFonts w:hint="eastAsia" w:ascii="仿宋_GB2312" w:eastAsia="仿宋_GB2312" w:cs="仿宋"/>
          <w:color w:val="000000"/>
          <w:kern w:val="0"/>
          <w:sz w:val="32"/>
          <w:szCs w:val="32"/>
          <w:lang w:val="zh-CN" w:eastAsia="zh-CN" w:bidi="ar-SA"/>
        </w:rPr>
        <w:t>6.</w:t>
      </w:r>
      <w:r>
        <w:rPr>
          <w:rFonts w:hint="eastAsia" w:ascii="仿宋_GB2312" w:hAnsi="Times New Roman" w:eastAsia="仿宋_GB2312" w:cs="仿宋"/>
          <w:color w:val="000000"/>
          <w:kern w:val="0"/>
          <w:sz w:val="32"/>
          <w:szCs w:val="32"/>
          <w:lang w:val="zh-CN" w:eastAsia="zh-CN" w:bidi="ar-SA"/>
        </w:rPr>
        <w:t>制定全县社会保险稽核工作规范，并开展社会保险稽核工作；</w:t>
      </w:r>
    </w:p>
    <w:p w14:paraId="0818DF54">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_GB2312" w:hAnsi="Times New Roman" w:eastAsia="仿宋_GB2312" w:cs="仿宋"/>
          <w:color w:val="000000"/>
          <w:kern w:val="0"/>
          <w:sz w:val="32"/>
          <w:szCs w:val="32"/>
          <w:lang w:val="zh-CN" w:eastAsia="zh-CN" w:bidi="ar-SA"/>
        </w:rPr>
      </w:pPr>
      <w:r>
        <w:rPr>
          <w:rFonts w:hint="eastAsia" w:ascii="仿宋_GB2312" w:eastAsia="仿宋_GB2312" w:cs="仿宋"/>
          <w:color w:val="000000"/>
          <w:kern w:val="0"/>
          <w:sz w:val="32"/>
          <w:szCs w:val="32"/>
          <w:lang w:val="zh-CN" w:eastAsia="zh-CN" w:bidi="ar-SA"/>
        </w:rPr>
        <w:t>7.</w:t>
      </w:r>
      <w:r>
        <w:rPr>
          <w:rFonts w:hint="eastAsia" w:ascii="仿宋_GB2312" w:hAnsi="Times New Roman" w:eastAsia="仿宋_GB2312" w:cs="仿宋"/>
          <w:color w:val="000000"/>
          <w:kern w:val="0"/>
          <w:sz w:val="32"/>
          <w:szCs w:val="32"/>
          <w:lang w:val="zh-CN" w:eastAsia="zh-CN" w:bidi="ar-SA"/>
        </w:rPr>
        <w:t>负责经办县属参保单位职工养老、工伤工作；</w:t>
      </w:r>
    </w:p>
    <w:p w14:paraId="3CC53847">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仿宋_GB2312" w:hAnsi="Times New Roman" w:eastAsia="仿宋_GB2312" w:cs="仿宋"/>
          <w:color w:val="000000"/>
          <w:kern w:val="0"/>
          <w:sz w:val="32"/>
          <w:szCs w:val="32"/>
          <w:lang w:val="zh-CN" w:eastAsia="zh-CN" w:bidi="ar-SA"/>
        </w:rPr>
      </w:pPr>
      <w:r>
        <w:rPr>
          <w:rFonts w:hint="eastAsia" w:ascii="仿宋_GB2312" w:eastAsia="仿宋_GB2312" w:cs="仿宋"/>
          <w:color w:val="000000"/>
          <w:kern w:val="0"/>
          <w:sz w:val="32"/>
          <w:szCs w:val="32"/>
          <w:lang w:val="zh-CN" w:eastAsia="zh-CN" w:bidi="ar-SA"/>
        </w:rPr>
        <w:t>8.</w:t>
      </w:r>
      <w:r>
        <w:rPr>
          <w:rFonts w:hint="eastAsia" w:ascii="仿宋_GB2312" w:hAnsi="Times New Roman" w:eastAsia="仿宋_GB2312" w:cs="仿宋"/>
          <w:color w:val="000000"/>
          <w:kern w:val="0"/>
          <w:sz w:val="32"/>
          <w:szCs w:val="32"/>
          <w:lang w:val="zh-CN" w:eastAsia="zh-CN" w:bidi="ar-SA"/>
        </w:rPr>
        <w:t>承担全县社会保险信息、统计数据的采集、整理、分析及管理工作，负责全县社会保险信息管理系统的开发建设、运行管理和网络管理等工作。</w:t>
      </w:r>
    </w:p>
    <w:p w14:paraId="30AA23DF">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仿宋_GB2312" w:hAnsi="Times New Roman" w:eastAsia="仿宋_GB2312" w:cs="仿宋"/>
          <w:color w:val="000000"/>
          <w:kern w:val="0"/>
          <w:sz w:val="32"/>
          <w:szCs w:val="32"/>
          <w:lang w:val="en-US" w:eastAsia="zh-CN" w:bidi="ar-SA"/>
        </w:rPr>
      </w:pPr>
      <w:r>
        <w:rPr>
          <w:rFonts w:hint="default" w:ascii="仿宋_GB2312" w:hAnsi="Times New Roman" w:eastAsia="仿宋_GB2312" w:cs="仿宋"/>
          <w:color w:val="000000"/>
          <w:kern w:val="0"/>
          <w:sz w:val="32"/>
          <w:szCs w:val="32"/>
          <w:lang w:val="zh-CN" w:eastAsia="zh-CN" w:bidi="ar-SA"/>
        </w:rPr>
        <w:t>（三）人员概况。</w:t>
      </w:r>
      <w:r>
        <w:rPr>
          <w:rFonts w:hint="default" w:ascii="仿宋_GB2312" w:hAnsi="Times New Roman" w:eastAsia="仿宋_GB2312" w:cs="仿宋"/>
          <w:color w:val="000000"/>
          <w:kern w:val="0"/>
          <w:sz w:val="32"/>
          <w:szCs w:val="32"/>
          <w:lang w:val="en-US" w:eastAsia="zh-CN" w:bidi="ar-SA"/>
        </w:rPr>
        <w:t>截至202</w:t>
      </w:r>
      <w:r>
        <w:rPr>
          <w:rFonts w:hint="eastAsia" w:ascii="仿宋_GB2312" w:hAnsi="Times New Roman" w:eastAsia="仿宋_GB2312" w:cs="仿宋"/>
          <w:color w:val="000000"/>
          <w:kern w:val="0"/>
          <w:sz w:val="32"/>
          <w:szCs w:val="32"/>
          <w:lang w:val="en-US" w:eastAsia="zh-CN" w:bidi="ar-SA"/>
        </w:rPr>
        <w:t>4</w:t>
      </w:r>
      <w:r>
        <w:rPr>
          <w:rFonts w:hint="default" w:ascii="仿宋_GB2312" w:hAnsi="Times New Roman" w:eastAsia="仿宋_GB2312" w:cs="仿宋"/>
          <w:color w:val="000000"/>
          <w:kern w:val="0"/>
          <w:sz w:val="32"/>
          <w:szCs w:val="32"/>
          <w:lang w:val="en-US" w:eastAsia="zh-CN" w:bidi="ar-SA"/>
        </w:rPr>
        <w:t>年末，</w:t>
      </w:r>
      <w:r>
        <w:rPr>
          <w:rFonts w:hint="eastAsia" w:ascii="仿宋_GB2312" w:hAnsi="Times New Roman" w:eastAsia="仿宋_GB2312" w:cs="仿宋"/>
          <w:color w:val="000000"/>
          <w:kern w:val="0"/>
          <w:sz w:val="32"/>
          <w:szCs w:val="32"/>
          <w:lang w:val="en-US" w:eastAsia="zh-CN" w:bidi="ar-SA"/>
        </w:rPr>
        <w:t>本单位人员编制数19人，其中：参公17人（工勤1人），事业2人。</w:t>
      </w:r>
      <w:r>
        <w:rPr>
          <w:rFonts w:hint="default" w:ascii="仿宋_GB2312" w:hAnsi="Times New Roman" w:eastAsia="仿宋_GB2312" w:cs="仿宋"/>
          <w:color w:val="000000"/>
          <w:kern w:val="0"/>
          <w:sz w:val="32"/>
          <w:szCs w:val="32"/>
          <w:lang w:val="en-US" w:eastAsia="zh-CN" w:bidi="ar-SA"/>
        </w:rPr>
        <w:t>截至202</w:t>
      </w:r>
      <w:r>
        <w:rPr>
          <w:rFonts w:hint="eastAsia" w:ascii="仿宋_GB2312" w:hAnsi="Times New Roman" w:eastAsia="仿宋_GB2312" w:cs="仿宋"/>
          <w:color w:val="000000"/>
          <w:kern w:val="0"/>
          <w:sz w:val="32"/>
          <w:szCs w:val="32"/>
          <w:lang w:val="en-US" w:eastAsia="zh-CN" w:bidi="ar-SA"/>
        </w:rPr>
        <w:t>4</w:t>
      </w:r>
      <w:r>
        <w:rPr>
          <w:rFonts w:hint="default" w:ascii="仿宋_GB2312" w:hAnsi="Times New Roman" w:eastAsia="仿宋_GB2312" w:cs="仿宋"/>
          <w:color w:val="000000"/>
          <w:kern w:val="0"/>
          <w:sz w:val="32"/>
          <w:szCs w:val="32"/>
          <w:lang w:val="en-US" w:eastAsia="zh-CN" w:bidi="ar-SA"/>
        </w:rPr>
        <w:t>年末，</w:t>
      </w:r>
      <w:r>
        <w:rPr>
          <w:rFonts w:hint="eastAsia" w:ascii="仿宋_GB2312" w:hAnsi="Times New Roman" w:eastAsia="仿宋_GB2312" w:cs="仿宋"/>
          <w:color w:val="000000"/>
          <w:kern w:val="0"/>
          <w:sz w:val="32"/>
          <w:szCs w:val="32"/>
          <w:lang w:val="en-US" w:eastAsia="zh-CN" w:bidi="ar-SA"/>
        </w:rPr>
        <w:t>实有在职职工15人</w:t>
      </w:r>
      <w:r>
        <w:rPr>
          <w:rFonts w:hint="eastAsia" w:ascii="仿宋_GB2312" w:eastAsia="仿宋_GB2312" w:cs="仿宋"/>
          <w:color w:val="000000"/>
          <w:kern w:val="0"/>
          <w:sz w:val="32"/>
          <w:szCs w:val="32"/>
          <w:lang w:val="en-US" w:eastAsia="zh-CN" w:bidi="ar-SA"/>
        </w:rPr>
        <w:t>，</w:t>
      </w:r>
      <w:r>
        <w:rPr>
          <w:rFonts w:hint="eastAsia" w:ascii="仿宋_GB2312" w:hAnsi="Times New Roman" w:eastAsia="仿宋_GB2312" w:cs="仿宋"/>
          <w:color w:val="000000"/>
          <w:kern w:val="0"/>
          <w:sz w:val="32"/>
          <w:szCs w:val="32"/>
          <w:lang w:val="en-US" w:eastAsia="zh-CN" w:bidi="ar-SA"/>
        </w:rPr>
        <w:t xml:space="preserve"> 参公13人，事业2人，较上年增加1人。主要原因为退休2人、新进3人，人社局将劳动监察大队人员编制划入本单位。</w:t>
      </w:r>
    </w:p>
    <w:p w14:paraId="4DB0E45B">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仿宋_GB2312" w:hAnsi="Times New Roman" w:eastAsia="仿宋_GB2312" w:cs="仿宋"/>
          <w:color w:val="000000"/>
          <w:kern w:val="0"/>
          <w:sz w:val="32"/>
          <w:szCs w:val="32"/>
          <w:lang w:val="en-US" w:eastAsia="zh-CN" w:bidi="ar-SA"/>
        </w:rPr>
      </w:pPr>
      <w:r>
        <w:rPr>
          <w:rFonts w:hint="default" w:ascii="仿宋_GB2312" w:hAnsi="Times New Roman" w:eastAsia="仿宋_GB2312" w:cs="仿宋"/>
          <w:color w:val="000000"/>
          <w:kern w:val="0"/>
          <w:sz w:val="32"/>
          <w:szCs w:val="32"/>
          <w:lang w:val="en-US" w:eastAsia="zh-CN" w:bidi="ar-SA"/>
        </w:rPr>
        <w:t>二、部门资金收支情况</w:t>
      </w:r>
    </w:p>
    <w:p w14:paraId="685F3D0E">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仿宋_GB2312" w:hAnsi="Times New Roman" w:eastAsia="仿宋_GB2312" w:cs="仿宋"/>
          <w:color w:val="000000"/>
          <w:kern w:val="0"/>
          <w:sz w:val="32"/>
          <w:szCs w:val="32"/>
          <w:lang w:val="zh-CN" w:eastAsia="zh-CN" w:bidi="ar-SA"/>
        </w:rPr>
      </w:pPr>
      <w:r>
        <w:rPr>
          <w:rFonts w:hint="default" w:ascii="仿宋_GB2312" w:hAnsi="Times New Roman" w:eastAsia="仿宋_GB2312" w:cs="仿宋"/>
          <w:color w:val="000000"/>
          <w:kern w:val="0"/>
          <w:sz w:val="32"/>
          <w:szCs w:val="32"/>
          <w:lang w:val="zh-CN" w:eastAsia="zh-CN" w:bidi="ar-SA"/>
        </w:rPr>
        <w:t>（一）收入情况。</w:t>
      </w:r>
    </w:p>
    <w:p w14:paraId="77A03A4B">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_GB2312" w:hAnsi="Times New Roman" w:eastAsia="仿宋_GB2312" w:cs="仿宋"/>
          <w:color w:val="000000"/>
          <w:kern w:val="0"/>
          <w:sz w:val="32"/>
          <w:szCs w:val="32"/>
          <w:lang w:val="en-US" w:eastAsia="zh-CN" w:bidi="ar-SA"/>
        </w:rPr>
      </w:pPr>
      <w:r>
        <w:rPr>
          <w:rFonts w:hint="eastAsia" w:ascii="仿宋_GB2312" w:hAnsi="Times New Roman" w:eastAsia="仿宋_GB2312" w:cs="仿宋"/>
          <w:color w:val="000000"/>
          <w:kern w:val="0"/>
          <w:sz w:val="32"/>
          <w:szCs w:val="32"/>
          <w:lang w:val="en-US" w:eastAsia="zh-CN" w:bidi="ar-SA"/>
        </w:rPr>
        <w:t>2024年金川县社会保险事务中心本年收入合计342.22万元，其中：财政拨款收入342.22万元，占100%；事业收入0万元；经营收入0万元；附属单位上缴收入0万元；其他收入0万元。</w:t>
      </w:r>
    </w:p>
    <w:p w14:paraId="6F46A89C">
      <w:pPr>
        <w:jc w:val="left"/>
        <w:rPr>
          <w:rFonts w:hint="eastAsia" w:ascii="仿宋_GB2312" w:hAnsi="Times New Roman" w:eastAsia="仿宋_GB2312" w:cs="仿宋_GB2312"/>
          <w:sz w:val="32"/>
          <w:szCs w:val="32"/>
        </w:rPr>
      </w:pPr>
      <w:r>
        <w:rPr>
          <w:rFonts w:hint="eastAsia" w:ascii="仿宋_GB2312" w:hAnsi="Times New Roman" w:eastAsia="仿宋_GB2312" w:cs="仿宋_GB2312"/>
          <w:sz w:val="32"/>
          <w:szCs w:val="32"/>
        </w:rPr>
        <w:drawing>
          <wp:inline distT="0" distB="0" distL="114300" distR="114300">
            <wp:extent cx="4867275" cy="1156335"/>
            <wp:effectExtent l="4445" t="4445" r="5080" b="20320"/>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ECD44F9">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_GB2312" w:hAnsi="Times New Roman" w:eastAsia="仿宋_GB2312" w:cs="仿宋"/>
          <w:color w:val="000000"/>
          <w:kern w:val="0"/>
          <w:sz w:val="32"/>
          <w:szCs w:val="32"/>
          <w:lang w:val="en-US" w:eastAsia="zh-CN" w:bidi="ar-SA"/>
        </w:rPr>
      </w:pPr>
      <w:r>
        <w:rPr>
          <w:rFonts w:hint="eastAsia" w:ascii="仿宋_GB2312" w:eastAsia="仿宋_GB2312" w:cs="仿宋"/>
          <w:color w:val="000000"/>
          <w:kern w:val="0"/>
          <w:sz w:val="32"/>
          <w:szCs w:val="32"/>
          <w:lang w:val="en-US" w:eastAsia="zh-CN" w:bidi="ar-SA"/>
        </w:rPr>
        <w:t>1.</w:t>
      </w:r>
      <w:r>
        <w:rPr>
          <w:rFonts w:hint="eastAsia" w:ascii="仿宋_GB2312" w:hAnsi="Times New Roman" w:eastAsia="仿宋_GB2312" w:cs="仿宋"/>
          <w:color w:val="000000"/>
          <w:kern w:val="0"/>
          <w:sz w:val="32"/>
          <w:szCs w:val="32"/>
          <w:lang w:val="en-US" w:eastAsia="zh-CN" w:bidi="ar-SA"/>
        </w:rPr>
        <w:t>2024年社会保险事务中心本年收入合计299.34万元，其中：财政拨款收入299.34万元，占100%。</w:t>
      </w:r>
    </w:p>
    <w:p w14:paraId="12326104">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仿宋_GB2312" w:hAnsi="Times New Roman" w:eastAsia="仿宋_GB2312" w:cs="仿宋"/>
          <w:color w:val="000000"/>
          <w:kern w:val="0"/>
          <w:sz w:val="32"/>
          <w:szCs w:val="32"/>
          <w:lang w:val="en-US" w:eastAsia="zh-CN" w:bidi="ar-SA"/>
        </w:rPr>
      </w:pPr>
      <w:r>
        <w:rPr>
          <w:rFonts w:hint="eastAsia" w:ascii="仿宋_GB2312" w:eastAsia="仿宋_GB2312" w:cs="仿宋"/>
          <w:color w:val="000000"/>
          <w:kern w:val="0"/>
          <w:sz w:val="32"/>
          <w:szCs w:val="32"/>
          <w:lang w:val="en-US" w:eastAsia="zh-CN" w:bidi="ar-SA"/>
        </w:rPr>
        <w:t>2.</w:t>
      </w:r>
      <w:r>
        <w:rPr>
          <w:rFonts w:hint="eastAsia" w:ascii="仿宋_GB2312" w:hAnsi="Times New Roman" w:eastAsia="仿宋_GB2312" w:cs="仿宋"/>
          <w:color w:val="000000"/>
          <w:kern w:val="0"/>
          <w:sz w:val="32"/>
          <w:szCs w:val="32"/>
          <w:lang w:val="en-US" w:eastAsia="zh-CN" w:bidi="ar-SA"/>
        </w:rPr>
        <w:t>2023年金川县社会保险服务指导站本年收入合计42.88万元，其中：财政拨款收入42.88万元，占100%。</w:t>
      </w:r>
    </w:p>
    <w:p w14:paraId="6B5B5725">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仿宋_GB2312" w:hAnsi="Times New Roman" w:eastAsia="仿宋_GB2312" w:cs="仿宋"/>
          <w:color w:val="000000"/>
          <w:kern w:val="0"/>
          <w:sz w:val="32"/>
          <w:szCs w:val="32"/>
          <w:lang w:val="zh-CN" w:eastAsia="zh-CN" w:bidi="ar-SA"/>
        </w:rPr>
      </w:pPr>
      <w:r>
        <w:rPr>
          <w:rFonts w:hint="default" w:ascii="仿宋_GB2312" w:hAnsi="Times New Roman" w:eastAsia="仿宋_GB2312" w:cs="仿宋"/>
          <w:color w:val="000000"/>
          <w:kern w:val="0"/>
          <w:sz w:val="32"/>
          <w:szCs w:val="32"/>
          <w:lang w:val="zh-CN" w:eastAsia="zh-CN" w:bidi="ar-SA"/>
        </w:rPr>
        <w:t>支出情况。</w:t>
      </w:r>
    </w:p>
    <w:p w14:paraId="018CE672">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_GB2312" w:hAnsi="Times New Roman" w:eastAsia="仿宋_GB2312" w:cs="仿宋"/>
          <w:color w:val="000000"/>
          <w:kern w:val="0"/>
          <w:sz w:val="32"/>
          <w:szCs w:val="32"/>
          <w:lang w:val="en-US" w:eastAsia="zh-CN" w:bidi="ar-SA"/>
        </w:rPr>
      </w:pPr>
      <w:r>
        <w:rPr>
          <w:rFonts w:hint="eastAsia" w:ascii="仿宋_GB2312" w:hAnsi="Times New Roman" w:eastAsia="仿宋_GB2312" w:cs="仿宋"/>
          <w:color w:val="000000"/>
          <w:kern w:val="0"/>
          <w:sz w:val="32"/>
          <w:szCs w:val="32"/>
          <w:lang w:val="en-US" w:eastAsia="zh-CN" w:bidi="ar-SA"/>
        </w:rPr>
        <w:t>2024年社会保险事务中心本年支出合计342.22万元，其中：基本支出318.33万元；占总支出的93.02%，项目支出23.88万元，占总支出的6.98%。</w:t>
      </w:r>
    </w:p>
    <w:p w14:paraId="76435637">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_GB2312" w:hAnsi="Times New Roman" w:eastAsia="仿宋_GB2312" w:cs="仿宋"/>
          <w:color w:val="000000"/>
          <w:kern w:val="0"/>
          <w:sz w:val="32"/>
          <w:szCs w:val="32"/>
          <w:lang w:val="zh-CN" w:eastAsia="zh-CN" w:bidi="ar-SA"/>
        </w:rPr>
      </w:pPr>
      <w:r>
        <w:rPr>
          <w:rFonts w:hint="eastAsia" w:ascii="仿宋_GB2312" w:hAnsi="Times New Roman" w:eastAsia="仿宋_GB2312" w:cs="仿宋"/>
          <w:color w:val="000000"/>
          <w:kern w:val="0"/>
          <w:sz w:val="32"/>
          <w:szCs w:val="32"/>
          <w:lang w:val="zh-CN" w:eastAsia="zh-CN" w:bidi="ar-SA"/>
        </w:rPr>
        <w:drawing>
          <wp:inline distT="0" distB="0" distL="114300" distR="114300">
            <wp:extent cx="4654550" cy="1570355"/>
            <wp:effectExtent l="4445" t="4445" r="8255" b="6350"/>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107809A0">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_GB2312" w:hAnsi="Times New Roman" w:eastAsia="仿宋_GB2312" w:cs="仿宋"/>
          <w:color w:val="000000"/>
          <w:kern w:val="0"/>
          <w:sz w:val="32"/>
          <w:szCs w:val="32"/>
          <w:lang w:val="en-US" w:eastAsia="zh-CN" w:bidi="ar-SA"/>
        </w:rPr>
      </w:pPr>
      <w:r>
        <w:rPr>
          <w:rFonts w:hint="eastAsia" w:ascii="仿宋_GB2312" w:eastAsia="仿宋_GB2312" w:cs="仿宋"/>
          <w:color w:val="000000"/>
          <w:kern w:val="0"/>
          <w:sz w:val="32"/>
          <w:szCs w:val="32"/>
          <w:lang w:val="en-US" w:eastAsia="zh-CN" w:bidi="ar-SA"/>
        </w:rPr>
        <w:t>1.</w:t>
      </w:r>
      <w:r>
        <w:rPr>
          <w:rFonts w:hint="eastAsia" w:ascii="仿宋_GB2312" w:hAnsi="Times New Roman" w:eastAsia="仿宋_GB2312" w:cs="仿宋"/>
          <w:color w:val="000000"/>
          <w:kern w:val="0"/>
          <w:sz w:val="32"/>
          <w:szCs w:val="32"/>
          <w:lang w:val="en-US" w:eastAsia="zh-CN" w:bidi="ar-SA"/>
        </w:rPr>
        <w:t>2024年社会保险事务中心本年支出合计299.34万元，其中：基本支出275.46万元；占总支出的92.02%，项目支出23.88万元，占总支出的7.98%。</w:t>
      </w:r>
    </w:p>
    <w:p w14:paraId="1FC9B99D">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_GB2312" w:hAnsi="Times New Roman" w:eastAsia="仿宋_GB2312" w:cs="仿宋"/>
          <w:color w:val="000000"/>
          <w:kern w:val="0"/>
          <w:sz w:val="32"/>
          <w:szCs w:val="32"/>
          <w:lang w:val="en-US" w:eastAsia="zh-CN" w:bidi="ar-SA"/>
        </w:rPr>
      </w:pPr>
      <w:r>
        <w:rPr>
          <w:rFonts w:hint="eastAsia" w:ascii="仿宋_GB2312" w:eastAsia="仿宋_GB2312" w:cs="仿宋"/>
          <w:color w:val="000000"/>
          <w:kern w:val="0"/>
          <w:sz w:val="32"/>
          <w:szCs w:val="32"/>
          <w:lang w:val="en-US" w:eastAsia="zh-CN" w:bidi="ar-SA"/>
        </w:rPr>
        <w:t>2.</w:t>
      </w:r>
      <w:r>
        <w:rPr>
          <w:rFonts w:hint="eastAsia" w:ascii="仿宋_GB2312" w:hAnsi="Times New Roman" w:eastAsia="仿宋_GB2312" w:cs="仿宋"/>
          <w:color w:val="000000"/>
          <w:kern w:val="0"/>
          <w:sz w:val="32"/>
          <w:szCs w:val="32"/>
          <w:lang w:val="en-US" w:eastAsia="zh-CN" w:bidi="ar-SA"/>
        </w:rPr>
        <w:t>2024年金川县社会保险服务指导站本年支出合计42.88万元，其中：基本支出42.88万元；占总支出的100%。</w:t>
      </w:r>
    </w:p>
    <w:p w14:paraId="17748E1F">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仿宋_GB2312" w:hAnsi="Times New Roman" w:eastAsia="仿宋_GB2312" w:cs="仿宋"/>
          <w:color w:val="000000"/>
          <w:kern w:val="0"/>
          <w:sz w:val="32"/>
          <w:szCs w:val="32"/>
          <w:lang w:val="zh-CN" w:eastAsia="zh-CN" w:bidi="ar-SA"/>
        </w:rPr>
      </w:pPr>
      <w:r>
        <w:rPr>
          <w:rFonts w:hint="default" w:ascii="仿宋_GB2312" w:hAnsi="Times New Roman" w:eastAsia="仿宋_GB2312" w:cs="仿宋"/>
          <w:color w:val="000000"/>
          <w:kern w:val="0"/>
          <w:sz w:val="32"/>
          <w:szCs w:val="32"/>
          <w:lang w:val="zh-CN" w:eastAsia="zh-CN" w:bidi="ar-SA"/>
        </w:rPr>
        <w:t>结余分配和结转结余情况。</w:t>
      </w:r>
    </w:p>
    <w:p w14:paraId="27D9AF19">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仿宋_GB2312" w:hAnsi="Times New Roman" w:eastAsia="仿宋_GB2312" w:cs="仿宋"/>
          <w:color w:val="000000"/>
          <w:kern w:val="0"/>
          <w:sz w:val="32"/>
          <w:szCs w:val="32"/>
          <w:lang w:val="zh-CN" w:eastAsia="zh-CN" w:bidi="ar-SA"/>
        </w:rPr>
      </w:pPr>
      <w:r>
        <w:rPr>
          <w:rFonts w:hint="eastAsia" w:ascii="仿宋_GB2312" w:hAnsi="Times New Roman" w:eastAsia="仿宋_GB2312" w:cs="仿宋"/>
          <w:color w:val="000000"/>
          <w:kern w:val="0"/>
          <w:sz w:val="32"/>
          <w:szCs w:val="32"/>
          <w:lang w:val="en-US" w:eastAsia="zh-CN" w:bidi="ar-SA"/>
        </w:rPr>
        <w:t>本单位2023年决算报表无</w:t>
      </w:r>
      <w:r>
        <w:rPr>
          <w:rFonts w:hint="default" w:ascii="仿宋_GB2312" w:hAnsi="Times New Roman" w:eastAsia="仿宋_GB2312" w:cs="仿宋"/>
          <w:color w:val="000000"/>
          <w:kern w:val="0"/>
          <w:sz w:val="32"/>
          <w:szCs w:val="32"/>
          <w:lang w:val="en-US" w:eastAsia="zh-CN" w:bidi="ar-SA"/>
        </w:rPr>
        <w:t>结转结余。</w:t>
      </w:r>
    </w:p>
    <w:p w14:paraId="6162C21A">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仿宋_GB2312" w:hAnsi="Times New Roman" w:eastAsia="仿宋_GB2312" w:cs="仿宋"/>
          <w:color w:val="000000"/>
          <w:kern w:val="0"/>
          <w:sz w:val="32"/>
          <w:szCs w:val="32"/>
          <w:lang w:val="zh-CN" w:eastAsia="zh-CN" w:bidi="ar-SA"/>
        </w:rPr>
      </w:pPr>
      <w:r>
        <w:rPr>
          <w:rFonts w:hint="default" w:ascii="仿宋_GB2312" w:hAnsi="Times New Roman" w:eastAsia="仿宋_GB2312" w:cs="仿宋"/>
          <w:color w:val="000000"/>
          <w:kern w:val="0"/>
          <w:sz w:val="32"/>
          <w:szCs w:val="32"/>
          <w:lang w:val="zh-CN" w:eastAsia="zh-CN" w:bidi="ar-SA"/>
        </w:rPr>
        <w:t>三、部门预算绩效分析</w:t>
      </w:r>
    </w:p>
    <w:p w14:paraId="385D590E">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仿宋_GB2312" w:hAnsi="Times New Roman" w:eastAsia="仿宋_GB2312" w:cs="仿宋"/>
          <w:color w:val="000000"/>
          <w:kern w:val="0"/>
          <w:sz w:val="32"/>
          <w:szCs w:val="32"/>
          <w:lang w:val="zh-CN" w:eastAsia="zh-CN" w:bidi="ar-SA"/>
        </w:rPr>
      </w:pPr>
      <w:r>
        <w:rPr>
          <w:rFonts w:hint="default" w:ascii="仿宋_GB2312" w:hAnsi="Times New Roman" w:eastAsia="仿宋_GB2312" w:cs="仿宋"/>
          <w:color w:val="000000"/>
          <w:kern w:val="0"/>
          <w:sz w:val="32"/>
          <w:szCs w:val="32"/>
          <w:lang w:val="zh-CN" w:eastAsia="zh-CN" w:bidi="ar-SA"/>
        </w:rPr>
        <w:t>（一）部门预算总体绩效分析。</w:t>
      </w:r>
    </w:p>
    <w:p w14:paraId="30770B52">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仿宋_GB2312" w:hAnsi="Times New Roman" w:eastAsia="仿宋_GB2312" w:cs="仿宋"/>
          <w:color w:val="000000"/>
          <w:kern w:val="0"/>
          <w:sz w:val="32"/>
          <w:szCs w:val="32"/>
          <w:lang w:val="zh-CN" w:eastAsia="zh-CN" w:bidi="ar-SA"/>
        </w:rPr>
      </w:pPr>
      <w:r>
        <w:rPr>
          <w:rFonts w:hint="eastAsia" w:ascii="仿宋_GB2312" w:hAnsi="Times New Roman" w:eastAsia="仿宋_GB2312" w:cs="仿宋"/>
          <w:color w:val="000000"/>
          <w:kern w:val="0"/>
          <w:sz w:val="32"/>
          <w:szCs w:val="32"/>
          <w:lang w:val="en-US" w:eastAsia="zh-CN" w:bidi="ar-SA"/>
        </w:rPr>
        <w:t xml:space="preserve">我单位积极履职，强化管理，较好地完成了年度工作目标。通过加强预算收支管理，不断建立健全内部管理制度，梳理内部管理流程，部门整体支出管理水平得到提升。根据部门整体支出绩 效评价指标体系，我单位2024年度部门预算绩效评价体系得分为93.96分。部门整体支出绩效情况如下： </w:t>
      </w:r>
    </w:p>
    <w:p w14:paraId="2132EA22">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仿宋_GB2312" w:hAnsi="Times New Roman" w:eastAsia="仿宋_GB2312" w:cs="仿宋"/>
          <w:color w:val="000000"/>
          <w:kern w:val="0"/>
          <w:sz w:val="32"/>
          <w:szCs w:val="32"/>
          <w:lang w:val="en-US" w:eastAsia="zh-CN" w:bidi="ar-SA"/>
        </w:rPr>
      </w:pPr>
      <w:r>
        <w:rPr>
          <w:rFonts w:hint="eastAsia" w:ascii="仿宋_GB2312" w:hAnsi="Times New Roman" w:eastAsia="仿宋_GB2312" w:cs="仿宋"/>
          <w:color w:val="000000"/>
          <w:kern w:val="0"/>
          <w:sz w:val="32"/>
          <w:szCs w:val="32"/>
          <w:lang w:val="en-US" w:eastAsia="zh-CN" w:bidi="ar-SA"/>
        </w:rPr>
        <w:t>1.</w:t>
      </w:r>
      <w:r>
        <w:rPr>
          <w:rFonts w:hint="eastAsia" w:ascii="仿宋_GB2312" w:hAnsi="Times New Roman" w:eastAsia="仿宋_GB2312" w:cs="仿宋"/>
          <w:color w:val="000000"/>
          <w:kern w:val="0"/>
          <w:sz w:val="32"/>
          <w:szCs w:val="32"/>
          <w:lang w:val="zh-CN" w:eastAsia="zh-CN" w:bidi="ar-SA"/>
        </w:rPr>
        <w:t>履职效能。履职效能评分得分</w:t>
      </w:r>
      <w:r>
        <w:rPr>
          <w:rFonts w:hint="eastAsia" w:ascii="仿宋_GB2312" w:hAnsi="Times New Roman" w:eastAsia="仿宋_GB2312" w:cs="仿宋"/>
          <w:color w:val="000000"/>
          <w:kern w:val="0"/>
          <w:sz w:val="32"/>
          <w:szCs w:val="32"/>
          <w:lang w:val="en-US" w:eastAsia="zh-CN" w:bidi="ar-SA"/>
        </w:rPr>
        <w:t>14分。</w:t>
      </w:r>
    </w:p>
    <w:p w14:paraId="49C81036">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_GB2312" w:hAnsi="Times New Roman" w:eastAsia="仿宋_GB2312" w:cs="仿宋"/>
          <w:color w:val="000000"/>
          <w:kern w:val="0"/>
          <w:sz w:val="32"/>
          <w:szCs w:val="32"/>
          <w:lang w:val="en-US" w:eastAsia="zh-CN" w:bidi="ar-SA"/>
        </w:rPr>
      </w:pPr>
      <w:r>
        <w:rPr>
          <w:rFonts w:hint="eastAsia" w:ascii="仿宋_GB2312" w:hAnsi="Times New Roman" w:eastAsia="仿宋_GB2312" w:cs="仿宋"/>
          <w:color w:val="000000"/>
          <w:kern w:val="0"/>
          <w:sz w:val="32"/>
          <w:szCs w:val="32"/>
          <w:lang w:val="zh-CN" w:eastAsia="zh-CN" w:bidi="ar-SA"/>
        </w:rPr>
        <w:t>（</w:t>
      </w:r>
      <w:r>
        <w:rPr>
          <w:rFonts w:hint="eastAsia" w:ascii="仿宋_GB2312" w:hAnsi="Times New Roman" w:eastAsia="仿宋_GB2312" w:cs="仿宋"/>
          <w:color w:val="000000"/>
          <w:kern w:val="0"/>
          <w:sz w:val="32"/>
          <w:szCs w:val="32"/>
          <w:lang w:val="en-US" w:eastAsia="zh-CN" w:bidi="ar-SA"/>
        </w:rPr>
        <w:t>1</w:t>
      </w:r>
      <w:r>
        <w:rPr>
          <w:rFonts w:hint="eastAsia" w:ascii="仿宋_GB2312" w:hAnsi="Times New Roman" w:eastAsia="仿宋_GB2312" w:cs="仿宋"/>
          <w:color w:val="000000"/>
          <w:kern w:val="0"/>
          <w:sz w:val="32"/>
          <w:szCs w:val="32"/>
          <w:lang w:val="zh-CN" w:eastAsia="zh-CN" w:bidi="ar-SA"/>
        </w:rPr>
        <w:t>）工资福利支出履职效果，严格执行相关政策，工资及时、足额发放；社保及时、足额缴纳，预算编制科学合理，无结余资金。工资福利支出共</w:t>
      </w:r>
      <w:r>
        <w:rPr>
          <w:rFonts w:hint="eastAsia" w:ascii="仿宋_GB2312" w:hAnsi="Times New Roman" w:eastAsia="仿宋_GB2312" w:cs="仿宋"/>
          <w:color w:val="000000"/>
          <w:kern w:val="0"/>
          <w:sz w:val="32"/>
          <w:szCs w:val="32"/>
          <w:lang w:val="en-US" w:eastAsia="zh-CN" w:bidi="ar-SA"/>
        </w:rPr>
        <w:t>285.51万元。</w:t>
      </w:r>
    </w:p>
    <w:p w14:paraId="50AD4F83">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_GB2312" w:hAnsi="Times New Roman" w:eastAsia="仿宋_GB2312" w:cs="仿宋"/>
          <w:color w:val="000000"/>
          <w:kern w:val="0"/>
          <w:sz w:val="32"/>
          <w:szCs w:val="32"/>
          <w:lang w:val="en-US" w:eastAsia="zh-CN" w:bidi="ar-SA"/>
        </w:rPr>
      </w:pPr>
      <w:r>
        <w:rPr>
          <w:rFonts w:hint="eastAsia" w:ascii="仿宋_GB2312" w:hAnsi="Times New Roman" w:eastAsia="仿宋_GB2312" w:cs="仿宋"/>
          <w:color w:val="000000"/>
          <w:kern w:val="0"/>
          <w:sz w:val="32"/>
          <w:szCs w:val="32"/>
          <w:lang w:val="zh-CN" w:eastAsia="zh-CN" w:bidi="ar-SA"/>
        </w:rPr>
        <w:t>（</w:t>
      </w:r>
      <w:r>
        <w:rPr>
          <w:rFonts w:hint="eastAsia" w:ascii="仿宋_GB2312" w:hAnsi="Times New Roman" w:eastAsia="仿宋_GB2312" w:cs="仿宋"/>
          <w:color w:val="000000"/>
          <w:kern w:val="0"/>
          <w:sz w:val="32"/>
          <w:szCs w:val="32"/>
          <w:lang w:val="en-US" w:eastAsia="zh-CN" w:bidi="ar-SA"/>
        </w:rPr>
        <w:t>2</w:t>
      </w:r>
      <w:r>
        <w:rPr>
          <w:rFonts w:hint="eastAsia" w:ascii="仿宋_GB2312" w:hAnsi="Times New Roman" w:eastAsia="仿宋_GB2312" w:cs="仿宋"/>
          <w:color w:val="000000"/>
          <w:kern w:val="0"/>
          <w:sz w:val="32"/>
          <w:szCs w:val="32"/>
          <w:lang w:val="zh-CN" w:eastAsia="zh-CN" w:bidi="ar-SA"/>
        </w:rPr>
        <w:t>）日常公用经费履职效果，严格执行预算，保障单位日常运转。日常公用经费共支出</w:t>
      </w:r>
      <w:r>
        <w:rPr>
          <w:rFonts w:hint="eastAsia" w:ascii="仿宋_GB2312" w:hAnsi="Times New Roman" w:eastAsia="仿宋_GB2312" w:cs="仿宋"/>
          <w:color w:val="000000"/>
          <w:kern w:val="0"/>
          <w:sz w:val="32"/>
          <w:szCs w:val="32"/>
          <w:lang w:val="en-US" w:eastAsia="zh-CN" w:bidi="ar-SA"/>
        </w:rPr>
        <w:t>20.75万元。</w:t>
      </w:r>
    </w:p>
    <w:p w14:paraId="733DAF54">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仿宋_GB2312" w:hAnsi="Times New Roman" w:eastAsia="仿宋_GB2312" w:cs="仿宋"/>
          <w:color w:val="000000"/>
          <w:kern w:val="0"/>
          <w:sz w:val="32"/>
          <w:szCs w:val="32"/>
          <w:lang w:val="en-US" w:eastAsia="zh-CN" w:bidi="ar-SA"/>
        </w:rPr>
      </w:pPr>
      <w:r>
        <w:rPr>
          <w:rFonts w:hint="eastAsia" w:ascii="仿宋_GB2312" w:hAnsi="Times New Roman" w:eastAsia="仿宋_GB2312" w:cs="仿宋"/>
          <w:color w:val="000000"/>
          <w:kern w:val="0"/>
          <w:sz w:val="32"/>
          <w:szCs w:val="32"/>
          <w:lang w:val="en-US" w:eastAsia="zh-CN" w:bidi="ar-SA"/>
        </w:rPr>
        <w:t>（3）能力建设资金履职效能，加快社会保险经办标准化建设、提升经办人员能力素质，能力建设资金2024年共支出5万元。</w:t>
      </w:r>
    </w:p>
    <w:p w14:paraId="3DC1AD3B">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_GB2312" w:hAnsi="Times New Roman" w:eastAsia="仿宋_GB2312" w:cs="仿宋"/>
          <w:color w:val="000000"/>
          <w:kern w:val="0"/>
          <w:sz w:val="32"/>
          <w:szCs w:val="32"/>
          <w:lang w:val="en-US" w:eastAsia="zh-CN" w:bidi="ar-SA"/>
        </w:rPr>
      </w:pPr>
      <w:r>
        <w:rPr>
          <w:rFonts w:hint="eastAsia" w:ascii="仿宋_GB2312" w:hAnsi="Times New Roman" w:eastAsia="仿宋_GB2312" w:cs="仿宋"/>
          <w:color w:val="000000"/>
          <w:kern w:val="0"/>
          <w:sz w:val="32"/>
          <w:szCs w:val="32"/>
          <w:lang w:val="en-US" w:eastAsia="zh-CN" w:bidi="ar-SA"/>
        </w:rPr>
        <w:t>（4）统筹外人员工资履职效果，确保全县企改制人员生活补助按时足额发放，共发放17.99万元。企业改制人员待遇发放准确率=100%；每月发放待遇率＝100%；企业改制人员满意率</w:t>
      </w:r>
      <w:r>
        <w:rPr>
          <w:rFonts w:hint="eastAsia" w:ascii="仿宋_GB2312" w:hAnsi="Times New Roman" w:eastAsia="仿宋_GB2312" w:cs="仿宋"/>
          <w:color w:val="000000"/>
          <w:kern w:val="0"/>
          <w:sz w:val="32"/>
          <w:szCs w:val="32"/>
          <w:lang w:val="en-US" w:eastAsia="zh-CN" w:bidi="ar-SA"/>
        </w:rPr>
        <w:tab/>
      </w:r>
      <w:r>
        <w:rPr>
          <w:rFonts w:hint="eastAsia" w:ascii="仿宋_GB2312" w:hAnsi="Times New Roman" w:eastAsia="仿宋_GB2312" w:cs="仿宋"/>
          <w:color w:val="000000"/>
          <w:kern w:val="0"/>
          <w:sz w:val="32"/>
          <w:szCs w:val="32"/>
          <w:lang w:val="en-US" w:eastAsia="zh-CN" w:bidi="ar-SA"/>
        </w:rPr>
        <w:t>＝</w:t>
      </w:r>
      <w:r>
        <w:rPr>
          <w:rFonts w:hint="eastAsia" w:ascii="仿宋_GB2312" w:hAnsi="Times New Roman" w:eastAsia="仿宋_GB2312" w:cs="仿宋"/>
          <w:color w:val="000000"/>
          <w:kern w:val="0"/>
          <w:sz w:val="32"/>
          <w:szCs w:val="32"/>
          <w:lang w:val="en-US" w:eastAsia="zh-CN" w:bidi="ar-SA"/>
        </w:rPr>
        <w:tab/>
      </w:r>
      <w:r>
        <w:rPr>
          <w:rFonts w:hint="eastAsia" w:ascii="仿宋_GB2312" w:hAnsi="Times New Roman" w:eastAsia="仿宋_GB2312" w:cs="仿宋"/>
          <w:color w:val="000000"/>
          <w:kern w:val="0"/>
          <w:sz w:val="32"/>
          <w:szCs w:val="32"/>
          <w:lang w:val="en-US" w:eastAsia="zh-CN" w:bidi="ar-SA"/>
        </w:rPr>
        <w:t>100%；决算数大于预算数的原因是，人员死亡。</w:t>
      </w:r>
    </w:p>
    <w:p w14:paraId="141A82D8">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仿宋_GB2312" w:hAnsi="Times New Roman" w:eastAsia="仿宋_GB2312" w:cs="仿宋"/>
          <w:color w:val="000000"/>
          <w:kern w:val="0"/>
          <w:sz w:val="32"/>
          <w:szCs w:val="32"/>
          <w:lang w:val="en-US" w:eastAsia="zh-CN" w:bidi="ar-SA"/>
        </w:rPr>
      </w:pPr>
    </w:p>
    <w:p w14:paraId="4AEA4F8C">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_GB2312" w:hAnsi="Times New Roman" w:eastAsia="仿宋_GB2312" w:cs="仿宋"/>
          <w:color w:val="000000"/>
          <w:kern w:val="0"/>
          <w:sz w:val="32"/>
          <w:szCs w:val="32"/>
          <w:lang w:val="zh-CN" w:eastAsia="zh-CN" w:bidi="ar-SA"/>
        </w:rPr>
      </w:pPr>
      <w:r>
        <w:rPr>
          <w:rFonts w:hint="default" w:ascii="仿宋_GB2312" w:hAnsi="Times New Roman" w:eastAsia="仿宋_GB2312" w:cs="仿宋"/>
          <w:color w:val="000000"/>
          <w:kern w:val="0"/>
          <w:sz w:val="32"/>
          <w:szCs w:val="32"/>
          <w:lang w:val="en-US" w:eastAsia="zh-CN" w:bidi="ar-SA"/>
        </w:rPr>
        <w:t>2.</w:t>
      </w:r>
      <w:r>
        <w:rPr>
          <w:rFonts w:hint="default" w:ascii="仿宋_GB2312" w:hAnsi="Times New Roman" w:eastAsia="仿宋_GB2312" w:cs="仿宋"/>
          <w:color w:val="000000"/>
          <w:kern w:val="0"/>
          <w:sz w:val="32"/>
          <w:szCs w:val="32"/>
          <w:lang w:val="zh-CN" w:eastAsia="zh-CN" w:bidi="ar-SA"/>
        </w:rPr>
        <w:t>预算管理。</w:t>
      </w:r>
      <w:r>
        <w:rPr>
          <w:rFonts w:hint="eastAsia" w:ascii="仿宋_GB2312" w:hAnsi="Times New Roman" w:eastAsia="仿宋_GB2312" w:cs="仿宋"/>
          <w:color w:val="000000"/>
          <w:kern w:val="0"/>
          <w:sz w:val="32"/>
          <w:szCs w:val="32"/>
          <w:lang w:val="zh-CN" w:eastAsia="zh-CN" w:bidi="ar-SA"/>
        </w:rPr>
        <w:t>1.预算管理控制较好得</w:t>
      </w:r>
      <w:r>
        <w:rPr>
          <w:rFonts w:hint="eastAsia" w:ascii="仿宋_GB2312" w:hAnsi="Times New Roman" w:eastAsia="仿宋_GB2312" w:cs="仿宋"/>
          <w:color w:val="000000"/>
          <w:kern w:val="0"/>
          <w:sz w:val="32"/>
          <w:szCs w:val="32"/>
          <w:lang w:val="en-US" w:eastAsia="zh-CN" w:bidi="ar-SA"/>
        </w:rPr>
        <w:t>24.56</w:t>
      </w:r>
      <w:r>
        <w:rPr>
          <w:rFonts w:hint="eastAsia" w:ascii="仿宋_GB2312" w:hAnsi="Times New Roman" w:eastAsia="仿宋_GB2312" w:cs="仿宋"/>
          <w:color w:val="000000"/>
          <w:kern w:val="0"/>
          <w:sz w:val="32"/>
          <w:szCs w:val="32"/>
          <w:lang w:val="zh-CN" w:eastAsia="zh-CN" w:bidi="ar-SA"/>
        </w:rPr>
        <w:t>分。 　　</w:t>
      </w:r>
    </w:p>
    <w:p w14:paraId="3D9FB85C">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_GB2312" w:hAnsi="Times New Roman" w:eastAsia="仿宋_GB2312" w:cs="仿宋"/>
          <w:color w:val="000000"/>
          <w:kern w:val="0"/>
          <w:sz w:val="32"/>
          <w:szCs w:val="32"/>
          <w:lang w:val="zh-CN" w:eastAsia="zh-CN" w:bidi="ar-SA"/>
        </w:rPr>
      </w:pPr>
      <w:r>
        <w:rPr>
          <w:rFonts w:hint="eastAsia" w:ascii="仿宋_GB2312" w:hAnsi="Times New Roman" w:eastAsia="仿宋_GB2312" w:cs="仿宋"/>
          <w:color w:val="000000"/>
          <w:kern w:val="0"/>
          <w:sz w:val="32"/>
          <w:szCs w:val="32"/>
          <w:lang w:val="zh-CN" w:eastAsia="zh-CN" w:bidi="ar-SA"/>
        </w:rPr>
        <w:t>（</w:t>
      </w:r>
      <w:r>
        <w:rPr>
          <w:rFonts w:hint="eastAsia" w:ascii="仿宋_GB2312" w:hAnsi="Times New Roman" w:eastAsia="仿宋_GB2312" w:cs="仿宋"/>
          <w:color w:val="000000"/>
          <w:kern w:val="0"/>
          <w:sz w:val="32"/>
          <w:szCs w:val="32"/>
          <w:lang w:val="en-US" w:eastAsia="zh-CN" w:bidi="ar-SA"/>
        </w:rPr>
        <w:t>1</w:t>
      </w:r>
      <w:r>
        <w:rPr>
          <w:rFonts w:hint="eastAsia" w:ascii="仿宋_GB2312" w:hAnsi="Times New Roman" w:eastAsia="仿宋_GB2312" w:cs="仿宋"/>
          <w:color w:val="000000"/>
          <w:kern w:val="0"/>
          <w:sz w:val="32"/>
          <w:szCs w:val="32"/>
          <w:lang w:val="zh-CN" w:eastAsia="zh-CN" w:bidi="ar-SA"/>
        </w:rPr>
        <w:t>）预算编制质量，严格按要求科学准确</w:t>
      </w:r>
      <w:r>
        <w:rPr>
          <w:rFonts w:hint="eastAsia" w:ascii="仿宋_GB2312" w:eastAsia="仿宋_GB2312" w:cs="仿宋"/>
          <w:color w:val="000000"/>
          <w:kern w:val="0"/>
          <w:sz w:val="32"/>
          <w:szCs w:val="32"/>
          <w:lang w:val="zh-CN" w:eastAsia="zh-CN" w:bidi="ar-SA"/>
        </w:rPr>
        <w:t>地</w:t>
      </w:r>
      <w:r>
        <w:rPr>
          <w:rFonts w:hint="eastAsia" w:ascii="仿宋_GB2312" w:hAnsi="Times New Roman" w:eastAsia="仿宋_GB2312" w:cs="仿宋"/>
          <w:color w:val="000000"/>
          <w:kern w:val="0"/>
          <w:sz w:val="32"/>
          <w:szCs w:val="32"/>
          <w:lang w:val="zh-CN" w:eastAsia="zh-CN" w:bidi="ar-SA"/>
        </w:rPr>
        <w:t>编制年初部门预算</w:t>
      </w:r>
    </w:p>
    <w:p w14:paraId="1C01E86D">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仿宋_GB2312" w:hAnsi="Times New Roman" w:eastAsia="仿宋_GB2312" w:cs="仿宋"/>
          <w:color w:val="000000"/>
          <w:kern w:val="0"/>
          <w:sz w:val="32"/>
          <w:szCs w:val="32"/>
          <w:lang w:val="en-US" w:eastAsia="zh-CN" w:bidi="ar-SA"/>
        </w:rPr>
      </w:pPr>
      <w:r>
        <w:rPr>
          <w:rFonts w:hint="eastAsia" w:ascii="仿宋_GB2312" w:hAnsi="Times New Roman" w:eastAsia="仿宋_GB2312" w:cs="仿宋"/>
          <w:color w:val="000000"/>
          <w:kern w:val="0"/>
          <w:sz w:val="32"/>
          <w:szCs w:val="32"/>
          <w:lang w:val="zh-CN" w:eastAsia="zh-CN" w:bidi="ar-SA"/>
        </w:rPr>
        <w:t>（</w:t>
      </w:r>
      <w:r>
        <w:rPr>
          <w:rFonts w:hint="eastAsia" w:ascii="仿宋_GB2312" w:hAnsi="Times New Roman" w:eastAsia="仿宋_GB2312" w:cs="仿宋"/>
          <w:color w:val="000000"/>
          <w:kern w:val="0"/>
          <w:sz w:val="32"/>
          <w:szCs w:val="32"/>
          <w:lang w:val="en-US" w:eastAsia="zh-CN" w:bidi="ar-SA"/>
        </w:rPr>
        <w:t>2</w:t>
      </w:r>
      <w:r>
        <w:rPr>
          <w:rFonts w:hint="eastAsia" w:ascii="仿宋_GB2312" w:hAnsi="Times New Roman" w:eastAsia="仿宋_GB2312" w:cs="仿宋"/>
          <w:color w:val="000000"/>
          <w:kern w:val="0"/>
          <w:sz w:val="32"/>
          <w:szCs w:val="32"/>
          <w:lang w:val="zh-CN" w:eastAsia="zh-CN" w:bidi="ar-SA"/>
        </w:rPr>
        <w:t>）单位收入统筹，本单位收入为财政拨款收入。本年度财政拨款收入</w:t>
      </w:r>
      <w:r>
        <w:rPr>
          <w:rFonts w:hint="eastAsia" w:ascii="仿宋_GB2312" w:hAnsi="Times New Roman" w:eastAsia="仿宋_GB2312" w:cs="仿宋"/>
          <w:color w:val="000000"/>
          <w:kern w:val="0"/>
          <w:sz w:val="32"/>
          <w:szCs w:val="32"/>
          <w:lang w:val="en-US" w:eastAsia="zh-CN" w:bidi="ar-SA"/>
        </w:rPr>
        <w:t>342.22万元。</w:t>
      </w:r>
    </w:p>
    <w:p w14:paraId="1EAC94E7">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_GB2312" w:hAnsi="Times New Roman" w:eastAsia="仿宋_GB2312" w:cs="仿宋"/>
          <w:color w:val="000000"/>
          <w:kern w:val="0"/>
          <w:sz w:val="32"/>
          <w:szCs w:val="32"/>
          <w:lang w:val="zh-CN" w:eastAsia="zh-CN" w:bidi="ar-SA"/>
        </w:rPr>
      </w:pPr>
      <w:r>
        <w:rPr>
          <w:rFonts w:hint="eastAsia" w:ascii="仿宋_GB2312" w:hAnsi="Times New Roman" w:eastAsia="仿宋_GB2312" w:cs="仿宋"/>
          <w:color w:val="000000"/>
          <w:kern w:val="0"/>
          <w:sz w:val="32"/>
          <w:szCs w:val="32"/>
          <w:lang w:val="zh-CN" w:eastAsia="zh-CN" w:bidi="ar-SA"/>
        </w:rPr>
        <w:t>（</w:t>
      </w:r>
      <w:r>
        <w:rPr>
          <w:rFonts w:hint="eastAsia" w:ascii="仿宋_GB2312" w:hAnsi="Times New Roman" w:eastAsia="仿宋_GB2312" w:cs="仿宋"/>
          <w:color w:val="000000"/>
          <w:kern w:val="0"/>
          <w:sz w:val="32"/>
          <w:szCs w:val="32"/>
          <w:lang w:val="en-US" w:eastAsia="zh-CN" w:bidi="ar-SA"/>
        </w:rPr>
        <w:t>3</w:t>
      </w:r>
      <w:r>
        <w:rPr>
          <w:rFonts w:hint="eastAsia" w:ascii="仿宋_GB2312" w:hAnsi="Times New Roman" w:eastAsia="仿宋_GB2312" w:cs="仿宋"/>
          <w:color w:val="000000"/>
          <w:kern w:val="0"/>
          <w:sz w:val="32"/>
          <w:szCs w:val="32"/>
          <w:lang w:val="zh-CN" w:eastAsia="zh-CN" w:bidi="ar-SA"/>
        </w:rPr>
        <w:t>）支出执行进度，严格执行预算，保障单位日常运转，保障工资及时、足额发放或社保及时、足额缴纳</w:t>
      </w:r>
    </w:p>
    <w:p w14:paraId="68D21C8A">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_GB2312" w:hAnsi="Times New Roman" w:eastAsia="仿宋_GB2312" w:cs="仿宋"/>
          <w:color w:val="000000"/>
          <w:kern w:val="0"/>
          <w:sz w:val="32"/>
          <w:szCs w:val="32"/>
          <w:lang w:val="zh-CN" w:eastAsia="zh-CN" w:bidi="ar-SA"/>
        </w:rPr>
      </w:pPr>
      <w:r>
        <w:rPr>
          <w:rFonts w:hint="eastAsia" w:ascii="仿宋_GB2312" w:hAnsi="Times New Roman" w:eastAsia="仿宋_GB2312" w:cs="仿宋"/>
          <w:color w:val="000000"/>
          <w:kern w:val="0"/>
          <w:sz w:val="32"/>
          <w:szCs w:val="32"/>
          <w:lang w:val="zh-CN" w:eastAsia="zh-CN" w:bidi="ar-SA"/>
        </w:rPr>
        <w:t>（</w:t>
      </w:r>
      <w:r>
        <w:rPr>
          <w:rFonts w:hint="eastAsia" w:ascii="仿宋_GB2312" w:hAnsi="Times New Roman" w:eastAsia="仿宋_GB2312" w:cs="仿宋"/>
          <w:color w:val="000000"/>
          <w:kern w:val="0"/>
          <w:sz w:val="32"/>
          <w:szCs w:val="32"/>
          <w:lang w:val="en-US" w:eastAsia="zh-CN" w:bidi="ar-SA"/>
        </w:rPr>
        <w:t>4</w:t>
      </w:r>
      <w:r>
        <w:rPr>
          <w:rFonts w:hint="eastAsia" w:ascii="仿宋_GB2312" w:hAnsi="Times New Roman" w:eastAsia="仿宋_GB2312" w:cs="仿宋"/>
          <w:color w:val="000000"/>
          <w:kern w:val="0"/>
          <w:sz w:val="32"/>
          <w:szCs w:val="32"/>
          <w:lang w:val="zh-CN" w:eastAsia="zh-CN" w:bidi="ar-SA"/>
        </w:rPr>
        <w:t>）预算年终结余</w:t>
      </w:r>
    </w:p>
    <w:p w14:paraId="06761F5F">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_GB2312" w:hAnsi="Times New Roman" w:eastAsia="仿宋_GB2312" w:cs="仿宋"/>
          <w:color w:val="000000"/>
          <w:kern w:val="0"/>
          <w:sz w:val="32"/>
          <w:szCs w:val="32"/>
          <w:lang w:val="zh-CN" w:eastAsia="zh-CN" w:bidi="ar-SA"/>
        </w:rPr>
      </w:pPr>
      <w:r>
        <w:rPr>
          <w:rFonts w:hint="eastAsia" w:ascii="仿宋_GB2312" w:hAnsi="Times New Roman" w:eastAsia="仿宋_GB2312" w:cs="仿宋"/>
          <w:color w:val="000000"/>
          <w:kern w:val="0"/>
          <w:sz w:val="32"/>
          <w:szCs w:val="32"/>
          <w:lang w:val="zh-CN" w:eastAsia="zh-CN" w:bidi="ar-SA"/>
        </w:rPr>
        <w:t>无。</w:t>
      </w:r>
    </w:p>
    <w:p w14:paraId="15B62C9E">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_GB2312" w:hAnsi="Times New Roman" w:eastAsia="仿宋_GB2312" w:cs="仿宋"/>
          <w:color w:val="000000"/>
          <w:kern w:val="0"/>
          <w:sz w:val="32"/>
          <w:szCs w:val="32"/>
          <w:lang w:val="zh-CN" w:eastAsia="zh-CN" w:bidi="ar-SA"/>
        </w:rPr>
      </w:pPr>
      <w:r>
        <w:rPr>
          <w:rFonts w:hint="eastAsia" w:ascii="仿宋_GB2312" w:hAnsi="Times New Roman" w:eastAsia="仿宋_GB2312" w:cs="仿宋"/>
          <w:color w:val="000000"/>
          <w:kern w:val="0"/>
          <w:sz w:val="32"/>
          <w:szCs w:val="32"/>
          <w:lang w:val="zh-CN" w:eastAsia="zh-CN" w:bidi="ar-SA"/>
        </w:rPr>
        <w:t>（</w:t>
      </w:r>
      <w:r>
        <w:rPr>
          <w:rFonts w:hint="eastAsia" w:ascii="仿宋_GB2312" w:hAnsi="Times New Roman" w:eastAsia="仿宋_GB2312" w:cs="仿宋"/>
          <w:color w:val="000000"/>
          <w:kern w:val="0"/>
          <w:sz w:val="32"/>
          <w:szCs w:val="32"/>
          <w:lang w:val="en-US" w:eastAsia="zh-CN" w:bidi="ar-SA"/>
        </w:rPr>
        <w:t>5</w:t>
      </w:r>
      <w:r>
        <w:rPr>
          <w:rFonts w:hint="eastAsia" w:ascii="仿宋_GB2312" w:hAnsi="Times New Roman" w:eastAsia="仿宋_GB2312" w:cs="仿宋"/>
          <w:color w:val="000000"/>
          <w:kern w:val="0"/>
          <w:sz w:val="32"/>
          <w:szCs w:val="32"/>
          <w:lang w:val="zh-CN" w:eastAsia="zh-CN" w:bidi="ar-SA"/>
        </w:rPr>
        <w:t>）严控一般性支出</w:t>
      </w:r>
    </w:p>
    <w:p w14:paraId="7B8BD620">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_GB2312" w:hAnsi="Times New Roman" w:eastAsia="仿宋_GB2312" w:cs="仿宋"/>
          <w:color w:val="000000"/>
          <w:kern w:val="0"/>
          <w:sz w:val="32"/>
          <w:szCs w:val="32"/>
          <w:lang w:val="zh-CN" w:eastAsia="zh-CN" w:bidi="ar-SA"/>
        </w:rPr>
      </w:pPr>
      <w:r>
        <w:rPr>
          <w:rFonts w:hint="eastAsia" w:ascii="仿宋_GB2312" w:hAnsi="Times New Roman" w:eastAsia="仿宋_GB2312" w:cs="仿宋"/>
          <w:color w:val="000000"/>
          <w:kern w:val="0"/>
          <w:sz w:val="32"/>
          <w:szCs w:val="32"/>
          <w:lang w:val="zh-CN" w:eastAsia="zh-CN" w:bidi="ar-SA"/>
        </w:rPr>
        <w:t>（1）社会保险事务中心202</w:t>
      </w:r>
      <w:r>
        <w:rPr>
          <w:rFonts w:hint="eastAsia" w:ascii="仿宋_GB2312" w:hAnsi="Times New Roman" w:eastAsia="仿宋_GB2312" w:cs="仿宋"/>
          <w:color w:val="000000"/>
          <w:kern w:val="0"/>
          <w:sz w:val="32"/>
          <w:szCs w:val="32"/>
          <w:lang w:val="en-US" w:eastAsia="zh-CN" w:bidi="ar-SA"/>
        </w:rPr>
        <w:t>4</w:t>
      </w:r>
      <w:r>
        <w:rPr>
          <w:rFonts w:hint="eastAsia" w:ascii="仿宋_GB2312" w:hAnsi="Times New Roman" w:eastAsia="仿宋_GB2312" w:cs="仿宋"/>
          <w:color w:val="000000"/>
          <w:kern w:val="0"/>
          <w:sz w:val="32"/>
          <w:szCs w:val="32"/>
          <w:lang w:val="zh-CN" w:eastAsia="zh-CN" w:bidi="ar-SA"/>
        </w:rPr>
        <w:t>年度“三公”经费财政拨款支出决算为1.</w:t>
      </w:r>
      <w:r>
        <w:rPr>
          <w:rFonts w:hint="eastAsia" w:ascii="仿宋_GB2312" w:hAnsi="Times New Roman" w:eastAsia="仿宋_GB2312" w:cs="仿宋"/>
          <w:color w:val="000000"/>
          <w:kern w:val="0"/>
          <w:sz w:val="32"/>
          <w:szCs w:val="32"/>
          <w:lang w:val="en-US" w:eastAsia="zh-CN" w:bidi="ar-SA"/>
        </w:rPr>
        <w:t>4</w:t>
      </w:r>
      <w:r>
        <w:rPr>
          <w:rFonts w:hint="eastAsia" w:ascii="仿宋_GB2312" w:hAnsi="Times New Roman" w:eastAsia="仿宋_GB2312" w:cs="仿宋"/>
          <w:color w:val="000000"/>
          <w:kern w:val="0"/>
          <w:sz w:val="32"/>
          <w:szCs w:val="32"/>
          <w:lang w:val="zh-CN" w:eastAsia="zh-CN" w:bidi="ar-SA"/>
        </w:rPr>
        <w:t>8万元，完成预算9</w:t>
      </w:r>
      <w:r>
        <w:rPr>
          <w:rFonts w:hint="eastAsia" w:ascii="仿宋_GB2312" w:hAnsi="Times New Roman" w:eastAsia="仿宋_GB2312" w:cs="仿宋"/>
          <w:color w:val="000000"/>
          <w:kern w:val="0"/>
          <w:sz w:val="32"/>
          <w:szCs w:val="32"/>
          <w:lang w:val="en-US" w:eastAsia="zh-CN" w:bidi="ar-SA"/>
        </w:rPr>
        <w:t>8.67</w:t>
      </w:r>
      <w:r>
        <w:rPr>
          <w:rFonts w:hint="eastAsia" w:ascii="仿宋_GB2312" w:hAnsi="Times New Roman" w:eastAsia="仿宋_GB2312" w:cs="仿宋"/>
          <w:color w:val="000000"/>
          <w:kern w:val="0"/>
          <w:sz w:val="32"/>
          <w:szCs w:val="32"/>
          <w:lang w:val="zh-CN" w:eastAsia="zh-CN" w:bidi="ar-SA"/>
        </w:rPr>
        <w:t>%，其中：无因公出国（境）费支出；无公务接待费支出；公务用车购置及运行维护费支出决算为1.</w:t>
      </w:r>
      <w:r>
        <w:rPr>
          <w:rFonts w:hint="eastAsia" w:ascii="仿宋_GB2312" w:hAnsi="Times New Roman" w:eastAsia="仿宋_GB2312" w:cs="仿宋"/>
          <w:color w:val="000000"/>
          <w:kern w:val="0"/>
          <w:sz w:val="32"/>
          <w:szCs w:val="32"/>
          <w:lang w:val="en-US" w:eastAsia="zh-CN" w:bidi="ar-SA"/>
        </w:rPr>
        <w:t>4</w:t>
      </w:r>
      <w:r>
        <w:rPr>
          <w:rFonts w:hint="eastAsia" w:ascii="仿宋_GB2312" w:hAnsi="Times New Roman" w:eastAsia="仿宋_GB2312" w:cs="仿宋"/>
          <w:color w:val="000000"/>
          <w:kern w:val="0"/>
          <w:sz w:val="32"/>
          <w:szCs w:val="32"/>
          <w:lang w:val="zh-CN" w:eastAsia="zh-CN" w:bidi="ar-SA"/>
        </w:rPr>
        <w:t>8万元，完成预算</w:t>
      </w:r>
      <w:r>
        <w:rPr>
          <w:rFonts w:hint="eastAsia" w:ascii="仿宋_GB2312" w:hAnsi="Times New Roman" w:eastAsia="仿宋_GB2312" w:cs="仿宋"/>
          <w:color w:val="000000"/>
          <w:kern w:val="0"/>
          <w:sz w:val="32"/>
          <w:szCs w:val="32"/>
          <w:lang w:val="en-US" w:eastAsia="zh-CN" w:bidi="ar-SA"/>
        </w:rPr>
        <w:t>98.67</w:t>
      </w:r>
      <w:r>
        <w:rPr>
          <w:rFonts w:hint="eastAsia" w:ascii="仿宋_GB2312" w:hAnsi="Times New Roman" w:eastAsia="仿宋_GB2312" w:cs="仿宋"/>
          <w:color w:val="000000"/>
          <w:kern w:val="0"/>
          <w:sz w:val="32"/>
          <w:szCs w:val="32"/>
          <w:lang w:val="zh-CN" w:eastAsia="zh-CN" w:bidi="ar-SA"/>
        </w:rPr>
        <w:t>%。202</w:t>
      </w:r>
      <w:r>
        <w:rPr>
          <w:rFonts w:hint="eastAsia" w:ascii="仿宋_GB2312" w:hAnsi="Times New Roman" w:eastAsia="仿宋_GB2312" w:cs="仿宋"/>
          <w:color w:val="000000"/>
          <w:kern w:val="0"/>
          <w:sz w:val="32"/>
          <w:szCs w:val="32"/>
          <w:lang w:val="en-US" w:eastAsia="zh-CN" w:bidi="ar-SA"/>
        </w:rPr>
        <w:t>4</w:t>
      </w:r>
      <w:r>
        <w:rPr>
          <w:rFonts w:hint="eastAsia" w:ascii="仿宋_GB2312" w:hAnsi="Times New Roman" w:eastAsia="仿宋_GB2312" w:cs="仿宋"/>
          <w:color w:val="000000"/>
          <w:kern w:val="0"/>
          <w:sz w:val="32"/>
          <w:szCs w:val="32"/>
          <w:lang w:val="zh-CN" w:eastAsia="zh-CN" w:bidi="ar-SA"/>
        </w:rPr>
        <w:t>年度“三公”经费财政拨款支出决算数比202</w:t>
      </w:r>
      <w:r>
        <w:rPr>
          <w:rFonts w:hint="eastAsia" w:ascii="仿宋_GB2312" w:hAnsi="Times New Roman" w:eastAsia="仿宋_GB2312" w:cs="仿宋"/>
          <w:color w:val="000000"/>
          <w:kern w:val="0"/>
          <w:sz w:val="32"/>
          <w:szCs w:val="32"/>
          <w:lang w:val="en-US" w:eastAsia="zh-CN" w:bidi="ar-SA"/>
        </w:rPr>
        <w:t>3</w:t>
      </w:r>
      <w:r>
        <w:rPr>
          <w:rFonts w:hint="eastAsia" w:ascii="仿宋_GB2312" w:hAnsi="Times New Roman" w:eastAsia="仿宋_GB2312" w:cs="仿宋"/>
          <w:color w:val="000000"/>
          <w:kern w:val="0"/>
          <w:sz w:val="32"/>
          <w:szCs w:val="32"/>
          <w:lang w:val="zh-CN" w:eastAsia="zh-CN" w:bidi="ar-SA"/>
        </w:rPr>
        <w:t>年减少</w:t>
      </w:r>
      <w:r>
        <w:rPr>
          <w:rFonts w:hint="eastAsia" w:ascii="仿宋_GB2312" w:hAnsi="Times New Roman" w:eastAsia="仿宋_GB2312" w:cs="仿宋"/>
          <w:color w:val="000000"/>
          <w:kern w:val="0"/>
          <w:sz w:val="32"/>
          <w:szCs w:val="32"/>
          <w:lang w:val="en-US" w:eastAsia="zh-CN" w:bidi="ar-SA"/>
        </w:rPr>
        <w:t>0.32</w:t>
      </w:r>
      <w:r>
        <w:rPr>
          <w:rFonts w:hint="eastAsia" w:ascii="仿宋_GB2312" w:hAnsi="Times New Roman" w:eastAsia="仿宋_GB2312" w:cs="仿宋"/>
          <w:color w:val="000000"/>
          <w:kern w:val="0"/>
          <w:sz w:val="32"/>
          <w:szCs w:val="32"/>
          <w:lang w:val="zh-CN" w:eastAsia="zh-CN" w:bidi="ar-SA"/>
        </w:rPr>
        <w:t>万元，减少</w:t>
      </w:r>
      <w:r>
        <w:rPr>
          <w:rFonts w:hint="eastAsia" w:ascii="仿宋_GB2312" w:hAnsi="Times New Roman" w:eastAsia="仿宋_GB2312" w:cs="仿宋"/>
          <w:color w:val="000000"/>
          <w:kern w:val="0"/>
          <w:sz w:val="32"/>
          <w:szCs w:val="32"/>
          <w:lang w:val="en-US" w:eastAsia="zh-CN" w:bidi="ar-SA"/>
        </w:rPr>
        <w:t>17.78</w:t>
      </w:r>
      <w:r>
        <w:rPr>
          <w:rFonts w:hint="eastAsia" w:ascii="仿宋_GB2312" w:hAnsi="Times New Roman" w:eastAsia="仿宋_GB2312" w:cs="仿宋"/>
          <w:color w:val="000000"/>
          <w:kern w:val="0"/>
          <w:sz w:val="32"/>
          <w:szCs w:val="32"/>
          <w:lang w:val="zh-CN" w:eastAsia="zh-CN" w:bidi="ar-SA"/>
        </w:rPr>
        <w:t>%，其中：无因公出国（境）费支出；公务接待费用0元，公务用车购置及运行维护费支出决算为1.</w:t>
      </w:r>
      <w:r>
        <w:rPr>
          <w:rFonts w:hint="eastAsia" w:ascii="仿宋_GB2312" w:hAnsi="Times New Roman" w:eastAsia="仿宋_GB2312" w:cs="仿宋"/>
          <w:color w:val="000000"/>
          <w:kern w:val="0"/>
          <w:sz w:val="32"/>
          <w:szCs w:val="32"/>
          <w:lang w:val="en-US" w:eastAsia="zh-CN" w:bidi="ar-SA"/>
        </w:rPr>
        <w:t>4</w:t>
      </w:r>
      <w:r>
        <w:rPr>
          <w:rFonts w:hint="eastAsia" w:ascii="仿宋_GB2312" w:hAnsi="Times New Roman" w:eastAsia="仿宋_GB2312" w:cs="仿宋"/>
          <w:color w:val="000000"/>
          <w:kern w:val="0"/>
          <w:sz w:val="32"/>
          <w:szCs w:val="32"/>
          <w:lang w:val="zh-CN" w:eastAsia="zh-CN" w:bidi="ar-SA"/>
        </w:rPr>
        <w:t>8万元，原因是20</w:t>
      </w:r>
      <w:r>
        <w:rPr>
          <w:rFonts w:hint="eastAsia" w:ascii="仿宋_GB2312" w:hAnsi="Times New Roman" w:eastAsia="仿宋_GB2312" w:cs="仿宋"/>
          <w:color w:val="000000"/>
          <w:kern w:val="0"/>
          <w:sz w:val="32"/>
          <w:szCs w:val="32"/>
          <w:lang w:val="en-US" w:eastAsia="zh-CN" w:bidi="ar-SA"/>
        </w:rPr>
        <w:t>24</w:t>
      </w:r>
      <w:r>
        <w:rPr>
          <w:rFonts w:hint="eastAsia" w:ascii="仿宋_GB2312" w:hAnsi="Times New Roman" w:eastAsia="仿宋_GB2312" w:cs="仿宋"/>
          <w:color w:val="000000"/>
          <w:kern w:val="0"/>
          <w:sz w:val="32"/>
          <w:szCs w:val="32"/>
          <w:lang w:val="zh-CN" w:eastAsia="zh-CN" w:bidi="ar-SA"/>
        </w:rPr>
        <w:t>年公务用车购置及运行维护费支出决算减少</w:t>
      </w:r>
      <w:r>
        <w:rPr>
          <w:rFonts w:hint="eastAsia" w:ascii="仿宋_GB2312" w:hAnsi="Times New Roman" w:eastAsia="仿宋_GB2312" w:cs="仿宋"/>
          <w:color w:val="000000"/>
          <w:kern w:val="0"/>
          <w:sz w:val="32"/>
          <w:szCs w:val="32"/>
          <w:lang w:val="en-US" w:eastAsia="zh-CN" w:bidi="ar-SA"/>
        </w:rPr>
        <w:t>0.34</w:t>
      </w:r>
      <w:r>
        <w:rPr>
          <w:rFonts w:hint="eastAsia" w:ascii="仿宋_GB2312" w:hAnsi="Times New Roman" w:eastAsia="仿宋_GB2312" w:cs="仿宋"/>
          <w:color w:val="000000"/>
          <w:kern w:val="0"/>
          <w:sz w:val="32"/>
          <w:szCs w:val="32"/>
          <w:lang w:val="zh-CN" w:eastAsia="zh-CN" w:bidi="ar-SA"/>
        </w:rPr>
        <w:t>万元，减少</w:t>
      </w:r>
      <w:r>
        <w:rPr>
          <w:rFonts w:hint="eastAsia" w:ascii="仿宋_GB2312" w:hAnsi="Times New Roman" w:eastAsia="仿宋_GB2312" w:cs="仿宋"/>
          <w:color w:val="000000"/>
          <w:kern w:val="0"/>
          <w:sz w:val="32"/>
          <w:szCs w:val="32"/>
          <w:lang w:val="en-US" w:eastAsia="zh-CN" w:bidi="ar-SA"/>
        </w:rPr>
        <w:t>17.78</w:t>
      </w:r>
      <w:r>
        <w:rPr>
          <w:rFonts w:hint="eastAsia" w:ascii="仿宋_GB2312" w:hAnsi="Times New Roman" w:eastAsia="仿宋_GB2312" w:cs="仿宋"/>
          <w:color w:val="000000"/>
          <w:kern w:val="0"/>
          <w:sz w:val="32"/>
          <w:szCs w:val="32"/>
          <w:lang w:val="zh-CN" w:eastAsia="zh-CN" w:bidi="ar-SA"/>
        </w:rPr>
        <w:t>%；原因在于单位车辆老旧。</w:t>
      </w:r>
    </w:p>
    <w:p w14:paraId="379DE732">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楷体_GB2312" w:cs="Times New Roman"/>
          <w:color w:val="000000"/>
          <w:kern w:val="0"/>
          <w:szCs w:val="32"/>
          <w:highlight w:val="none"/>
          <w:shd w:val="clear" w:color="auto" w:fill="FFFFFF"/>
          <w:lang w:val="zh-CN"/>
        </w:rPr>
      </w:pPr>
      <w:r>
        <w:rPr>
          <w:rFonts w:hint="eastAsia" w:ascii="仿宋_GB2312" w:hAnsi="Times New Roman" w:eastAsia="仿宋_GB2312" w:cs="仿宋"/>
          <w:color w:val="000000"/>
          <w:kern w:val="0"/>
          <w:sz w:val="32"/>
          <w:szCs w:val="32"/>
          <w:lang w:val="zh-CN" w:eastAsia="zh-CN" w:bidi="ar-SA"/>
        </w:rPr>
        <w:t>（</w:t>
      </w:r>
      <w:r>
        <w:rPr>
          <w:rFonts w:hint="eastAsia" w:ascii="仿宋_GB2312" w:hAnsi="Times New Roman" w:eastAsia="仿宋_GB2312" w:cs="仿宋"/>
          <w:color w:val="000000"/>
          <w:kern w:val="0"/>
          <w:sz w:val="32"/>
          <w:szCs w:val="32"/>
          <w:lang w:val="en-US" w:eastAsia="zh-CN" w:bidi="ar-SA"/>
        </w:rPr>
        <w:t>2</w:t>
      </w:r>
      <w:r>
        <w:rPr>
          <w:rFonts w:hint="eastAsia" w:ascii="仿宋_GB2312" w:hAnsi="Times New Roman" w:eastAsia="仿宋_GB2312" w:cs="仿宋"/>
          <w:color w:val="000000"/>
          <w:kern w:val="0"/>
          <w:sz w:val="32"/>
          <w:szCs w:val="32"/>
          <w:lang w:val="zh-CN" w:eastAsia="zh-CN" w:bidi="ar-SA"/>
        </w:rPr>
        <w:t>）培训费、差旅费等支出严格按照相关文件执行</w:t>
      </w:r>
      <w:r>
        <w:rPr>
          <w:rFonts w:hint="eastAsia" w:cs="Times New Roman"/>
          <w:color w:val="auto"/>
          <w:kern w:val="0"/>
          <w:szCs w:val="32"/>
          <w:highlight w:val="none"/>
          <w:shd w:val="clear" w:color="auto" w:fill="FFFFFF"/>
          <w:lang w:val="zh-CN"/>
        </w:rPr>
        <w:t>。</w:t>
      </w:r>
    </w:p>
    <w:p w14:paraId="7E1C7777">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仿宋_GB2312" w:hAnsi="Times New Roman" w:eastAsia="仿宋_GB2312" w:cs="仿宋"/>
          <w:color w:val="000000"/>
          <w:kern w:val="0"/>
          <w:sz w:val="32"/>
          <w:szCs w:val="32"/>
          <w:lang w:val="zh-CN" w:eastAsia="zh-CN" w:bidi="ar-SA"/>
        </w:rPr>
      </w:pPr>
      <w:r>
        <w:rPr>
          <w:rFonts w:hint="default" w:ascii="仿宋_GB2312" w:hAnsi="Times New Roman" w:eastAsia="仿宋_GB2312" w:cs="仿宋"/>
          <w:color w:val="000000"/>
          <w:kern w:val="0"/>
          <w:sz w:val="32"/>
          <w:szCs w:val="32"/>
          <w:lang w:val="zh-CN" w:eastAsia="zh-CN" w:bidi="ar-SA"/>
        </w:rPr>
        <w:t>财务管理</w:t>
      </w:r>
      <w:r>
        <w:rPr>
          <w:rFonts w:hint="eastAsia" w:ascii="仿宋_GB2312" w:hAnsi="Times New Roman" w:eastAsia="仿宋_GB2312" w:cs="仿宋"/>
          <w:color w:val="000000"/>
          <w:kern w:val="0"/>
          <w:sz w:val="32"/>
          <w:szCs w:val="32"/>
          <w:lang w:val="zh-CN" w:eastAsia="zh-CN" w:bidi="ar-SA"/>
        </w:rPr>
        <w:t>得</w:t>
      </w:r>
      <w:r>
        <w:rPr>
          <w:rFonts w:hint="eastAsia" w:ascii="仿宋_GB2312" w:hAnsi="Times New Roman" w:eastAsia="仿宋_GB2312" w:cs="仿宋"/>
          <w:color w:val="000000"/>
          <w:kern w:val="0"/>
          <w:sz w:val="32"/>
          <w:szCs w:val="32"/>
          <w:lang w:val="en-US" w:eastAsia="zh-CN" w:bidi="ar-SA"/>
        </w:rPr>
        <w:t>10分</w:t>
      </w:r>
      <w:r>
        <w:rPr>
          <w:rFonts w:hint="default" w:ascii="仿宋_GB2312" w:hAnsi="Times New Roman" w:eastAsia="仿宋_GB2312" w:cs="仿宋"/>
          <w:color w:val="000000"/>
          <w:kern w:val="0"/>
          <w:sz w:val="32"/>
          <w:szCs w:val="32"/>
          <w:lang w:val="zh-CN" w:eastAsia="zh-CN" w:bidi="ar-SA"/>
        </w:rPr>
        <w:t>。</w:t>
      </w:r>
    </w:p>
    <w:p w14:paraId="6D4045B5">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_GB2312" w:hAnsi="Times New Roman" w:eastAsia="仿宋_GB2312" w:cs="仿宋"/>
          <w:color w:val="000000"/>
          <w:kern w:val="0"/>
          <w:sz w:val="32"/>
          <w:szCs w:val="32"/>
          <w:lang w:val="zh-CN" w:eastAsia="zh-CN" w:bidi="ar-SA"/>
        </w:rPr>
      </w:pPr>
      <w:r>
        <w:rPr>
          <w:rFonts w:hint="eastAsia" w:ascii="仿宋_GB2312" w:hAnsi="Times New Roman" w:eastAsia="仿宋_GB2312" w:cs="仿宋"/>
          <w:color w:val="000000"/>
          <w:kern w:val="0"/>
          <w:sz w:val="32"/>
          <w:szCs w:val="32"/>
          <w:lang w:val="zh-CN" w:eastAsia="zh-CN" w:bidi="ar-SA"/>
        </w:rPr>
        <w:t>（</w:t>
      </w:r>
      <w:r>
        <w:rPr>
          <w:rFonts w:hint="eastAsia" w:ascii="仿宋_GB2312" w:hAnsi="Times New Roman" w:eastAsia="仿宋_GB2312" w:cs="仿宋"/>
          <w:color w:val="000000"/>
          <w:kern w:val="0"/>
          <w:sz w:val="32"/>
          <w:szCs w:val="32"/>
          <w:lang w:val="en-US" w:eastAsia="zh-CN" w:bidi="ar-SA"/>
        </w:rPr>
        <w:t>1</w:t>
      </w:r>
      <w:r>
        <w:rPr>
          <w:rFonts w:hint="eastAsia" w:ascii="仿宋_GB2312" w:hAnsi="Times New Roman" w:eastAsia="仿宋_GB2312" w:cs="仿宋"/>
          <w:color w:val="000000"/>
          <w:kern w:val="0"/>
          <w:sz w:val="32"/>
          <w:szCs w:val="32"/>
          <w:lang w:val="zh-CN" w:eastAsia="zh-CN" w:bidi="ar-SA"/>
        </w:rPr>
        <w:t>）财务管理制度</w:t>
      </w:r>
    </w:p>
    <w:p w14:paraId="29BDCBB9">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_GB2312" w:hAnsi="Times New Roman" w:eastAsia="仿宋_GB2312" w:cs="仿宋"/>
          <w:color w:val="000000"/>
          <w:kern w:val="0"/>
          <w:sz w:val="32"/>
          <w:szCs w:val="32"/>
          <w:lang w:val="zh-CN" w:eastAsia="zh-CN" w:bidi="ar-SA"/>
        </w:rPr>
      </w:pPr>
      <w:r>
        <w:rPr>
          <w:rFonts w:hint="eastAsia" w:ascii="仿宋_GB2312" w:hAnsi="Times New Roman" w:eastAsia="仿宋_GB2312" w:cs="仿宋"/>
          <w:color w:val="000000"/>
          <w:kern w:val="0"/>
          <w:sz w:val="32"/>
          <w:szCs w:val="32"/>
          <w:lang w:val="zh-CN" w:eastAsia="zh-CN" w:bidi="ar-SA"/>
        </w:rPr>
        <w:t>部门已制定内部财务管理制度等制度机制的，财务管理制度得到落实。</w:t>
      </w:r>
    </w:p>
    <w:p w14:paraId="137B8E9D">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_GB2312" w:hAnsi="Times New Roman" w:eastAsia="仿宋_GB2312" w:cs="仿宋"/>
          <w:color w:val="000000"/>
          <w:kern w:val="0"/>
          <w:sz w:val="32"/>
          <w:szCs w:val="32"/>
          <w:lang w:val="zh-CN" w:eastAsia="zh-CN" w:bidi="ar-SA"/>
        </w:rPr>
      </w:pPr>
      <w:r>
        <w:rPr>
          <w:rFonts w:hint="eastAsia" w:ascii="仿宋_GB2312" w:hAnsi="Times New Roman" w:eastAsia="仿宋_GB2312" w:cs="仿宋"/>
          <w:color w:val="000000"/>
          <w:kern w:val="0"/>
          <w:sz w:val="32"/>
          <w:szCs w:val="32"/>
          <w:lang w:val="zh-CN" w:eastAsia="zh-CN" w:bidi="ar-SA"/>
        </w:rPr>
        <w:t>（2）财务岗位设置</w:t>
      </w:r>
    </w:p>
    <w:p w14:paraId="7ACD5C46">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_GB2312" w:hAnsi="Times New Roman" w:eastAsia="仿宋_GB2312" w:cs="仿宋"/>
          <w:color w:val="000000"/>
          <w:kern w:val="0"/>
          <w:sz w:val="32"/>
          <w:szCs w:val="32"/>
          <w:lang w:val="zh-CN" w:eastAsia="zh-CN" w:bidi="ar-SA"/>
        </w:rPr>
      </w:pPr>
      <w:r>
        <w:rPr>
          <w:rFonts w:hint="eastAsia" w:ascii="仿宋_GB2312" w:hAnsi="Times New Roman" w:eastAsia="仿宋_GB2312" w:cs="仿宋"/>
          <w:color w:val="000000"/>
          <w:kern w:val="0"/>
          <w:sz w:val="32"/>
          <w:szCs w:val="32"/>
          <w:lang w:val="zh-CN" w:eastAsia="zh-CN" w:bidi="ar-SA"/>
        </w:rPr>
        <w:t>部门合理设置财务工作岗位，明确职责权限，并严格实行不相容岗位分离</w:t>
      </w:r>
    </w:p>
    <w:p w14:paraId="1DC615C9">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_GB2312" w:hAnsi="Times New Roman" w:eastAsia="仿宋_GB2312" w:cs="仿宋"/>
          <w:color w:val="000000"/>
          <w:kern w:val="0"/>
          <w:sz w:val="32"/>
          <w:szCs w:val="32"/>
          <w:lang w:val="zh-CN" w:eastAsia="zh-CN" w:bidi="ar-SA"/>
        </w:rPr>
      </w:pPr>
      <w:r>
        <w:rPr>
          <w:rFonts w:hint="eastAsia" w:ascii="仿宋_GB2312" w:hAnsi="Times New Roman" w:eastAsia="仿宋_GB2312" w:cs="仿宋"/>
          <w:color w:val="000000"/>
          <w:kern w:val="0"/>
          <w:sz w:val="32"/>
          <w:szCs w:val="32"/>
          <w:lang w:val="zh-CN" w:eastAsia="zh-CN" w:bidi="ar-SA"/>
        </w:rPr>
        <w:t>（</w:t>
      </w:r>
      <w:r>
        <w:rPr>
          <w:rFonts w:hint="eastAsia" w:ascii="仿宋_GB2312" w:hAnsi="Times New Roman" w:eastAsia="仿宋_GB2312" w:cs="仿宋"/>
          <w:color w:val="000000"/>
          <w:kern w:val="0"/>
          <w:sz w:val="32"/>
          <w:szCs w:val="32"/>
          <w:lang w:val="en-US" w:eastAsia="zh-CN" w:bidi="ar-SA"/>
        </w:rPr>
        <w:t>3</w:t>
      </w:r>
      <w:r>
        <w:rPr>
          <w:rFonts w:hint="eastAsia" w:ascii="仿宋_GB2312" w:hAnsi="Times New Roman" w:eastAsia="仿宋_GB2312" w:cs="仿宋"/>
          <w:color w:val="000000"/>
          <w:kern w:val="0"/>
          <w:sz w:val="32"/>
          <w:szCs w:val="32"/>
          <w:lang w:val="zh-CN" w:eastAsia="zh-CN" w:bidi="ar-SA"/>
        </w:rPr>
        <w:t>）资金使用规范</w:t>
      </w:r>
    </w:p>
    <w:p w14:paraId="3240AA56">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_GB2312" w:hAnsi="Times New Roman" w:eastAsia="仿宋_GB2312" w:cs="仿宋"/>
          <w:color w:val="000000"/>
          <w:kern w:val="0"/>
          <w:sz w:val="32"/>
          <w:szCs w:val="32"/>
          <w:lang w:val="zh-CN" w:eastAsia="zh-CN" w:bidi="ar-SA"/>
        </w:rPr>
      </w:pPr>
      <w:r>
        <w:rPr>
          <w:rFonts w:hint="eastAsia" w:ascii="仿宋_GB2312" w:hAnsi="Times New Roman" w:eastAsia="仿宋_GB2312" w:cs="仿宋"/>
          <w:color w:val="000000"/>
          <w:kern w:val="0"/>
          <w:sz w:val="32"/>
          <w:szCs w:val="32"/>
          <w:lang w:val="zh-CN" w:eastAsia="zh-CN" w:bidi="ar-SA"/>
        </w:rPr>
        <w:t>部门资金使用符合相关财务管理制度规定。</w:t>
      </w:r>
    </w:p>
    <w:p w14:paraId="4C492C06">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_GB2312" w:hAnsi="Times New Roman" w:eastAsia="仿宋_GB2312" w:cs="仿宋"/>
          <w:color w:val="000000"/>
          <w:kern w:val="0"/>
          <w:sz w:val="32"/>
          <w:szCs w:val="32"/>
          <w:lang w:val="zh-CN" w:eastAsia="zh-CN" w:bidi="ar-SA"/>
        </w:rPr>
      </w:pPr>
      <w:r>
        <w:rPr>
          <w:rFonts w:hint="default" w:ascii="仿宋_GB2312" w:hAnsi="Times New Roman" w:eastAsia="仿宋_GB2312" w:cs="仿宋"/>
          <w:color w:val="000000"/>
          <w:kern w:val="0"/>
          <w:sz w:val="32"/>
          <w:szCs w:val="32"/>
          <w:lang w:val="zh-CN" w:eastAsia="zh-CN" w:bidi="ar-SA"/>
        </w:rPr>
        <w:t>资产管理</w:t>
      </w:r>
      <w:r>
        <w:rPr>
          <w:rFonts w:hint="eastAsia" w:ascii="仿宋_GB2312" w:hAnsi="Times New Roman" w:eastAsia="仿宋_GB2312" w:cs="仿宋"/>
          <w:color w:val="000000"/>
          <w:kern w:val="0"/>
          <w:sz w:val="32"/>
          <w:szCs w:val="32"/>
          <w:lang w:val="zh-CN" w:eastAsia="zh-CN" w:bidi="ar-SA"/>
        </w:rPr>
        <w:t>得</w:t>
      </w:r>
      <w:r>
        <w:rPr>
          <w:rFonts w:hint="eastAsia" w:ascii="仿宋_GB2312" w:hAnsi="Times New Roman" w:eastAsia="仿宋_GB2312" w:cs="仿宋"/>
          <w:color w:val="000000"/>
          <w:kern w:val="0"/>
          <w:sz w:val="32"/>
          <w:szCs w:val="32"/>
          <w:lang w:val="en-US" w:eastAsia="zh-CN" w:bidi="ar-SA"/>
        </w:rPr>
        <w:t>5.4分</w:t>
      </w:r>
      <w:r>
        <w:rPr>
          <w:rFonts w:hint="eastAsia" w:ascii="仿宋_GB2312" w:hAnsi="Times New Roman" w:eastAsia="仿宋_GB2312" w:cs="仿宋"/>
          <w:color w:val="000000"/>
          <w:kern w:val="0"/>
          <w:sz w:val="32"/>
          <w:szCs w:val="32"/>
          <w:lang w:val="zh-CN" w:eastAsia="zh-CN" w:bidi="ar-SA"/>
        </w:rPr>
        <w:t>。</w:t>
      </w:r>
    </w:p>
    <w:p w14:paraId="20302634">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仿宋_GB2312" w:hAnsi="Times New Roman" w:eastAsia="仿宋_GB2312" w:cs="仿宋"/>
          <w:color w:val="000000"/>
          <w:kern w:val="0"/>
          <w:sz w:val="32"/>
          <w:szCs w:val="32"/>
          <w:lang w:val="en-US" w:eastAsia="zh-CN" w:bidi="ar-SA"/>
        </w:rPr>
      </w:pPr>
      <w:r>
        <w:rPr>
          <w:rFonts w:hint="default" w:ascii="仿宋_GB2312" w:hAnsi="Times New Roman" w:eastAsia="仿宋_GB2312" w:cs="仿宋"/>
          <w:color w:val="000000"/>
          <w:kern w:val="0"/>
          <w:sz w:val="32"/>
          <w:szCs w:val="32"/>
          <w:lang w:val="en-US" w:eastAsia="zh-CN" w:bidi="ar-SA"/>
        </w:rPr>
        <w:t>固定资产管理制度不健全。没有定期对固定资产清查盘点。</w:t>
      </w:r>
    </w:p>
    <w:p w14:paraId="00C0DB29">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_GB2312" w:hAnsi="Times New Roman" w:eastAsia="仿宋_GB2312" w:cs="仿宋"/>
          <w:color w:val="000000"/>
          <w:kern w:val="0"/>
          <w:sz w:val="32"/>
          <w:szCs w:val="32"/>
          <w:lang w:val="zh-CN" w:eastAsia="zh-CN" w:bidi="ar-SA"/>
        </w:rPr>
      </w:pPr>
      <w:r>
        <w:rPr>
          <w:rFonts w:hint="eastAsia" w:ascii="仿宋_GB2312" w:hAnsi="Times New Roman" w:eastAsia="仿宋_GB2312" w:cs="仿宋"/>
          <w:color w:val="000000"/>
          <w:kern w:val="0"/>
          <w:sz w:val="32"/>
          <w:szCs w:val="32"/>
          <w:lang w:val="en-US" w:eastAsia="zh-CN" w:bidi="ar-SA"/>
        </w:rPr>
        <w:t>5.</w:t>
      </w:r>
      <w:r>
        <w:rPr>
          <w:rFonts w:hint="default" w:ascii="仿宋_GB2312" w:hAnsi="Times New Roman" w:eastAsia="仿宋_GB2312" w:cs="仿宋"/>
          <w:color w:val="000000"/>
          <w:kern w:val="0"/>
          <w:sz w:val="32"/>
          <w:szCs w:val="32"/>
          <w:lang w:val="zh-CN" w:eastAsia="zh-CN" w:bidi="ar-SA"/>
        </w:rPr>
        <w:t>采购管理</w:t>
      </w:r>
      <w:r>
        <w:rPr>
          <w:rFonts w:hint="eastAsia" w:ascii="仿宋_GB2312" w:hAnsi="Times New Roman" w:eastAsia="仿宋_GB2312" w:cs="仿宋"/>
          <w:color w:val="000000"/>
          <w:kern w:val="0"/>
          <w:sz w:val="32"/>
          <w:szCs w:val="32"/>
          <w:lang w:val="zh-CN" w:eastAsia="zh-CN" w:bidi="ar-SA"/>
        </w:rPr>
        <w:t>得</w:t>
      </w:r>
      <w:r>
        <w:rPr>
          <w:rFonts w:hint="eastAsia" w:ascii="仿宋_GB2312" w:hAnsi="Times New Roman" w:eastAsia="仿宋_GB2312" w:cs="仿宋"/>
          <w:color w:val="000000"/>
          <w:kern w:val="0"/>
          <w:sz w:val="32"/>
          <w:szCs w:val="32"/>
          <w:lang w:val="en-US" w:eastAsia="zh-CN" w:bidi="ar-SA"/>
        </w:rPr>
        <w:t>6分</w:t>
      </w:r>
      <w:r>
        <w:rPr>
          <w:rFonts w:hint="eastAsia" w:ascii="仿宋_GB2312" w:hAnsi="Times New Roman" w:eastAsia="仿宋_GB2312" w:cs="仿宋"/>
          <w:color w:val="000000"/>
          <w:kern w:val="0"/>
          <w:sz w:val="32"/>
          <w:szCs w:val="32"/>
          <w:lang w:val="zh-CN" w:eastAsia="zh-CN" w:bidi="ar-SA"/>
        </w:rPr>
        <w:t>。</w:t>
      </w:r>
    </w:p>
    <w:p w14:paraId="515ED84A">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仿宋_GB2312" w:hAnsi="Times New Roman" w:eastAsia="仿宋_GB2312" w:cs="仿宋"/>
          <w:color w:val="000000"/>
          <w:kern w:val="0"/>
          <w:sz w:val="32"/>
          <w:szCs w:val="32"/>
          <w:lang w:val="en-US" w:eastAsia="zh-CN" w:bidi="ar-SA"/>
        </w:rPr>
      </w:pPr>
      <w:r>
        <w:rPr>
          <w:rFonts w:hint="eastAsia" w:ascii="仿宋_GB2312" w:hAnsi="Times New Roman" w:eastAsia="仿宋_GB2312" w:cs="仿宋"/>
          <w:color w:val="000000"/>
          <w:kern w:val="0"/>
          <w:sz w:val="32"/>
          <w:szCs w:val="32"/>
          <w:lang w:val="zh-CN" w:eastAsia="zh-CN" w:bidi="ar-SA"/>
        </w:rPr>
        <w:t>本单位</w:t>
      </w:r>
      <w:r>
        <w:rPr>
          <w:rFonts w:hint="eastAsia" w:ascii="仿宋_GB2312" w:hAnsi="Times New Roman" w:eastAsia="仿宋_GB2312" w:cs="仿宋"/>
          <w:color w:val="000000"/>
          <w:kern w:val="0"/>
          <w:sz w:val="32"/>
          <w:szCs w:val="32"/>
          <w:lang w:val="en-US" w:eastAsia="zh-CN" w:bidi="ar-SA"/>
        </w:rPr>
        <w:t>2024年无政府采购。</w:t>
      </w:r>
    </w:p>
    <w:p w14:paraId="6AC7E1E2">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仿宋_GB2312" w:hAnsi="Times New Roman" w:eastAsia="仿宋_GB2312" w:cs="仿宋"/>
          <w:color w:val="000000"/>
          <w:kern w:val="0"/>
          <w:sz w:val="32"/>
          <w:szCs w:val="32"/>
          <w:lang w:val="en-US" w:eastAsia="zh-CN" w:bidi="ar-SA"/>
        </w:rPr>
      </w:pPr>
      <w:r>
        <w:rPr>
          <w:rFonts w:hint="default" w:ascii="仿宋_GB2312" w:hAnsi="Times New Roman" w:eastAsia="仿宋_GB2312" w:cs="仿宋"/>
          <w:color w:val="000000"/>
          <w:kern w:val="0"/>
          <w:sz w:val="32"/>
          <w:szCs w:val="32"/>
          <w:lang w:val="zh-CN" w:eastAsia="zh-CN" w:bidi="ar-SA"/>
        </w:rPr>
        <w:t>（二）部门预算项目绩效分析。</w:t>
      </w:r>
    </w:p>
    <w:p w14:paraId="33F8A0E6">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仿宋_GB2312" w:hAnsi="Times New Roman" w:eastAsia="仿宋_GB2312" w:cs="仿宋"/>
          <w:color w:val="000000"/>
          <w:kern w:val="0"/>
          <w:sz w:val="32"/>
          <w:szCs w:val="32"/>
          <w:lang w:val="zh-CN" w:eastAsia="zh-CN" w:bidi="ar-SA"/>
        </w:rPr>
      </w:pPr>
      <w:r>
        <w:rPr>
          <w:rFonts w:hint="default" w:ascii="仿宋_GB2312" w:hAnsi="Times New Roman" w:eastAsia="仿宋_GB2312" w:cs="仿宋"/>
          <w:color w:val="000000"/>
          <w:kern w:val="0"/>
          <w:sz w:val="32"/>
          <w:szCs w:val="32"/>
          <w:lang w:val="en-US" w:eastAsia="zh-CN" w:bidi="ar-SA"/>
        </w:rPr>
        <w:t>常年项目绩效分析。</w:t>
      </w:r>
      <w:r>
        <w:rPr>
          <w:rFonts w:hint="default" w:ascii="仿宋_GB2312" w:hAnsi="Times New Roman" w:eastAsia="仿宋_GB2312" w:cs="仿宋"/>
          <w:color w:val="000000"/>
          <w:kern w:val="0"/>
          <w:sz w:val="32"/>
          <w:szCs w:val="32"/>
          <w:lang w:val="zh-CN" w:eastAsia="zh-CN" w:bidi="ar-SA"/>
        </w:rPr>
        <w:t>该类项目总数</w:t>
      </w:r>
      <w:r>
        <w:rPr>
          <w:rFonts w:hint="default" w:ascii="仿宋_GB2312" w:hAnsi="Times New Roman" w:eastAsia="仿宋_GB2312" w:cs="仿宋"/>
          <w:color w:val="000000"/>
          <w:kern w:val="0"/>
          <w:sz w:val="32"/>
          <w:szCs w:val="32"/>
          <w:lang w:val="en-US" w:eastAsia="zh-CN" w:bidi="ar-SA"/>
        </w:rPr>
        <w:t xml:space="preserve"> </w:t>
      </w:r>
      <w:r>
        <w:rPr>
          <w:rFonts w:hint="eastAsia" w:ascii="仿宋_GB2312" w:hAnsi="Times New Roman" w:eastAsia="仿宋_GB2312" w:cs="仿宋"/>
          <w:color w:val="000000"/>
          <w:kern w:val="0"/>
          <w:sz w:val="32"/>
          <w:szCs w:val="32"/>
          <w:lang w:val="en-US" w:eastAsia="zh-CN" w:bidi="ar-SA"/>
        </w:rPr>
        <w:t>43</w:t>
      </w:r>
      <w:r>
        <w:rPr>
          <w:rFonts w:hint="default" w:ascii="仿宋_GB2312" w:hAnsi="Times New Roman" w:eastAsia="仿宋_GB2312" w:cs="仿宋"/>
          <w:color w:val="000000"/>
          <w:kern w:val="0"/>
          <w:sz w:val="32"/>
          <w:szCs w:val="32"/>
          <w:lang w:val="zh-CN" w:eastAsia="zh-CN" w:bidi="ar-SA"/>
        </w:rPr>
        <w:t>个，涉及预算总金额</w:t>
      </w:r>
      <w:r>
        <w:rPr>
          <w:rFonts w:hint="eastAsia" w:ascii="仿宋_GB2312" w:hAnsi="Times New Roman" w:eastAsia="仿宋_GB2312" w:cs="仿宋"/>
          <w:color w:val="000000"/>
          <w:kern w:val="0"/>
          <w:sz w:val="32"/>
          <w:szCs w:val="32"/>
          <w:lang w:val="en-US" w:eastAsia="zh-CN" w:bidi="ar-SA"/>
        </w:rPr>
        <w:t>342.22</w:t>
      </w:r>
      <w:r>
        <w:rPr>
          <w:rFonts w:hint="default" w:ascii="仿宋_GB2312" w:hAnsi="Times New Roman" w:eastAsia="仿宋_GB2312" w:cs="仿宋"/>
          <w:color w:val="000000"/>
          <w:kern w:val="0"/>
          <w:sz w:val="32"/>
          <w:szCs w:val="32"/>
          <w:lang w:val="zh-CN" w:eastAsia="zh-CN" w:bidi="ar-SA"/>
        </w:rPr>
        <w:t>万元，1</w:t>
      </w:r>
      <w:r>
        <w:rPr>
          <w:rFonts w:hint="eastAsia" w:ascii="仿宋_GB2312" w:hAnsi="Times New Roman" w:eastAsia="仿宋_GB2312" w:cs="仿宋"/>
          <w:color w:val="000000"/>
          <w:kern w:val="0"/>
          <w:sz w:val="32"/>
          <w:szCs w:val="32"/>
          <w:lang w:val="zh-CN" w:eastAsia="zh-CN" w:bidi="ar-SA"/>
        </w:rPr>
        <w:t>—</w:t>
      </w:r>
      <w:r>
        <w:rPr>
          <w:rFonts w:hint="default" w:ascii="仿宋_GB2312" w:hAnsi="Times New Roman" w:eastAsia="仿宋_GB2312" w:cs="仿宋"/>
          <w:color w:val="000000"/>
          <w:kern w:val="0"/>
          <w:sz w:val="32"/>
          <w:szCs w:val="32"/>
          <w:lang w:val="zh-CN" w:eastAsia="zh-CN" w:bidi="ar-SA"/>
        </w:rPr>
        <w:t>1</w:t>
      </w:r>
      <w:r>
        <w:rPr>
          <w:rFonts w:hint="default" w:ascii="仿宋_GB2312" w:hAnsi="Times New Roman" w:eastAsia="仿宋_GB2312" w:cs="仿宋"/>
          <w:color w:val="000000"/>
          <w:kern w:val="0"/>
          <w:sz w:val="32"/>
          <w:szCs w:val="32"/>
          <w:lang w:val="en-US" w:eastAsia="zh-CN" w:bidi="ar-SA"/>
        </w:rPr>
        <w:t>2</w:t>
      </w:r>
      <w:r>
        <w:rPr>
          <w:rFonts w:hint="default" w:ascii="仿宋_GB2312" w:hAnsi="Times New Roman" w:eastAsia="仿宋_GB2312" w:cs="仿宋"/>
          <w:color w:val="000000"/>
          <w:kern w:val="0"/>
          <w:sz w:val="32"/>
          <w:szCs w:val="32"/>
          <w:lang w:val="zh-CN" w:eastAsia="zh-CN" w:bidi="ar-SA"/>
        </w:rPr>
        <w:t>月预算执行总体进度为</w:t>
      </w:r>
      <w:r>
        <w:rPr>
          <w:rFonts w:hint="eastAsia" w:ascii="仿宋_GB2312" w:hAnsi="Times New Roman" w:eastAsia="仿宋_GB2312" w:cs="仿宋"/>
          <w:color w:val="000000"/>
          <w:kern w:val="0"/>
          <w:sz w:val="32"/>
          <w:szCs w:val="32"/>
          <w:lang w:val="en-US" w:eastAsia="zh-CN" w:bidi="ar-SA"/>
        </w:rPr>
        <w:t>100</w:t>
      </w:r>
      <w:r>
        <w:rPr>
          <w:rFonts w:hint="default" w:ascii="仿宋_GB2312" w:hAnsi="Times New Roman" w:eastAsia="仿宋_GB2312" w:cs="仿宋"/>
          <w:color w:val="000000"/>
          <w:kern w:val="0"/>
          <w:sz w:val="32"/>
          <w:szCs w:val="32"/>
          <w:lang w:val="zh-CN" w:eastAsia="zh-CN" w:bidi="ar-SA"/>
        </w:rPr>
        <w:t>%，其中：预算结余率大于</w:t>
      </w:r>
      <w:r>
        <w:rPr>
          <w:rFonts w:hint="default" w:ascii="仿宋_GB2312" w:hAnsi="Times New Roman" w:eastAsia="仿宋_GB2312" w:cs="仿宋"/>
          <w:color w:val="000000"/>
          <w:kern w:val="0"/>
          <w:sz w:val="32"/>
          <w:szCs w:val="32"/>
          <w:lang w:val="en-US" w:eastAsia="zh-CN" w:bidi="ar-SA"/>
        </w:rPr>
        <w:t>10%</w:t>
      </w:r>
      <w:r>
        <w:rPr>
          <w:rFonts w:hint="default" w:ascii="仿宋_GB2312" w:hAnsi="Times New Roman" w:eastAsia="仿宋_GB2312" w:cs="仿宋"/>
          <w:color w:val="000000"/>
          <w:kern w:val="0"/>
          <w:sz w:val="32"/>
          <w:szCs w:val="32"/>
          <w:lang w:val="zh-CN" w:eastAsia="zh-CN" w:bidi="ar-SA"/>
        </w:rPr>
        <w:t>的项目共计</w:t>
      </w:r>
      <w:r>
        <w:rPr>
          <w:rFonts w:hint="eastAsia" w:ascii="仿宋_GB2312" w:hAnsi="Times New Roman" w:eastAsia="仿宋_GB2312" w:cs="仿宋"/>
          <w:color w:val="000000"/>
          <w:kern w:val="0"/>
          <w:sz w:val="32"/>
          <w:szCs w:val="32"/>
          <w:lang w:val="en-US" w:eastAsia="zh-CN" w:bidi="ar-SA"/>
        </w:rPr>
        <w:t>0</w:t>
      </w:r>
      <w:r>
        <w:rPr>
          <w:rFonts w:hint="default" w:ascii="仿宋_GB2312" w:hAnsi="Times New Roman" w:eastAsia="仿宋_GB2312" w:cs="仿宋"/>
          <w:color w:val="000000"/>
          <w:kern w:val="0"/>
          <w:sz w:val="32"/>
          <w:szCs w:val="32"/>
          <w:lang w:val="zh-CN" w:eastAsia="zh-CN" w:bidi="ar-SA"/>
        </w:rPr>
        <w:t>个。</w:t>
      </w:r>
    </w:p>
    <w:p w14:paraId="7912CBF8">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仿宋_GB2312" w:hAnsi="Times New Roman" w:eastAsia="仿宋_GB2312" w:cs="仿宋"/>
          <w:color w:val="000000"/>
          <w:kern w:val="0"/>
          <w:sz w:val="32"/>
          <w:szCs w:val="32"/>
          <w:lang w:val="en-US" w:eastAsia="zh-CN" w:bidi="ar-SA"/>
        </w:rPr>
      </w:pPr>
      <w:r>
        <w:rPr>
          <w:rFonts w:hint="default" w:ascii="仿宋_GB2312" w:hAnsi="Times New Roman" w:eastAsia="仿宋_GB2312" w:cs="仿宋"/>
          <w:color w:val="000000"/>
          <w:kern w:val="0"/>
          <w:sz w:val="32"/>
          <w:szCs w:val="32"/>
          <w:lang w:val="en-US" w:eastAsia="zh-CN" w:bidi="ar-SA"/>
        </w:rPr>
        <w:t>我单位执行事业单位会计管理制度，按照公共财政管理的基本要求，继续深化预决算编制改革，严格政策标准，优化支出结构提高预决算编制的科学化、精细化水平。严格执行内控制度管理办法，实行会计核算和账务管理制度公开；政府采购制度公开公示，预决算在规定时限内在政府门户网站公开接受群众的监督；资产管理做到账实相符、实时入账资产管理系统；我单位绩效管理严格按照上级部门要求，并接受财政局监察股的动态管理，开展自评工作，对评价结果及时总结上报，依法接受财政监督。</w:t>
      </w:r>
    </w:p>
    <w:p w14:paraId="40D1655E">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仿宋_GB2312" w:hAnsi="Times New Roman" w:eastAsia="仿宋_GB2312" w:cs="仿宋"/>
          <w:color w:val="000000"/>
          <w:kern w:val="0"/>
          <w:sz w:val="32"/>
          <w:szCs w:val="32"/>
          <w:lang w:val="zh-CN" w:eastAsia="zh-CN" w:bidi="ar-SA"/>
        </w:rPr>
      </w:pPr>
      <w:r>
        <w:rPr>
          <w:rFonts w:hint="default" w:ascii="仿宋_GB2312" w:hAnsi="Times New Roman" w:eastAsia="仿宋_GB2312" w:cs="仿宋"/>
          <w:color w:val="000000"/>
          <w:kern w:val="0"/>
          <w:sz w:val="32"/>
          <w:szCs w:val="32"/>
          <w:lang w:val="zh-CN" w:eastAsia="zh-CN" w:bidi="ar-SA"/>
        </w:rPr>
        <w:t>绩效结果应用情况。</w:t>
      </w:r>
    </w:p>
    <w:p w14:paraId="2D0CE437">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_GB2312" w:hAnsi="Times New Roman" w:eastAsia="仿宋_GB2312" w:cs="仿宋"/>
          <w:color w:val="000000"/>
          <w:kern w:val="0"/>
          <w:sz w:val="32"/>
          <w:szCs w:val="32"/>
          <w:lang w:val="en-US" w:eastAsia="zh-CN" w:bidi="ar-SA"/>
        </w:rPr>
      </w:pPr>
      <w:r>
        <w:rPr>
          <w:rFonts w:hint="eastAsia" w:ascii="仿宋_GB2312" w:hAnsi="Times New Roman" w:eastAsia="仿宋_GB2312" w:cs="仿宋"/>
          <w:color w:val="000000"/>
          <w:kern w:val="0"/>
          <w:sz w:val="32"/>
          <w:szCs w:val="32"/>
          <w:lang w:val="en-US" w:eastAsia="zh-CN" w:bidi="ar-SA"/>
        </w:rPr>
        <w:t>金川县社会保险事务中心2024年一般公共预算财政拨款基本支出318.33万元，其中：人员经费298.43万元，主要包括：基本工资53.93万元、津贴补贴71.1万元、奖金70.63万元、绩效工资6.1万元、机关事业单位基本养老保险缴费27.46万元、职业年金缴13.73万元、职工基本医疗保险缴费13.31万元、公务员医疗补助缴费3.63万元、其他社会保障缴费支出3.73万元、住房公积金21.88万元、奖励金0.02万元、生活补助、12.91万元。公用经费19.91万元，主要包括：办公费6.55万元、水费0.55万元、电费0.3万元、邮电费2万元、差旅费6万元、维修（护）费0.49万元，其他交通费用0.2万元，劳务费0.36万元，公务用车运行维护费1.48万元、福利费0.45万元，印刷费1.53万元。</w:t>
      </w:r>
    </w:p>
    <w:p w14:paraId="391A1A47">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_GB2312" w:hAnsi="Times New Roman" w:eastAsia="仿宋_GB2312" w:cs="仿宋"/>
          <w:color w:val="000000"/>
          <w:kern w:val="0"/>
          <w:sz w:val="32"/>
          <w:szCs w:val="32"/>
          <w:lang w:val="en-US" w:eastAsia="zh-CN" w:bidi="ar-SA"/>
        </w:rPr>
      </w:pPr>
      <w:r>
        <w:rPr>
          <w:rFonts w:hint="eastAsia" w:ascii="仿宋_GB2312" w:hAnsi="Times New Roman" w:eastAsia="仿宋_GB2312" w:cs="仿宋"/>
          <w:color w:val="000000"/>
          <w:kern w:val="0"/>
          <w:sz w:val="32"/>
          <w:szCs w:val="32"/>
          <w:lang w:val="en-US" w:eastAsia="zh-CN" w:bidi="ar-SA"/>
        </w:rPr>
        <w:t>金川县社会保险事务中心2024年一般公共预算财政拨款项目支出23.88万元，其中省级社保公共服务能力建设资金5万元，培训支出0.84万元，统筹外人员工资17.99万元。</w:t>
      </w:r>
    </w:p>
    <w:p w14:paraId="033503F6">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_GB2312" w:hAnsi="Times New Roman" w:eastAsia="仿宋_GB2312" w:cs="仿宋"/>
          <w:color w:val="000000"/>
          <w:kern w:val="0"/>
          <w:sz w:val="32"/>
          <w:szCs w:val="32"/>
          <w:lang w:val="en-US" w:eastAsia="zh-CN" w:bidi="ar-SA"/>
        </w:rPr>
      </w:pPr>
      <w:r>
        <w:rPr>
          <w:rFonts w:hint="eastAsia" w:ascii="仿宋_GB2312" w:hAnsi="Times New Roman" w:eastAsia="仿宋_GB2312" w:cs="仿宋"/>
          <w:color w:val="000000"/>
          <w:kern w:val="0"/>
          <w:sz w:val="32"/>
          <w:szCs w:val="32"/>
          <w:lang w:val="en-US" w:eastAsia="zh-CN" w:bidi="ar-SA"/>
        </w:rPr>
        <w:t>按照“谁支出、谁负责”的原则，完善用款计划管理，对绩效目标实现程度和预算执行进度实行“双监控”，发现问题要分析原因并及时纠正。逐步建立重大政策、项目绩效跟踪机制，按照项目进度和绩效情况拨款，对存在严重问题的要暂缓或停止预算拨款。加强预算执行监测，科学调度资金，简化审核材料，缩短审核时间，推进国库集中支付电子化管理，切实提高预算执行效率。</w:t>
      </w:r>
    </w:p>
    <w:p w14:paraId="4DB5237F">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仿宋_GB2312" w:hAnsi="Times New Roman" w:eastAsia="仿宋_GB2312" w:cs="仿宋"/>
          <w:color w:val="000000"/>
          <w:kern w:val="0"/>
          <w:sz w:val="32"/>
          <w:szCs w:val="32"/>
          <w:lang w:val="en-US" w:eastAsia="zh-CN" w:bidi="ar-SA"/>
        </w:rPr>
      </w:pPr>
      <w:r>
        <w:rPr>
          <w:rFonts w:hint="default" w:ascii="仿宋_GB2312" w:hAnsi="Times New Roman" w:eastAsia="仿宋_GB2312" w:cs="仿宋"/>
          <w:color w:val="000000"/>
          <w:kern w:val="0"/>
          <w:sz w:val="32"/>
          <w:szCs w:val="32"/>
          <w:lang w:val="en-US" w:eastAsia="zh-CN" w:bidi="ar-SA"/>
        </w:rPr>
        <w:t>四、评价结论及建议</w:t>
      </w:r>
    </w:p>
    <w:p w14:paraId="5A303060">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仿宋_GB2312" w:hAnsi="Times New Roman" w:eastAsia="仿宋_GB2312" w:cs="仿宋"/>
          <w:color w:val="000000"/>
          <w:kern w:val="0"/>
          <w:sz w:val="32"/>
          <w:szCs w:val="32"/>
          <w:lang w:val="zh-CN" w:eastAsia="zh-CN" w:bidi="ar-SA"/>
        </w:rPr>
      </w:pPr>
      <w:r>
        <w:rPr>
          <w:rFonts w:hint="default" w:ascii="仿宋_GB2312" w:hAnsi="Times New Roman" w:eastAsia="仿宋_GB2312" w:cs="仿宋"/>
          <w:color w:val="000000"/>
          <w:kern w:val="0"/>
          <w:sz w:val="32"/>
          <w:szCs w:val="32"/>
          <w:lang w:val="zh-CN" w:eastAsia="zh-CN" w:bidi="ar-SA"/>
        </w:rPr>
        <w:t>（一）评价结论。</w:t>
      </w:r>
    </w:p>
    <w:p w14:paraId="01BBD57D">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仿宋_GB2312" w:hAnsi="Times New Roman" w:eastAsia="仿宋_GB2312" w:cs="仿宋"/>
          <w:color w:val="000000"/>
          <w:kern w:val="0"/>
          <w:sz w:val="32"/>
          <w:szCs w:val="32"/>
          <w:lang w:val="zh-CN" w:eastAsia="zh-CN" w:bidi="ar-SA"/>
        </w:rPr>
      </w:pPr>
      <w:r>
        <w:rPr>
          <w:rFonts w:hint="default" w:ascii="仿宋_GB2312" w:hAnsi="Times New Roman" w:eastAsia="仿宋_GB2312" w:cs="仿宋"/>
          <w:color w:val="000000"/>
          <w:kern w:val="0"/>
          <w:sz w:val="32"/>
          <w:szCs w:val="32"/>
          <w:lang w:val="zh-CN" w:eastAsia="zh-CN" w:bidi="ar-SA"/>
        </w:rPr>
        <w:t>部门预算执行情况良好，无不良记录及违规违纪行为，预算支出和决算支出情况相符。</w:t>
      </w:r>
    </w:p>
    <w:p w14:paraId="57D00EC3">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仿宋_GB2312" w:hAnsi="Times New Roman" w:eastAsia="仿宋_GB2312" w:cs="仿宋"/>
          <w:color w:val="000000"/>
          <w:kern w:val="0"/>
          <w:sz w:val="32"/>
          <w:szCs w:val="32"/>
          <w:lang w:val="zh-CN" w:eastAsia="zh-CN" w:bidi="ar-SA"/>
        </w:rPr>
      </w:pPr>
      <w:r>
        <w:rPr>
          <w:rFonts w:hint="default" w:ascii="仿宋_GB2312" w:hAnsi="Times New Roman" w:eastAsia="仿宋_GB2312" w:cs="仿宋"/>
          <w:color w:val="000000"/>
          <w:kern w:val="0"/>
          <w:sz w:val="32"/>
          <w:szCs w:val="32"/>
          <w:lang w:val="zh-CN" w:eastAsia="zh-CN" w:bidi="ar-SA"/>
        </w:rPr>
        <w:t>（二）存在问题。</w:t>
      </w:r>
    </w:p>
    <w:p w14:paraId="012C63C4">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仿宋_GB2312" w:hAnsi="Times New Roman" w:eastAsia="仿宋_GB2312" w:cs="仿宋"/>
          <w:color w:val="000000"/>
          <w:kern w:val="0"/>
          <w:sz w:val="32"/>
          <w:szCs w:val="32"/>
          <w:lang w:val="zh-CN" w:eastAsia="zh-CN" w:bidi="ar-SA"/>
        </w:rPr>
      </w:pPr>
      <w:r>
        <w:rPr>
          <w:rFonts w:hint="default" w:ascii="仿宋_GB2312" w:hAnsi="Times New Roman" w:eastAsia="仿宋_GB2312" w:cs="仿宋"/>
          <w:color w:val="000000"/>
          <w:kern w:val="0"/>
          <w:sz w:val="32"/>
          <w:szCs w:val="32"/>
          <w:lang w:val="zh-CN" w:eastAsia="zh-CN" w:bidi="ar-SA"/>
        </w:rPr>
        <w:t>在资金的使用和安排上取得了较好的预算执行结果，但仍存在预算管理不够完善，资金使用不够科学等问题，我</w:t>
      </w:r>
      <w:r>
        <w:rPr>
          <w:rFonts w:hint="eastAsia" w:ascii="仿宋_GB2312" w:hAnsi="Times New Roman" w:eastAsia="仿宋_GB2312" w:cs="仿宋"/>
          <w:color w:val="000000"/>
          <w:kern w:val="0"/>
          <w:sz w:val="32"/>
          <w:szCs w:val="32"/>
          <w:lang w:val="zh-CN" w:eastAsia="zh-CN" w:bidi="ar-SA"/>
        </w:rPr>
        <w:t>单位</w:t>
      </w:r>
      <w:r>
        <w:rPr>
          <w:rFonts w:hint="default" w:ascii="仿宋_GB2312" w:hAnsi="Times New Roman" w:eastAsia="仿宋_GB2312" w:cs="仿宋"/>
          <w:color w:val="000000"/>
          <w:kern w:val="0"/>
          <w:sz w:val="32"/>
          <w:szCs w:val="32"/>
          <w:lang w:val="zh-CN" w:eastAsia="zh-CN" w:bidi="ar-SA"/>
        </w:rPr>
        <w:t xml:space="preserve">认真梳理存在的问题，改进提高工作效率。 </w:t>
      </w:r>
    </w:p>
    <w:p w14:paraId="39F1FDE4">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仿宋_GB2312" w:hAnsi="Times New Roman" w:eastAsia="仿宋_GB2312" w:cs="仿宋"/>
          <w:color w:val="000000"/>
          <w:kern w:val="0"/>
          <w:sz w:val="32"/>
          <w:szCs w:val="32"/>
          <w:lang w:val="zh-CN" w:eastAsia="zh-CN" w:bidi="ar-SA"/>
        </w:rPr>
      </w:pPr>
      <w:r>
        <w:rPr>
          <w:rFonts w:hint="eastAsia" w:ascii="仿宋_GB2312" w:eastAsia="仿宋_GB2312" w:cs="仿宋"/>
          <w:color w:val="000000"/>
          <w:kern w:val="0"/>
          <w:sz w:val="32"/>
          <w:szCs w:val="32"/>
          <w:lang w:val="zh-CN" w:eastAsia="zh-CN" w:bidi="ar-SA"/>
        </w:rPr>
        <w:t>1.</w:t>
      </w:r>
      <w:r>
        <w:rPr>
          <w:rFonts w:hint="default" w:ascii="仿宋_GB2312" w:hAnsi="Times New Roman" w:eastAsia="仿宋_GB2312" w:cs="仿宋"/>
          <w:color w:val="000000"/>
          <w:kern w:val="0"/>
          <w:sz w:val="32"/>
          <w:szCs w:val="32"/>
          <w:lang w:val="zh-CN" w:eastAsia="zh-CN" w:bidi="ar-SA"/>
        </w:rPr>
        <w:t xml:space="preserve">资金的使用还不完全符合科学性，效益性，基本支出占比较大。 </w:t>
      </w:r>
    </w:p>
    <w:p w14:paraId="65DB11DF">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仿宋_GB2312" w:hAnsi="Times New Roman" w:eastAsia="仿宋_GB2312" w:cs="仿宋"/>
          <w:color w:val="000000"/>
          <w:kern w:val="0"/>
          <w:sz w:val="32"/>
          <w:szCs w:val="32"/>
          <w:lang w:val="zh-CN" w:eastAsia="zh-CN" w:bidi="ar-SA"/>
        </w:rPr>
      </w:pPr>
      <w:r>
        <w:rPr>
          <w:rFonts w:hint="eastAsia" w:ascii="仿宋_GB2312" w:eastAsia="仿宋_GB2312" w:cs="仿宋"/>
          <w:color w:val="000000"/>
          <w:kern w:val="0"/>
          <w:sz w:val="32"/>
          <w:szCs w:val="32"/>
          <w:lang w:val="zh-CN" w:eastAsia="zh-CN" w:bidi="ar-SA"/>
        </w:rPr>
        <w:t>2.</w:t>
      </w:r>
      <w:r>
        <w:rPr>
          <w:rFonts w:hint="default" w:ascii="仿宋_GB2312" w:hAnsi="Times New Roman" w:eastAsia="仿宋_GB2312" w:cs="仿宋"/>
          <w:color w:val="000000"/>
          <w:kern w:val="0"/>
          <w:sz w:val="32"/>
          <w:szCs w:val="32"/>
          <w:lang w:val="zh-CN" w:eastAsia="zh-CN" w:bidi="ar-SA"/>
        </w:rPr>
        <w:t>固定资产管理不够完善</w:t>
      </w:r>
      <w:r>
        <w:rPr>
          <w:rFonts w:hint="eastAsia" w:ascii="仿宋_GB2312" w:eastAsia="仿宋_GB2312" w:cs="仿宋"/>
          <w:color w:val="000000"/>
          <w:kern w:val="0"/>
          <w:sz w:val="32"/>
          <w:szCs w:val="32"/>
          <w:lang w:val="zh-CN" w:eastAsia="zh-CN" w:bidi="ar-SA"/>
        </w:rPr>
        <w:t>，</w:t>
      </w:r>
      <w:r>
        <w:rPr>
          <w:rFonts w:hint="default" w:ascii="仿宋_GB2312" w:hAnsi="Times New Roman" w:eastAsia="仿宋_GB2312" w:cs="仿宋"/>
          <w:color w:val="000000"/>
          <w:kern w:val="0"/>
          <w:sz w:val="32"/>
          <w:szCs w:val="32"/>
          <w:lang w:val="zh-CN" w:eastAsia="zh-CN" w:bidi="ar-SA"/>
        </w:rPr>
        <w:t>固定资产管理有待提高，</w:t>
      </w:r>
      <w:r>
        <w:rPr>
          <w:rFonts w:hint="eastAsia" w:ascii="仿宋_GB2312" w:hAnsi="Times New Roman" w:eastAsia="仿宋_GB2312" w:cs="仿宋"/>
          <w:color w:val="000000"/>
          <w:kern w:val="0"/>
          <w:sz w:val="32"/>
          <w:szCs w:val="32"/>
          <w:lang w:val="zh-CN" w:eastAsia="zh-CN" w:bidi="ar-SA"/>
        </w:rPr>
        <w:t>未</w:t>
      </w:r>
      <w:r>
        <w:rPr>
          <w:rFonts w:hint="default" w:ascii="仿宋_GB2312" w:hAnsi="Times New Roman" w:eastAsia="仿宋_GB2312" w:cs="仿宋"/>
          <w:color w:val="000000"/>
          <w:kern w:val="0"/>
          <w:sz w:val="32"/>
          <w:szCs w:val="32"/>
          <w:lang w:val="en-US" w:eastAsia="zh-CN" w:bidi="ar-SA"/>
        </w:rPr>
        <w:t>定期对固定资产清查盘点</w:t>
      </w:r>
      <w:r>
        <w:rPr>
          <w:rFonts w:hint="eastAsia" w:ascii="仿宋_GB2312" w:hAnsi="Times New Roman" w:eastAsia="仿宋_GB2312" w:cs="仿宋"/>
          <w:color w:val="000000"/>
          <w:kern w:val="0"/>
          <w:sz w:val="32"/>
          <w:szCs w:val="32"/>
          <w:lang w:val="en-US" w:eastAsia="zh-CN" w:bidi="ar-SA"/>
        </w:rPr>
        <w:t>。</w:t>
      </w:r>
    </w:p>
    <w:p w14:paraId="3973DC79">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_GB2312" w:hAnsi="Times New Roman" w:eastAsia="仿宋_GB2312" w:cs="仿宋"/>
          <w:color w:val="000000"/>
          <w:kern w:val="0"/>
          <w:sz w:val="32"/>
          <w:szCs w:val="32"/>
          <w:lang w:val="en-US" w:eastAsia="zh-CN" w:bidi="ar-SA"/>
        </w:rPr>
      </w:pPr>
      <w:r>
        <w:rPr>
          <w:rFonts w:hint="eastAsia" w:ascii="仿宋_GB2312" w:eastAsia="仿宋_GB2312" w:cs="仿宋"/>
          <w:color w:val="000000"/>
          <w:kern w:val="0"/>
          <w:sz w:val="32"/>
          <w:szCs w:val="32"/>
          <w:lang w:val="zh-CN" w:eastAsia="zh-CN" w:bidi="ar-SA"/>
        </w:rPr>
        <w:t>3.</w:t>
      </w:r>
      <w:r>
        <w:rPr>
          <w:rFonts w:hint="default" w:ascii="仿宋_GB2312" w:hAnsi="Times New Roman" w:eastAsia="仿宋_GB2312" w:cs="仿宋"/>
          <w:color w:val="000000"/>
          <w:kern w:val="0"/>
          <w:sz w:val="32"/>
          <w:szCs w:val="32"/>
          <w:lang w:val="zh-CN" w:eastAsia="zh-CN" w:bidi="ar-SA"/>
        </w:rPr>
        <w:t>部门信息化建设程度仍比较低，着力推进信息化建设势在必行。</w:t>
      </w:r>
    </w:p>
    <w:p w14:paraId="7908DDAE">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仿宋_GB2312" w:hAnsi="Times New Roman" w:eastAsia="仿宋_GB2312" w:cs="仿宋"/>
          <w:color w:val="000000"/>
          <w:kern w:val="0"/>
          <w:sz w:val="32"/>
          <w:szCs w:val="32"/>
          <w:lang w:val="zh-CN" w:eastAsia="zh-CN" w:bidi="ar-SA"/>
        </w:rPr>
      </w:pPr>
      <w:r>
        <w:rPr>
          <w:rFonts w:hint="default" w:ascii="仿宋_GB2312" w:hAnsi="Times New Roman" w:eastAsia="仿宋_GB2312" w:cs="仿宋"/>
          <w:color w:val="000000"/>
          <w:kern w:val="0"/>
          <w:sz w:val="32"/>
          <w:szCs w:val="32"/>
          <w:lang w:val="zh-CN" w:eastAsia="zh-CN" w:bidi="ar-SA"/>
        </w:rPr>
        <w:t>（三）改进建议。</w:t>
      </w:r>
    </w:p>
    <w:p w14:paraId="24331E63">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_GB2312" w:hAnsi="Times New Roman" w:eastAsia="仿宋_GB2312" w:cs="仿宋"/>
          <w:color w:val="000000"/>
          <w:kern w:val="0"/>
          <w:sz w:val="32"/>
          <w:szCs w:val="32"/>
          <w:lang w:val="en-US" w:eastAsia="zh-CN" w:bidi="ar-SA"/>
        </w:rPr>
      </w:pPr>
      <w:r>
        <w:rPr>
          <w:rFonts w:hint="eastAsia" w:ascii="仿宋_GB2312" w:eastAsia="仿宋_GB2312" w:cs="仿宋"/>
          <w:color w:val="000000"/>
          <w:kern w:val="0"/>
          <w:sz w:val="32"/>
          <w:szCs w:val="32"/>
          <w:lang w:val="en-US" w:eastAsia="zh-CN" w:bidi="ar-SA"/>
        </w:rPr>
        <w:t>1.</w:t>
      </w:r>
      <w:r>
        <w:rPr>
          <w:rFonts w:hint="eastAsia" w:ascii="仿宋_GB2312" w:hAnsi="Times New Roman" w:eastAsia="仿宋_GB2312" w:cs="仿宋"/>
          <w:color w:val="000000"/>
          <w:kern w:val="0"/>
          <w:sz w:val="32"/>
          <w:szCs w:val="32"/>
          <w:lang w:val="en-US" w:eastAsia="zh-CN" w:bidi="ar-SA"/>
        </w:rPr>
        <w:t>严格按照《</w:t>
      </w:r>
      <w:r>
        <w:rPr>
          <w:rFonts w:hint="eastAsia" w:ascii="仿宋_GB2312" w:eastAsia="仿宋_GB2312" w:cs="仿宋"/>
          <w:color w:val="000000"/>
          <w:kern w:val="0"/>
          <w:sz w:val="32"/>
          <w:szCs w:val="32"/>
          <w:lang w:val="en-US" w:eastAsia="zh-CN" w:bidi="ar-SA"/>
        </w:rPr>
        <w:t>中华人民共和国会计法》《</w:t>
      </w:r>
      <w:r>
        <w:rPr>
          <w:rFonts w:hint="eastAsia" w:ascii="仿宋_GB2312" w:hAnsi="Times New Roman" w:eastAsia="仿宋_GB2312" w:cs="仿宋"/>
          <w:color w:val="000000"/>
          <w:kern w:val="0"/>
          <w:sz w:val="32"/>
          <w:szCs w:val="32"/>
          <w:lang w:val="en-US" w:eastAsia="zh-CN" w:bidi="ar-SA"/>
        </w:rPr>
        <w:t>行政单位会计制度</w:t>
      </w:r>
      <w:r>
        <w:rPr>
          <w:rFonts w:hint="eastAsia" w:ascii="仿宋_GB2312" w:eastAsia="仿宋_GB2312" w:cs="仿宋"/>
          <w:color w:val="000000"/>
          <w:kern w:val="0"/>
          <w:sz w:val="32"/>
          <w:szCs w:val="32"/>
          <w:lang w:val="en-US" w:eastAsia="zh-CN" w:bidi="ar-SA"/>
        </w:rPr>
        <w:t>》《</w:t>
      </w:r>
      <w:r>
        <w:rPr>
          <w:rFonts w:hint="eastAsia" w:ascii="仿宋_GB2312" w:hAnsi="Times New Roman" w:eastAsia="仿宋_GB2312" w:cs="仿宋"/>
          <w:color w:val="000000"/>
          <w:kern w:val="0"/>
          <w:sz w:val="32"/>
          <w:szCs w:val="32"/>
          <w:lang w:val="en-US" w:eastAsia="zh-CN" w:bidi="ar-SA"/>
        </w:rPr>
        <w:t>行政单位财务规则》等规定执行财务核算，并结合实际情况，完整、准确地披露相关信息，尽可能地做到决算与预算相衔接。</w:t>
      </w:r>
    </w:p>
    <w:p w14:paraId="0D8A7AF3">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_GB2312" w:hAnsi="Times New Roman" w:eastAsia="仿宋_GB2312" w:cs="仿宋"/>
          <w:color w:val="000000"/>
          <w:kern w:val="0"/>
          <w:sz w:val="32"/>
          <w:szCs w:val="32"/>
          <w:lang w:val="en-US" w:eastAsia="zh-CN" w:bidi="ar-SA"/>
        </w:rPr>
      </w:pPr>
      <w:r>
        <w:rPr>
          <w:rFonts w:hint="eastAsia" w:ascii="仿宋_GB2312" w:eastAsia="仿宋_GB2312" w:cs="仿宋"/>
          <w:color w:val="000000"/>
          <w:kern w:val="0"/>
          <w:sz w:val="32"/>
          <w:szCs w:val="32"/>
          <w:lang w:val="en-US" w:eastAsia="zh-CN" w:bidi="ar-SA"/>
        </w:rPr>
        <w:t>2.</w:t>
      </w:r>
      <w:r>
        <w:rPr>
          <w:rFonts w:hint="eastAsia" w:ascii="仿宋_GB2312" w:hAnsi="Times New Roman" w:eastAsia="仿宋_GB2312" w:cs="仿宋"/>
          <w:color w:val="000000"/>
          <w:kern w:val="0"/>
          <w:sz w:val="32"/>
          <w:szCs w:val="32"/>
          <w:lang w:val="en-US" w:eastAsia="zh-CN" w:bidi="ar-SA"/>
        </w:rPr>
        <w:t xml:space="preserve">进一步加强内部控制，注重资金管理的事前、事中、事后的全过程监督，加强资金使用效率。 </w:t>
      </w:r>
    </w:p>
    <w:p w14:paraId="2FF38CFE">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_GB2312" w:hAnsi="Times New Roman" w:eastAsia="仿宋_GB2312" w:cs="仿宋"/>
          <w:color w:val="000000"/>
          <w:kern w:val="0"/>
          <w:sz w:val="32"/>
          <w:szCs w:val="32"/>
          <w:lang w:val="en-US" w:eastAsia="zh-CN" w:bidi="ar-SA"/>
        </w:rPr>
      </w:pPr>
      <w:r>
        <w:rPr>
          <w:rFonts w:hint="eastAsia" w:ascii="仿宋_GB2312" w:eastAsia="仿宋_GB2312" w:cs="仿宋"/>
          <w:color w:val="000000"/>
          <w:kern w:val="0"/>
          <w:sz w:val="32"/>
          <w:szCs w:val="32"/>
          <w:lang w:val="en-US" w:eastAsia="zh-CN" w:bidi="ar-SA"/>
        </w:rPr>
        <w:t>3.</w:t>
      </w:r>
      <w:r>
        <w:rPr>
          <w:rFonts w:hint="eastAsia" w:ascii="仿宋_GB2312" w:hAnsi="Times New Roman" w:eastAsia="仿宋_GB2312" w:cs="仿宋"/>
          <w:color w:val="000000"/>
          <w:kern w:val="0"/>
          <w:sz w:val="32"/>
          <w:szCs w:val="32"/>
          <w:lang w:val="en-US" w:eastAsia="zh-CN" w:bidi="ar-SA"/>
        </w:rPr>
        <w:t xml:space="preserve">资产的核销与报废应加强管理，严格按照《固定资产管理办法》的规定加强固定资产管理，及时办理登记、报废等手续，每年对资产进行及时盘点和清查，真正做到账实相符。                        </w:t>
      </w:r>
    </w:p>
    <w:p w14:paraId="575DC502">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_GB2312" w:hAnsi="Times New Roman" w:eastAsia="仿宋_GB2312" w:cs="仿宋"/>
          <w:color w:val="000000"/>
          <w:kern w:val="0"/>
          <w:sz w:val="32"/>
          <w:szCs w:val="32"/>
          <w:lang w:val="en-US" w:eastAsia="zh-CN" w:bidi="ar-SA"/>
        </w:rPr>
      </w:pPr>
      <w:r>
        <w:rPr>
          <w:rFonts w:hint="eastAsia" w:ascii="仿宋_GB2312" w:hAnsi="Times New Roman" w:eastAsia="仿宋_GB2312" w:cs="仿宋"/>
          <w:color w:val="000000"/>
          <w:kern w:val="0"/>
          <w:sz w:val="32"/>
          <w:szCs w:val="32"/>
          <w:lang w:val="en-US" w:eastAsia="zh-CN" w:bidi="ar-SA"/>
        </w:rPr>
        <w:t>加快完成机关财务管理规章制度建设、加强会计核算和财务管理能力，及时与县财政局相关科室对接工作，提升工作效率。</w:t>
      </w:r>
    </w:p>
    <w:p w14:paraId="28DC13BE">
      <w:pPr>
        <w:keepNext w:val="0"/>
        <w:keepLines w:val="0"/>
        <w:pageBreakBefore w:val="0"/>
        <w:kinsoku/>
        <w:wordWrap/>
        <w:overflowPunct/>
        <w:topLinePunct w:val="0"/>
        <w:autoSpaceDE/>
        <w:autoSpaceDN/>
        <w:bidi w:val="0"/>
        <w:spacing w:line="578" w:lineRule="exact"/>
        <w:contextualSpacing/>
        <w:textAlignment w:val="auto"/>
        <w:outlineLvl w:val="9"/>
        <w:rPr>
          <w:rFonts w:hint="default" w:ascii="Times New Roman" w:hAnsi="Times New Roman" w:eastAsia="黑体" w:cs="Times New Roman"/>
          <w:szCs w:val="32"/>
          <w:highlight w:val="none"/>
          <w:lang w:val="en-US" w:eastAsia="zh-CN"/>
        </w:rPr>
      </w:pPr>
    </w:p>
    <w:p w14:paraId="4AEA5301">
      <w:pPr>
        <w:keepNext w:val="0"/>
        <w:keepLines w:val="0"/>
        <w:pageBreakBefore w:val="0"/>
        <w:widowControl/>
        <w:kinsoku/>
        <w:wordWrap/>
        <w:overflowPunct/>
        <w:topLinePunct w:val="0"/>
        <w:autoSpaceDE/>
        <w:autoSpaceDN/>
        <w:bidi w:val="0"/>
        <w:adjustRightInd w:val="0"/>
        <w:snapToGrid w:val="0"/>
        <w:spacing w:line="560" w:lineRule="exact"/>
        <w:ind w:firstLine="720"/>
        <w:jc w:val="left"/>
        <w:textAlignment w:val="auto"/>
        <w:rPr>
          <w:rFonts w:hint="eastAsia" w:ascii="宋体" w:hAnsi="宋体" w:eastAsia="仿宋_GB2312" w:cs="Times New Roman"/>
          <w:bCs/>
          <w:sz w:val="32"/>
          <w:szCs w:val="32"/>
          <w:lang w:val="en-US" w:eastAsia="zh-CN"/>
        </w:rPr>
      </w:pPr>
      <w:r>
        <w:rPr>
          <w:rFonts w:hint="default" w:ascii="宋体" w:hAnsi="宋体" w:eastAsia="仿宋_GB2312" w:cs="Times New Roman"/>
          <w:bCs/>
          <w:sz w:val="32"/>
          <w:szCs w:val="32"/>
          <w:lang w:val="en-US" w:eastAsia="zh-CN"/>
        </w:rPr>
        <w:t>附表：</w:t>
      </w:r>
      <w:r>
        <w:rPr>
          <w:rFonts w:hint="eastAsia" w:ascii="宋体" w:hAnsi="宋体" w:eastAsia="仿宋_GB2312" w:cs="Times New Roman"/>
          <w:bCs/>
          <w:sz w:val="32"/>
          <w:szCs w:val="32"/>
          <w:lang w:val="en-US" w:eastAsia="zh-CN"/>
        </w:rPr>
        <w:t>1.部门预算绩效自评打分表</w:t>
      </w:r>
    </w:p>
    <w:p w14:paraId="223AC6E7">
      <w:pPr>
        <w:keepNext w:val="0"/>
        <w:keepLines w:val="0"/>
        <w:pageBreakBefore w:val="0"/>
        <w:widowControl/>
        <w:kinsoku/>
        <w:wordWrap/>
        <w:overflowPunct/>
        <w:topLinePunct w:val="0"/>
        <w:autoSpaceDE/>
        <w:autoSpaceDN/>
        <w:bidi w:val="0"/>
        <w:adjustRightInd w:val="0"/>
        <w:snapToGrid w:val="0"/>
        <w:spacing w:line="560" w:lineRule="exact"/>
        <w:ind w:firstLine="1734" w:firstLineChars="542"/>
        <w:jc w:val="left"/>
        <w:textAlignment w:val="auto"/>
        <w:rPr>
          <w:rFonts w:hint="default" w:ascii="宋体" w:hAnsi="宋体" w:eastAsia="仿宋_GB2312" w:cs="Times New Roman"/>
          <w:bCs/>
          <w:sz w:val="32"/>
          <w:szCs w:val="32"/>
          <w:lang w:val="en-US" w:eastAsia="zh-CN"/>
        </w:rPr>
      </w:pPr>
      <w:r>
        <w:rPr>
          <w:rFonts w:hint="eastAsia" w:ascii="宋体" w:hAnsi="宋体" w:eastAsia="仿宋_GB2312" w:cs="Times New Roman"/>
          <w:bCs/>
          <w:sz w:val="32"/>
          <w:szCs w:val="32"/>
          <w:lang w:val="en-US" w:eastAsia="zh-CN"/>
        </w:rPr>
        <w:t>2.</w:t>
      </w:r>
      <w:r>
        <w:rPr>
          <w:rFonts w:hint="default" w:ascii="宋体" w:hAnsi="宋体" w:eastAsia="仿宋_GB2312" w:cs="Times New Roman"/>
          <w:bCs/>
          <w:sz w:val="32"/>
          <w:szCs w:val="32"/>
          <w:lang w:val="en-US" w:eastAsia="zh-CN"/>
        </w:rPr>
        <w:t>部门整体绩效目标完成情况自评表</w:t>
      </w:r>
    </w:p>
    <w:p w14:paraId="6DCE993C">
      <w:pPr>
        <w:keepNext w:val="0"/>
        <w:keepLines w:val="0"/>
        <w:pageBreakBefore w:val="0"/>
        <w:widowControl/>
        <w:kinsoku/>
        <w:wordWrap/>
        <w:overflowPunct/>
        <w:topLinePunct w:val="0"/>
        <w:autoSpaceDE/>
        <w:autoSpaceDN/>
        <w:bidi w:val="0"/>
        <w:adjustRightInd w:val="0"/>
        <w:snapToGrid w:val="0"/>
        <w:spacing w:line="560" w:lineRule="exact"/>
        <w:ind w:firstLine="1734" w:firstLineChars="542"/>
        <w:jc w:val="left"/>
        <w:textAlignment w:val="auto"/>
        <w:rPr>
          <w:rFonts w:hint="eastAsia" w:ascii="仿宋_GB2312" w:hAnsi="仿宋_GB2312" w:eastAsia="仿宋_GB2312" w:cs="仿宋_GB2312"/>
          <w:sz w:val="32"/>
          <w:szCs w:val="32"/>
        </w:rPr>
      </w:pPr>
      <w:r>
        <w:rPr>
          <w:rFonts w:hint="eastAsia" w:ascii="宋体" w:hAnsi="宋体" w:eastAsia="仿宋_GB2312" w:cs="Times New Roman"/>
          <w:bCs/>
          <w:sz w:val="32"/>
          <w:szCs w:val="32"/>
          <w:lang w:val="en-US" w:eastAsia="zh-CN"/>
        </w:rPr>
        <w:t>3.</w:t>
      </w:r>
      <w:r>
        <w:rPr>
          <w:rFonts w:hint="default" w:ascii="宋体" w:hAnsi="宋体" w:eastAsia="仿宋_GB2312" w:cs="Times New Roman"/>
          <w:bCs/>
          <w:sz w:val="32"/>
          <w:szCs w:val="32"/>
        </w:rPr>
        <w:t>部门预算项目支出绩效</w:t>
      </w:r>
      <w:r>
        <w:rPr>
          <w:rFonts w:hint="default" w:ascii="宋体" w:hAnsi="宋体" w:eastAsia="仿宋_GB2312" w:cs="Times New Roman"/>
          <w:bCs/>
          <w:sz w:val="32"/>
          <w:szCs w:val="32"/>
          <w:lang w:eastAsia="zh-CN"/>
        </w:rPr>
        <w:t>评价</w:t>
      </w:r>
      <w:r>
        <w:rPr>
          <w:rFonts w:hint="default" w:ascii="宋体" w:hAnsi="宋体" w:eastAsia="仿宋_GB2312" w:cs="Times New Roman"/>
          <w:bCs/>
          <w:sz w:val="32"/>
          <w:szCs w:val="32"/>
        </w:rPr>
        <w:t>表</w:t>
      </w:r>
      <w:r>
        <w:rPr>
          <w:rFonts w:hint="default" w:ascii="宋体" w:hAnsi="宋体" w:eastAsia="仿宋_GB2312" w:cs="Times New Roman"/>
          <w:bCs/>
          <w:sz w:val="32"/>
          <w:szCs w:val="32"/>
          <w:lang w:eastAsia="zh-CN"/>
        </w:rPr>
        <w:t>（202</w:t>
      </w:r>
      <w:r>
        <w:rPr>
          <w:rFonts w:hint="default" w:ascii="宋体" w:hAnsi="宋体" w:eastAsia="仿宋_GB2312" w:cs="Times New Roman"/>
          <w:bCs/>
          <w:sz w:val="32"/>
          <w:szCs w:val="32"/>
          <w:lang w:val="en-US" w:eastAsia="zh-CN"/>
        </w:rPr>
        <w:t>4</w:t>
      </w:r>
      <w:r>
        <w:rPr>
          <w:rFonts w:hint="default" w:ascii="宋体" w:hAnsi="宋体" w:eastAsia="仿宋_GB2312" w:cs="Times New Roman"/>
          <w:bCs/>
          <w:sz w:val="32"/>
          <w:szCs w:val="32"/>
          <w:lang w:eastAsia="zh-CN"/>
        </w:rPr>
        <w:t>年度）</w:t>
      </w:r>
    </w:p>
    <w:p w14:paraId="53975B1E">
      <w:pPr>
        <w:rPr>
          <w:rFonts w:hint="default" w:ascii="Times New Roman" w:hAnsi="Times New Roman" w:eastAsia="黑体" w:cs="Times New Roman"/>
          <w:kern w:val="2"/>
          <w:sz w:val="32"/>
          <w:szCs w:val="24"/>
          <w:highlight w:val="none"/>
          <w:lang w:val="en-US" w:eastAsia="zh-CN" w:bidi="ar-SA"/>
        </w:rPr>
      </w:pPr>
      <w:r>
        <w:rPr>
          <w:rFonts w:hint="default" w:ascii="Times New Roman" w:hAnsi="Times New Roman" w:eastAsia="黑体" w:cs="Times New Roman"/>
          <w:kern w:val="2"/>
          <w:sz w:val="32"/>
          <w:szCs w:val="24"/>
          <w:highlight w:val="none"/>
          <w:lang w:val="en-US" w:eastAsia="zh-CN" w:bidi="ar-SA"/>
        </w:rPr>
        <w:br w:type="page"/>
      </w:r>
    </w:p>
    <w:p w14:paraId="58E86122">
      <w:pPr>
        <w:keepNext w:val="0"/>
        <w:keepLines w:val="0"/>
        <w:pageBreakBefore w:val="0"/>
        <w:kinsoku/>
        <w:wordWrap/>
        <w:overflowPunct/>
        <w:topLinePunct w:val="0"/>
        <w:autoSpaceDE/>
        <w:autoSpaceDN/>
        <w:bidi w:val="0"/>
        <w:spacing w:line="578" w:lineRule="exact"/>
        <w:jc w:val="left"/>
        <w:textAlignment w:val="auto"/>
        <w:rPr>
          <w:rFonts w:hint="eastAsia" w:ascii="Times New Roman" w:hAnsi="Times New Roman" w:eastAsia="黑体" w:cs="Times New Roman"/>
          <w:kern w:val="2"/>
          <w:sz w:val="32"/>
          <w:szCs w:val="24"/>
          <w:highlight w:val="none"/>
          <w:lang w:val="en-US" w:eastAsia="zh-CN" w:bidi="ar-SA"/>
        </w:rPr>
      </w:pPr>
      <w:r>
        <w:rPr>
          <w:rFonts w:hint="default" w:ascii="Times New Roman" w:hAnsi="Times New Roman" w:eastAsia="黑体" w:cs="Times New Roman"/>
          <w:kern w:val="2"/>
          <w:sz w:val="32"/>
          <w:szCs w:val="24"/>
          <w:highlight w:val="none"/>
          <w:lang w:val="en-US" w:eastAsia="zh-CN" w:bidi="ar-SA"/>
        </w:rPr>
        <w:t>附表</w:t>
      </w:r>
      <w:r>
        <w:rPr>
          <w:rFonts w:hint="eastAsia" w:ascii="Times New Roman" w:hAnsi="Times New Roman" w:eastAsia="黑体" w:cs="Times New Roman"/>
          <w:kern w:val="2"/>
          <w:sz w:val="32"/>
          <w:szCs w:val="24"/>
          <w:highlight w:val="none"/>
          <w:lang w:val="en-US" w:eastAsia="zh-CN" w:bidi="ar-SA"/>
        </w:rPr>
        <w:t>1</w:t>
      </w:r>
    </w:p>
    <w:p w14:paraId="65DFB134">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outlineLvl w:val="9"/>
        <w:rPr>
          <w:rFonts w:hint="eastAsia" w:ascii="Times New Roman" w:hAnsi="Times New Roman" w:eastAsia="方正小标宋简体" w:cs="Times New Roman"/>
          <w:i w:val="0"/>
          <w:color w:val="000000"/>
          <w:kern w:val="0"/>
          <w:sz w:val="44"/>
          <w:szCs w:val="44"/>
          <w:u w:val="none"/>
          <w:lang w:val="en-US" w:eastAsia="zh-CN" w:bidi="ar"/>
        </w:rPr>
      </w:pPr>
      <w:r>
        <w:rPr>
          <w:rFonts w:hint="eastAsia" w:ascii="Times New Roman" w:hAnsi="Times New Roman" w:eastAsia="方正小标宋简体" w:cs="Times New Roman"/>
          <w:i w:val="0"/>
          <w:color w:val="000000"/>
          <w:kern w:val="0"/>
          <w:sz w:val="44"/>
          <w:szCs w:val="44"/>
          <w:u w:val="none"/>
          <w:lang w:val="en-US" w:eastAsia="zh-CN" w:bidi="ar"/>
        </w:rPr>
        <w:t>部门预算绩效自评打分表</w:t>
      </w:r>
    </w:p>
    <w:tbl>
      <w:tblPr>
        <w:tblStyle w:val="14"/>
        <w:tblW w:w="1081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04"/>
        <w:gridCol w:w="1044"/>
        <w:gridCol w:w="2083"/>
        <w:gridCol w:w="720"/>
        <w:gridCol w:w="4734"/>
        <w:gridCol w:w="756"/>
        <w:gridCol w:w="478"/>
      </w:tblGrid>
      <w:tr w14:paraId="3A082A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485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996AFD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绩效评价指标分值</w:t>
            </w:r>
          </w:p>
        </w:tc>
        <w:tc>
          <w:tcPr>
            <w:tcW w:w="47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50FBE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指标解释</w:t>
            </w:r>
          </w:p>
        </w:tc>
        <w:tc>
          <w:tcPr>
            <w:tcW w:w="756" w:type="dxa"/>
            <w:vMerge w:val="restart"/>
            <w:tcBorders>
              <w:top w:val="single" w:color="000000" w:sz="4" w:space="0"/>
              <w:left w:val="single" w:color="000000" w:sz="4" w:space="0"/>
              <w:right w:val="single" w:color="000000" w:sz="4" w:space="0"/>
            </w:tcBorders>
            <w:shd w:val="clear" w:color="auto" w:fill="auto"/>
            <w:vAlign w:val="center"/>
          </w:tcPr>
          <w:p w14:paraId="3424038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kern w:val="0"/>
                <w:sz w:val="24"/>
                <w:szCs w:val="24"/>
                <w:u w:val="none"/>
                <w:lang w:val="en-US" w:eastAsia="zh-CN" w:bidi="ar"/>
              </w:rPr>
            </w:pPr>
            <w:r>
              <w:rPr>
                <w:rFonts w:hint="eastAsia" w:ascii="黑体" w:hAnsi="宋体" w:eastAsia="黑体" w:cs="黑体"/>
                <w:i w:val="0"/>
                <w:color w:val="000000"/>
                <w:kern w:val="0"/>
                <w:sz w:val="24"/>
                <w:szCs w:val="24"/>
                <w:u w:val="none"/>
                <w:lang w:val="en-US" w:eastAsia="zh-CN" w:bidi="ar"/>
              </w:rPr>
              <w:t>自评得分</w:t>
            </w:r>
          </w:p>
        </w:tc>
        <w:tc>
          <w:tcPr>
            <w:tcW w:w="478" w:type="dxa"/>
            <w:vMerge w:val="restart"/>
            <w:tcBorders>
              <w:top w:val="single" w:color="000000" w:sz="4" w:space="0"/>
              <w:left w:val="single" w:color="000000" w:sz="4" w:space="0"/>
              <w:right w:val="single" w:color="000000" w:sz="4" w:space="0"/>
            </w:tcBorders>
            <w:shd w:val="clear" w:color="auto" w:fill="auto"/>
            <w:vAlign w:val="center"/>
          </w:tcPr>
          <w:p w14:paraId="52CB393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kern w:val="0"/>
                <w:sz w:val="24"/>
                <w:szCs w:val="24"/>
                <w:u w:val="none"/>
                <w:lang w:val="en-US" w:eastAsia="zh-CN" w:bidi="ar"/>
              </w:rPr>
            </w:pPr>
            <w:r>
              <w:rPr>
                <w:rFonts w:hint="eastAsia" w:ascii="黑体" w:hAnsi="宋体" w:eastAsia="黑体" w:cs="黑体"/>
                <w:i w:val="0"/>
                <w:color w:val="000000"/>
                <w:kern w:val="0"/>
                <w:sz w:val="24"/>
                <w:szCs w:val="24"/>
                <w:u w:val="none"/>
                <w:lang w:val="en-US" w:eastAsia="zh-CN" w:bidi="ar"/>
              </w:rPr>
              <w:t>备注</w:t>
            </w:r>
          </w:p>
        </w:tc>
      </w:tr>
      <w:tr w14:paraId="7B0EDE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tcBorders>
              <w:top w:val="single" w:color="000000" w:sz="4" w:space="0"/>
              <w:left w:val="single" w:color="000000" w:sz="4" w:space="0"/>
              <w:bottom w:val="single" w:color="000000" w:sz="4" w:space="0"/>
              <w:right w:val="nil"/>
            </w:tcBorders>
            <w:shd w:val="clear" w:color="auto" w:fill="auto"/>
            <w:vAlign w:val="center"/>
          </w:tcPr>
          <w:p w14:paraId="5E6025D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一级指标</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DFB1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二级指标</w:t>
            </w:r>
          </w:p>
        </w:tc>
        <w:tc>
          <w:tcPr>
            <w:tcW w:w="2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2CB5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三级指标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42B5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指标</w:t>
            </w:r>
            <w:r>
              <w:rPr>
                <w:rFonts w:hint="eastAsia" w:ascii="黑体" w:hAnsi="宋体" w:eastAsia="黑体" w:cs="黑体"/>
                <w:i w:val="0"/>
                <w:color w:val="000000"/>
                <w:kern w:val="0"/>
                <w:sz w:val="24"/>
                <w:szCs w:val="24"/>
                <w:u w:val="none"/>
                <w:lang w:val="en-US" w:eastAsia="zh-CN" w:bidi="ar"/>
              </w:rPr>
              <w:br w:type="textWrapping"/>
            </w:r>
            <w:r>
              <w:rPr>
                <w:rFonts w:hint="eastAsia" w:ascii="黑体" w:hAnsi="宋体" w:eastAsia="黑体" w:cs="黑体"/>
                <w:i w:val="0"/>
                <w:color w:val="000000"/>
                <w:kern w:val="0"/>
                <w:sz w:val="24"/>
                <w:szCs w:val="24"/>
                <w:u w:val="none"/>
                <w:lang w:val="en-US" w:eastAsia="zh-CN" w:bidi="ar"/>
              </w:rPr>
              <w:t>分值</w:t>
            </w:r>
          </w:p>
        </w:tc>
        <w:tc>
          <w:tcPr>
            <w:tcW w:w="47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D8E84C">
            <w:pPr>
              <w:keepNext w:val="0"/>
              <w:keepLines w:val="0"/>
              <w:pageBreakBefore w:val="0"/>
              <w:widowControl/>
              <w:kinsoku/>
              <w:wordWrap/>
              <w:overflowPunct/>
              <w:topLinePunct w:val="0"/>
              <w:autoSpaceDE/>
              <w:autoSpaceDN/>
              <w:bidi w:val="0"/>
              <w:adjustRightInd/>
              <w:snapToGrid/>
              <w:spacing w:line="240" w:lineRule="exact"/>
              <w:jc w:val="center"/>
              <w:rPr>
                <w:rFonts w:hint="eastAsia" w:ascii="黑体" w:hAnsi="宋体" w:eastAsia="黑体" w:cs="黑体"/>
                <w:i w:val="0"/>
                <w:color w:val="000000"/>
                <w:sz w:val="24"/>
                <w:szCs w:val="24"/>
                <w:u w:val="none"/>
              </w:rPr>
            </w:pPr>
          </w:p>
        </w:tc>
        <w:tc>
          <w:tcPr>
            <w:tcW w:w="756" w:type="dxa"/>
            <w:vMerge w:val="continue"/>
            <w:tcBorders>
              <w:left w:val="single" w:color="000000" w:sz="4" w:space="0"/>
              <w:bottom w:val="single" w:color="000000" w:sz="4" w:space="0"/>
              <w:right w:val="single" w:color="000000" w:sz="4" w:space="0"/>
            </w:tcBorders>
            <w:shd w:val="clear" w:color="auto" w:fill="auto"/>
            <w:vAlign w:val="center"/>
          </w:tcPr>
          <w:p w14:paraId="041F334B">
            <w:pPr>
              <w:keepNext w:val="0"/>
              <w:keepLines w:val="0"/>
              <w:pageBreakBefore w:val="0"/>
              <w:widowControl/>
              <w:kinsoku/>
              <w:wordWrap/>
              <w:overflowPunct/>
              <w:topLinePunct w:val="0"/>
              <w:autoSpaceDE/>
              <w:autoSpaceDN/>
              <w:bidi w:val="0"/>
              <w:adjustRightInd/>
              <w:snapToGrid/>
              <w:spacing w:line="240" w:lineRule="exact"/>
              <w:jc w:val="center"/>
              <w:rPr>
                <w:rFonts w:hint="eastAsia" w:ascii="黑体" w:hAnsi="宋体" w:eastAsia="黑体" w:cs="黑体"/>
                <w:i w:val="0"/>
                <w:color w:val="000000"/>
                <w:sz w:val="24"/>
                <w:szCs w:val="24"/>
                <w:u w:val="none"/>
              </w:rPr>
            </w:pPr>
          </w:p>
        </w:tc>
        <w:tc>
          <w:tcPr>
            <w:tcW w:w="478" w:type="dxa"/>
            <w:vMerge w:val="continue"/>
            <w:tcBorders>
              <w:left w:val="single" w:color="000000" w:sz="4" w:space="0"/>
              <w:bottom w:val="single" w:color="000000" w:sz="4" w:space="0"/>
              <w:right w:val="single" w:color="000000" w:sz="4" w:space="0"/>
            </w:tcBorders>
            <w:shd w:val="clear" w:color="auto" w:fill="auto"/>
            <w:vAlign w:val="center"/>
          </w:tcPr>
          <w:p w14:paraId="4A2454BB">
            <w:pPr>
              <w:keepNext w:val="0"/>
              <w:keepLines w:val="0"/>
              <w:pageBreakBefore w:val="0"/>
              <w:widowControl/>
              <w:kinsoku/>
              <w:wordWrap/>
              <w:overflowPunct/>
              <w:topLinePunct w:val="0"/>
              <w:autoSpaceDE/>
              <w:autoSpaceDN/>
              <w:bidi w:val="0"/>
              <w:adjustRightInd/>
              <w:snapToGrid/>
              <w:spacing w:line="240" w:lineRule="exact"/>
              <w:jc w:val="center"/>
              <w:rPr>
                <w:rFonts w:hint="eastAsia" w:ascii="黑体" w:hAnsi="宋体" w:eastAsia="黑体" w:cs="黑体"/>
                <w:i w:val="0"/>
                <w:color w:val="000000"/>
                <w:sz w:val="24"/>
                <w:szCs w:val="24"/>
                <w:u w:val="none"/>
              </w:rPr>
            </w:pPr>
          </w:p>
        </w:tc>
      </w:tr>
      <w:tr w14:paraId="0D7F3F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9FF82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总体绩效</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（65分）</w:t>
            </w:r>
          </w:p>
        </w:tc>
        <w:tc>
          <w:tcPr>
            <w:tcW w:w="1044" w:type="dxa"/>
            <w:vMerge w:val="restart"/>
            <w:tcBorders>
              <w:top w:val="single" w:color="000000" w:sz="4" w:space="0"/>
              <w:left w:val="single" w:color="000000" w:sz="4" w:space="0"/>
              <w:right w:val="single" w:color="000000" w:sz="4" w:space="0"/>
            </w:tcBorders>
            <w:shd w:val="clear" w:color="auto" w:fill="auto"/>
            <w:vAlign w:val="center"/>
          </w:tcPr>
          <w:p w14:paraId="3C3DAEA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履职效能</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（15分）</w:t>
            </w:r>
          </w:p>
        </w:tc>
        <w:tc>
          <w:tcPr>
            <w:tcW w:w="2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A9AA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工资福利支出履职效果</w:t>
            </w:r>
          </w:p>
        </w:tc>
        <w:tc>
          <w:tcPr>
            <w:tcW w:w="720" w:type="dxa"/>
            <w:tcBorders>
              <w:top w:val="nil"/>
              <w:left w:val="single" w:color="000000" w:sz="4" w:space="0"/>
              <w:bottom w:val="single" w:color="000000" w:sz="4" w:space="0"/>
              <w:right w:val="single" w:color="000000" w:sz="4" w:space="0"/>
            </w:tcBorders>
            <w:shd w:val="clear" w:color="auto" w:fill="auto"/>
            <w:vAlign w:val="center"/>
          </w:tcPr>
          <w:p w14:paraId="2E9621D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4734" w:type="dxa"/>
            <w:vMerge w:val="restart"/>
            <w:tcBorders>
              <w:top w:val="single" w:color="000000" w:sz="4" w:space="0"/>
              <w:left w:val="single" w:color="000000" w:sz="4" w:space="0"/>
              <w:right w:val="single" w:color="000000" w:sz="4" w:space="0"/>
            </w:tcBorders>
            <w:shd w:val="clear" w:color="auto" w:fill="auto"/>
            <w:vAlign w:val="center"/>
          </w:tcPr>
          <w:p w14:paraId="718550C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部门整体绩效目标中选定3</w:t>
            </w:r>
            <w:r>
              <w:rPr>
                <w:rFonts w:hint="eastAsia" w:ascii="宋体" w:hAnsi="宋体" w:cs="宋体"/>
                <w:i w:val="0"/>
                <w:color w:val="000000"/>
                <w:kern w:val="0"/>
                <w:sz w:val="24"/>
                <w:szCs w:val="24"/>
                <w:u w:val="none"/>
                <w:lang w:val="en-US" w:eastAsia="zh-CN" w:bidi="ar"/>
              </w:rPr>
              <w:t>～</w:t>
            </w:r>
            <w:r>
              <w:rPr>
                <w:rFonts w:hint="eastAsia" w:ascii="宋体" w:hAnsi="宋体" w:eastAsia="宋体" w:cs="宋体"/>
                <w:i w:val="0"/>
                <w:color w:val="000000"/>
                <w:kern w:val="0"/>
                <w:sz w:val="24"/>
                <w:szCs w:val="24"/>
                <w:u w:val="none"/>
                <w:lang w:val="en-US" w:eastAsia="zh-CN" w:bidi="ar"/>
              </w:rPr>
              <w:t>5个核心职能目标，反映该项职能目标完成效果情况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8B5A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5</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55E4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6FEF11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14:paraId="2D5BE42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p>
        </w:tc>
        <w:tc>
          <w:tcPr>
            <w:tcW w:w="1044" w:type="dxa"/>
            <w:vMerge w:val="continue"/>
            <w:tcBorders>
              <w:left w:val="single" w:color="000000" w:sz="4" w:space="0"/>
              <w:right w:val="single" w:color="000000" w:sz="4" w:space="0"/>
            </w:tcBorders>
            <w:shd w:val="clear" w:color="auto" w:fill="auto"/>
            <w:vAlign w:val="center"/>
          </w:tcPr>
          <w:p w14:paraId="79187CB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p>
        </w:tc>
        <w:tc>
          <w:tcPr>
            <w:tcW w:w="2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26A61">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日常公用经费履职效果</w:t>
            </w:r>
          </w:p>
        </w:tc>
        <w:tc>
          <w:tcPr>
            <w:tcW w:w="720" w:type="dxa"/>
            <w:tcBorders>
              <w:top w:val="nil"/>
              <w:left w:val="single" w:color="000000" w:sz="4" w:space="0"/>
              <w:bottom w:val="single" w:color="000000" w:sz="4" w:space="0"/>
              <w:right w:val="single" w:color="000000" w:sz="4" w:space="0"/>
            </w:tcBorders>
            <w:shd w:val="clear" w:color="auto" w:fill="auto"/>
            <w:vAlign w:val="center"/>
          </w:tcPr>
          <w:p w14:paraId="035CC48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5</w:t>
            </w:r>
          </w:p>
        </w:tc>
        <w:tc>
          <w:tcPr>
            <w:tcW w:w="4734" w:type="dxa"/>
            <w:vMerge w:val="continue"/>
            <w:tcBorders>
              <w:left w:val="single" w:color="000000" w:sz="4" w:space="0"/>
              <w:right w:val="single" w:color="000000" w:sz="4" w:space="0"/>
            </w:tcBorders>
            <w:shd w:val="clear" w:color="auto" w:fill="auto"/>
            <w:vAlign w:val="center"/>
          </w:tcPr>
          <w:p w14:paraId="600899F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3C0C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DE41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63BA91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14:paraId="2F44207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p>
        </w:tc>
        <w:tc>
          <w:tcPr>
            <w:tcW w:w="1044" w:type="dxa"/>
            <w:vMerge w:val="continue"/>
            <w:tcBorders>
              <w:left w:val="single" w:color="000000" w:sz="4" w:space="0"/>
              <w:right w:val="single" w:color="000000" w:sz="4" w:space="0"/>
            </w:tcBorders>
            <w:shd w:val="clear" w:color="auto" w:fill="auto"/>
            <w:vAlign w:val="center"/>
          </w:tcPr>
          <w:p w14:paraId="5CBC572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p>
        </w:tc>
        <w:tc>
          <w:tcPr>
            <w:tcW w:w="2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93EEC">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能力建设资金履职效果</w:t>
            </w:r>
          </w:p>
        </w:tc>
        <w:tc>
          <w:tcPr>
            <w:tcW w:w="720" w:type="dxa"/>
            <w:tcBorders>
              <w:top w:val="nil"/>
              <w:left w:val="single" w:color="000000" w:sz="4" w:space="0"/>
              <w:bottom w:val="single" w:color="000000" w:sz="4" w:space="0"/>
              <w:right w:val="single" w:color="000000" w:sz="4" w:space="0"/>
            </w:tcBorders>
            <w:shd w:val="clear" w:color="auto" w:fill="auto"/>
            <w:vAlign w:val="center"/>
          </w:tcPr>
          <w:p w14:paraId="7FBF7FB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w:t>
            </w:r>
          </w:p>
        </w:tc>
        <w:tc>
          <w:tcPr>
            <w:tcW w:w="4734" w:type="dxa"/>
            <w:vMerge w:val="continue"/>
            <w:tcBorders>
              <w:left w:val="single" w:color="000000" w:sz="4" w:space="0"/>
              <w:right w:val="single" w:color="000000" w:sz="4" w:space="0"/>
            </w:tcBorders>
            <w:shd w:val="clear" w:color="auto" w:fill="auto"/>
            <w:vAlign w:val="center"/>
          </w:tcPr>
          <w:p w14:paraId="355BB6F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4687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45B3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32D45F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14:paraId="2CD6144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p>
        </w:tc>
        <w:tc>
          <w:tcPr>
            <w:tcW w:w="1044" w:type="dxa"/>
            <w:vMerge w:val="continue"/>
            <w:tcBorders>
              <w:left w:val="single" w:color="000000" w:sz="4" w:space="0"/>
              <w:bottom w:val="single" w:color="000000" w:sz="4" w:space="0"/>
              <w:right w:val="single" w:color="000000" w:sz="4" w:space="0"/>
            </w:tcBorders>
            <w:shd w:val="clear" w:color="auto" w:fill="auto"/>
            <w:vAlign w:val="center"/>
          </w:tcPr>
          <w:p w14:paraId="2EE0079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p>
        </w:tc>
        <w:tc>
          <w:tcPr>
            <w:tcW w:w="2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3DF19">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统筹外人员工资履职效果</w:t>
            </w:r>
          </w:p>
        </w:tc>
        <w:tc>
          <w:tcPr>
            <w:tcW w:w="720" w:type="dxa"/>
            <w:tcBorders>
              <w:top w:val="nil"/>
              <w:left w:val="single" w:color="000000" w:sz="4" w:space="0"/>
              <w:bottom w:val="single" w:color="000000" w:sz="4" w:space="0"/>
              <w:right w:val="single" w:color="000000" w:sz="4" w:space="0"/>
            </w:tcBorders>
            <w:shd w:val="clear" w:color="auto" w:fill="auto"/>
            <w:vAlign w:val="center"/>
          </w:tcPr>
          <w:p w14:paraId="50108FB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w:t>
            </w:r>
          </w:p>
        </w:tc>
        <w:tc>
          <w:tcPr>
            <w:tcW w:w="4734" w:type="dxa"/>
            <w:vMerge w:val="continue"/>
            <w:tcBorders>
              <w:left w:val="single" w:color="000000" w:sz="4" w:space="0"/>
              <w:bottom w:val="single" w:color="000000" w:sz="4" w:space="0"/>
              <w:right w:val="single" w:color="000000" w:sz="4" w:space="0"/>
            </w:tcBorders>
            <w:shd w:val="clear" w:color="auto" w:fill="auto"/>
            <w:vAlign w:val="center"/>
          </w:tcPr>
          <w:p w14:paraId="7A2A614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1A92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D85C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4B7A8F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D847B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0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2C269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预算管理</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（25分）</w:t>
            </w:r>
          </w:p>
        </w:tc>
        <w:tc>
          <w:tcPr>
            <w:tcW w:w="2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F63D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预算编制质量</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3FE9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B44F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部门是否严格按要求编制年初部门预算，年初预算编制的科学性和准确性</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D5118">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7.76</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D0BD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7B8E44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ABBFA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0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23B1A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2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3730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单位收入统筹</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5963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944B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部门统筹自有收入程度</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9B3B8">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9FFB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7B38F5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248A3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0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8C975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2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4837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支出执行进度</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0340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F03B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部门1至6月、1至10月预算执行情况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AACC7">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5.8</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5B0D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13AE65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89D9E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0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2409A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2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2341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预算年终结余</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1F09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4425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部门整体年终预算结余情况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64822">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F6BB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35DFF6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9"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5F5BA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0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B3EBD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2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3652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严控一般性支出</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86F8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EA77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部门严控“三公”经费、会议、培训、差旅、办节办展、办公设备购置、信息网络及软件购置更新、课题经费等8项一般性支出情况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F07C9">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0E17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0DC5F2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C3ECA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0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8CC96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财务管理</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（10分）</w:t>
            </w:r>
          </w:p>
        </w:tc>
        <w:tc>
          <w:tcPr>
            <w:tcW w:w="2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0EF8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财务管理制度</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F2BA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2464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部门财务管理制度建立情况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97C32">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A58E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3B2007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75C76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0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F142C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2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E5F5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财务岗位设置</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5409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4A15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部门财务岗位设置是否符合相关财务管理制度要求</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6E691">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322F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0E46EB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6D499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0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CEEC2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2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DE85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资金使用规范</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D0BE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8244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部门资金使用是否符合相关财务管理制度规定</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E9C0C">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6352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5FA065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2C73B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0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AE77B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资产管理</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（9分）</w:t>
            </w:r>
          </w:p>
        </w:tc>
        <w:tc>
          <w:tcPr>
            <w:tcW w:w="2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45CB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人均资产变化率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044C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F441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部门人均资产变化情况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8837F">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1.5</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8284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1E0224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6B878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0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48814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2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95AF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资产利用率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BAE4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193D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部门资产超最低使用年限情况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ED7D4">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1.5</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F0ED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7AA1AD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13307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总体绩效</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（65分）</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866E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资产管理</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（9分）</w:t>
            </w:r>
          </w:p>
        </w:tc>
        <w:tc>
          <w:tcPr>
            <w:tcW w:w="2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CFA3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资产盘活率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57C6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26E6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部门闲置一年以上的资产盘活情况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69E01">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FCE8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17E62A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1DE9E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0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51630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采购管理</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（6分）</w:t>
            </w:r>
          </w:p>
        </w:tc>
        <w:tc>
          <w:tcPr>
            <w:tcW w:w="2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7711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支持中小企业发展</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839F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7D4E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部门是否严格执行政府采购促进中小企业发展相关管理办法</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1B72E">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7F95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5DC834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92536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0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9491D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2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8B04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采购执行率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A69C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6583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部门政府采购项目资金支付比例情况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10164">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EE2E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69DFD1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0D850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项目绩效</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（35分）</w:t>
            </w:r>
          </w:p>
        </w:tc>
        <w:tc>
          <w:tcPr>
            <w:tcW w:w="1044" w:type="dxa"/>
            <w:vMerge w:val="restart"/>
            <w:tcBorders>
              <w:top w:val="single" w:color="000000" w:sz="4" w:space="0"/>
              <w:left w:val="single" w:color="000000" w:sz="4" w:space="0"/>
              <w:bottom w:val="nil"/>
              <w:right w:val="single" w:color="000000" w:sz="4" w:space="0"/>
            </w:tcBorders>
            <w:shd w:val="clear" w:color="auto" w:fill="auto"/>
            <w:vAlign w:val="center"/>
          </w:tcPr>
          <w:p w14:paraId="6034CD6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项目决策</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（12分）</w:t>
            </w:r>
          </w:p>
        </w:tc>
        <w:tc>
          <w:tcPr>
            <w:tcW w:w="2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90F8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决策程序</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6EF3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38EF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部门预算项目设立是否按规定履行评估论证、申报程序</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43579">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8662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46BA75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11E1A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044" w:type="dxa"/>
            <w:vMerge w:val="continue"/>
            <w:tcBorders>
              <w:top w:val="single" w:color="000000" w:sz="4" w:space="0"/>
              <w:left w:val="single" w:color="000000" w:sz="4" w:space="0"/>
              <w:bottom w:val="nil"/>
              <w:right w:val="single" w:color="000000" w:sz="4" w:space="0"/>
            </w:tcBorders>
            <w:shd w:val="clear" w:color="auto" w:fill="auto"/>
            <w:vAlign w:val="center"/>
          </w:tcPr>
          <w:p w14:paraId="43B89A2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2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1EE6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目标设置</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EB7F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7E1A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部门预算项目绩效目标与计划期内的任务量、预算安排的资金量匹配情况，绩效目标设置是否科学合理、规范完整、量化细化、预算匹配</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24433">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44AE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17086A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C794B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044" w:type="dxa"/>
            <w:vMerge w:val="continue"/>
            <w:tcBorders>
              <w:top w:val="single" w:color="000000" w:sz="4" w:space="0"/>
              <w:left w:val="single" w:color="000000" w:sz="4" w:space="0"/>
              <w:bottom w:val="nil"/>
              <w:right w:val="single" w:color="000000" w:sz="4" w:space="0"/>
            </w:tcBorders>
            <w:shd w:val="clear" w:color="auto" w:fill="auto"/>
            <w:vAlign w:val="center"/>
          </w:tcPr>
          <w:p w14:paraId="71EA11D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2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AECB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项目入库</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0AED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93BE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部门预算项目是否在规定时间完成项目入库</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B74D6">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C04A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55D6C5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37FA1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044" w:type="dxa"/>
            <w:vMerge w:val="restart"/>
            <w:tcBorders>
              <w:top w:val="single" w:color="000000" w:sz="4" w:space="0"/>
              <w:left w:val="single" w:color="000000" w:sz="4" w:space="0"/>
              <w:bottom w:val="nil"/>
              <w:right w:val="single" w:color="000000" w:sz="4" w:space="0"/>
            </w:tcBorders>
            <w:shd w:val="clear" w:color="auto" w:fill="auto"/>
            <w:vAlign w:val="center"/>
          </w:tcPr>
          <w:p w14:paraId="03BC422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项目执行</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（12分）</w:t>
            </w:r>
          </w:p>
        </w:tc>
        <w:tc>
          <w:tcPr>
            <w:tcW w:w="2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42B4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执行同向</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FDF7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285D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部门预算项目实际列支内容是否与绩效目标设置方向相符</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F27C8">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4FC2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16FD8E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DAF21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044" w:type="dxa"/>
            <w:vMerge w:val="continue"/>
            <w:tcBorders>
              <w:top w:val="single" w:color="000000" w:sz="4" w:space="0"/>
              <w:left w:val="single" w:color="000000" w:sz="4" w:space="0"/>
              <w:bottom w:val="nil"/>
              <w:right w:val="single" w:color="000000" w:sz="4" w:space="0"/>
            </w:tcBorders>
            <w:shd w:val="clear" w:color="auto" w:fill="auto"/>
            <w:vAlign w:val="center"/>
          </w:tcPr>
          <w:p w14:paraId="548F2E9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2083" w:type="dxa"/>
            <w:tcBorders>
              <w:top w:val="single" w:color="000000" w:sz="4" w:space="0"/>
              <w:left w:val="single" w:color="000000" w:sz="4" w:space="0"/>
              <w:bottom w:val="nil"/>
              <w:right w:val="single" w:color="000000" w:sz="4" w:space="0"/>
            </w:tcBorders>
            <w:shd w:val="clear" w:color="auto" w:fill="auto"/>
            <w:vAlign w:val="center"/>
          </w:tcPr>
          <w:p w14:paraId="29AE6D9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项目调整</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7F15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0566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部门预算项目是否采取对应调整措施</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9F27B">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E9F4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55471F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AFE35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044" w:type="dxa"/>
            <w:vMerge w:val="continue"/>
            <w:tcBorders>
              <w:top w:val="single" w:color="000000" w:sz="4" w:space="0"/>
              <w:left w:val="single" w:color="000000" w:sz="4" w:space="0"/>
              <w:bottom w:val="nil"/>
              <w:right w:val="single" w:color="000000" w:sz="4" w:space="0"/>
            </w:tcBorders>
            <w:shd w:val="clear" w:color="auto" w:fill="auto"/>
            <w:vAlign w:val="center"/>
          </w:tcPr>
          <w:p w14:paraId="559E270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2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5B56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执行结果</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002A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B233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部门预算项目预算执行情况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086DF">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C349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2DBED5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7F67C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0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1CF5C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目标实现</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（11分）</w:t>
            </w:r>
          </w:p>
        </w:tc>
        <w:tc>
          <w:tcPr>
            <w:tcW w:w="2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94CF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目标完成</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374E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3F28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部门预算项目绩效目标数量指标完成情况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EEC36">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12D2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126177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A7564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0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DFB04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2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E5F6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目标偏离</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1433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3713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部门预算项目绩效目标数量指标实现程度与预期目标的偏离情况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A04DE">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7584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0C5AE4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33A45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0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B5D89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2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E819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实现效果</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26FF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DD5E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部门预算项目绩效目标效益指标实施效果</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E1C7B">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9D98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096B1D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6C30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扣分项</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（10分）</w:t>
            </w:r>
          </w:p>
        </w:tc>
        <w:tc>
          <w:tcPr>
            <w:tcW w:w="31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9150B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被评价部门配合度</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9910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2DBE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被评价对象工作配合情况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DEA9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912E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bl>
    <w:p w14:paraId="0788B4CC">
      <w:pPr>
        <w:rPr>
          <w:rFonts w:hint="default" w:ascii="Times New Roman" w:hAnsi="Times New Roman" w:eastAsia="黑体" w:cs="Times New Roman"/>
          <w:kern w:val="2"/>
          <w:sz w:val="32"/>
          <w:szCs w:val="24"/>
          <w:highlight w:val="none"/>
          <w:lang w:val="en-US" w:eastAsia="zh-CN" w:bidi="ar-SA"/>
        </w:rPr>
      </w:pPr>
      <w:r>
        <w:rPr>
          <w:rFonts w:hint="default" w:ascii="Times New Roman" w:hAnsi="Times New Roman" w:eastAsia="黑体" w:cs="Times New Roman"/>
          <w:kern w:val="2"/>
          <w:sz w:val="32"/>
          <w:szCs w:val="24"/>
          <w:highlight w:val="none"/>
          <w:lang w:val="en-US" w:eastAsia="zh-CN" w:bidi="ar-SA"/>
        </w:rPr>
        <w:br w:type="page"/>
      </w:r>
    </w:p>
    <w:p w14:paraId="66CBA4D4">
      <w:pPr>
        <w:keepNext w:val="0"/>
        <w:keepLines w:val="0"/>
        <w:pageBreakBefore w:val="0"/>
        <w:kinsoku/>
        <w:wordWrap/>
        <w:overflowPunct/>
        <w:topLinePunct w:val="0"/>
        <w:autoSpaceDE/>
        <w:autoSpaceDN/>
        <w:bidi w:val="0"/>
        <w:spacing w:line="578" w:lineRule="exact"/>
        <w:jc w:val="left"/>
        <w:textAlignment w:val="auto"/>
        <w:rPr>
          <w:rFonts w:hint="default" w:ascii="Times New Roman" w:hAnsi="Times New Roman" w:eastAsia="黑体" w:cs="Times New Roman"/>
          <w:kern w:val="2"/>
          <w:sz w:val="32"/>
          <w:szCs w:val="24"/>
          <w:highlight w:val="none"/>
          <w:lang w:val="en-US" w:eastAsia="zh-CN" w:bidi="ar-SA"/>
        </w:rPr>
      </w:pPr>
      <w:r>
        <w:rPr>
          <w:rFonts w:hint="default" w:ascii="Times New Roman" w:hAnsi="Times New Roman" w:eastAsia="黑体" w:cs="Times New Roman"/>
          <w:kern w:val="2"/>
          <w:sz w:val="32"/>
          <w:szCs w:val="24"/>
          <w:highlight w:val="none"/>
          <w:lang w:val="en-US" w:eastAsia="zh-CN" w:bidi="ar-SA"/>
        </w:rPr>
        <w:t>附表</w:t>
      </w:r>
      <w:r>
        <w:rPr>
          <w:rFonts w:hint="eastAsia" w:ascii="Times New Roman" w:hAnsi="Times New Roman" w:eastAsia="黑体" w:cs="Times New Roman"/>
          <w:kern w:val="2"/>
          <w:sz w:val="32"/>
          <w:szCs w:val="24"/>
          <w:highlight w:val="none"/>
          <w:lang w:val="en-US" w:eastAsia="zh-CN" w:bidi="ar-SA"/>
        </w:rPr>
        <w:t>2</w:t>
      </w:r>
    </w:p>
    <w:tbl>
      <w:tblPr>
        <w:tblStyle w:val="14"/>
        <w:tblW w:w="935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317"/>
        <w:gridCol w:w="1226"/>
        <w:gridCol w:w="967"/>
        <w:gridCol w:w="2081"/>
        <w:gridCol w:w="1064"/>
        <w:gridCol w:w="904"/>
        <w:gridCol w:w="919"/>
        <w:gridCol w:w="876"/>
      </w:tblGrid>
      <w:tr w14:paraId="71CB40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9354" w:type="dxa"/>
            <w:gridSpan w:val="8"/>
            <w:tcBorders>
              <w:top w:val="nil"/>
              <w:left w:val="nil"/>
              <w:bottom w:val="nil"/>
              <w:right w:val="nil"/>
            </w:tcBorders>
            <w:shd w:val="clear" w:color="auto" w:fill="auto"/>
            <w:vAlign w:val="center"/>
          </w:tcPr>
          <w:p w14:paraId="154C0D94">
            <w:pPr>
              <w:keepNext w:val="0"/>
              <w:keepLines w:val="0"/>
              <w:widowControl/>
              <w:suppressLineNumbers w:val="0"/>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部门整体支出绩效目标表</w:t>
            </w:r>
          </w:p>
        </w:tc>
      </w:tr>
      <w:tr w14:paraId="4BE600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354" w:type="dxa"/>
            <w:gridSpan w:val="8"/>
            <w:tcBorders>
              <w:top w:val="nil"/>
              <w:left w:val="nil"/>
              <w:bottom w:val="nil"/>
              <w:right w:val="nil"/>
            </w:tcBorders>
            <w:shd w:val="clear" w:color="auto" w:fill="auto"/>
            <w:vAlign w:val="center"/>
          </w:tcPr>
          <w:p w14:paraId="7A077E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（2024年度）</w:t>
            </w:r>
          </w:p>
        </w:tc>
      </w:tr>
      <w:tr w14:paraId="4AEAA2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354" w:type="dxa"/>
            <w:gridSpan w:val="8"/>
            <w:tcBorders>
              <w:top w:val="nil"/>
              <w:left w:val="nil"/>
              <w:bottom w:val="single" w:color="000000" w:sz="4" w:space="0"/>
              <w:right w:val="nil"/>
            </w:tcBorders>
            <w:shd w:val="clear" w:color="auto" w:fill="auto"/>
            <w:vAlign w:val="center"/>
          </w:tcPr>
          <w:p w14:paraId="4D205E3B">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金额单位：万元</w:t>
            </w:r>
          </w:p>
        </w:tc>
      </w:tr>
      <w:tr w14:paraId="4FC312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35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1BC72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部门名称</w:t>
            </w:r>
          </w:p>
        </w:tc>
        <w:tc>
          <w:tcPr>
            <w:tcW w:w="584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4482D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金川县社会保险事务中心本级</w:t>
            </w:r>
          </w:p>
        </w:tc>
      </w:tr>
      <w:tr w14:paraId="4D767B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3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B2F8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年度部门整体支出预算</w:t>
            </w:r>
          </w:p>
        </w:tc>
        <w:tc>
          <w:tcPr>
            <w:tcW w:w="21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2D77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资金总额</w:t>
            </w:r>
          </w:p>
        </w:tc>
        <w:tc>
          <w:tcPr>
            <w:tcW w:w="31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149D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财政拨款</w:t>
            </w:r>
          </w:p>
        </w:tc>
        <w:tc>
          <w:tcPr>
            <w:tcW w:w="269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98AC7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r>
      <w:tr w14:paraId="7721C0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13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3983B5">
            <w:pPr>
              <w:jc w:val="center"/>
              <w:rPr>
                <w:rFonts w:hint="eastAsia" w:ascii="宋体" w:hAnsi="宋体" w:eastAsia="宋体" w:cs="宋体"/>
                <w:i w:val="0"/>
                <w:iCs w:val="0"/>
                <w:color w:val="000000"/>
                <w:sz w:val="18"/>
                <w:szCs w:val="18"/>
                <w:u w:val="none"/>
              </w:rPr>
            </w:pPr>
          </w:p>
        </w:tc>
        <w:tc>
          <w:tcPr>
            <w:tcW w:w="21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B14840">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322.56</w:t>
            </w:r>
          </w:p>
        </w:tc>
        <w:tc>
          <w:tcPr>
            <w:tcW w:w="31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C34464">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322.56</w:t>
            </w:r>
          </w:p>
        </w:tc>
        <w:tc>
          <w:tcPr>
            <w:tcW w:w="269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2A477A6">
            <w:pPr>
              <w:jc w:val="right"/>
              <w:rPr>
                <w:rFonts w:hint="eastAsia" w:ascii="宋体" w:hAnsi="宋体" w:eastAsia="宋体" w:cs="宋体"/>
                <w:i w:val="0"/>
                <w:iCs w:val="0"/>
                <w:color w:val="000000"/>
                <w:sz w:val="18"/>
                <w:szCs w:val="18"/>
                <w:u w:val="none"/>
              </w:rPr>
            </w:pPr>
          </w:p>
        </w:tc>
      </w:tr>
      <w:tr w14:paraId="43FFC4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5" w:hRule="atLeast"/>
        </w:trPr>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6FC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年度总体目标</w:t>
            </w:r>
          </w:p>
        </w:tc>
        <w:tc>
          <w:tcPr>
            <w:tcW w:w="8037"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5A8C5A8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严格执行相关政策，保障工资及时足额发放、社保及时足额缴纳。严格执行预算，保障单位日常运转。</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全面实施全民参保计划。推动灵活就业人员、新业态从业人员等群体参加社会保险，推动实现从制度全覆盖到法定人员全覆盖。</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强化从业人员能力培训，实施智慧服务、优质服务，不断提升群众获得感满意度，为广大群众提供更加方便快捷的人社公共服务。</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保障按时足额为全县退休人员发放养老金。</w:t>
            </w:r>
          </w:p>
        </w:tc>
      </w:tr>
      <w:tr w14:paraId="5AD8D7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13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D597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年度主要任务</w:t>
            </w:r>
          </w:p>
        </w:tc>
        <w:tc>
          <w:tcPr>
            <w:tcW w:w="21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E7BD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任务名称</w:t>
            </w:r>
          </w:p>
        </w:tc>
        <w:tc>
          <w:tcPr>
            <w:tcW w:w="584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1C978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主要内容</w:t>
            </w:r>
          </w:p>
        </w:tc>
      </w:tr>
      <w:tr w14:paraId="106942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13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F79F45">
            <w:pPr>
              <w:jc w:val="center"/>
              <w:rPr>
                <w:rFonts w:hint="eastAsia" w:ascii="宋体" w:hAnsi="宋体" w:eastAsia="宋体" w:cs="宋体"/>
                <w:i w:val="0"/>
                <w:iCs w:val="0"/>
                <w:color w:val="000000"/>
                <w:sz w:val="18"/>
                <w:szCs w:val="18"/>
                <w:u w:val="none"/>
              </w:rPr>
            </w:pPr>
          </w:p>
        </w:tc>
        <w:tc>
          <w:tcPr>
            <w:tcW w:w="21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4AD9C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大力实施温暖人社行动</w:t>
            </w:r>
          </w:p>
        </w:tc>
        <w:tc>
          <w:tcPr>
            <w:tcW w:w="584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DBBA92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强化从业人员能力培训，实施智慧服务、优质服务，不断提升群众获得感满意度，为广大群众提供更加方便快捷的人社公共服务</w:t>
            </w:r>
          </w:p>
        </w:tc>
      </w:tr>
      <w:tr w14:paraId="446EF1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13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51F344">
            <w:pPr>
              <w:jc w:val="center"/>
              <w:rPr>
                <w:rFonts w:hint="eastAsia" w:ascii="宋体" w:hAnsi="宋体" w:eastAsia="宋体" w:cs="宋体"/>
                <w:i w:val="0"/>
                <w:iCs w:val="0"/>
                <w:color w:val="000000"/>
                <w:sz w:val="18"/>
                <w:szCs w:val="18"/>
                <w:u w:val="none"/>
              </w:rPr>
            </w:pPr>
          </w:p>
        </w:tc>
        <w:tc>
          <w:tcPr>
            <w:tcW w:w="21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B629A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保障机关工作开展</w:t>
            </w:r>
          </w:p>
        </w:tc>
        <w:tc>
          <w:tcPr>
            <w:tcW w:w="584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B2B36E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严格执行相关政策，保障工资及时、足额发放或社保及时、足额缴纳。严格执行预算，保障单位日常运转。</w:t>
            </w:r>
          </w:p>
        </w:tc>
      </w:tr>
      <w:tr w14:paraId="3FD62A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13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CFFAAD">
            <w:pPr>
              <w:jc w:val="center"/>
              <w:rPr>
                <w:rFonts w:hint="eastAsia" w:ascii="宋体" w:hAnsi="宋体" w:eastAsia="宋体" w:cs="宋体"/>
                <w:i w:val="0"/>
                <w:iCs w:val="0"/>
                <w:color w:val="000000"/>
                <w:sz w:val="18"/>
                <w:szCs w:val="18"/>
                <w:u w:val="none"/>
              </w:rPr>
            </w:pPr>
          </w:p>
        </w:tc>
        <w:tc>
          <w:tcPr>
            <w:tcW w:w="21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5906E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全面实施全民参保计划</w:t>
            </w:r>
          </w:p>
        </w:tc>
        <w:tc>
          <w:tcPr>
            <w:tcW w:w="584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3C86EC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重点推动灵活就业人员、新业态从业人员等群体参加社会保险，推动实现从制度全覆盖到法定人员全覆盖</w:t>
            </w:r>
          </w:p>
        </w:tc>
      </w:tr>
      <w:tr w14:paraId="661A6E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13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2E512E">
            <w:pPr>
              <w:jc w:val="center"/>
              <w:rPr>
                <w:rFonts w:hint="eastAsia" w:ascii="宋体" w:hAnsi="宋体" w:eastAsia="宋体" w:cs="宋体"/>
                <w:i w:val="0"/>
                <w:iCs w:val="0"/>
                <w:color w:val="000000"/>
                <w:sz w:val="18"/>
                <w:szCs w:val="18"/>
                <w:u w:val="none"/>
              </w:rPr>
            </w:pPr>
          </w:p>
        </w:tc>
        <w:tc>
          <w:tcPr>
            <w:tcW w:w="21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6B53B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退休人员养老金按时足额发放</w:t>
            </w:r>
          </w:p>
        </w:tc>
        <w:tc>
          <w:tcPr>
            <w:tcW w:w="584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CCD24A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保障按时足额为全县退休人员发放养老金。</w:t>
            </w:r>
          </w:p>
        </w:tc>
      </w:tr>
      <w:tr w14:paraId="182E7F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13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16F8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年度绩效指标</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B0A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C95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4E9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759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绩效指标性质</w:t>
            </w:r>
          </w:p>
        </w:tc>
        <w:tc>
          <w:tcPr>
            <w:tcW w:w="9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B02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绩效指标值</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893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绩效度量单位</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F1D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r>
      <w:tr w14:paraId="678749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13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E61422">
            <w:pPr>
              <w:jc w:val="center"/>
              <w:rPr>
                <w:rFonts w:hint="eastAsia" w:ascii="宋体" w:hAnsi="宋体" w:eastAsia="宋体" w:cs="宋体"/>
                <w:i w:val="0"/>
                <w:iCs w:val="0"/>
                <w:color w:val="000000"/>
                <w:sz w:val="18"/>
                <w:szCs w:val="18"/>
                <w:u w:val="none"/>
              </w:rPr>
            </w:pPr>
          </w:p>
        </w:tc>
        <w:tc>
          <w:tcPr>
            <w:tcW w:w="122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9A447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96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A94CE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3768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开展养老保险政策进万家活动</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A0FC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BB78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09EA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4AED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r>
      <w:tr w14:paraId="13D118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13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52CC17">
            <w:pPr>
              <w:jc w:val="center"/>
              <w:rPr>
                <w:rFonts w:hint="eastAsia" w:ascii="宋体" w:hAnsi="宋体" w:eastAsia="宋体" w:cs="宋体"/>
                <w:i w:val="0"/>
                <w:iCs w:val="0"/>
                <w:color w:val="000000"/>
                <w:sz w:val="18"/>
                <w:szCs w:val="18"/>
                <w:u w:val="none"/>
              </w:rPr>
            </w:pPr>
          </w:p>
        </w:tc>
        <w:tc>
          <w:tcPr>
            <w:tcW w:w="12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0A6F69">
            <w:pPr>
              <w:jc w:val="left"/>
              <w:rPr>
                <w:rFonts w:hint="eastAsia" w:ascii="宋体" w:hAnsi="宋体" w:eastAsia="宋体" w:cs="宋体"/>
                <w:i w:val="0"/>
                <w:iCs w:val="0"/>
                <w:color w:val="000000"/>
                <w:sz w:val="18"/>
                <w:szCs w:val="18"/>
                <w:u w:val="none"/>
              </w:rPr>
            </w:pPr>
          </w:p>
        </w:tc>
        <w:tc>
          <w:tcPr>
            <w:tcW w:w="9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5831B0">
            <w:pPr>
              <w:jc w:val="left"/>
              <w:rPr>
                <w:rFonts w:hint="eastAsia" w:ascii="宋体" w:hAnsi="宋体" w:eastAsia="宋体" w:cs="宋体"/>
                <w:i w:val="0"/>
                <w:iCs w:val="0"/>
                <w:color w:val="000000"/>
                <w:sz w:val="18"/>
                <w:szCs w:val="18"/>
                <w:u w:val="none"/>
              </w:rPr>
            </w:pPr>
          </w:p>
        </w:tc>
        <w:tc>
          <w:tcPr>
            <w:tcW w:w="2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D20B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全县工伤保险参保人数</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0E8F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7EBF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8464</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6D83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7C42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r>
      <w:tr w14:paraId="14EFD5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13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7A8179">
            <w:pPr>
              <w:jc w:val="center"/>
              <w:rPr>
                <w:rFonts w:hint="eastAsia" w:ascii="宋体" w:hAnsi="宋体" w:eastAsia="宋体" w:cs="宋体"/>
                <w:i w:val="0"/>
                <w:iCs w:val="0"/>
                <w:color w:val="000000"/>
                <w:sz w:val="18"/>
                <w:szCs w:val="18"/>
                <w:u w:val="none"/>
              </w:rPr>
            </w:pPr>
          </w:p>
        </w:tc>
        <w:tc>
          <w:tcPr>
            <w:tcW w:w="12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590595">
            <w:pPr>
              <w:jc w:val="left"/>
              <w:rPr>
                <w:rFonts w:hint="eastAsia" w:ascii="宋体" w:hAnsi="宋体" w:eastAsia="宋体" w:cs="宋体"/>
                <w:i w:val="0"/>
                <w:iCs w:val="0"/>
                <w:color w:val="000000"/>
                <w:sz w:val="18"/>
                <w:szCs w:val="18"/>
                <w:u w:val="none"/>
              </w:rPr>
            </w:pPr>
          </w:p>
        </w:tc>
        <w:tc>
          <w:tcPr>
            <w:tcW w:w="9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AEC073">
            <w:pPr>
              <w:jc w:val="left"/>
              <w:rPr>
                <w:rFonts w:hint="eastAsia" w:ascii="宋体" w:hAnsi="宋体" w:eastAsia="宋体" w:cs="宋体"/>
                <w:i w:val="0"/>
                <w:iCs w:val="0"/>
                <w:color w:val="000000"/>
                <w:sz w:val="18"/>
                <w:szCs w:val="18"/>
                <w:u w:val="none"/>
              </w:rPr>
            </w:pPr>
          </w:p>
        </w:tc>
        <w:tc>
          <w:tcPr>
            <w:tcW w:w="2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FE6A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全县企业养老保险参保人数</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7AFF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2AE4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4297</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A524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ED10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r>
      <w:tr w14:paraId="48FB7E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13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18E17A">
            <w:pPr>
              <w:jc w:val="center"/>
              <w:rPr>
                <w:rFonts w:hint="eastAsia" w:ascii="宋体" w:hAnsi="宋体" w:eastAsia="宋体" w:cs="宋体"/>
                <w:i w:val="0"/>
                <w:iCs w:val="0"/>
                <w:color w:val="000000"/>
                <w:sz w:val="18"/>
                <w:szCs w:val="18"/>
                <w:u w:val="none"/>
              </w:rPr>
            </w:pPr>
          </w:p>
        </w:tc>
        <w:tc>
          <w:tcPr>
            <w:tcW w:w="12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03AA3E">
            <w:pPr>
              <w:jc w:val="left"/>
              <w:rPr>
                <w:rFonts w:hint="eastAsia" w:ascii="宋体" w:hAnsi="宋体" w:eastAsia="宋体" w:cs="宋体"/>
                <w:i w:val="0"/>
                <w:iCs w:val="0"/>
                <w:color w:val="000000"/>
                <w:sz w:val="18"/>
                <w:szCs w:val="18"/>
                <w:u w:val="none"/>
              </w:rPr>
            </w:pPr>
          </w:p>
        </w:tc>
        <w:tc>
          <w:tcPr>
            <w:tcW w:w="96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F523E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2E79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退休人员养老金按时足额发放</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DD4A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2F35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1590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D13A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r>
      <w:tr w14:paraId="3572F1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13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B01C66">
            <w:pPr>
              <w:jc w:val="center"/>
              <w:rPr>
                <w:rFonts w:hint="eastAsia" w:ascii="宋体" w:hAnsi="宋体" w:eastAsia="宋体" w:cs="宋体"/>
                <w:i w:val="0"/>
                <w:iCs w:val="0"/>
                <w:color w:val="000000"/>
                <w:sz w:val="18"/>
                <w:szCs w:val="18"/>
                <w:u w:val="none"/>
              </w:rPr>
            </w:pPr>
          </w:p>
        </w:tc>
        <w:tc>
          <w:tcPr>
            <w:tcW w:w="12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093C5C">
            <w:pPr>
              <w:jc w:val="left"/>
              <w:rPr>
                <w:rFonts w:hint="eastAsia" w:ascii="宋体" w:hAnsi="宋体" w:eastAsia="宋体" w:cs="宋体"/>
                <w:i w:val="0"/>
                <w:iCs w:val="0"/>
                <w:color w:val="000000"/>
                <w:sz w:val="18"/>
                <w:szCs w:val="18"/>
                <w:u w:val="none"/>
              </w:rPr>
            </w:pPr>
          </w:p>
        </w:tc>
        <w:tc>
          <w:tcPr>
            <w:tcW w:w="9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7062DE">
            <w:pPr>
              <w:jc w:val="left"/>
              <w:rPr>
                <w:rFonts w:hint="eastAsia" w:ascii="宋体" w:hAnsi="宋体" w:eastAsia="宋体" w:cs="宋体"/>
                <w:i w:val="0"/>
                <w:iCs w:val="0"/>
                <w:color w:val="000000"/>
                <w:sz w:val="18"/>
                <w:szCs w:val="18"/>
                <w:u w:val="none"/>
              </w:rPr>
            </w:pPr>
          </w:p>
        </w:tc>
        <w:tc>
          <w:tcPr>
            <w:tcW w:w="2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9C98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有效</w:t>
            </w:r>
            <w:r>
              <w:rPr>
                <w:rFonts w:ascii="宋体" w:hAnsi="宋体" w:eastAsia="宋体" w:cs="宋体"/>
                <w:i w:val="0"/>
                <w:iCs w:val="0"/>
                <w:color w:val="000000"/>
                <w:kern w:val="0"/>
                <w:sz w:val="18"/>
                <w:szCs w:val="18"/>
                <w:u w:val="none"/>
                <w:lang w:val="en-US" w:eastAsia="zh-CN" w:bidi="ar"/>
              </w:rPr>
              <w:t>保障机关工作开展</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37A6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9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4E7C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4C314">
            <w:pPr>
              <w:jc w:val="left"/>
              <w:rPr>
                <w:rFonts w:hint="eastAsia" w:ascii="宋体" w:hAnsi="宋体" w:eastAsia="宋体" w:cs="宋体"/>
                <w:i w:val="0"/>
                <w:iCs w:val="0"/>
                <w:color w:val="000000"/>
                <w:sz w:val="18"/>
                <w:szCs w:val="18"/>
                <w:u w:val="none"/>
              </w:rPr>
            </w:pP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46C3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r>
      <w:tr w14:paraId="7EA65A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13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CF8B39">
            <w:pPr>
              <w:jc w:val="center"/>
              <w:rPr>
                <w:rFonts w:hint="eastAsia" w:ascii="宋体" w:hAnsi="宋体" w:eastAsia="宋体" w:cs="宋体"/>
                <w:i w:val="0"/>
                <w:iCs w:val="0"/>
                <w:color w:val="000000"/>
                <w:sz w:val="18"/>
                <w:szCs w:val="18"/>
                <w:u w:val="none"/>
              </w:rPr>
            </w:pPr>
          </w:p>
        </w:tc>
        <w:tc>
          <w:tcPr>
            <w:tcW w:w="12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F65D9A">
            <w:pPr>
              <w:jc w:val="left"/>
              <w:rPr>
                <w:rFonts w:hint="eastAsia" w:ascii="宋体" w:hAnsi="宋体" w:eastAsia="宋体" w:cs="宋体"/>
                <w:i w:val="0"/>
                <w:iCs w:val="0"/>
                <w:color w:val="000000"/>
                <w:sz w:val="18"/>
                <w:szCs w:val="18"/>
                <w:u w:val="none"/>
              </w:rPr>
            </w:pPr>
          </w:p>
        </w:tc>
        <w:tc>
          <w:tcPr>
            <w:tcW w:w="9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7A2C3C">
            <w:pPr>
              <w:jc w:val="left"/>
              <w:rPr>
                <w:rFonts w:hint="eastAsia" w:ascii="宋体" w:hAnsi="宋体" w:eastAsia="宋体" w:cs="宋体"/>
                <w:i w:val="0"/>
                <w:iCs w:val="0"/>
                <w:color w:val="000000"/>
                <w:sz w:val="18"/>
                <w:szCs w:val="18"/>
                <w:u w:val="none"/>
              </w:rPr>
            </w:pPr>
          </w:p>
        </w:tc>
        <w:tc>
          <w:tcPr>
            <w:tcW w:w="2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766C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预算完成率</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0390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A484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92</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5040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D40E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r>
      <w:tr w14:paraId="0E1173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13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7985A0">
            <w:pPr>
              <w:jc w:val="center"/>
              <w:rPr>
                <w:rFonts w:hint="eastAsia" w:ascii="宋体" w:hAnsi="宋体" w:eastAsia="宋体" w:cs="宋体"/>
                <w:i w:val="0"/>
                <w:iCs w:val="0"/>
                <w:color w:val="000000"/>
                <w:sz w:val="18"/>
                <w:szCs w:val="18"/>
                <w:u w:val="none"/>
              </w:rPr>
            </w:pPr>
          </w:p>
        </w:tc>
        <w:tc>
          <w:tcPr>
            <w:tcW w:w="12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36C7DE">
            <w:pPr>
              <w:jc w:val="left"/>
              <w:rPr>
                <w:rFonts w:hint="eastAsia" w:ascii="宋体" w:hAnsi="宋体" w:eastAsia="宋体" w:cs="宋体"/>
                <w:i w:val="0"/>
                <w:iCs w:val="0"/>
                <w:color w:val="000000"/>
                <w:sz w:val="18"/>
                <w:szCs w:val="18"/>
                <w:u w:val="none"/>
              </w:rPr>
            </w:pP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047E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41C4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运转类预算定期拨付效率情况</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E196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9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F5F5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0AAAB">
            <w:pPr>
              <w:jc w:val="left"/>
              <w:rPr>
                <w:rFonts w:hint="eastAsia" w:ascii="宋体" w:hAnsi="宋体" w:eastAsia="宋体" w:cs="宋体"/>
                <w:i w:val="0"/>
                <w:iCs w:val="0"/>
                <w:color w:val="000000"/>
                <w:sz w:val="18"/>
                <w:szCs w:val="18"/>
                <w:u w:val="none"/>
              </w:rPr>
            </w:pP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F378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r>
      <w:tr w14:paraId="52384C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13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761621">
            <w:pPr>
              <w:jc w:val="center"/>
              <w:rPr>
                <w:rFonts w:hint="eastAsia" w:ascii="宋体" w:hAnsi="宋体" w:eastAsia="宋体" w:cs="宋体"/>
                <w:i w:val="0"/>
                <w:iCs w:val="0"/>
                <w:color w:val="000000"/>
                <w:sz w:val="18"/>
                <w:szCs w:val="18"/>
                <w:u w:val="none"/>
              </w:rPr>
            </w:pPr>
          </w:p>
        </w:tc>
        <w:tc>
          <w:tcPr>
            <w:tcW w:w="122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2CD29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41A8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B3DF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基本养老保险待遇水平稳步提升，对维护社会稳定的作用</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D78D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9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5D37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BB2B8">
            <w:pPr>
              <w:jc w:val="left"/>
              <w:rPr>
                <w:rFonts w:hint="eastAsia" w:ascii="宋体" w:hAnsi="宋体" w:eastAsia="宋体" w:cs="宋体"/>
                <w:i w:val="0"/>
                <w:iCs w:val="0"/>
                <w:color w:val="000000"/>
                <w:sz w:val="18"/>
                <w:szCs w:val="18"/>
                <w:u w:val="none"/>
              </w:rPr>
            </w:pP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0935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r>
      <w:tr w14:paraId="44A2C3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13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71623F">
            <w:pPr>
              <w:jc w:val="center"/>
              <w:rPr>
                <w:rFonts w:hint="eastAsia" w:ascii="宋体" w:hAnsi="宋体" w:eastAsia="宋体" w:cs="宋体"/>
                <w:i w:val="0"/>
                <w:iCs w:val="0"/>
                <w:color w:val="000000"/>
                <w:sz w:val="18"/>
                <w:szCs w:val="18"/>
                <w:u w:val="none"/>
              </w:rPr>
            </w:pPr>
          </w:p>
        </w:tc>
        <w:tc>
          <w:tcPr>
            <w:tcW w:w="12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42C59E">
            <w:pPr>
              <w:jc w:val="left"/>
              <w:rPr>
                <w:rFonts w:hint="eastAsia" w:ascii="宋体" w:hAnsi="宋体" w:eastAsia="宋体" w:cs="宋体"/>
                <w:i w:val="0"/>
                <w:iCs w:val="0"/>
                <w:color w:val="000000"/>
                <w:sz w:val="18"/>
                <w:szCs w:val="18"/>
                <w:u w:val="none"/>
              </w:rPr>
            </w:pP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DD11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可持续影响指标</w:t>
            </w:r>
          </w:p>
        </w:tc>
        <w:tc>
          <w:tcPr>
            <w:tcW w:w="2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673C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对日常工作的保障促进作用</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80BE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9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F14B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14DA9">
            <w:pPr>
              <w:jc w:val="left"/>
              <w:rPr>
                <w:rFonts w:hint="eastAsia" w:ascii="宋体" w:hAnsi="宋体" w:eastAsia="宋体" w:cs="宋体"/>
                <w:i w:val="0"/>
                <w:iCs w:val="0"/>
                <w:color w:val="000000"/>
                <w:sz w:val="18"/>
                <w:szCs w:val="18"/>
                <w:u w:val="none"/>
              </w:rPr>
            </w:pP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1F8A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r>
      <w:tr w14:paraId="585247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13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D5124B">
            <w:pPr>
              <w:jc w:val="center"/>
              <w:rPr>
                <w:rFonts w:hint="eastAsia" w:ascii="宋体" w:hAnsi="宋体" w:eastAsia="宋体" w:cs="宋体"/>
                <w:i w:val="0"/>
                <w:iCs w:val="0"/>
                <w:color w:val="000000"/>
                <w:sz w:val="18"/>
                <w:szCs w:val="18"/>
                <w:u w:val="none"/>
              </w:rPr>
            </w:pP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7476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4B90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2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0243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D8DD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7376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E3A7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21ED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r>
      <w:tr w14:paraId="19A0BF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13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9B7D38">
            <w:pPr>
              <w:jc w:val="center"/>
              <w:rPr>
                <w:rFonts w:hint="eastAsia" w:ascii="宋体" w:hAnsi="宋体" w:eastAsia="宋体" w:cs="宋体"/>
                <w:i w:val="0"/>
                <w:iCs w:val="0"/>
                <w:color w:val="000000"/>
                <w:sz w:val="18"/>
                <w:szCs w:val="18"/>
                <w:u w:val="none"/>
              </w:rPr>
            </w:pP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9B03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E857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7130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基本支出</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EDB0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6305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304.2</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AB18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ACE9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r>
    </w:tbl>
    <w:p w14:paraId="2B3CC157">
      <w:pPr>
        <w:rPr>
          <w:rFonts w:hint="default" w:ascii="Times New Roman" w:hAnsi="Times New Roman" w:eastAsia="黑体" w:cs="Times New Roman"/>
          <w:sz w:val="24"/>
          <w:szCs w:val="24"/>
          <w:highlight w:val="none"/>
          <w:lang w:val="en-US" w:eastAsia="zh-CN"/>
        </w:rPr>
      </w:pPr>
    </w:p>
    <w:p w14:paraId="4E9F0DB6">
      <w:pPr>
        <w:rPr>
          <w:rFonts w:hint="eastAsia" w:ascii="仿宋_GB2312" w:eastAsia="仿宋_GB2312"/>
          <w:sz w:val="32"/>
          <w:szCs w:val="32"/>
          <w:lang w:eastAsia="zh-CN"/>
        </w:rPr>
      </w:pPr>
      <w:r>
        <w:rPr>
          <w:rFonts w:hint="eastAsia" w:ascii="仿宋_GB2312" w:eastAsia="仿宋_GB2312"/>
          <w:sz w:val="32"/>
          <w:szCs w:val="32"/>
          <w:lang w:eastAsia="zh-CN"/>
        </w:rPr>
        <w:br w:type="page"/>
      </w:r>
    </w:p>
    <w:p w14:paraId="1676F7C1">
      <w:pPr>
        <w:numPr>
          <w:ilvl w:val="0"/>
          <w:numId w:val="4"/>
        </w:numPr>
        <w:spacing w:line="600" w:lineRule="exact"/>
        <w:ind w:left="0" w:firstLine="663" w:firstLineChars="150"/>
        <w:jc w:val="center"/>
        <w:outlineLvl w:val="0"/>
        <w:rPr>
          <w:rFonts w:hint="eastAsia" w:ascii="黑体" w:eastAsia="黑体"/>
          <w:b/>
          <w:color w:val="000000"/>
          <w:sz w:val="44"/>
          <w:szCs w:val="44"/>
          <w:lang w:val="zh-CN" w:eastAsia="zh-CN"/>
        </w:rPr>
      </w:pPr>
      <w:bookmarkStart w:id="71" w:name="_Toc19495"/>
      <w:r>
        <w:rPr>
          <w:rFonts w:hint="eastAsia" w:ascii="黑体" w:eastAsia="黑体"/>
          <w:b/>
          <w:color w:val="000000"/>
          <w:sz w:val="44"/>
          <w:szCs w:val="44"/>
        </w:rPr>
        <w:t xml:space="preserve"> </w:t>
      </w:r>
      <w:bookmarkStart w:id="72" w:name="_Toc11584"/>
      <w:bookmarkStart w:id="73" w:name="_Toc6612"/>
      <w:r>
        <w:rPr>
          <w:rFonts w:hint="eastAsia" w:ascii="黑体" w:eastAsia="黑体"/>
          <w:b/>
          <w:color w:val="000000"/>
          <w:sz w:val="44"/>
          <w:szCs w:val="44"/>
        </w:rPr>
        <w:t>附表</w:t>
      </w:r>
      <w:bookmarkEnd w:id="71"/>
      <w:bookmarkEnd w:id="72"/>
      <w:bookmarkEnd w:id="73"/>
    </w:p>
    <w:p w14:paraId="4EA23A11">
      <w:pPr>
        <w:pStyle w:val="3"/>
        <w:rPr>
          <w:rStyle w:val="27"/>
          <w:rFonts w:hint="eastAsia" w:ascii="仿宋" w:eastAsia="仿宋" w:cs="Times New Roman"/>
          <w:b/>
          <w:bCs/>
          <w:color w:val="auto"/>
          <w:highlight w:val="none"/>
        </w:rPr>
      </w:pPr>
      <w:bookmarkStart w:id="74" w:name="_Toc18597"/>
      <w:bookmarkStart w:id="75" w:name="_Toc6319"/>
      <w:bookmarkStart w:id="76" w:name="_Toc15911"/>
      <w:r>
        <w:rPr>
          <w:rStyle w:val="27"/>
          <w:rFonts w:hint="eastAsia" w:ascii="仿宋" w:eastAsia="仿宋" w:cs="Times New Roman"/>
          <w:b/>
          <w:bCs/>
          <w:color w:val="auto"/>
          <w:highlight w:val="none"/>
        </w:rPr>
        <w:t>一、收入支出决算总表</w:t>
      </w:r>
      <w:bookmarkEnd w:id="74"/>
      <w:bookmarkEnd w:id="75"/>
      <w:bookmarkEnd w:id="76"/>
    </w:p>
    <w:p w14:paraId="2EAA2784">
      <w:pPr>
        <w:pStyle w:val="3"/>
        <w:rPr>
          <w:rStyle w:val="27"/>
          <w:rFonts w:hint="eastAsia" w:ascii="仿宋" w:eastAsia="仿宋" w:cs="Times New Roman"/>
          <w:b/>
          <w:bCs/>
          <w:color w:val="auto"/>
          <w:highlight w:val="none"/>
        </w:rPr>
      </w:pPr>
      <w:bookmarkStart w:id="77" w:name="_Toc25742"/>
      <w:bookmarkStart w:id="78" w:name="_Toc3771"/>
      <w:bookmarkStart w:id="79" w:name="_Toc26008"/>
      <w:bookmarkStart w:id="80" w:name="_Toc15396620"/>
      <w:r>
        <w:rPr>
          <w:rStyle w:val="27"/>
          <w:rFonts w:hint="eastAsia" w:ascii="仿宋" w:eastAsia="仿宋" w:cs="Times New Roman"/>
          <w:b/>
          <w:bCs/>
          <w:color w:val="auto"/>
          <w:highlight w:val="none"/>
        </w:rPr>
        <w:t>二、收入决算表</w:t>
      </w:r>
      <w:bookmarkEnd w:id="77"/>
      <w:bookmarkEnd w:id="78"/>
      <w:bookmarkEnd w:id="79"/>
      <w:bookmarkEnd w:id="80"/>
    </w:p>
    <w:p w14:paraId="3AD07378">
      <w:pPr>
        <w:pStyle w:val="3"/>
        <w:rPr>
          <w:rStyle w:val="27"/>
          <w:rFonts w:hint="eastAsia" w:ascii="仿宋" w:eastAsia="仿宋" w:cs="Times New Roman"/>
          <w:b/>
          <w:bCs/>
          <w:color w:val="auto"/>
          <w:highlight w:val="none"/>
        </w:rPr>
      </w:pPr>
      <w:bookmarkStart w:id="81" w:name="_Toc15396621"/>
      <w:bookmarkStart w:id="82" w:name="_Toc16771"/>
      <w:bookmarkStart w:id="83" w:name="_Toc1814"/>
      <w:bookmarkStart w:id="84" w:name="_Toc28983"/>
      <w:r>
        <w:rPr>
          <w:rStyle w:val="27"/>
          <w:rFonts w:hint="eastAsia" w:ascii="仿宋" w:eastAsia="仿宋" w:cs="Times New Roman"/>
          <w:b/>
          <w:bCs/>
          <w:color w:val="auto"/>
          <w:highlight w:val="none"/>
        </w:rPr>
        <w:t>三、支出决算表</w:t>
      </w:r>
      <w:bookmarkEnd w:id="81"/>
      <w:bookmarkEnd w:id="82"/>
      <w:bookmarkEnd w:id="83"/>
      <w:bookmarkEnd w:id="84"/>
    </w:p>
    <w:p w14:paraId="2DB4852A">
      <w:pPr>
        <w:pStyle w:val="3"/>
        <w:rPr>
          <w:rStyle w:val="27"/>
          <w:rFonts w:hint="eastAsia" w:ascii="仿宋" w:eastAsia="仿宋" w:cs="Times New Roman"/>
          <w:b/>
          <w:bCs/>
          <w:color w:val="auto"/>
          <w:highlight w:val="none"/>
        </w:rPr>
      </w:pPr>
      <w:bookmarkStart w:id="85" w:name="_Toc15396622"/>
      <w:bookmarkStart w:id="86" w:name="_Toc32116"/>
      <w:bookmarkStart w:id="87" w:name="_Toc28822"/>
      <w:bookmarkStart w:id="88" w:name="_Toc19172"/>
      <w:r>
        <w:rPr>
          <w:rStyle w:val="27"/>
          <w:rFonts w:hint="eastAsia" w:ascii="仿宋" w:eastAsia="仿宋" w:cs="Times New Roman"/>
          <w:b/>
          <w:bCs/>
          <w:color w:val="auto"/>
          <w:highlight w:val="none"/>
        </w:rPr>
        <w:t>四、财政拨款收入支出决算总表</w:t>
      </w:r>
      <w:bookmarkEnd w:id="85"/>
      <w:bookmarkEnd w:id="86"/>
      <w:bookmarkEnd w:id="87"/>
      <w:bookmarkEnd w:id="88"/>
    </w:p>
    <w:p w14:paraId="786FA28D">
      <w:pPr>
        <w:pStyle w:val="3"/>
        <w:rPr>
          <w:rStyle w:val="27"/>
          <w:rFonts w:hint="eastAsia" w:ascii="仿宋" w:eastAsia="仿宋" w:cs="Times New Roman"/>
          <w:b/>
          <w:bCs/>
          <w:color w:val="auto"/>
          <w:highlight w:val="none"/>
        </w:rPr>
      </w:pPr>
      <w:bookmarkStart w:id="89" w:name="_Toc7286"/>
      <w:bookmarkStart w:id="90" w:name="_Toc14982"/>
      <w:bookmarkStart w:id="91" w:name="_Toc15396623"/>
      <w:bookmarkStart w:id="92" w:name="_Toc25320"/>
      <w:r>
        <w:rPr>
          <w:rStyle w:val="27"/>
          <w:rFonts w:hint="eastAsia" w:ascii="仿宋" w:eastAsia="仿宋" w:cs="Times New Roman"/>
          <w:b/>
          <w:bCs/>
          <w:color w:val="auto"/>
          <w:highlight w:val="none"/>
        </w:rPr>
        <w:t>五、财政拨款支出决算明细表</w:t>
      </w:r>
      <w:bookmarkEnd w:id="89"/>
      <w:bookmarkEnd w:id="90"/>
      <w:bookmarkEnd w:id="91"/>
      <w:bookmarkEnd w:id="92"/>
      <w:bookmarkStart w:id="93" w:name="_Toc15396624"/>
    </w:p>
    <w:p w14:paraId="3CC256F8">
      <w:pPr>
        <w:pStyle w:val="3"/>
        <w:rPr>
          <w:rStyle w:val="27"/>
          <w:rFonts w:hint="eastAsia" w:ascii="仿宋" w:eastAsia="仿宋" w:cs="Times New Roman"/>
          <w:b/>
          <w:bCs/>
          <w:color w:val="auto"/>
          <w:highlight w:val="none"/>
        </w:rPr>
      </w:pPr>
      <w:bookmarkStart w:id="94" w:name="_Toc20321"/>
      <w:bookmarkStart w:id="95" w:name="_Toc3817"/>
      <w:bookmarkStart w:id="96" w:name="_Toc29073"/>
      <w:r>
        <w:rPr>
          <w:rStyle w:val="27"/>
          <w:rFonts w:hint="eastAsia" w:ascii="仿宋" w:eastAsia="仿宋" w:cs="Times New Roman"/>
          <w:b/>
          <w:bCs/>
          <w:color w:val="auto"/>
          <w:highlight w:val="none"/>
        </w:rPr>
        <w:t>六、一般公共预算财政拨款支出决算表</w:t>
      </w:r>
      <w:bookmarkEnd w:id="93"/>
      <w:bookmarkEnd w:id="94"/>
      <w:bookmarkEnd w:id="95"/>
      <w:bookmarkEnd w:id="96"/>
    </w:p>
    <w:p w14:paraId="7B750A53">
      <w:pPr>
        <w:pStyle w:val="3"/>
        <w:rPr>
          <w:rStyle w:val="27"/>
          <w:rFonts w:hint="eastAsia" w:ascii="仿宋" w:eastAsia="仿宋" w:cs="Times New Roman"/>
          <w:b/>
          <w:bCs/>
          <w:color w:val="auto"/>
          <w:highlight w:val="none"/>
        </w:rPr>
      </w:pPr>
      <w:bookmarkStart w:id="97" w:name="_Toc13675"/>
      <w:bookmarkStart w:id="98" w:name="_Toc5148"/>
      <w:bookmarkStart w:id="99" w:name="_Toc32377"/>
      <w:bookmarkStart w:id="100" w:name="_Toc15396625"/>
      <w:r>
        <w:rPr>
          <w:rStyle w:val="27"/>
          <w:rFonts w:hint="eastAsia" w:ascii="仿宋" w:eastAsia="仿宋" w:cs="Times New Roman"/>
          <w:b/>
          <w:bCs/>
          <w:color w:val="auto"/>
          <w:highlight w:val="none"/>
        </w:rPr>
        <w:t>七、一般公共预算财政拨款支出决算明细表</w:t>
      </w:r>
      <w:bookmarkEnd w:id="97"/>
      <w:bookmarkEnd w:id="98"/>
      <w:bookmarkEnd w:id="99"/>
      <w:bookmarkEnd w:id="100"/>
    </w:p>
    <w:p w14:paraId="71FB6B16">
      <w:pPr>
        <w:pStyle w:val="3"/>
        <w:rPr>
          <w:rStyle w:val="27"/>
          <w:rFonts w:hint="eastAsia" w:ascii="仿宋" w:eastAsia="仿宋" w:cs="Times New Roman"/>
          <w:b/>
          <w:bCs/>
          <w:color w:val="auto"/>
          <w:highlight w:val="none"/>
        </w:rPr>
      </w:pPr>
      <w:bookmarkStart w:id="101" w:name="_Toc29345"/>
      <w:bookmarkStart w:id="102" w:name="_Toc26075"/>
      <w:bookmarkStart w:id="103" w:name="_Toc2890"/>
      <w:bookmarkStart w:id="104" w:name="_Toc15396626"/>
      <w:r>
        <w:rPr>
          <w:rStyle w:val="27"/>
          <w:rFonts w:hint="eastAsia" w:ascii="仿宋" w:eastAsia="仿宋" w:cs="Times New Roman"/>
          <w:b/>
          <w:bCs/>
          <w:color w:val="auto"/>
          <w:highlight w:val="none"/>
        </w:rPr>
        <w:t>八、一般公共预算财政拨款基本支出决算表</w:t>
      </w:r>
      <w:bookmarkEnd w:id="101"/>
      <w:bookmarkEnd w:id="102"/>
      <w:bookmarkEnd w:id="103"/>
      <w:bookmarkEnd w:id="104"/>
    </w:p>
    <w:p w14:paraId="4E3432B8">
      <w:pPr>
        <w:pStyle w:val="3"/>
        <w:rPr>
          <w:rStyle w:val="27"/>
          <w:rFonts w:hint="eastAsia" w:ascii="仿宋" w:eastAsia="仿宋" w:cs="Times New Roman"/>
          <w:b/>
          <w:bCs/>
          <w:color w:val="auto"/>
          <w:highlight w:val="none"/>
        </w:rPr>
      </w:pPr>
      <w:bookmarkStart w:id="105" w:name="_Toc20494"/>
      <w:bookmarkStart w:id="106" w:name="_Toc27946"/>
      <w:bookmarkStart w:id="107" w:name="_Toc28585"/>
      <w:bookmarkStart w:id="108" w:name="_Toc15396627"/>
      <w:r>
        <w:rPr>
          <w:rStyle w:val="27"/>
          <w:rFonts w:hint="eastAsia" w:ascii="仿宋" w:eastAsia="仿宋" w:cs="Times New Roman"/>
          <w:b/>
          <w:bCs/>
          <w:color w:val="auto"/>
          <w:highlight w:val="none"/>
        </w:rPr>
        <w:t>九、一般公共预算财政拨款项目支出决算表</w:t>
      </w:r>
      <w:bookmarkEnd w:id="105"/>
      <w:bookmarkEnd w:id="106"/>
      <w:bookmarkEnd w:id="107"/>
      <w:bookmarkEnd w:id="108"/>
    </w:p>
    <w:p w14:paraId="06DE4A13">
      <w:pPr>
        <w:pStyle w:val="3"/>
        <w:rPr>
          <w:rStyle w:val="27"/>
          <w:rFonts w:hint="eastAsia" w:ascii="仿宋" w:eastAsia="仿宋" w:cs="Times New Roman"/>
          <w:b/>
          <w:bCs/>
          <w:color w:val="auto"/>
          <w:highlight w:val="none"/>
        </w:rPr>
      </w:pPr>
      <w:bookmarkStart w:id="109" w:name="_Toc15396628"/>
      <w:bookmarkStart w:id="110" w:name="_Toc30044"/>
      <w:bookmarkStart w:id="111" w:name="_Toc23031"/>
      <w:bookmarkStart w:id="112" w:name="_Toc29130"/>
      <w:r>
        <w:rPr>
          <w:rStyle w:val="27"/>
          <w:rFonts w:hint="eastAsia" w:ascii="仿宋" w:eastAsia="仿宋" w:cs="Times New Roman"/>
          <w:b/>
          <w:bCs/>
          <w:color w:val="auto"/>
          <w:highlight w:val="none"/>
        </w:rPr>
        <w:t>十、</w:t>
      </w:r>
      <w:bookmarkEnd w:id="109"/>
      <w:r>
        <w:rPr>
          <w:rStyle w:val="27"/>
          <w:rFonts w:hint="eastAsia" w:ascii="仿宋" w:eastAsia="仿宋" w:cs="Times New Roman"/>
          <w:b/>
          <w:bCs/>
          <w:color w:val="auto"/>
          <w:highlight w:val="none"/>
        </w:rPr>
        <w:t>政府性基金预算财政拨款收入支出决算表</w:t>
      </w:r>
      <w:bookmarkEnd w:id="110"/>
      <w:bookmarkEnd w:id="111"/>
      <w:bookmarkEnd w:id="112"/>
    </w:p>
    <w:p w14:paraId="39AB161E">
      <w:pPr>
        <w:pStyle w:val="3"/>
        <w:rPr>
          <w:rStyle w:val="27"/>
          <w:rFonts w:hint="eastAsia" w:ascii="仿宋" w:eastAsia="仿宋" w:cs="Times New Roman"/>
          <w:b/>
          <w:bCs/>
          <w:color w:val="auto"/>
          <w:highlight w:val="none"/>
        </w:rPr>
      </w:pPr>
      <w:bookmarkStart w:id="113" w:name="_Toc15396629"/>
      <w:bookmarkStart w:id="114" w:name="_Toc5740"/>
      <w:bookmarkStart w:id="115" w:name="_Toc25159"/>
      <w:bookmarkStart w:id="116" w:name="_Toc11928"/>
      <w:r>
        <w:rPr>
          <w:rStyle w:val="27"/>
          <w:rFonts w:hint="eastAsia" w:ascii="仿宋" w:eastAsia="仿宋" w:cs="Times New Roman"/>
          <w:b/>
          <w:bCs/>
          <w:color w:val="auto"/>
          <w:highlight w:val="none"/>
        </w:rPr>
        <w:t>十一、</w:t>
      </w:r>
      <w:bookmarkEnd w:id="113"/>
      <w:r>
        <w:rPr>
          <w:rStyle w:val="27"/>
          <w:rFonts w:hint="eastAsia" w:ascii="仿宋" w:eastAsia="仿宋" w:cs="Times New Roman"/>
          <w:b/>
          <w:bCs/>
          <w:color w:val="auto"/>
          <w:highlight w:val="none"/>
        </w:rPr>
        <w:t>国有资本经营预算</w:t>
      </w:r>
      <w:r>
        <w:rPr>
          <w:rStyle w:val="27"/>
          <w:rFonts w:hint="eastAsia" w:ascii="仿宋" w:eastAsia="仿宋" w:cs="Times New Roman"/>
          <w:b/>
          <w:bCs/>
          <w:color w:val="auto"/>
          <w:highlight w:val="none"/>
          <w:lang w:eastAsia="zh-CN"/>
        </w:rPr>
        <w:t>财政拨款收入</w:t>
      </w:r>
      <w:r>
        <w:rPr>
          <w:rStyle w:val="27"/>
          <w:rFonts w:hint="eastAsia" w:ascii="仿宋" w:eastAsia="仿宋" w:cs="Times New Roman"/>
          <w:b/>
          <w:bCs/>
          <w:color w:val="auto"/>
          <w:highlight w:val="none"/>
        </w:rPr>
        <w:t>支出决算表</w:t>
      </w:r>
      <w:bookmarkEnd w:id="114"/>
      <w:bookmarkEnd w:id="115"/>
      <w:bookmarkEnd w:id="116"/>
    </w:p>
    <w:p w14:paraId="3E67B31E">
      <w:pPr>
        <w:pStyle w:val="3"/>
        <w:rPr>
          <w:rStyle w:val="27"/>
          <w:rFonts w:hint="eastAsia" w:ascii="仿宋" w:eastAsia="仿宋" w:cs="Times New Roman"/>
          <w:b/>
          <w:bCs/>
          <w:color w:val="auto"/>
          <w:highlight w:val="none"/>
        </w:rPr>
      </w:pPr>
      <w:bookmarkStart w:id="117" w:name="_Toc15396630"/>
      <w:bookmarkStart w:id="118" w:name="_Toc2624"/>
      <w:bookmarkStart w:id="119" w:name="_Toc31689"/>
      <w:bookmarkStart w:id="120" w:name="_Toc29023"/>
      <w:r>
        <w:rPr>
          <w:rStyle w:val="27"/>
          <w:rFonts w:hint="eastAsia" w:ascii="仿宋" w:eastAsia="仿宋" w:cs="Times New Roman"/>
          <w:b/>
          <w:bCs/>
          <w:color w:val="auto"/>
          <w:highlight w:val="none"/>
        </w:rPr>
        <w:t>十二、</w:t>
      </w:r>
      <w:bookmarkEnd w:id="117"/>
      <w:r>
        <w:rPr>
          <w:rStyle w:val="27"/>
          <w:rFonts w:hint="eastAsia" w:ascii="仿宋" w:eastAsia="仿宋" w:cs="Times New Roman"/>
          <w:b/>
          <w:bCs/>
          <w:color w:val="auto"/>
          <w:highlight w:val="none"/>
          <w:lang w:eastAsia="zh-CN"/>
        </w:rPr>
        <w:t>国有资本经营预算财政拨款支出决算表</w:t>
      </w:r>
      <w:bookmarkEnd w:id="118"/>
      <w:bookmarkEnd w:id="119"/>
      <w:bookmarkEnd w:id="120"/>
    </w:p>
    <w:p w14:paraId="197C7B50">
      <w:pPr>
        <w:pStyle w:val="3"/>
        <w:rPr>
          <w:rStyle w:val="27"/>
          <w:rFonts w:ascii="仿宋" w:eastAsia="仿宋" w:cs="Times New Roman"/>
          <w:b/>
          <w:bCs/>
          <w:color w:val="auto"/>
          <w:highlight w:val="none"/>
          <w:lang w:eastAsia="zh-CN"/>
        </w:rPr>
      </w:pPr>
      <w:bookmarkStart w:id="121" w:name="_Toc15396631"/>
      <w:bookmarkStart w:id="122" w:name="_Toc19434"/>
      <w:bookmarkStart w:id="123" w:name="_Toc25044"/>
      <w:bookmarkStart w:id="124" w:name="_Toc20330"/>
      <w:r>
        <w:rPr>
          <w:rStyle w:val="27"/>
          <w:rFonts w:hint="eastAsia" w:ascii="仿宋" w:eastAsia="仿宋" w:cs="Times New Roman"/>
          <w:b/>
          <w:bCs/>
          <w:color w:val="auto"/>
          <w:highlight w:val="none"/>
        </w:rPr>
        <w:t>十三、</w:t>
      </w:r>
      <w:bookmarkEnd w:id="121"/>
      <w:r>
        <w:rPr>
          <w:rStyle w:val="27"/>
          <w:rFonts w:hint="eastAsia" w:ascii="仿宋" w:eastAsia="仿宋" w:cs="Times New Roman"/>
          <w:b/>
          <w:bCs/>
          <w:color w:val="auto"/>
          <w:highlight w:val="none"/>
          <w:lang w:eastAsia="zh-CN"/>
        </w:rPr>
        <w:t>财政拨款“三公”经费支出决算表</w:t>
      </w:r>
      <w:bookmarkEnd w:id="122"/>
      <w:bookmarkEnd w:id="123"/>
      <w:bookmarkEnd w:id="124"/>
    </w:p>
    <w:p w14:paraId="5235697A">
      <w:pPr>
        <w:rPr>
          <w:rFonts w:hint="eastAsia" w:ascii="仿宋_GB2312" w:eastAsia="仿宋_GB2312"/>
          <w:sz w:val="32"/>
          <w:szCs w:val="32"/>
          <w:lang w:eastAsia="zh-CN"/>
        </w:rPr>
      </w:pPr>
      <w:bookmarkStart w:id="125" w:name="_Toc2278"/>
      <w:r>
        <w:rPr>
          <w:rStyle w:val="27"/>
          <w:rFonts w:hint="eastAsia" w:ascii="仿宋" w:eastAsia="仿宋"/>
        </w:rPr>
        <w:t>十四、</w:t>
      </w:r>
      <w:r>
        <w:rPr>
          <w:rStyle w:val="27"/>
          <w:rFonts w:ascii="仿宋" w:eastAsia="仿宋"/>
        </w:rPr>
        <w:t>金川县社会保险事务中心</w:t>
      </w:r>
      <w:r>
        <w:rPr>
          <w:rStyle w:val="27"/>
          <w:rFonts w:hint="eastAsia" w:ascii="仿宋" w:eastAsia="仿宋"/>
        </w:rPr>
        <w:t>202</w:t>
      </w:r>
      <w:r>
        <w:rPr>
          <w:rStyle w:val="27"/>
          <w:rFonts w:hint="eastAsia" w:ascii="仿宋" w:eastAsia="仿宋"/>
          <w:lang w:val="en-US"/>
        </w:rPr>
        <w:t>4</w:t>
      </w:r>
      <w:r>
        <w:rPr>
          <w:rStyle w:val="27"/>
          <w:rFonts w:hint="eastAsia" w:ascii="仿宋" w:eastAsia="仿宋"/>
        </w:rPr>
        <w:t>年部门预算项目支出绩效自评表</w:t>
      </w:r>
      <w:bookmarkEnd w:id="125"/>
    </w:p>
    <w:sectPr>
      <w:footerReference r:id="rId6" w:type="default"/>
      <w:pgSz w:w="11906" w:h="16838"/>
      <w:pgMar w:top="1440" w:right="1800" w:bottom="1440" w:left="1800"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0000000000000000000"/>
    <w:charset w:val="86"/>
    <w:family w:val="auto"/>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10600010101010101"/>
    <w:charset w:val="86"/>
    <w:family w:val="script"/>
    <w:pitch w:val="default"/>
    <w:sig w:usb0="00000001" w:usb1="080E0000" w:usb2="00000000" w:usb3="00000000" w:csb0="00040000" w:csb1="00000000"/>
  </w:font>
  <w:font w:name="AR PL UKai CN">
    <w:altName w:val="Segoe Print"/>
    <w:panose1 w:val="00000000000000000000"/>
    <w:charset w:val="01"/>
    <w:family w:val="auto"/>
    <w:pitch w:val="default"/>
    <w:sig w:usb0="00000000" w:usb1="00000000" w:usb2="00000000" w:usb3="00000000" w:csb0="00000000" w:csb1="00000000"/>
  </w:font>
  <w:font w:name="Lucida Sans">
    <w:altName w:val="Lucida Sans Unicode"/>
    <w:panose1 w:val="020B0602030504020204"/>
    <w:charset w:val="01"/>
    <w:family w:val="auto"/>
    <w:pitch w:val="default"/>
    <w:sig w:usb0="00000000" w:usb1="00000000" w:usb2="00000000" w:usb3="00000000" w:csb0="00000000" w:csb1="00000000"/>
  </w:font>
  <w:font w:name="楷体_GB2312">
    <w:altName w:val="楷体"/>
    <w:panose1 w:val="00000000000000000000"/>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Segoe Print">
    <w:panose1 w:val="02000600000000000000"/>
    <w:charset w:val="00"/>
    <w:family w:val="auto"/>
    <w:pitch w:val="default"/>
    <w:sig w:usb0="0000028F" w:usb1="00000000" w:usb2="00000000" w:usb3="00000000" w:csb0="2000009F" w:csb1="47010000"/>
  </w:font>
  <w:font w:name="Lucida Sans Unicode">
    <w:panose1 w:val="020B0602030504020204"/>
    <w:charset w:val="00"/>
    <w:family w:val="auto"/>
    <w:pitch w:val="default"/>
    <w:sig w:usb0="80001AFF" w:usb1="0000396B" w:usb2="00000000" w:usb3="00000000" w:csb0="200000BF" w:csb1="D7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557FFA">
    <w:pPr>
      <w:pStyle w:val="8"/>
      <w:jc w:val="center"/>
    </w:pPr>
  </w:p>
  <w:p w14:paraId="1FF5E8CC">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15B593">
    <w:pPr>
      <w:pStyle w:val="8"/>
      <w:jc w:val="center"/>
    </w:pPr>
    <w:r>
      <w:pict>
        <v:rect id="文本框 3" o:spid="_x0000_s2050" o:spt="1" style="position:absolute;left:0pt;margin-top:0pt;height:10.5pt;width:5.7pt;mso-position-horizontal:center;mso-position-horizontal-relative:margin;mso-wrap-style:none;z-index:251662336;mso-width-relative:page;mso-height-relative:page;" filled="f" stroked="f" coordsize="21600,21600" o:gfxdata="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DIalzu0QAAAAMBAAAPAAAAAAAAAAEAIAAAACIAAABkcnMvZG93bnJl&#10;di54bWxQSwECFAAUAAAACACHTuJA4dWdOQQCAADzAwAADgAAAAAAAAABACAAAAAgAQAAZHJzL2Uy&#10;b0RvYy54bWxQSwUGAAAAAAYABgBZAQAAlgUAAAAA&#10;">
          <v:path/>
          <v:fill on="f" focussize="0,0"/>
          <v:stroke on="f"/>
          <v:imagedata o:title=""/>
          <o:lock v:ext="edit"/>
          <v:textbox inset="0mm,0mm,0mm,0mm" style="mso-fit-shape-to-text:t;">
            <w:txbxContent>
              <w:p w14:paraId="7C6A1E74">
                <w:pPr>
                  <w:pStyle w:val="8"/>
                  <w:jc w:val="center"/>
                </w:pPr>
                <w:r>
                  <w:fldChar w:fldCharType="begin"/>
                </w:r>
                <w:r>
                  <w:instrText xml:space="preserve"> PAGE   \* MERGEFORMAT </w:instrText>
                </w:r>
                <w:r>
                  <w:fldChar w:fldCharType="separate"/>
                </w:r>
                <w:r>
                  <w:rPr>
                    <w:lang w:val="zh-CN"/>
                  </w:rPr>
                  <w:t>1</w:t>
                </w:r>
                <w:r>
                  <w:rPr>
                    <w:lang w:val="zh-CN"/>
                  </w:rPr>
                  <w:fldChar w:fldCharType="end"/>
                </w:r>
              </w:p>
            </w:txbxContent>
          </v:textbox>
        </v:rect>
      </w:pict>
    </w:r>
  </w:p>
  <w:p w14:paraId="32793465">
    <w:pPr>
      <w:pStyle w:val="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FC4EC6">
    <w:pPr>
      <w:pStyle w:val="8"/>
      <w:jc w:val="both"/>
    </w:pPr>
    <w:r>
      <w:pict>
        <v:shape id="_x0000_s2049" o:spid="_x0000_s2049" o:spt="202" type="#_x0000_t202" style="position:absolute;left:0pt;margin-top:0pt;height:144pt;width:144pt;mso-position-horizontal:center;mso-position-horizontal-relative:margin;mso-wrap-style:none;z-index:251663360;mso-width-relative:page;mso-height-relative:page;" filled="f" stroked="f" coordsize="21600,21600">
          <v:path/>
          <v:fill on="f" focussize="0,0"/>
          <v:stroke on="f" joinstyle="miter"/>
          <v:imagedata o:title=""/>
          <o:lock v:ext="edit"/>
          <v:textbox inset="0mm,0mm,0mm,0mm" style="mso-fit-shape-to-text:t;">
            <w:txbxContent>
              <w:p w14:paraId="770F13F1">
                <w:pPr>
                  <w:pStyle w:val="8"/>
                </w:pPr>
                <w:r>
                  <w:fldChar w:fldCharType="begin"/>
                </w:r>
                <w:r>
                  <w:instrText xml:space="preserve"> PAGE  \* MERGEFORMAT </w:instrText>
                </w:r>
                <w:r>
                  <w:fldChar w:fldCharType="separate"/>
                </w:r>
                <w:r>
                  <w:t>16</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E9034A">
    <w:pPr>
      <w:pStyle w:val="9"/>
      <w:pBdr>
        <w:bottom w:val="none" w:color="auto" w:sz="0" w:space="0"/>
      </w:pBdr>
      <w:jc w:val="left"/>
      <w:rPr>
        <w:rFonts w:ascii="仿宋" w:eastAsia="仿宋" w:cs="仿宋"/>
        <w:sz w:val="11"/>
        <w:szCs w:val="1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7BDC64D"/>
    <w:multiLevelType w:val="singleLevel"/>
    <w:tmpl w:val="D7BDC64D"/>
    <w:lvl w:ilvl="0" w:tentative="0">
      <w:start w:val="3"/>
      <w:numFmt w:val="chineseCounting"/>
      <w:suff w:val="nothing"/>
      <w:lvlText w:val="（%1）"/>
      <w:lvlJc w:val="left"/>
      <w:pPr>
        <w:tabs>
          <w:tab w:val="left" w:pos="0"/>
        </w:tabs>
        <w:ind w:left="0" w:firstLine="0"/>
      </w:pPr>
      <w:rPr>
        <w:rFonts w:hint="eastAsia"/>
      </w:rPr>
    </w:lvl>
  </w:abstractNum>
  <w:abstractNum w:abstractNumId="1">
    <w:nsid w:val="DEA81D79"/>
    <w:multiLevelType w:val="singleLevel"/>
    <w:tmpl w:val="DEA81D79"/>
    <w:lvl w:ilvl="0" w:tentative="0">
      <w:start w:val="5"/>
      <w:numFmt w:val="chineseCounting"/>
      <w:suff w:val="nothing"/>
      <w:lvlText w:val="(%1）"/>
      <w:lvlJc w:val="left"/>
      <w:pPr>
        <w:tabs>
          <w:tab w:val="left" w:pos="0"/>
        </w:tabs>
        <w:ind w:left="0" w:firstLine="0"/>
      </w:pPr>
      <w:rPr>
        <w:rFonts w:hint="eastAsia"/>
      </w:rPr>
    </w:lvl>
  </w:abstractNum>
  <w:abstractNum w:abstractNumId="2">
    <w:nsid w:val="E2FA047D"/>
    <w:multiLevelType w:val="singleLevel"/>
    <w:tmpl w:val="E2FA047D"/>
    <w:lvl w:ilvl="0" w:tentative="0">
      <w:start w:val="3"/>
      <w:numFmt w:val="chineseCounting"/>
      <w:suff w:val="space"/>
      <w:lvlText w:val="第%1部分"/>
      <w:lvlJc w:val="left"/>
      <w:pPr>
        <w:tabs>
          <w:tab w:val="left" w:pos="0"/>
        </w:tabs>
        <w:ind w:left="0" w:firstLine="0"/>
      </w:pPr>
      <w:rPr>
        <w:rFonts w:hint="eastAsia"/>
      </w:rPr>
    </w:lvl>
  </w:abstractNum>
  <w:abstractNum w:abstractNumId="3">
    <w:nsid w:val="494E7499"/>
    <w:multiLevelType w:val="multilevel"/>
    <w:tmpl w:val="494E7499"/>
    <w:lvl w:ilvl="0" w:tentative="0">
      <w:start w:val="1"/>
      <w:numFmt w:val="decimal"/>
      <w:lvlText w:val="%1."/>
      <w:lvlJc w:val="left"/>
      <w:pPr>
        <w:tabs>
          <w:tab w:val="left" w:pos="0"/>
        </w:tabs>
        <w:ind w:left="465" w:hanging="465"/>
      </w:pPr>
      <w:rPr>
        <w:rFonts w:hint="default"/>
        <w:b/>
        <w:color w:val="auto"/>
      </w:rPr>
    </w:lvl>
    <w:lvl w:ilvl="1" w:tentative="0">
      <w:start w:val="1"/>
      <w:numFmt w:val="lowerLetter"/>
      <w:lvlText w:val="%2)"/>
      <w:lvlJc w:val="left"/>
      <w:pPr>
        <w:tabs>
          <w:tab w:val="left" w:pos="0"/>
        </w:tabs>
        <w:ind w:left="840" w:hanging="420"/>
      </w:pPr>
    </w:lvl>
    <w:lvl w:ilvl="2" w:tentative="0">
      <w:start w:val="1"/>
      <w:numFmt w:val="lowerRoman"/>
      <w:lvlText w:val="%3."/>
      <w:lvlJc w:val="right"/>
      <w:pPr>
        <w:tabs>
          <w:tab w:val="left" w:pos="0"/>
        </w:tabs>
        <w:ind w:left="1260" w:hanging="420"/>
      </w:pPr>
    </w:lvl>
    <w:lvl w:ilvl="3" w:tentative="0">
      <w:start w:val="1"/>
      <w:numFmt w:val="decimal"/>
      <w:lvlText w:val="%4."/>
      <w:lvlJc w:val="left"/>
      <w:pPr>
        <w:tabs>
          <w:tab w:val="left" w:pos="0"/>
        </w:tabs>
        <w:ind w:left="1680" w:hanging="420"/>
      </w:pPr>
    </w:lvl>
    <w:lvl w:ilvl="4" w:tentative="0">
      <w:start w:val="1"/>
      <w:numFmt w:val="lowerLetter"/>
      <w:lvlText w:val="%5)"/>
      <w:lvlJc w:val="left"/>
      <w:pPr>
        <w:tabs>
          <w:tab w:val="left" w:pos="0"/>
        </w:tabs>
        <w:ind w:left="2100" w:hanging="420"/>
      </w:pPr>
    </w:lvl>
    <w:lvl w:ilvl="5" w:tentative="0">
      <w:start w:val="1"/>
      <w:numFmt w:val="lowerRoman"/>
      <w:lvlText w:val="%6."/>
      <w:lvlJc w:val="right"/>
      <w:pPr>
        <w:tabs>
          <w:tab w:val="left" w:pos="0"/>
        </w:tabs>
        <w:ind w:left="2520" w:hanging="420"/>
      </w:pPr>
    </w:lvl>
    <w:lvl w:ilvl="6" w:tentative="0">
      <w:start w:val="1"/>
      <w:numFmt w:val="decimal"/>
      <w:lvlText w:val="%7."/>
      <w:lvlJc w:val="left"/>
      <w:pPr>
        <w:tabs>
          <w:tab w:val="left" w:pos="0"/>
        </w:tabs>
        <w:ind w:left="2940" w:hanging="420"/>
      </w:pPr>
    </w:lvl>
    <w:lvl w:ilvl="7" w:tentative="0">
      <w:start w:val="1"/>
      <w:numFmt w:val="lowerLetter"/>
      <w:lvlText w:val="%8)"/>
      <w:lvlJc w:val="left"/>
      <w:pPr>
        <w:tabs>
          <w:tab w:val="left" w:pos="0"/>
        </w:tabs>
        <w:ind w:left="3360" w:hanging="420"/>
      </w:pPr>
    </w:lvl>
    <w:lvl w:ilvl="8" w:tentative="0">
      <w:start w:val="1"/>
      <w:numFmt w:val="lowerRoman"/>
      <w:lvlText w:val="%9."/>
      <w:lvlJc w:val="right"/>
      <w:pPr>
        <w:tabs>
          <w:tab w:val="left" w:pos="0"/>
        </w:tabs>
        <w:ind w:left="3780" w:hanging="42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bordersDoNotSurroundHeader w:val="1"/>
  <w:bordersDoNotSurroundFooter w:val="1"/>
  <w:documentProtection w:edit="readOnly" w:enforcement="0"/>
  <w:defaultTabStop w:val="420"/>
  <w:drawingGridHorizontalSpacing w:val="105"/>
  <w:drawingGridVerticalSpacing w:val="156"/>
  <w:displayHorizontalDrawingGridEvery w:val="0"/>
  <w:noPunctuationKerning w:val="1"/>
  <w:characterSpacingControl w:val="compressPunctuation"/>
  <w:hdrShapeDefaults>
    <o:shapelayout v:ext="edit">
      <o:idmap v:ext="edit" data="2"/>
    </o:shapelayout>
  </w:hdrShapeDefaults>
  <w:compat>
    <w:spaceForUL/>
    <w:balanceSingleByteDoubleByteWidth/>
    <w:ulTrailSpace/>
    <w:doNotExpandShiftReturn/>
    <w:adjustLineHeightInTable/>
    <w:useFELayout/>
    <w:compatSetting w:name="compatibilityMode" w:uri="http://schemas.microsoft.com/office/word" w:val="12"/>
  </w:compat>
  <w:docVars>
    <w:docVar w:name="commondata" w:val="eyJoZGlkIjoiNWE4NGViZjU0MzVjNDA1ZWUyM2EwMDQ1ZWE5YThiMzYifQ=="/>
  </w:docVars>
  <w:rsids>
    <w:rsidRoot w:val="00D049F9"/>
    <w:rsid w:val="004205D0"/>
    <w:rsid w:val="009E6463"/>
    <w:rsid w:val="00D049F9"/>
    <w:rsid w:val="01E11822"/>
    <w:rsid w:val="059E7966"/>
    <w:rsid w:val="06D77671"/>
    <w:rsid w:val="06E4240E"/>
    <w:rsid w:val="09565995"/>
    <w:rsid w:val="24545B99"/>
    <w:rsid w:val="25564989"/>
    <w:rsid w:val="265E0AC9"/>
    <w:rsid w:val="2BB1567F"/>
    <w:rsid w:val="336E3A73"/>
    <w:rsid w:val="3441431B"/>
    <w:rsid w:val="4A993AD1"/>
    <w:rsid w:val="4FBB208A"/>
    <w:rsid w:val="531F787A"/>
    <w:rsid w:val="68B4060E"/>
    <w:rsid w:val="6B10713C"/>
    <w:rsid w:val="6FFF5CCE"/>
    <w:rsid w:val="728839A8"/>
    <w:rsid w:val="7F93440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9"/>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27"/>
    <w:autoRedefine/>
    <w:qFormat/>
    <w:uiPriority w:val="0"/>
    <w:pPr>
      <w:keepNext/>
      <w:keepLines/>
      <w:spacing w:before="260" w:after="260" w:line="415" w:lineRule="auto"/>
      <w:outlineLvl w:val="1"/>
    </w:pPr>
    <w:rPr>
      <w:rFonts w:ascii="Cambria" w:hAnsi="Cambria"/>
      <w:b/>
      <w:bCs/>
      <w:sz w:val="32"/>
      <w:szCs w:val="32"/>
    </w:rPr>
  </w:style>
  <w:style w:type="paragraph" w:styleId="4">
    <w:name w:val="heading 3"/>
    <w:basedOn w:val="1"/>
    <w:next w:val="1"/>
    <w:qFormat/>
    <w:uiPriority w:val="0"/>
    <w:pPr>
      <w:keepNext/>
      <w:keepLines/>
      <w:spacing w:before="260" w:after="260" w:line="415" w:lineRule="auto"/>
      <w:outlineLvl w:val="2"/>
    </w:pPr>
    <w:rPr>
      <w:b/>
      <w:sz w:val="32"/>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5">
    <w:name w:val="Body Text"/>
    <w:basedOn w:val="1"/>
    <w:autoRedefine/>
    <w:qFormat/>
    <w:uiPriority w:val="0"/>
    <w:pPr>
      <w:spacing w:beforeLines="30"/>
    </w:pPr>
    <w:rPr>
      <w:rFonts w:ascii="仿宋_GB2312" w:eastAsia="仿宋_GB2312"/>
      <w:kern w:val="0"/>
      <w:sz w:val="30"/>
    </w:rPr>
  </w:style>
  <w:style w:type="paragraph" w:styleId="6">
    <w:name w:val="Body Text Indent"/>
    <w:basedOn w:val="1"/>
    <w:qFormat/>
    <w:uiPriority w:val="0"/>
    <w:pPr>
      <w:spacing w:after="120"/>
      <w:ind w:left="200" w:leftChars="200"/>
    </w:pPr>
    <w:rPr>
      <w:rFonts w:ascii="仿宋_GB2312" w:hAnsi="仿宋_GB2312"/>
      <w:szCs w:val="32"/>
    </w:rPr>
  </w:style>
  <w:style w:type="paragraph" w:styleId="7">
    <w:name w:val="Balloon Text"/>
    <w:basedOn w:val="1"/>
    <w:autoRedefine/>
    <w:qFormat/>
    <w:uiPriority w:val="0"/>
    <w:rPr>
      <w:sz w:val="18"/>
      <w:szCs w:val="18"/>
    </w:rPr>
  </w:style>
  <w:style w:type="paragraph" w:styleId="8">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qFormat/>
    <w:uiPriority w:val="0"/>
  </w:style>
  <w:style w:type="paragraph" w:styleId="11">
    <w:name w:val="toc 2"/>
    <w:basedOn w:val="1"/>
    <w:next w:val="1"/>
    <w:qFormat/>
    <w:uiPriority w:val="0"/>
    <w:pPr>
      <w:ind w:left="200" w:leftChars="200"/>
    </w:pPr>
  </w:style>
  <w:style w:type="paragraph" w:styleId="12">
    <w:name w:val="Normal (Web)"/>
    <w:qFormat/>
    <w:uiPriority w:val="0"/>
    <w:pPr>
      <w:widowControl w:val="0"/>
      <w:spacing w:beforeAutospacing="1" w:afterAutospacing="1"/>
    </w:pPr>
    <w:rPr>
      <w:rFonts w:ascii="Times New Roman" w:hAnsi="Times New Roman" w:eastAsia="宋体" w:cs="Times New Roman"/>
      <w:sz w:val="24"/>
      <w:szCs w:val="24"/>
      <w:lang w:val="en-US" w:eastAsia="zh-CN" w:bidi="ar-SA"/>
    </w:rPr>
  </w:style>
  <w:style w:type="paragraph" w:styleId="13">
    <w:name w:val="Body Text First Indent 2"/>
    <w:basedOn w:val="6"/>
    <w:qFormat/>
    <w:uiPriority w:val="0"/>
    <w:pPr>
      <w:ind w:firstLine="200" w:firstLineChars="200"/>
    </w:pPr>
  </w:style>
  <w:style w:type="character" w:styleId="16">
    <w:name w:val="Strong"/>
    <w:autoRedefine/>
    <w:qFormat/>
    <w:uiPriority w:val="0"/>
    <w:rPr>
      <w:b/>
      <w:bCs/>
    </w:rPr>
  </w:style>
  <w:style w:type="paragraph" w:customStyle="1" w:styleId="17">
    <w:name w:val="BodyText1I2"/>
    <w:basedOn w:val="18"/>
    <w:next w:val="1"/>
    <w:qFormat/>
    <w:uiPriority w:val="0"/>
    <w:pPr>
      <w:ind w:firstLine="200" w:firstLineChars="200"/>
    </w:pPr>
  </w:style>
  <w:style w:type="paragraph" w:customStyle="1" w:styleId="18">
    <w:name w:val="BodyTextIndent"/>
    <w:basedOn w:val="1"/>
    <w:next w:val="17"/>
    <w:qFormat/>
    <w:uiPriority w:val="0"/>
    <w:pPr>
      <w:spacing w:after="120"/>
      <w:ind w:left="200" w:leftChars="200"/>
    </w:pPr>
  </w:style>
  <w:style w:type="character" w:customStyle="1" w:styleId="19">
    <w:name w:val="标题 1 Char"/>
    <w:basedOn w:val="15"/>
    <w:link w:val="2"/>
    <w:qFormat/>
    <w:uiPriority w:val="0"/>
    <w:rPr>
      <w:rFonts w:ascii="Times New Roman" w:hAnsi="Times New Roman" w:eastAsia="宋体" w:cs="Times New Roman"/>
      <w:b/>
      <w:bCs/>
      <w:kern w:val="44"/>
      <w:sz w:val="44"/>
      <w:szCs w:val="44"/>
      <w:lang w:val="en-US" w:eastAsia="zh-CN" w:bidi="ar-SA"/>
    </w:rPr>
  </w:style>
  <w:style w:type="character" w:customStyle="1" w:styleId="20">
    <w:name w:val="标题 2 Char"/>
    <w:basedOn w:val="15"/>
    <w:link w:val="3"/>
    <w:autoRedefine/>
    <w:qFormat/>
    <w:uiPriority w:val="0"/>
    <w:rPr>
      <w:rFonts w:ascii="Cambria" w:hAnsi="Cambria" w:eastAsia="宋体" w:cs="Times New Roman"/>
      <w:b/>
      <w:bCs/>
      <w:kern w:val="2"/>
      <w:sz w:val="32"/>
      <w:szCs w:val="32"/>
      <w:lang w:val="en-US" w:eastAsia="zh-CN" w:bidi="ar-SA"/>
    </w:rPr>
  </w:style>
  <w:style w:type="paragraph" w:customStyle="1" w:styleId="21">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customStyle="1" w:styleId="22">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23">
    <w:name w:val="WPSOffice手动目录 1"/>
    <w:qFormat/>
    <w:uiPriority w:val="0"/>
    <w:rPr>
      <w:rFonts w:ascii="Times New Roman" w:hAnsi="Times New Roman" w:eastAsia="宋体" w:cs="Times New Roman"/>
      <w:lang w:val="en-US" w:eastAsia="zh-CN" w:bidi="ar-SA"/>
    </w:rPr>
  </w:style>
  <w:style w:type="paragraph" w:styleId="24">
    <w:name w:val="List Paragraph"/>
    <w:basedOn w:val="1"/>
    <w:qFormat/>
    <w:uiPriority w:val="0"/>
    <w:pPr>
      <w:ind w:firstLine="200" w:firstLineChars="200"/>
    </w:pPr>
  </w:style>
  <w:style w:type="paragraph" w:customStyle="1" w:styleId="25">
    <w:name w:val="修订1"/>
    <w:qFormat/>
    <w:uiPriority w:val="0"/>
    <w:rPr>
      <w:rFonts w:ascii="Times New Roman" w:hAnsi="Times New Roman" w:eastAsia="宋体" w:cs="Times New Roman"/>
      <w:kern w:val="2"/>
      <w:sz w:val="21"/>
      <w:szCs w:val="24"/>
      <w:lang w:val="en-US" w:eastAsia="zh-CN" w:bidi="ar-SA"/>
    </w:rPr>
  </w:style>
  <w:style w:type="paragraph" w:customStyle="1" w:styleId="26">
    <w:name w:val="p0"/>
    <w:qFormat/>
    <w:uiPriority w:val="0"/>
    <w:pPr>
      <w:spacing w:beforeAutospacing="1" w:afterAutospacing="1"/>
    </w:pPr>
    <w:rPr>
      <w:rFonts w:ascii="宋体" w:hAnsi="Times New Roman" w:eastAsia="宋体" w:cs="宋体"/>
      <w:sz w:val="24"/>
      <w:szCs w:val="24"/>
      <w:lang w:val="en-US" w:eastAsia="zh-CN" w:bidi="ar-SA"/>
    </w:rPr>
  </w:style>
  <w:style w:type="character" w:customStyle="1" w:styleId="27">
    <w:name w:val="heading 2 Char"/>
    <w:basedOn w:val="15"/>
    <w:link w:val="3"/>
    <w:autoRedefine/>
    <w:qFormat/>
    <w:uiPriority w:val="0"/>
    <w:rPr>
      <w:rFonts w:ascii="Cambria" w:hAnsi="Cambria" w:eastAsia="宋体" w:cs="Times New Roman"/>
      <w:b/>
      <w:bCs/>
      <w:kern w:val="2"/>
      <w:sz w:val="32"/>
      <w:szCs w:val="3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hart" Target="charts/chart2.xml"/><Relationship Id="rId8" Type="http://schemas.openxmlformats.org/officeDocument/2006/relationships/chart" Target="charts/chart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chart" Target="charts/chart9.xml"/><Relationship Id="rId17" Type="http://schemas.openxmlformats.org/officeDocument/2006/relationships/chart" Target="charts/chart8.xml"/><Relationship Id="rId16" Type="http://schemas.openxmlformats.org/officeDocument/2006/relationships/image" Target="media/image1.emf"/><Relationship Id="rId15" Type="http://schemas.openxmlformats.org/officeDocument/2006/relationships/oleObject" Target="embeddings/oleObject1.bin"/><Relationship Id="rId14" Type="http://schemas.openxmlformats.org/officeDocument/2006/relationships/chart" Target="charts/chart7.xml"/><Relationship Id="rId13" Type="http://schemas.openxmlformats.org/officeDocument/2006/relationships/chart" Target="charts/chart6.xml"/><Relationship Id="rId12" Type="http://schemas.openxmlformats.org/officeDocument/2006/relationships/chart" Target="charts/chart5.xml"/><Relationship Id="rId11" Type="http://schemas.openxmlformats.org/officeDocument/2006/relationships/chart" Target="charts/chart4.xml"/><Relationship Id="rId10" Type="http://schemas.openxmlformats.org/officeDocument/2006/relationships/chart" Target="charts/chart3.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7.xlsx"/></Relationships>
</file>

<file path=word/charts/_rels/chart8.xml.rels><?xml version="1.0" encoding="UTF-8" standalone="yes"?>
<Relationships xmlns="http://schemas.openxmlformats.org/package/2006/relationships"><Relationship Id="rId2" Type="http://schemas.openxmlformats.org/officeDocument/2006/relationships/themeOverride" Target="../theme/themeOverride1.xml"/><Relationship Id="rId1" Type="http://schemas.openxmlformats.org/officeDocument/2006/relationships/package" Target="../embeddings/Workbook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Workbook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人数</c:v>
                </c:pt>
              </c:strCache>
            </c:strRef>
          </c:tx>
          <c:spPr>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delete val="1"/>
          </c:dLbls>
          <c:cat>
            <c:strRef>
              <c:f>Sheet1!$A$2:$A$3</c:f>
              <c:strCache>
                <c:ptCount val="2"/>
                <c:pt idx="0">
                  <c:v>参公</c:v>
                </c:pt>
                <c:pt idx="1">
                  <c:v>事业</c:v>
                </c:pt>
              </c:strCache>
            </c:strRef>
          </c:cat>
          <c:val>
            <c:numRef>
              <c:f>Sheet1!$B$2:$B$3</c:f>
              <c:numCache>
                <c:formatCode>General</c:formatCode>
                <c:ptCount val="2"/>
                <c:pt idx="0">
                  <c:v>13</c:v>
                </c:pt>
                <c:pt idx="1">
                  <c:v>2</c:v>
                </c:pt>
              </c:numCache>
            </c:numRef>
          </c:val>
        </c:ser>
        <c:dLbls>
          <c:showLegendKey val="0"/>
          <c:showVal val="0"/>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legend>
    <c:plotVisOnly val="1"/>
    <c:dispBlanksAs val="zero"/>
    <c:showDLblsOverMax val="0"/>
    <c:extLst>
      <c:ext uri="{0b15fc19-7d7d-44ad-8c2d-2c3a37ce22c3}">
        <chartProps xmlns="https://web.wps.cn/et/2018/main" chartId="{48e11d6d-fc74-402a-bcdf-fbde5bd40035}"/>
      </c:ext>
    </c:extLst>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200" b="0" i="0" u="none" strike="noStrike" kern="1200" baseline="0">
              <a:solidFill>
                <a:srgbClr val="000000"/>
              </a:solidFill>
              <a:latin typeface="AR PL UKai CN"/>
              <a:ea typeface="AR PL UKai CN"/>
              <a:cs typeface="Lucida Sans" panose="020B0602030504020204"/>
            </a:defRPr>
          </a:pPr>
        </a:p>
      </c:txPr>
    </c:title>
    <c:autoTitleDeleted val="0"/>
    <c:plotArea>
      <c:layout/>
      <c:barChart>
        <c:barDir val="col"/>
        <c:grouping val="clustered"/>
        <c:varyColors val="0"/>
        <c:ser>
          <c:idx val="0"/>
          <c:order val="0"/>
          <c:tx>
            <c:strRef>
              <c:f>'Sheet1 (2)'!$B$1</c:f>
              <c:strCache>
                <c:ptCount val="1"/>
                <c:pt idx="0">
                  <c:v>2023</c:v>
                </c:pt>
              </c:strCache>
            </c:strRef>
          </c:tx>
          <c:spPr>
            <a:solidFill>
              <a:srgbClr val="4F81BD">
                <a:alpha val="85000"/>
              </a:srgbClr>
            </a:solidFill>
            <a:ln w="6350">
              <a:solidFill>
                <a:srgbClr val="FFFFFF"/>
              </a:solidFill>
              <a:prstDash val="solid"/>
            </a:ln>
          </c:spPr>
          <c:invertIfNegative val="0"/>
          <c:dLbls>
            <c:spPr>
              <a:noFill/>
              <a:ln>
                <a:noFill/>
              </a:ln>
              <a:effectLst/>
            </c:spPr>
            <c:txPr>
              <a:bodyPr rot="0" spcFirstLastPara="0" vertOverflow="ellipsis" vert="horz" wrap="square" lIns="38100" tIns="19050" rIns="38100" bIns="19050" anchor="ctr" anchorCtr="1"/>
              <a:lstStyle/>
              <a:p>
                <a:pPr>
                  <a:defRPr lang="zh-CN" sz="900" b="1" i="0" u="none" strike="noStrike" kern="1200" baseline="0">
                    <a:solidFill>
                      <a:srgbClr val="FFFFFF"/>
                    </a:solidFill>
                    <a:latin typeface="AR PL UKai CN"/>
                    <a:ea typeface="AR PL UKai CN"/>
                    <a:cs typeface="Lucida Sans" panose="020B0602030504020204"/>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(2)'!$A$2:$A$3</c:f>
              <c:strCache>
                <c:ptCount val="2"/>
                <c:pt idx="0">
                  <c:v>收入总计</c:v>
                </c:pt>
                <c:pt idx="1">
                  <c:v>支出总计</c:v>
                </c:pt>
              </c:strCache>
            </c:strRef>
          </c:cat>
          <c:val>
            <c:numRef>
              <c:f>'Sheet1 (2)'!$B$2:$B$3</c:f>
              <c:numCache>
                <c:formatCode>General</c:formatCode>
                <c:ptCount val="2"/>
                <c:pt idx="0">
                  <c:v>359.66</c:v>
                </c:pt>
                <c:pt idx="1">
                  <c:v>359.66</c:v>
                </c:pt>
              </c:numCache>
            </c:numRef>
          </c:val>
        </c:ser>
        <c:ser>
          <c:idx val="1"/>
          <c:order val="1"/>
          <c:tx>
            <c:strRef>
              <c:f>'Sheet1 (2)'!$C$1</c:f>
              <c:strCache>
                <c:ptCount val="1"/>
                <c:pt idx="0">
                  <c:v>2024</c:v>
                </c:pt>
              </c:strCache>
            </c:strRef>
          </c:tx>
          <c:spPr>
            <a:solidFill>
              <a:srgbClr val="C0504D">
                <a:alpha val="85000"/>
              </a:srgbClr>
            </a:solidFill>
            <a:ln w="6350">
              <a:solidFill>
                <a:srgbClr val="FFFFFF"/>
              </a:solidFill>
              <a:prstDash val="solid"/>
            </a:ln>
          </c:spPr>
          <c:invertIfNegative val="0"/>
          <c:dLbls>
            <c:spPr>
              <a:noFill/>
              <a:ln>
                <a:noFill/>
              </a:ln>
              <a:effectLst/>
            </c:spPr>
            <c:txPr>
              <a:bodyPr rot="0" spcFirstLastPara="0" vertOverflow="ellipsis" vert="horz" wrap="square" lIns="38100" tIns="19050" rIns="38100" bIns="19050" anchor="ctr" anchorCtr="1"/>
              <a:lstStyle/>
              <a:p>
                <a:pPr>
                  <a:defRPr lang="zh-CN" sz="900" b="1" i="0" u="none" strike="noStrike" kern="1200" baseline="0">
                    <a:solidFill>
                      <a:srgbClr val="FFFFFF"/>
                    </a:solidFill>
                    <a:latin typeface="AR PL UKai CN"/>
                    <a:ea typeface="AR PL UKai CN"/>
                    <a:cs typeface="Lucida Sans" panose="020B0602030504020204"/>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(2)'!$A$2:$A$3</c:f>
              <c:strCache>
                <c:ptCount val="2"/>
                <c:pt idx="0">
                  <c:v>收入总计</c:v>
                </c:pt>
                <c:pt idx="1">
                  <c:v>支出总计</c:v>
                </c:pt>
              </c:strCache>
            </c:strRef>
          </c:cat>
          <c:val>
            <c:numRef>
              <c:f>'Sheet1 (2)'!$C$2:$C$3</c:f>
              <c:numCache>
                <c:formatCode>General</c:formatCode>
                <c:ptCount val="2"/>
                <c:pt idx="0">
                  <c:v>342.22</c:v>
                </c:pt>
                <c:pt idx="1">
                  <c:v>342.22</c:v>
                </c:pt>
              </c:numCache>
            </c:numRef>
          </c:val>
        </c:ser>
        <c:dLbls>
          <c:showLegendKey val="0"/>
          <c:showVal val="1"/>
          <c:showCatName val="0"/>
          <c:showSerName val="0"/>
          <c:showPercent val="0"/>
          <c:showBubbleSize val="0"/>
        </c:dLbls>
        <c:gapWidth val="65"/>
        <c:axId val="122241792"/>
        <c:axId val="122243328"/>
      </c:barChart>
      <c:catAx>
        <c:axId val="122241792"/>
        <c:scaling>
          <c:orientation val="minMax"/>
        </c:scaling>
        <c:delete val="0"/>
        <c:axPos val="b"/>
        <c:numFmt formatCode="General" sourceLinked="1"/>
        <c:majorTickMark val="none"/>
        <c:minorTickMark val="none"/>
        <c:tickLblPos val="nextTo"/>
        <c:spPr>
          <a:ln w="19050" cap="flat" cmpd="sng" algn="ctr">
            <a:solidFill>
              <a:srgbClr val="404040"/>
            </a:solidFill>
            <a:prstDash val="solid"/>
            <a:round/>
          </a:ln>
        </c:spPr>
        <c:txPr>
          <a:bodyPr rot="-60000000" spcFirstLastPara="0" vertOverflow="ellipsis" vert="horz" wrap="square" anchor="ctr" anchorCtr="1"/>
          <a:lstStyle/>
          <a:p>
            <a:pPr>
              <a:defRPr lang="zh-CN" sz="900" b="0" i="0" u="none" strike="noStrike" kern="1200" cap="all" baseline="0">
                <a:solidFill>
                  <a:srgbClr val="404040"/>
                </a:solidFill>
                <a:latin typeface="AR PL UKai CN"/>
                <a:ea typeface="AR PL UKai CN"/>
                <a:cs typeface="Lucida Sans" panose="020B0602030504020204"/>
              </a:defRPr>
            </a:pPr>
          </a:p>
        </c:txPr>
        <c:crossAx val="122243328"/>
        <c:crosses val="autoZero"/>
        <c:auto val="1"/>
        <c:lblAlgn val="ctr"/>
        <c:lblOffset val="100"/>
        <c:noMultiLvlLbl val="0"/>
      </c:catAx>
      <c:valAx>
        <c:axId val="122243328"/>
        <c:scaling>
          <c:orientation val="minMax"/>
        </c:scaling>
        <c:delete val="1"/>
        <c:axPos val="l"/>
        <c:majorGridlines>
          <c:spPr>
            <a:ln w="6350" cap="flat" cmpd="sng" algn="ctr">
              <a:solidFill>
                <a:srgbClr val="868686"/>
              </a:solidFill>
              <a:prstDash val="solid"/>
              <a:round/>
            </a:ln>
          </c:spPr>
        </c:majorGridlines>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rgbClr val="000000"/>
                </a:solidFill>
                <a:latin typeface="AR PL UKai CN"/>
                <a:ea typeface="AR PL UKai CN"/>
                <a:cs typeface="Lucida Sans" panose="020B0602030504020204"/>
              </a:defRPr>
            </a:pPr>
          </a:p>
        </c:txPr>
        <c:crossAx val="122241792"/>
        <c:crossesAt val="1"/>
        <c:crossBetween val="between"/>
      </c:valAx>
      <c:spPr>
        <a:noFill/>
        <a:ln>
          <a:noFill/>
        </a:ln>
      </c:spPr>
    </c:plotArea>
    <c:legend>
      <c:legendPos val="b"/>
      <c:layout/>
      <c:overlay val="0"/>
      <c:spPr>
        <a:solidFill>
          <a:srgbClr val="F2F2F2">
            <a:alpha val="39000"/>
          </a:srgbClr>
        </a:solidFill>
        <a:ln>
          <a:noFill/>
        </a:ln>
      </c:spPr>
      <c:txPr>
        <a:bodyPr rot="0" spcFirstLastPara="0" vertOverflow="ellipsis" vert="horz" wrap="square" anchor="ctr" anchorCtr="1"/>
        <a:lstStyle/>
        <a:p>
          <a:pPr>
            <a:defRPr lang="zh-CN" sz="900" b="0" i="0" u="none" strike="noStrike" kern="1200" baseline="0">
              <a:solidFill>
                <a:srgbClr val="404040"/>
              </a:solidFill>
              <a:latin typeface="AR PL UKai CN"/>
              <a:ea typeface="AR PL UKai CN"/>
              <a:cs typeface="Lucida Sans" panose="020B0602030504020204"/>
            </a:defRPr>
          </a:pPr>
        </a:p>
      </c:txPr>
    </c:legend>
    <c:plotVisOnly val="1"/>
    <c:dispBlanksAs val="gap"/>
    <c:showDLblsOverMax val="0"/>
    <c:extLst>
      <c:ext uri="{0b15fc19-7d7d-44ad-8c2d-2c3a37ce22c3}">
        <chartProps xmlns="https://web.wps.cn/et/2018/main" chartId="{0c12a224-303f-4b8d-af81-0312d3ed5184}"/>
      </c:ext>
    </c:extLst>
  </c:chart>
  <c:spPr>
    <a:gradFill rotWithShape="1">
      <a:gsLst>
        <a:gs pos="0">
          <a:srgbClr val="FFFFFF">
            <a:alpha val="100000"/>
          </a:srgbClr>
        </a:gs>
        <a:gs pos="39000">
          <a:srgbClr val="FFFFFF">
            <a:alpha val="100000"/>
          </a:srgbClr>
        </a:gs>
        <a:gs pos="100000">
          <a:srgbClr val="BFBFBF">
            <a:alpha val="100000"/>
          </a:srgbClr>
        </a:gs>
      </a:gsLst>
      <a:path path="circle">
        <a:fillToRect l="100000" t="100000"/>
      </a:path>
      <a:tileRect r="-100000" b="-100000"/>
    </a:gradFill>
    <a:ln w="6350" cap="flat" cmpd="sng" algn="ctr">
      <a:solidFill>
        <a:srgbClr val="BFBFBF"/>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200" b="0" i="0" u="none" strike="noStrike" kern="1200" baseline="0">
              <a:solidFill>
                <a:srgbClr val="000000"/>
              </a:solidFill>
              <a:latin typeface="AR PL UKai CN"/>
              <a:ea typeface="AR PL UKai CN"/>
              <a:cs typeface="Lucida Sans" panose="020B0602030504020204"/>
            </a:defRPr>
          </a:pPr>
        </a:p>
      </c:txPr>
    </c:title>
    <c:autoTitleDeleted val="0"/>
    <c:view3D>
      <c:rotX val="30"/>
      <c:rotY val="0"/>
      <c:depthPercent val="100"/>
      <c:rAngAx val="0"/>
      <c:hPercent val="100"/>
      <c:perspective val="0"/>
    </c:view3D>
    <c:floor>
      <c:thickness val="0"/>
      <c:spPr>
        <a:ln>
          <a:noFill/>
        </a:ln>
      </c:spPr>
    </c:floor>
    <c:sideWall>
      <c:thickness val="0"/>
      <c:spPr>
        <a:ln>
          <a:noFill/>
        </a:ln>
      </c:spPr>
    </c:sideWall>
    <c:backWall>
      <c:thickness val="0"/>
      <c:spPr>
        <a:noFill/>
        <a:ln>
          <a:noFill/>
        </a:ln>
      </c:spPr>
    </c:backWall>
    <c:plotArea>
      <c:layout>
        <c:manualLayout>
          <c:layoutTarget val="inner"/>
          <c:xMode val="edge"/>
          <c:yMode val="edge"/>
          <c:x val="0.024820609"/>
          <c:y val="0.10466507"/>
          <c:w val="0.94659454"/>
          <c:h val="0.87739235"/>
        </c:manualLayout>
      </c:layout>
      <c:pie3DChart>
        <c:varyColors val="1"/>
        <c:ser>
          <c:idx val="0"/>
          <c:order val="0"/>
          <c:tx>
            <c:strRef>
              <c:f>'Sheet1 (3)'!$B$1</c:f>
              <c:strCache>
                <c:ptCount val="1"/>
                <c:pt idx="0">
                  <c:v>金额</c:v>
                </c:pt>
              </c:strCache>
            </c:strRef>
          </c:tx>
          <c:explosion val="0"/>
          <c:dPt>
            <c:idx val="0"/>
            <c:bubble3D val="0"/>
            <c:spPr>
              <a:solidFill>
                <a:srgbClr val="4F81BD"/>
              </a:solidFill>
              <a:ln w="25400">
                <a:solidFill>
                  <a:srgbClr val="FFFFFF"/>
                </a:solidFill>
                <a:prstDash val="solid"/>
              </a:ln>
            </c:spPr>
          </c:dPt>
          <c:dPt>
            <c:idx val="1"/>
            <c:bubble3D val="0"/>
            <c:spPr>
              <a:solidFill>
                <a:srgbClr val="C0504D"/>
              </a:solidFill>
              <a:ln w="25400">
                <a:solidFill>
                  <a:srgbClr val="FFFFFF"/>
                </a:solidFill>
                <a:prstDash val="solid"/>
              </a:ln>
            </c:spPr>
          </c:dPt>
          <c:dPt>
            <c:idx val="2"/>
            <c:bubble3D val="0"/>
            <c:spPr>
              <a:solidFill>
                <a:srgbClr val="9BBB59"/>
              </a:solidFill>
              <a:ln w="25400">
                <a:solidFill>
                  <a:srgbClr val="FFFFFF"/>
                </a:solidFill>
                <a:prstDash val="solid"/>
              </a:ln>
            </c:spPr>
          </c:dPt>
          <c:dPt>
            <c:idx val="3"/>
            <c:bubble3D val="0"/>
            <c:spPr>
              <a:solidFill>
                <a:srgbClr val="8064A2"/>
              </a:solidFill>
              <a:ln w="25400">
                <a:solidFill>
                  <a:srgbClr val="FFFFFF"/>
                </a:solidFill>
                <a:prstDash val="solid"/>
              </a:ln>
            </c:spPr>
          </c:dPt>
          <c:dLbls>
            <c:delete val="1"/>
          </c:dLbls>
          <c:cat>
            <c:strRef>
              <c:f>'Sheet1 (3)'!$A$2:$A$5</c:f>
              <c:strCache>
                <c:ptCount val="4"/>
                <c:pt idx="0">
                  <c:v>财政拨款收入</c:v>
                </c:pt>
                <c:pt idx="1">
                  <c:v>事业收入</c:v>
                </c:pt>
                <c:pt idx="2">
                  <c:v>经营收入</c:v>
                </c:pt>
                <c:pt idx="3">
                  <c:v>其他收入</c:v>
                </c:pt>
              </c:strCache>
            </c:strRef>
          </c:cat>
          <c:val>
            <c:numRef>
              <c:f>'Sheet1 (3)'!$B$2:$B$5</c:f>
              <c:numCache>
                <c:formatCode>General</c:formatCode>
                <c:ptCount val="4"/>
                <c:pt idx="0">
                  <c:v>342.22</c:v>
                </c:pt>
                <c:pt idx="1">
                  <c:v>0</c:v>
                </c:pt>
                <c:pt idx="2">
                  <c:v>0</c:v>
                </c:pt>
                <c:pt idx="3">
                  <c:v>0</c:v>
                </c:pt>
              </c:numCache>
            </c:numRef>
          </c:val>
        </c:ser>
        <c:dLbls>
          <c:showLegendKey val="0"/>
          <c:showVal val="0"/>
          <c:showCatName val="0"/>
          <c:showSerName val="0"/>
          <c:showPercent val="0"/>
          <c:showBubbleSize val="0"/>
        </c:dLbls>
      </c:pie3DChart>
      <c:spPr>
        <a:noFill/>
        <a:ln>
          <a:noFill/>
        </a:ln>
      </c:spPr>
    </c:plotArea>
    <c:legend>
      <c:legendPos val="r"/>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legend>
    <c:plotVisOnly val="1"/>
    <c:dispBlanksAs val="zero"/>
    <c:showDLblsOverMax val="0"/>
    <c:extLst>
      <c:ext uri="{0b15fc19-7d7d-44ad-8c2d-2c3a37ce22c3}">
        <chartProps xmlns="https://web.wps.cn/et/2018/main" chartId="{570ff3fc-e0c6-443c-acc5-25e646e86555}"/>
      </c:ext>
    </c:extLst>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200" b="0" i="0" u="none" strike="noStrike" kern="1200" baseline="0">
              <a:solidFill>
                <a:srgbClr val="000000"/>
              </a:solidFill>
              <a:latin typeface="AR PL UKai CN"/>
              <a:ea typeface="AR PL UKai CN"/>
              <a:cs typeface="Lucida Sans" panose="020B0602030504020204"/>
            </a:defRPr>
          </a:pPr>
        </a:p>
      </c:txPr>
    </c:title>
    <c:autoTitleDeleted val="0"/>
    <c:view3D>
      <c:rotX val="30"/>
      <c:rotY val="0"/>
      <c:depthPercent val="100"/>
      <c:rAngAx val="0"/>
      <c:hPercent val="100"/>
      <c:perspective val="0"/>
    </c:view3D>
    <c:floor>
      <c:thickness val="0"/>
      <c:spPr>
        <a:ln>
          <a:noFill/>
        </a:ln>
      </c:spPr>
    </c:floor>
    <c:sideWall>
      <c:thickness val="0"/>
      <c:spPr>
        <a:ln>
          <a:noFill/>
        </a:ln>
      </c:spPr>
    </c:sideWall>
    <c:backWall>
      <c:thickness val="0"/>
      <c:spPr>
        <a:noFill/>
        <a:ln>
          <a:noFill/>
        </a:ln>
      </c:spPr>
    </c:backWall>
    <c:plotArea>
      <c:layout/>
      <c:pie3DChart>
        <c:varyColors val="1"/>
        <c:ser>
          <c:idx val="0"/>
          <c:order val="0"/>
          <c:tx>
            <c:strRef>
              <c:f>'Sheet1 (4)'!$B$1</c:f>
              <c:strCache>
                <c:ptCount val="1"/>
                <c:pt idx="0">
                  <c:v>金额</c:v>
                </c:pt>
              </c:strCache>
            </c:strRef>
          </c:tx>
          <c:explosion val="0"/>
          <c:dPt>
            <c:idx val="0"/>
            <c:bubble3D val="0"/>
            <c:spPr>
              <a:solidFill>
                <a:srgbClr val="4F81BD"/>
              </a:solidFill>
              <a:ln>
                <a:noFill/>
              </a:ln>
              <a:effectLst>
                <a:outerShdw dist="35921" dir="2700000" algn="br">
                  <a:srgbClr val="000000"/>
                </a:outerShdw>
              </a:effectLst>
            </c:spPr>
          </c:dPt>
          <c:dPt>
            <c:idx val="1"/>
            <c:bubble3D val="0"/>
            <c:spPr>
              <a:solidFill>
                <a:srgbClr val="C0504D"/>
              </a:solidFill>
              <a:ln>
                <a:noFill/>
              </a:ln>
              <a:effectLst>
                <a:outerShdw dist="35921" dir="2700000" algn="br">
                  <a:srgbClr val="000000"/>
                </a:outerShdw>
              </a:effectLst>
            </c:spPr>
          </c:dPt>
          <c:dLbls>
            <c:dLbl>
              <c:idx val="0"/>
              <c:layout>
                <c:manualLayout>
                  <c:x val="0.27417815"/>
                  <c:y val="0"/>
                </c:manualLayout>
              </c:layout>
              <c:tx>
                <c:rich>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panose="020B0602030504020204"/>
                      </a:defRPr>
                    </a:pPr>
                    <a:r>
                      <a:rPr lang="zh-CN" sz="1000" b="1" i="0" u="none" strike="noStrike" baseline="0">
                        <a:solidFill>
                          <a:srgbClr val="4F81BD"/>
                        </a:solidFill>
                        <a:latin typeface="AR PL UKai CN"/>
                        <a:ea typeface="AR PL UKai CN"/>
                        <a:cs typeface="Lucida Sans" panose="020B0602030504020204"/>
                      </a:rPr>
                      <a:t>基本支出
</a:t>
                    </a:r>
                    <a:r>
                      <a:rPr lang="en-US" altLang="zh-CN" sz="1000" b="1" i="0" u="none" strike="noStrike" baseline="0">
                        <a:solidFill>
                          <a:srgbClr val="4F81BD"/>
                        </a:solidFill>
                        <a:latin typeface="AR PL UKai CN"/>
                        <a:ea typeface="AR PL UKai CN"/>
                        <a:cs typeface="Lucida Sans" panose="020B0602030504020204"/>
                      </a:rPr>
                      <a:t>93.02</a:t>
                    </a:r>
                    <a:r>
                      <a:rPr lang="zh-CN" sz="1000" b="1" i="0" u="none" strike="noStrike" baseline="0">
                        <a:solidFill>
                          <a:srgbClr val="4F81BD"/>
                        </a:solidFill>
                        <a:latin typeface="AR PL UKai CN"/>
                        <a:ea typeface="AR PL UKai CN"/>
                        <a:cs typeface="Lucida Sans" panose="020B0602030504020204"/>
                      </a:rPr>
                      <a:t>%</a:t>
                    </a:r>
                    <a:endParaRPr lang="zh-CN" sz="1000" b="1" i="0" u="none" strike="noStrike" baseline="0">
                      <a:solidFill>
                        <a:srgbClr val="4F81BD"/>
                      </a:solidFill>
                      <a:latin typeface="AR PL UKai CN"/>
                      <a:ea typeface="AR PL UKai CN"/>
                      <a:cs typeface="Lucida Sans" panose="020B0602030504020204"/>
                    </a:endParaRPr>
                  </a:p>
                </c:rich>
              </c:tx>
              <c:numFmt formatCode="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panose="020B0602030504020204"/>
                    </a:defRPr>
                  </a:pPr>
                </a:p>
              </c:txPr>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dLbl>
              <c:idx val="1"/>
              <c:layout>
                <c:manualLayout>
                  <c:x val="-0.27622426"/>
                  <c:y val="0.018189168"/>
                </c:manualLayout>
              </c:layout>
              <c:tx>
                <c:rich>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panose="020B0602030504020204"/>
                      </a:defRPr>
                    </a:pPr>
                    <a:r>
                      <a:rPr lang="zh-CN" sz="1000" b="1" i="0" u="none" strike="noStrike" baseline="0">
                        <a:solidFill>
                          <a:srgbClr val="C0504D"/>
                        </a:solidFill>
                        <a:latin typeface="AR PL UKai CN"/>
                        <a:ea typeface="AR PL UKai CN"/>
                        <a:cs typeface="Lucida Sans" panose="020B0602030504020204"/>
                      </a:rPr>
                      <a:t>项目支出</a:t>
                    </a:r>
                    <a:r>
                      <a:rPr lang="zh-CN" sz="1000" b="1" i="0" u="none" strike="noStrike" baseline="0">
                        <a:solidFill>
                          <a:srgbClr val="4F81BD"/>
                        </a:solidFill>
                        <a:latin typeface="AR PL UKai CN"/>
                        <a:ea typeface="AR PL UKai CN"/>
                        <a:cs typeface="Lucida Sans" panose="020B0602030504020204"/>
                      </a:rPr>
                      <a:t>
</a:t>
                    </a:r>
                    <a:r>
                      <a:rPr lang="en-US" altLang="zh-CN" sz="1000" b="1" i="0" u="none" strike="noStrike" baseline="0">
                        <a:solidFill>
                          <a:srgbClr val="C0504D"/>
                        </a:solidFill>
                        <a:latin typeface="AR PL UKai CN"/>
                        <a:ea typeface="AR PL UKai CN"/>
                        <a:cs typeface="Lucida Sans" panose="020B0602030504020204"/>
                      </a:rPr>
                      <a:t>6.98</a:t>
                    </a:r>
                    <a:r>
                      <a:rPr lang="zh-CN" sz="1000" b="1" i="0" u="none" strike="noStrike" baseline="0">
                        <a:solidFill>
                          <a:srgbClr val="C0504D"/>
                        </a:solidFill>
                        <a:latin typeface="AR PL UKai CN"/>
                        <a:ea typeface="AR PL UKai CN"/>
                        <a:cs typeface="Lucida Sans" panose="020B0602030504020204"/>
                      </a:rPr>
                      <a:t>%</a:t>
                    </a:r>
                    <a:endParaRPr lang="zh-CN" sz="1000" b="1" i="0" u="none" strike="noStrike" baseline="0">
                      <a:solidFill>
                        <a:srgbClr val="C0504D"/>
                      </a:solidFill>
                      <a:latin typeface="AR PL UKai CN"/>
                      <a:ea typeface="AR PL UKai CN"/>
                      <a:cs typeface="Lucida Sans" panose="020B0602030504020204"/>
                    </a:endParaRPr>
                  </a:p>
                </c:rich>
              </c:tx>
              <c:numFmt formatCode="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panose="020B0602030504020204"/>
                    </a:defRPr>
                  </a:pPr>
                </a:p>
              </c:txPr>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numFmt formatCode="0%" sourceLinked="0"/>
            <c:spPr>
              <a:noFill/>
              <a:ln>
                <a:noFill/>
              </a:ln>
              <a:effectLst/>
            </c:spPr>
            <c:txPr>
              <a:bodyPr rot="0" spcFirstLastPara="0" vertOverflow="ellipsis" vert="horz" wrap="square" lIns="38100" tIns="19050" rIns="38100" bIns="19050" anchor="ctr" anchorCtr="1"/>
              <a:lstStyle/>
              <a:p>
                <a:pPr>
                  <a:defRPr lang="zh-CN" sz="1000" b="1" i="0" u="none" strike="noStrike" kern="1200" baseline="0">
                    <a:solidFill>
                      <a:srgbClr val="4F81BD"/>
                    </a:solidFill>
                    <a:latin typeface="AR PL UKai CN"/>
                    <a:ea typeface="AR PL UKai CN"/>
                    <a:cs typeface="Lucida Sans" panose="020B0602030504020204"/>
                  </a:defRPr>
                </a:pPr>
              </a:p>
            </c:txPr>
            <c:dLblPos val="outEnd"/>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ext>
            </c:extLst>
          </c:dLbls>
          <c:cat>
            <c:strRef>
              <c:f>'Sheet1 (4)'!$A$2:$A$3</c:f>
              <c:strCache>
                <c:ptCount val="2"/>
                <c:pt idx="0">
                  <c:v>基本支出</c:v>
                </c:pt>
                <c:pt idx="1">
                  <c:v>项目支出</c:v>
                </c:pt>
              </c:strCache>
            </c:strRef>
          </c:cat>
          <c:val>
            <c:numRef>
              <c:f>'Sheet1 (4)'!$B$2:$B$3</c:f>
              <c:numCache>
                <c:formatCode>General</c:formatCode>
                <c:ptCount val="2"/>
                <c:pt idx="0">
                  <c:v>93.47</c:v>
                </c:pt>
                <c:pt idx="1">
                  <c:v>6.53</c:v>
                </c:pt>
              </c:numCache>
            </c:numRef>
          </c:val>
        </c:ser>
        <c:dLbls>
          <c:showLegendKey val="0"/>
          <c:showVal val="0"/>
          <c:showCatName val="1"/>
          <c:showSerName val="0"/>
          <c:showPercent val="1"/>
          <c:showBubbleSize val="0"/>
        </c:dLbls>
      </c:pie3DChart>
      <c:spPr>
        <a:noFill/>
        <a:ln>
          <a:noFill/>
        </a:ln>
      </c:spPr>
    </c:plotArea>
    <c:legend>
      <c:legendPos val="r"/>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legend>
    <c:plotVisOnly val="1"/>
    <c:dispBlanksAs val="zero"/>
    <c:showDLblsOverMax val="0"/>
    <c:extLst>
      <c:ext uri="{0b15fc19-7d7d-44ad-8c2d-2c3a37ce22c3}">
        <chartProps xmlns="https://web.wps.cn/et/2018/main" chartId="{c901bffa-9652-4f67-a5c5-5de6a383165b}"/>
      </c:ext>
    </c:extLst>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 (5)'!$B$1</c:f>
              <c:strCache>
                <c:ptCount val="1"/>
                <c:pt idx="0">
                  <c:v>2023</c:v>
                </c:pt>
              </c:strCache>
            </c:strRef>
          </c:tx>
          <c:spPr>
            <a:solidFill>
              <a:srgbClr val="4F81BD">
                <a:alpha val="85000"/>
              </a:srgbClr>
            </a:solidFill>
            <a:ln w="6350">
              <a:solidFill>
                <a:srgbClr val="FFFFFF"/>
              </a:solidFill>
              <a:prstDash val="solid"/>
            </a:ln>
          </c:spPr>
          <c:invertIfNegative val="0"/>
          <c:dLbls>
            <c:spPr>
              <a:noFill/>
              <a:ln>
                <a:noFill/>
              </a:ln>
              <a:effectLst/>
            </c:spPr>
            <c:txPr>
              <a:bodyPr rot="0" spcFirstLastPara="0" vertOverflow="ellipsis" vert="horz" wrap="square" lIns="38100" tIns="19050" rIns="38100" bIns="19050" anchor="ctr" anchorCtr="1"/>
              <a:lstStyle/>
              <a:p>
                <a:pPr>
                  <a:defRPr lang="zh-CN" sz="900" b="1" i="0" u="none" strike="noStrike" kern="1200" baseline="0">
                    <a:solidFill>
                      <a:srgbClr val="FFFFFF"/>
                    </a:solidFill>
                    <a:latin typeface="AR PL UKai CN"/>
                    <a:ea typeface="AR PL UKai CN"/>
                    <a:cs typeface="Lucida Sans" panose="020B0602030504020204"/>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(5)'!$A$2:$A$3</c:f>
              <c:strCache>
                <c:ptCount val="2"/>
                <c:pt idx="0">
                  <c:v>收入总计</c:v>
                </c:pt>
                <c:pt idx="1">
                  <c:v>支出总计</c:v>
                </c:pt>
              </c:strCache>
            </c:strRef>
          </c:cat>
          <c:val>
            <c:numRef>
              <c:f>'Sheet1 (5)'!$B$2:$B$3</c:f>
              <c:numCache>
                <c:formatCode>General</c:formatCode>
                <c:ptCount val="2"/>
                <c:pt idx="0">
                  <c:v>359.66</c:v>
                </c:pt>
                <c:pt idx="1">
                  <c:v>359.66</c:v>
                </c:pt>
              </c:numCache>
            </c:numRef>
          </c:val>
        </c:ser>
        <c:ser>
          <c:idx val="1"/>
          <c:order val="1"/>
          <c:tx>
            <c:strRef>
              <c:f>'Sheet1 (5)'!$C$1</c:f>
              <c:strCache>
                <c:ptCount val="1"/>
                <c:pt idx="0">
                  <c:v>2024</c:v>
                </c:pt>
              </c:strCache>
            </c:strRef>
          </c:tx>
          <c:spPr>
            <a:solidFill>
              <a:srgbClr val="C0504D">
                <a:alpha val="85000"/>
              </a:srgbClr>
            </a:solidFill>
            <a:ln w="6350">
              <a:solidFill>
                <a:srgbClr val="FFFFFF"/>
              </a:solidFill>
              <a:prstDash val="solid"/>
            </a:ln>
          </c:spPr>
          <c:invertIfNegative val="0"/>
          <c:dLbls>
            <c:spPr>
              <a:noFill/>
              <a:ln>
                <a:noFill/>
              </a:ln>
              <a:effectLst/>
            </c:spPr>
            <c:txPr>
              <a:bodyPr rot="0" spcFirstLastPara="0" vertOverflow="ellipsis" vert="horz" wrap="square" lIns="38100" tIns="19050" rIns="38100" bIns="19050" anchor="ctr" anchorCtr="1"/>
              <a:lstStyle/>
              <a:p>
                <a:pPr>
                  <a:defRPr lang="zh-CN" sz="900" b="1" i="0" u="none" strike="noStrike" kern="1200" baseline="0">
                    <a:solidFill>
                      <a:srgbClr val="FFFFFF"/>
                    </a:solidFill>
                    <a:latin typeface="AR PL UKai CN"/>
                    <a:ea typeface="AR PL UKai CN"/>
                    <a:cs typeface="Lucida Sans" panose="020B0602030504020204"/>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(5)'!$A$2:$A$3</c:f>
              <c:strCache>
                <c:ptCount val="2"/>
                <c:pt idx="0">
                  <c:v>收入总计</c:v>
                </c:pt>
                <c:pt idx="1">
                  <c:v>支出总计</c:v>
                </c:pt>
              </c:strCache>
            </c:strRef>
          </c:cat>
          <c:val>
            <c:numRef>
              <c:f>'Sheet1 (5)'!$C$2:$C$3</c:f>
              <c:numCache>
                <c:formatCode>General</c:formatCode>
                <c:ptCount val="2"/>
                <c:pt idx="0">
                  <c:v>342.22</c:v>
                </c:pt>
                <c:pt idx="1">
                  <c:v>342.22</c:v>
                </c:pt>
              </c:numCache>
            </c:numRef>
          </c:val>
        </c:ser>
        <c:dLbls>
          <c:showLegendKey val="0"/>
          <c:showVal val="1"/>
          <c:showCatName val="0"/>
          <c:showSerName val="0"/>
          <c:showPercent val="0"/>
          <c:showBubbleSize val="0"/>
        </c:dLbls>
        <c:gapWidth val="65"/>
        <c:axId val="63731968"/>
        <c:axId val="122343424"/>
      </c:barChart>
      <c:catAx>
        <c:axId val="63731968"/>
        <c:scaling>
          <c:orientation val="minMax"/>
        </c:scaling>
        <c:delete val="0"/>
        <c:axPos val="b"/>
        <c:numFmt formatCode="General" sourceLinked="1"/>
        <c:majorTickMark val="none"/>
        <c:minorTickMark val="none"/>
        <c:tickLblPos val="nextTo"/>
        <c:spPr>
          <a:ln w="19050" cap="flat" cmpd="sng" algn="ctr">
            <a:solidFill>
              <a:srgbClr val="404040"/>
            </a:solidFill>
            <a:prstDash val="solid"/>
            <a:round/>
          </a:ln>
        </c:spPr>
        <c:txPr>
          <a:bodyPr rot="-60000000" spcFirstLastPara="0" vertOverflow="ellipsis" vert="horz" wrap="square" anchor="ctr" anchorCtr="1"/>
          <a:lstStyle/>
          <a:p>
            <a:pPr>
              <a:defRPr lang="zh-CN" sz="900" b="0" i="0" u="none" strike="noStrike" kern="1200" cap="all" baseline="0">
                <a:solidFill>
                  <a:srgbClr val="404040"/>
                </a:solidFill>
                <a:latin typeface="AR PL UKai CN"/>
                <a:ea typeface="AR PL UKai CN"/>
                <a:cs typeface="Lucida Sans" panose="020B0602030504020204"/>
              </a:defRPr>
            </a:pPr>
          </a:p>
        </c:txPr>
        <c:crossAx val="122343424"/>
        <c:crosses val="autoZero"/>
        <c:auto val="1"/>
        <c:lblAlgn val="ctr"/>
        <c:lblOffset val="100"/>
        <c:noMultiLvlLbl val="0"/>
      </c:catAx>
      <c:valAx>
        <c:axId val="122343424"/>
        <c:scaling>
          <c:orientation val="minMax"/>
        </c:scaling>
        <c:delete val="1"/>
        <c:axPos val="l"/>
        <c:majorGridlines>
          <c:spPr>
            <a:ln w="6350" cap="flat" cmpd="sng" algn="ctr">
              <a:solidFill>
                <a:srgbClr val="868686"/>
              </a:solidFill>
              <a:prstDash val="solid"/>
              <a:round/>
            </a:ln>
          </c:spPr>
        </c:majorGridlines>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rgbClr val="000000"/>
                </a:solidFill>
                <a:latin typeface="AR PL UKai CN"/>
                <a:ea typeface="AR PL UKai CN"/>
                <a:cs typeface="Lucida Sans" panose="020B0602030504020204"/>
              </a:defRPr>
            </a:pPr>
          </a:p>
        </c:txPr>
        <c:crossAx val="63731968"/>
        <c:crossesAt val="1"/>
        <c:crossBetween val="between"/>
      </c:valAx>
      <c:spPr>
        <a:noFill/>
        <a:ln>
          <a:noFill/>
        </a:ln>
      </c:spPr>
    </c:plotArea>
    <c:legend>
      <c:legendPos val="b"/>
      <c:layout/>
      <c:overlay val="0"/>
      <c:spPr>
        <a:solidFill>
          <a:srgbClr val="F2F2F2">
            <a:alpha val="39000"/>
          </a:srgbClr>
        </a:solidFill>
        <a:ln>
          <a:noFill/>
        </a:ln>
      </c:spPr>
      <c:txPr>
        <a:bodyPr rot="0" spcFirstLastPara="0" vertOverflow="ellipsis" vert="horz" wrap="square" anchor="ctr" anchorCtr="1"/>
        <a:lstStyle/>
        <a:p>
          <a:pPr>
            <a:defRPr lang="zh-CN" sz="900" b="0" i="0" u="none" strike="noStrike" kern="1200" baseline="0">
              <a:solidFill>
                <a:srgbClr val="404040"/>
              </a:solidFill>
              <a:latin typeface="AR PL UKai CN"/>
              <a:ea typeface="AR PL UKai CN"/>
              <a:cs typeface="Lucida Sans" panose="020B0602030504020204"/>
            </a:defRPr>
          </a:pPr>
        </a:p>
      </c:txPr>
    </c:legend>
    <c:plotVisOnly val="1"/>
    <c:dispBlanksAs val="gap"/>
    <c:showDLblsOverMax val="0"/>
    <c:extLst>
      <c:ext uri="{0b15fc19-7d7d-44ad-8c2d-2c3a37ce22c3}">
        <chartProps xmlns="https://web.wps.cn/et/2018/main" chartId="{44e47abd-132f-4291-9b76-bbcd63e1251b}"/>
      </c:ext>
    </c:extLst>
  </c:chart>
  <c:spPr>
    <a:gradFill rotWithShape="1">
      <a:gsLst>
        <a:gs pos="0">
          <a:srgbClr val="FFFFFF">
            <a:alpha val="100000"/>
          </a:srgbClr>
        </a:gs>
        <a:gs pos="39000">
          <a:srgbClr val="FFFFFF">
            <a:alpha val="100000"/>
          </a:srgbClr>
        </a:gs>
        <a:gs pos="100000">
          <a:srgbClr val="BFBFBF">
            <a:alpha val="100000"/>
          </a:srgbClr>
        </a:gs>
      </a:gsLst>
      <a:path path="circle">
        <a:fillToRect l="100000" t="100000"/>
      </a:path>
      <a:tileRect r="-100000" b="-100000"/>
    </a:gradFill>
    <a:ln w="6350" cap="flat" cmpd="sng" algn="ctr">
      <a:solidFill>
        <a:srgbClr val="BFBFBF"/>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hPercent val="100"/>
      <c:perspective val="0"/>
    </c:view3D>
    <c:floor>
      <c:thickness val="0"/>
      <c:spPr>
        <a:ln>
          <a:noFill/>
        </a:ln>
      </c:spPr>
    </c:floor>
    <c:sideWall>
      <c:thickness val="0"/>
      <c:spPr>
        <a:ln>
          <a:noFill/>
        </a:ln>
      </c:spPr>
    </c:sideWall>
    <c:backWall>
      <c:thickness val="0"/>
      <c:spPr>
        <a:noFill/>
        <a:ln>
          <a:noFill/>
        </a:ln>
      </c:spPr>
    </c:backWall>
    <c:plotArea>
      <c:layout>
        <c:manualLayout>
          <c:layoutTarget val="inner"/>
          <c:xMode val="edge"/>
          <c:yMode val="edge"/>
          <c:x val="0.027751757"/>
          <c:y val="0.06410879"/>
          <c:w val="0.647541"/>
          <c:h val="0.918407"/>
        </c:manualLayout>
      </c:layout>
      <c:pie3DChart>
        <c:varyColors val="1"/>
        <c:ser>
          <c:idx val="0"/>
          <c:order val="0"/>
          <c:tx>
            <c:strRef>
              <c:f>'Sheet1 (6)'!$B$1</c:f>
              <c:strCache>
                <c:ptCount val="1"/>
                <c:pt idx="0">
                  <c:v>列1</c:v>
                </c:pt>
              </c:strCache>
            </c:strRef>
          </c:tx>
          <c:explosion val="0"/>
          <c:dPt>
            <c:idx val="0"/>
            <c:bubble3D val="0"/>
            <c:spPr>
              <a:solidFill>
                <a:srgbClr val="4F81BD">
                  <a:alpha val="90000"/>
                </a:srgbClr>
              </a:solidFill>
              <a:ln w="19050">
                <a:solidFill>
                  <a:srgbClr val="376092"/>
                </a:solidFill>
                <a:prstDash val="solid"/>
              </a:ln>
            </c:spPr>
          </c:dPt>
          <c:dPt>
            <c:idx val="1"/>
            <c:bubble3D val="0"/>
            <c:spPr>
              <a:solidFill>
                <a:srgbClr val="C0504D">
                  <a:alpha val="90000"/>
                </a:srgbClr>
              </a:solidFill>
              <a:ln w="19050">
                <a:solidFill>
                  <a:srgbClr val="953735"/>
                </a:solidFill>
                <a:prstDash val="solid"/>
              </a:ln>
            </c:spPr>
          </c:dPt>
          <c:dPt>
            <c:idx val="2"/>
            <c:bubble3D val="0"/>
            <c:spPr>
              <a:solidFill>
                <a:srgbClr val="9BBB59">
                  <a:alpha val="90000"/>
                </a:srgbClr>
              </a:solidFill>
              <a:ln w="19050">
                <a:solidFill>
                  <a:srgbClr val="77933C"/>
                </a:solidFill>
                <a:prstDash val="solid"/>
              </a:ln>
            </c:spPr>
          </c:dPt>
          <c:dPt>
            <c:idx val="3"/>
            <c:bubble3D val="0"/>
            <c:spPr>
              <a:solidFill>
                <a:srgbClr val="8064A2">
                  <a:alpha val="90000"/>
                </a:srgbClr>
              </a:solidFill>
              <a:ln w="19050">
                <a:solidFill>
                  <a:srgbClr val="604A7B"/>
                </a:solidFill>
                <a:prstDash val="solid"/>
              </a:ln>
            </c:spPr>
          </c:dPt>
          <c:dLbls>
            <c:delete val="1"/>
          </c:dLbls>
          <c:cat>
            <c:strRef>
              <c:f>'Sheet1 (6)'!$A$2:$A$5</c:f>
              <c:strCache>
                <c:ptCount val="4"/>
                <c:pt idx="0">
                  <c:v>社会保障和就业支出</c:v>
                </c:pt>
                <c:pt idx="1">
                  <c:v>卫生健康支出</c:v>
                </c:pt>
                <c:pt idx="2">
                  <c:v>住房保障支出</c:v>
                </c:pt>
                <c:pt idx="3">
                  <c:v>教育支出</c:v>
                </c:pt>
              </c:strCache>
            </c:strRef>
          </c:cat>
          <c:val>
            <c:numRef>
              <c:f>'Sheet1 (6)'!$B$2:$B$5</c:f>
              <c:numCache>
                <c:formatCode>0.00%</c:formatCode>
                <c:ptCount val="4"/>
                <c:pt idx="0">
                  <c:v>0.8698</c:v>
                </c:pt>
                <c:pt idx="1">
                  <c:v>0.0508</c:v>
                </c:pt>
                <c:pt idx="2">
                  <c:v>0.0768</c:v>
                </c:pt>
                <c:pt idx="3">
                  <c:v>0.0026</c:v>
                </c:pt>
              </c:numCache>
            </c:numRef>
          </c:val>
        </c:ser>
        <c:dLbls>
          <c:showLegendKey val="0"/>
          <c:showVal val="0"/>
          <c:showCatName val="0"/>
          <c:showSerName val="0"/>
          <c:showPercent val="0"/>
          <c:showBubbleSize val="0"/>
        </c:dLbls>
      </c:pie3DChart>
      <c:spPr>
        <a:noFill/>
        <a:ln>
          <a:noFill/>
        </a:ln>
      </c:spPr>
    </c:plotArea>
    <c:legend>
      <c:legendPos val="r"/>
      <c:layout/>
      <c:overlay val="0"/>
      <c:spPr>
        <a:noFill/>
        <a:ln>
          <a:noFill/>
        </a:ln>
      </c:spPr>
      <c:txPr>
        <a:bodyPr rot="0" spcFirstLastPara="0" vertOverflow="ellipsis" vert="horz" wrap="square" anchor="ctr" anchorCtr="1"/>
        <a:lstStyle/>
        <a:p>
          <a:pPr>
            <a:defRPr lang="zh-CN" sz="900" b="0" i="0" u="none" strike="noStrike" kern="1200" baseline="0">
              <a:solidFill>
                <a:srgbClr val="808080"/>
              </a:solidFill>
              <a:latin typeface="AR PL UKai CN"/>
              <a:ea typeface="AR PL UKai CN"/>
              <a:cs typeface="Lucida Sans" panose="020B0602030504020204"/>
            </a:defRPr>
          </a:pPr>
        </a:p>
      </c:txPr>
    </c:legend>
    <c:plotVisOnly val="1"/>
    <c:dispBlanksAs val="zero"/>
    <c:showDLblsOverMax val="0"/>
    <c:extLst>
      <c:ext uri="{0b15fc19-7d7d-44ad-8c2d-2c3a37ce22c3}">
        <chartProps xmlns="https://web.wps.cn/et/2018/main" chartId="{147d3819-ef2a-4896-9ef9-b84368560edb}"/>
      </c:ext>
    </c:extLst>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 (7)'!$B$1</c:f>
              <c:strCache>
                <c:ptCount val="1"/>
                <c:pt idx="0">
                  <c:v>2023</c:v>
                </c:pt>
              </c:strCache>
            </c:strRef>
          </c:tx>
          <c:spPr>
            <a:solidFill>
              <a:srgbClr val="4F81BD"/>
            </a:solidFill>
            <a:ln>
              <a:noFill/>
            </a:ln>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panose="020B0602030504020204"/>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(7)'!$A$2:$A$3</c:f>
              <c:strCache>
                <c:ptCount val="2"/>
                <c:pt idx="0">
                  <c:v>公务接待费用</c:v>
                </c:pt>
                <c:pt idx="1">
                  <c:v>公务用车购置及运行维护费</c:v>
                </c:pt>
              </c:strCache>
            </c:strRef>
          </c:cat>
          <c:val>
            <c:numRef>
              <c:f>'Sheet1 (7)'!$B$2:$B$3</c:f>
              <c:numCache>
                <c:formatCode>General</c:formatCode>
                <c:ptCount val="2"/>
                <c:pt idx="1">
                  <c:v>1.8</c:v>
                </c:pt>
              </c:numCache>
            </c:numRef>
          </c:val>
        </c:ser>
        <c:ser>
          <c:idx val="1"/>
          <c:order val="1"/>
          <c:tx>
            <c:strRef>
              <c:f>'Sheet1 (7)'!$C$1</c:f>
              <c:strCache>
                <c:ptCount val="1"/>
                <c:pt idx="0">
                  <c:v>2024</c:v>
                </c:pt>
              </c:strCache>
            </c:strRef>
          </c:tx>
          <c:spPr>
            <a:solidFill>
              <a:srgbClr val="D99694"/>
            </a:solidFill>
            <a:ln>
              <a:noFill/>
            </a:ln>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panose="020B0602030504020204"/>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(7)'!$A$2:$A$3</c:f>
              <c:strCache>
                <c:ptCount val="2"/>
                <c:pt idx="0">
                  <c:v>公务接待费用</c:v>
                </c:pt>
                <c:pt idx="1">
                  <c:v>公务用车购置及运行维护费</c:v>
                </c:pt>
              </c:strCache>
            </c:strRef>
          </c:cat>
          <c:val>
            <c:numRef>
              <c:f>'Sheet1 (7)'!$C$2:$C$3</c:f>
              <c:numCache>
                <c:formatCode>General</c:formatCode>
                <c:ptCount val="2"/>
                <c:pt idx="1">
                  <c:v>1.48</c:v>
                </c:pt>
              </c:numCache>
            </c:numRef>
          </c:val>
        </c:ser>
        <c:dLbls>
          <c:showLegendKey val="0"/>
          <c:showVal val="1"/>
          <c:showCatName val="0"/>
          <c:showSerName val="0"/>
          <c:showPercent val="0"/>
          <c:showBubbleSize val="0"/>
        </c:dLbls>
        <c:gapWidth val="75"/>
        <c:axId val="127946752"/>
        <c:axId val="127948288"/>
      </c:barChart>
      <c:catAx>
        <c:axId val="127946752"/>
        <c:scaling>
          <c:orientation val="minMax"/>
        </c:scaling>
        <c:delete val="0"/>
        <c:axPos val="b"/>
        <c:numFmt formatCode="General" sourceLinked="1"/>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crossAx val="127948288"/>
        <c:crosses val="autoZero"/>
        <c:auto val="1"/>
        <c:lblAlgn val="ctr"/>
        <c:lblOffset val="100"/>
        <c:noMultiLvlLbl val="0"/>
      </c:catAx>
      <c:valAx>
        <c:axId val="127948288"/>
        <c:scaling>
          <c:orientation val="minMax"/>
          <c:max val="4"/>
        </c:scaling>
        <c:delete val="0"/>
        <c:axPos val="l"/>
        <c:majorGridlines>
          <c:spPr>
            <a:ln w="6350" cap="flat" cmpd="sng" algn="ctr">
              <a:solidFill>
                <a:srgbClr val="D9D9D9"/>
              </a:solidFill>
              <a:prstDash val="solid"/>
              <a:round/>
            </a:ln>
          </c:spPr>
        </c:majorGridlines>
        <c:title>
          <c:tx>
            <c:rich>
              <a:bodyPr rot="-5400000" spcFirstLastPara="0" vertOverflow="ellipsis" vert="horz" wrap="square" anchor="ctr" anchorCtr="1"/>
              <a:lstStyle/>
              <a:p>
                <a:pPr>
                  <a:defRPr lang="zh-CN" sz="1000" b="0" i="0" u="none" strike="noStrike" kern="1200" baseline="0">
                    <a:solidFill>
                      <a:srgbClr val="595959"/>
                    </a:solidFill>
                    <a:latin typeface="AR PL UKai CN"/>
                    <a:ea typeface="AR PL UKai CN"/>
                    <a:cs typeface="Lucida Sans" panose="020B0602030504020204"/>
                  </a:defRPr>
                </a:pPr>
                <a:r>
                  <a:rPr lang="zh-CN"/>
                  <a:t>单位：万元</a:t>
                </a:r>
                <a:endParaRPr lang="zh-CN"/>
              </a:p>
            </c:rich>
          </c:tx>
          <c:layout/>
          <c:overlay val="0"/>
          <c:spPr>
            <a:noFill/>
            <a:ln>
              <a:noFill/>
            </a:ln>
          </c:spPr>
        </c:title>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crossAx val="127946752"/>
        <c:crossesAt val="1"/>
        <c:crossBetween val="between"/>
      </c:valAx>
      <c:dTable>
        <c:showHorzBorder val="1"/>
        <c:showVertBorder val="1"/>
        <c:showOutline val="1"/>
        <c:showKeys val="1"/>
        <c:spPr>
          <a:ln w="6350" cap="flat" cmpd="sng" algn="ctr">
            <a:solidFill>
              <a:srgbClr val="D9D9D9"/>
            </a:solidFill>
            <a:prstDash val="solid"/>
            <a:round/>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dTable>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legend>
    <c:plotVisOnly val="1"/>
    <c:dispBlanksAs val="gap"/>
    <c:showDLblsOverMax val="0"/>
    <c:extLst>
      <c:ext uri="{0b15fc19-7d7d-44ad-8c2d-2c3a37ce22c3}">
        <chartProps xmlns="https://web.wps.cn/et/2018/main" chartId="{d5df77b3-36ed-450e-9532-beeb7a234d63}"/>
      </c:ext>
    </c:extLst>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layout/>
      <c:overlay val="0"/>
      <c:txPr>
        <a:bodyPr rot="0" spcFirstLastPara="0" vertOverflow="ellipsis" vert="horz" wrap="square" anchor="ctr" anchorCtr="1"/>
        <a:lstStyle/>
        <a:p>
          <a:pPr>
            <a:defRPr lang="zh-CN" sz="1200" b="0" i="0" u="none" strike="noStrike" kern="1200" baseline="0">
              <a:solidFill>
                <a:srgbClr val="000000"/>
              </a:solidFill>
              <a:latin typeface="AR PL UKai CN"/>
              <a:ea typeface="AR PL UKai CN"/>
              <a:cs typeface="Lucida Sans" panose="020B0602030504020204"/>
            </a:defRPr>
          </a:pPr>
        </a:p>
      </c:txPr>
    </c:title>
    <c:autoTitleDeleted val="0"/>
    <c:view3D>
      <c:rotX val="30"/>
      <c:rotY val="0"/>
      <c:depthPercent val="100"/>
      <c:rAngAx val="0"/>
      <c:hPercent val="100"/>
      <c:perspective val="0"/>
    </c:view3D>
    <c:floor>
      <c:thickness val="0"/>
      <c:spPr>
        <a:ln>
          <a:noFill/>
        </a:ln>
      </c:spPr>
    </c:floor>
    <c:sideWall>
      <c:thickness val="0"/>
      <c:spPr>
        <a:ln>
          <a:noFill/>
        </a:ln>
      </c:spPr>
    </c:sideWall>
    <c:backWall>
      <c:thickness val="0"/>
      <c:spPr>
        <a:noFill/>
        <a:ln>
          <a:noFill/>
        </a:ln>
      </c:spPr>
    </c:backWall>
    <c:plotArea>
      <c:layout>
        <c:manualLayout>
          <c:layoutTarget val="inner"/>
          <c:xMode val="edge"/>
          <c:yMode val="edge"/>
          <c:x val="0.024820609"/>
          <c:y val="0.10466507"/>
          <c:w val="0.94659454"/>
          <c:h val="0.87739235"/>
        </c:manualLayout>
      </c:layout>
      <c:pie3DChart>
        <c:varyColors val="1"/>
        <c:ser>
          <c:idx val="0"/>
          <c:order val="0"/>
          <c:tx>
            <c:strRef>
              <c:f>'Sheet1 (3)'!$B$1</c:f>
              <c:strCache>
                <c:ptCount val="1"/>
                <c:pt idx="0">
                  <c:v>金额</c:v>
                </c:pt>
              </c:strCache>
            </c:strRef>
          </c:tx>
          <c:explosion val="0"/>
          <c:dPt>
            <c:idx val="0"/>
            <c:bubble3D val="0"/>
            <c:spPr>
              <a:solidFill>
                <a:srgbClr val="4F81BD"/>
              </a:solidFill>
              <a:ln w="25400">
                <a:solidFill>
                  <a:srgbClr val="FFFFFF"/>
                </a:solidFill>
                <a:prstDash val="solid"/>
              </a:ln>
            </c:spPr>
          </c:dPt>
          <c:dPt>
            <c:idx val="1"/>
            <c:bubble3D val="0"/>
            <c:spPr>
              <a:solidFill>
                <a:srgbClr val="C0504D"/>
              </a:solidFill>
              <a:ln w="25400">
                <a:solidFill>
                  <a:srgbClr val="FFFFFF"/>
                </a:solidFill>
                <a:prstDash val="solid"/>
              </a:ln>
            </c:spPr>
          </c:dPt>
          <c:dPt>
            <c:idx val="2"/>
            <c:bubble3D val="0"/>
            <c:spPr>
              <a:solidFill>
                <a:srgbClr val="9BBB59"/>
              </a:solidFill>
              <a:ln w="25400">
                <a:solidFill>
                  <a:srgbClr val="FFFFFF"/>
                </a:solidFill>
                <a:prstDash val="solid"/>
              </a:ln>
            </c:spPr>
          </c:dPt>
          <c:dPt>
            <c:idx val="3"/>
            <c:bubble3D val="0"/>
            <c:spPr>
              <a:solidFill>
                <a:srgbClr val="8064A2"/>
              </a:solidFill>
              <a:ln w="25400">
                <a:solidFill>
                  <a:srgbClr val="FFFFFF"/>
                </a:solidFill>
                <a:prstDash val="solid"/>
              </a:ln>
            </c:spPr>
          </c:dPt>
          <c:dLbls>
            <c:dLbl>
              <c:idx val="0"/>
              <c:delete val="1"/>
            </c:dLbl>
            <c:dLbl>
              <c:idx val="1"/>
              <c:delete val="1"/>
            </c:dLbl>
            <c:dLbl>
              <c:idx val="2"/>
              <c:delete val="1"/>
            </c:dLbl>
            <c:dLbl>
              <c:idx val="3"/>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panose="020B0602030504020204"/>
                  </a:defRPr>
                </a:pPr>
              </a:p>
            </c:txPr>
            <c:dLblPos val="bestFit"/>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(3)'!$A$2:$A$5</c:f>
              <c:strCache>
                <c:ptCount val="4"/>
                <c:pt idx="0">
                  <c:v>财政拨款收入</c:v>
                </c:pt>
                <c:pt idx="1">
                  <c:v>事业收入</c:v>
                </c:pt>
                <c:pt idx="2">
                  <c:v>经营收入</c:v>
                </c:pt>
                <c:pt idx="3">
                  <c:v>其他收入</c:v>
                </c:pt>
              </c:strCache>
            </c:strRef>
          </c:cat>
          <c:val>
            <c:numRef>
              <c:f>'Sheet1 (3)'!$B$2:$B$5</c:f>
              <c:numCache>
                <c:formatCode>General</c:formatCode>
                <c:ptCount val="4"/>
                <c:pt idx="0">
                  <c:v>342.22</c:v>
                </c:pt>
                <c:pt idx="1">
                  <c:v>0</c:v>
                </c:pt>
                <c:pt idx="2">
                  <c:v>0</c:v>
                </c:pt>
                <c:pt idx="3">
                  <c:v>0</c:v>
                </c:pt>
              </c:numCache>
            </c:numRef>
          </c:val>
        </c:ser>
        <c:dLbls>
          <c:showLegendKey val="0"/>
          <c:showVal val="0"/>
          <c:showCatName val="0"/>
          <c:showSerName val="0"/>
          <c:showPercent val="0"/>
          <c:showBubbleSize val="0"/>
        </c:dLbls>
      </c:pie3DChart>
      <c:spPr>
        <a:noFill/>
        <a:ln>
          <a:noFill/>
        </a:ln>
      </c:spPr>
    </c:plotArea>
    <c:legend>
      <c:legendPos val="r"/>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legend>
    <c:plotVisOnly val="1"/>
    <c:dispBlanksAs val="zero"/>
    <c:showDLblsOverMax val="0"/>
    <c:extLst>
      <c:ext uri="{0b15fc19-7d7d-44ad-8c2d-2c3a37ce22c3}">
        <chartProps xmlns="https://web.wps.cn/et/2018/main" chartId="{570ff3fc-e0c6-443c-acc5-25e646e86555}"/>
      </c:ext>
    </c:extLst>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200" b="0" i="0" u="none" strike="noStrike" kern="1200" baseline="0">
              <a:solidFill>
                <a:srgbClr val="000000"/>
              </a:solidFill>
              <a:latin typeface="AR PL UKai CN"/>
              <a:ea typeface="AR PL UKai CN"/>
              <a:cs typeface="Lucida Sans" panose="020B0602030504020204"/>
            </a:defRPr>
          </a:pPr>
        </a:p>
      </c:txPr>
    </c:title>
    <c:autoTitleDeleted val="0"/>
    <c:view3D>
      <c:rotX val="30"/>
      <c:rotY val="0"/>
      <c:depthPercent val="100"/>
      <c:rAngAx val="0"/>
      <c:hPercent val="100"/>
      <c:perspective val="0"/>
    </c:view3D>
    <c:floor>
      <c:thickness val="0"/>
      <c:spPr>
        <a:ln>
          <a:noFill/>
        </a:ln>
      </c:spPr>
    </c:floor>
    <c:sideWall>
      <c:thickness val="0"/>
      <c:spPr>
        <a:ln>
          <a:noFill/>
        </a:ln>
      </c:spPr>
    </c:sideWall>
    <c:backWall>
      <c:thickness val="0"/>
      <c:spPr>
        <a:noFill/>
        <a:ln>
          <a:noFill/>
        </a:ln>
      </c:spPr>
    </c:backWall>
    <c:plotArea>
      <c:layout/>
      <c:pie3DChart>
        <c:varyColors val="1"/>
        <c:ser>
          <c:idx val="0"/>
          <c:order val="0"/>
          <c:tx>
            <c:strRef>
              <c:f>'Sheet1 (4)'!$B$1</c:f>
              <c:strCache>
                <c:ptCount val="1"/>
                <c:pt idx="0">
                  <c:v>金额</c:v>
                </c:pt>
              </c:strCache>
            </c:strRef>
          </c:tx>
          <c:explosion val="0"/>
          <c:dPt>
            <c:idx val="0"/>
            <c:bubble3D val="0"/>
            <c:spPr>
              <a:solidFill>
                <a:srgbClr val="4F81BD"/>
              </a:solidFill>
              <a:ln>
                <a:noFill/>
              </a:ln>
              <a:effectLst>
                <a:outerShdw dist="35921" dir="2700000" algn="br">
                  <a:srgbClr val="000000"/>
                </a:outerShdw>
              </a:effectLst>
            </c:spPr>
          </c:dPt>
          <c:dPt>
            <c:idx val="1"/>
            <c:bubble3D val="0"/>
            <c:spPr>
              <a:solidFill>
                <a:srgbClr val="C0504D"/>
              </a:solidFill>
              <a:ln>
                <a:noFill/>
              </a:ln>
              <a:effectLst>
                <a:outerShdw dist="35921" dir="2700000" algn="br">
                  <a:srgbClr val="000000"/>
                </a:outerShdw>
              </a:effectLst>
            </c:spPr>
          </c:dPt>
          <c:dLbls>
            <c:dLbl>
              <c:idx val="0"/>
              <c:layout>
                <c:manualLayout>
                  <c:x val="0.27417815"/>
                  <c:y val="0"/>
                </c:manualLayout>
              </c:layout>
              <c:tx>
                <c:rich>
                  <a:bodyPr rot="0" spcFirstLastPara="0" vertOverflow="ellipsis" vert="horz" wrap="square" lIns="38100" tIns="19050" rIns="38100" bIns="19050" anchor="ctr" anchorCtr="1"/>
                  <a:lstStyle/>
                  <a:p>
                    <a:pPr>
                      <a:defRPr lang="zh-CN" sz="1000" b="1" i="0" u="none" strike="noStrike" kern="1200" baseline="0">
                        <a:solidFill>
                          <a:srgbClr val="4F81BD"/>
                        </a:solidFill>
                        <a:latin typeface="AR PL UKai CN"/>
                        <a:ea typeface="AR PL UKai CN"/>
                        <a:cs typeface="Lucida Sans" panose="020B0602030504020204"/>
                      </a:defRPr>
                    </a:pPr>
                    <a:r>
                      <a:rPr lang="zh-CN" sz="1000" b="1" i="0" u="none" strike="noStrike" baseline="0">
                        <a:solidFill>
                          <a:srgbClr val="4F81BD"/>
                        </a:solidFill>
                        <a:latin typeface="AR PL UKai CN"/>
                        <a:ea typeface="AR PL UKai CN"/>
                        <a:cs typeface="Lucida Sans" panose="020B0602030504020204"/>
                      </a:rPr>
                      <a:t>基本支出
</a:t>
                    </a:r>
                    <a:r>
                      <a:rPr lang="en-US" altLang="zh-CN" sz="1000" b="1" i="0" u="none" strike="noStrike" baseline="0">
                        <a:solidFill>
                          <a:srgbClr val="4F81BD"/>
                        </a:solidFill>
                        <a:latin typeface="AR PL UKai CN"/>
                        <a:ea typeface="AR PL UKai CN"/>
                        <a:cs typeface="Lucida Sans" panose="020B0602030504020204"/>
                      </a:rPr>
                      <a:t>93.02</a:t>
                    </a:r>
                    <a:r>
                      <a:rPr lang="zh-CN" sz="1000" b="1" i="0" u="none" strike="noStrike" baseline="0">
                        <a:solidFill>
                          <a:srgbClr val="4F81BD"/>
                        </a:solidFill>
                        <a:latin typeface="AR PL UKai CN"/>
                        <a:ea typeface="AR PL UKai CN"/>
                        <a:cs typeface="Lucida Sans" panose="020B0602030504020204"/>
                      </a:rPr>
                      <a:t>%</a:t>
                    </a:r>
                    <a:endParaRPr lang="zh-CN" sz="1000" b="1" i="0" u="none" strike="noStrike" baseline="0">
                      <a:solidFill>
                        <a:srgbClr val="4F81BD"/>
                      </a:solidFill>
                      <a:latin typeface="AR PL UKai CN"/>
                      <a:ea typeface="AR PL UKai CN"/>
                      <a:cs typeface="Lucida Sans" panose="020B0602030504020204"/>
                    </a:endParaRPr>
                  </a:p>
                </c:rich>
              </c:tx>
              <c:numFmt formatCode="0%" sourceLinked="0"/>
              <c:spPr>
                <a:noFill/>
                <a:ln>
                  <a:noFill/>
                </a:ln>
                <a:effectLst/>
              </c:spPr>
              <c:txPr>
                <a:bodyPr rot="0" spcFirstLastPara="0" vertOverflow="ellipsis" vert="horz" wrap="square" lIns="38100" tIns="19050" rIns="38100" bIns="19050" anchor="ctr" anchorCtr="1"/>
                <a:lstStyle/>
                <a:p>
                  <a:pPr>
                    <a:defRPr lang="zh-CN" sz="1000" b="1" i="0" u="none" strike="noStrike" kern="1200" baseline="0">
                      <a:solidFill>
                        <a:srgbClr val="4F81BD"/>
                      </a:solidFill>
                      <a:latin typeface="AR PL UKai CN"/>
                      <a:ea typeface="AR PL UKai CN"/>
                      <a:cs typeface="Lucida Sans" panose="020B0602030504020204"/>
                    </a:defRPr>
                  </a:pPr>
                </a:p>
              </c:txPr>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dLbl>
              <c:idx val="1"/>
              <c:layout>
                <c:manualLayout>
                  <c:x val="-0.27622426"/>
                  <c:y val="0.018189168"/>
                </c:manualLayout>
              </c:layout>
              <c:tx>
                <c:rich>
                  <a:bodyPr rot="0" spcFirstLastPara="0" vertOverflow="ellipsis" vert="horz" wrap="square" lIns="38100" tIns="19050" rIns="38100" bIns="19050" anchor="ctr" anchorCtr="1"/>
                  <a:lstStyle/>
                  <a:p>
                    <a:pPr>
                      <a:defRPr lang="zh-CN" sz="1000" b="1" i="0" u="none" strike="noStrike" kern="1200" baseline="0">
                        <a:solidFill>
                          <a:srgbClr val="4F81BD"/>
                        </a:solidFill>
                        <a:latin typeface="AR PL UKai CN"/>
                        <a:ea typeface="AR PL UKai CN"/>
                        <a:cs typeface="Lucida Sans" panose="020B0602030504020204"/>
                      </a:defRPr>
                    </a:pPr>
                    <a:r>
                      <a:rPr lang="zh-CN" sz="1000" b="1" i="0" u="none" strike="noStrike" baseline="0">
                        <a:solidFill>
                          <a:srgbClr val="C0504D"/>
                        </a:solidFill>
                        <a:latin typeface="AR PL UKai CN"/>
                        <a:ea typeface="AR PL UKai CN"/>
                        <a:cs typeface="Lucida Sans" panose="020B0602030504020204"/>
                      </a:rPr>
                      <a:t>项目支出</a:t>
                    </a:r>
                    <a:r>
                      <a:rPr lang="zh-CN" sz="1000" b="1" i="0" u="none" strike="noStrike" baseline="0">
                        <a:solidFill>
                          <a:srgbClr val="4F81BD"/>
                        </a:solidFill>
                        <a:latin typeface="AR PL UKai CN"/>
                        <a:ea typeface="AR PL UKai CN"/>
                        <a:cs typeface="Lucida Sans" panose="020B0602030504020204"/>
                      </a:rPr>
                      <a:t>
</a:t>
                    </a:r>
                    <a:r>
                      <a:rPr lang="en-US" altLang="zh-CN" sz="1000" b="1" i="0" u="none" strike="noStrike" baseline="0">
                        <a:solidFill>
                          <a:srgbClr val="C0504D"/>
                        </a:solidFill>
                        <a:latin typeface="AR PL UKai CN"/>
                        <a:ea typeface="AR PL UKai CN"/>
                        <a:cs typeface="Lucida Sans" panose="020B0602030504020204"/>
                      </a:rPr>
                      <a:t>6.98</a:t>
                    </a:r>
                    <a:r>
                      <a:rPr lang="zh-CN" sz="1000" b="1" i="0" u="none" strike="noStrike" baseline="0">
                        <a:solidFill>
                          <a:srgbClr val="C0504D"/>
                        </a:solidFill>
                        <a:latin typeface="AR PL UKai CN"/>
                        <a:ea typeface="AR PL UKai CN"/>
                        <a:cs typeface="Lucida Sans" panose="020B0602030504020204"/>
                      </a:rPr>
                      <a:t>%</a:t>
                    </a:r>
                    <a:endParaRPr lang="zh-CN" sz="1000" b="1" i="0" u="none" strike="noStrike" baseline="0">
                      <a:solidFill>
                        <a:srgbClr val="C0504D"/>
                      </a:solidFill>
                      <a:latin typeface="AR PL UKai CN"/>
                      <a:ea typeface="AR PL UKai CN"/>
                      <a:cs typeface="Lucida Sans" panose="020B0602030504020204"/>
                    </a:endParaRPr>
                  </a:p>
                </c:rich>
              </c:tx>
              <c:numFmt formatCode="0%" sourceLinked="0"/>
              <c:spPr>
                <a:noFill/>
                <a:ln>
                  <a:noFill/>
                </a:ln>
                <a:effectLst/>
              </c:spPr>
              <c:txPr>
                <a:bodyPr rot="0" spcFirstLastPara="0" vertOverflow="ellipsis" vert="horz" wrap="square" lIns="38100" tIns="19050" rIns="38100" bIns="19050" anchor="ctr" anchorCtr="1"/>
                <a:lstStyle/>
                <a:p>
                  <a:pPr>
                    <a:defRPr lang="zh-CN" sz="1000" b="1" i="0" u="none" strike="noStrike" kern="1200" baseline="0">
                      <a:solidFill>
                        <a:srgbClr val="4F81BD"/>
                      </a:solidFill>
                      <a:latin typeface="AR PL UKai CN"/>
                      <a:ea typeface="AR PL UKai CN"/>
                      <a:cs typeface="Lucida Sans" panose="020B0602030504020204"/>
                    </a:defRPr>
                  </a:pPr>
                </a:p>
              </c:txPr>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numFmt formatCode="0%" sourceLinked="0"/>
            <c:spPr>
              <a:noFill/>
              <a:ln>
                <a:noFill/>
              </a:ln>
              <a:effectLst/>
            </c:spPr>
            <c:txPr>
              <a:bodyPr rot="0" spcFirstLastPara="0" vertOverflow="ellipsis" vert="horz" wrap="square" lIns="38100" tIns="19050" rIns="38100" bIns="19050" anchor="ctr" anchorCtr="1"/>
              <a:lstStyle/>
              <a:p>
                <a:pPr>
                  <a:defRPr lang="zh-CN" sz="1000" b="1" i="0" u="none" strike="noStrike" kern="1200" baseline="0">
                    <a:solidFill>
                      <a:srgbClr val="4F81BD"/>
                    </a:solidFill>
                    <a:latin typeface="AR PL UKai CN"/>
                    <a:ea typeface="AR PL UKai CN"/>
                    <a:cs typeface="Lucida Sans" panose="020B0602030504020204"/>
                  </a:defRPr>
                </a:pPr>
              </a:p>
            </c:txPr>
            <c:dLblPos val="outEnd"/>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ext>
            </c:extLst>
          </c:dLbls>
          <c:cat>
            <c:strRef>
              <c:f>'Sheet1 (4)'!$A$2:$A$3</c:f>
              <c:strCache>
                <c:ptCount val="2"/>
                <c:pt idx="0">
                  <c:v>基本支出</c:v>
                </c:pt>
                <c:pt idx="1">
                  <c:v>项目支出</c:v>
                </c:pt>
              </c:strCache>
            </c:strRef>
          </c:cat>
          <c:val>
            <c:numRef>
              <c:f>'Sheet1 (4)'!$B$2:$B$3</c:f>
              <c:numCache>
                <c:formatCode>General</c:formatCode>
                <c:ptCount val="2"/>
                <c:pt idx="0">
                  <c:v>93.47</c:v>
                </c:pt>
                <c:pt idx="1">
                  <c:v>6.53</c:v>
                </c:pt>
              </c:numCache>
            </c:numRef>
          </c:val>
        </c:ser>
        <c:dLbls>
          <c:showLegendKey val="0"/>
          <c:showVal val="0"/>
          <c:showCatName val="1"/>
          <c:showSerName val="0"/>
          <c:showPercent val="1"/>
          <c:showBubbleSize val="0"/>
        </c:dLbls>
      </c:pie3DChart>
      <c:spPr>
        <a:noFill/>
        <a:ln>
          <a:noFill/>
        </a:ln>
      </c:spPr>
    </c:plotArea>
    <c:legend>
      <c:legendPos val="r"/>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legend>
    <c:plotVisOnly val="1"/>
    <c:dispBlanksAs val="zero"/>
    <c:showDLblsOverMax val="0"/>
    <c:extLst>
      <c:ext uri="{0b15fc19-7d7d-44ad-8c2d-2c3a37ce22c3}">
        <chartProps xmlns="https://web.wps.cn/et/2018/main" chartId="{c901bffa-9652-4f67-a5c5-5de6a383165b}"/>
      </c:ext>
    </c:extLst>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50"/>
    <customShpInfo spid="_x0000_s204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33</Pages>
  <Words>11316</Words>
  <Characters>12643</Characters>
  <Lines>54</Lines>
  <Paragraphs>15</Paragraphs>
  <TotalTime>8</TotalTime>
  <ScaleCrop>false</ScaleCrop>
  <LinksUpToDate>false</LinksUpToDate>
  <CharactersWithSpaces>12751</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2022-08-22T02:58:00Z</dcterms:created>
  <dc:creator>xbany</dc:creator>
  <cp:lastModifiedBy>多喝烫水。</cp:lastModifiedBy>
  <cp:lastPrinted>2023-08-25T05:23:00Z</cp:lastPrinted>
  <dcterms:modified xsi:type="dcterms:W3CDTF">2025-08-21T03:38:43Z</dcterms:modified>
  <cp:revision>70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E916E431AA57413193A1690AF56CAD83</vt:lpwstr>
  </property>
  <property fmtid="{D5CDD505-2E9C-101B-9397-08002B2CF9AE}" pid="4" name="KSOTemplateDocerSaveRecord">
    <vt:lpwstr>eyJoZGlkIjoiNWE4NGViZjU0MzVjNDA1ZWUyM2EwMDQ1ZWE5YThiMzYiLCJ1c2VySWQiOiI3MTE0Mjk0MzQifQ==</vt:lpwstr>
  </property>
</Properties>
</file>