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方正小标宋_GBK" w:eastAsia="方正小标宋_GBK" w:cs="方正小标宋_GBK" w:hint="eastAsia"/>
          <w:sz w:val="44"/>
          <w:szCs w:val="44"/>
        </w:rPr>
      </w:pPr>
      <w:r>
        <w:rPr>
          <w:rFonts w:ascii="方正小标宋_GBK" w:eastAsia="方正小标宋_GBK" w:cs="方正小标宋_GBK" w:hint="eastAsia"/>
          <w:sz w:val="44"/>
          <w:szCs w:val="44"/>
        </w:rPr>
        <w:t>金川县社会保险事务中心</w:t>
      </w:r>
    </w:p>
    <w:p>
      <w:pPr>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重点项目预算的绩效目标情况说明</w:t>
      </w:r>
    </w:p>
    <w:p>
      <w:pPr>
        <w:keepNext w:val="0"/>
        <w:keepLines w:val="0"/>
        <w:pageBreakBefore w:val="0"/>
        <w:widowControl w:val="0"/>
        <w:kinsoku/>
        <w:wordWrap/>
        <w:overflowPunct/>
        <w:topLinePunct w:val="0"/>
        <w:autoSpaceDE/>
        <w:autoSpaceDN/>
        <w:bidi w:val="0"/>
        <w:adjustRightInd/>
        <w:spacing w:line="640" w:lineRule="exact"/>
        <w:ind w:firstLineChars="200" w:firstLine="640"/>
        <w:textAlignment w:val="auto"/>
        <w:rPr>
          <w:rFonts w:ascii="仿宋_GB2312" w:eastAsia="仿宋_GB2312" w:cs="仿宋_GB2312"/>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年，我单位部门预算</w:t>
      </w:r>
      <w:r>
        <w:rPr>
          <w:rFonts w:ascii="仿宋_GB2312" w:eastAsia="仿宋_GB2312" w:cs="仿宋_GB2312" w:hint="eastAsia"/>
          <w:sz w:val="32"/>
          <w:szCs w:val="32"/>
          <w:lang w:val="en-US" w:eastAsia="zh-CN"/>
        </w:rPr>
        <w:t>1354.42</w:t>
      </w:r>
      <w:r>
        <w:rPr>
          <w:rFonts w:ascii="仿宋_GB2312" w:eastAsia="仿宋_GB2312" w:cs="仿宋_GB2312" w:hint="eastAsia"/>
          <w:sz w:val="32"/>
          <w:szCs w:val="32"/>
        </w:rPr>
        <w:t>万元 ，均严格按绩效管理要求实现项目绩效目标管理，其中重点项目预算4个，现将情况说明如下：</w:t>
      </w:r>
    </w:p>
    <w:p>
      <w:pPr>
        <w:keepNext w:val="0"/>
        <w:keepLines w:val="0"/>
        <w:pageBreakBefore w:val="0"/>
        <w:widowControl w:val="0"/>
        <w:kinsoku/>
        <w:wordWrap/>
        <w:overflowPunct/>
        <w:topLinePunct w:val="0"/>
        <w:autoSpaceDE/>
        <w:autoSpaceDN/>
        <w:bidi w:val="0"/>
        <w:adjustRightInd/>
        <w:spacing w:line="640" w:lineRule="exact"/>
        <w:ind w:firstLineChars="200" w:firstLine="640"/>
        <w:textAlignment w:val="auto"/>
        <w:rPr>
          <w:rFonts w:ascii="黑体" w:eastAsia="黑体" w:cs="黑体"/>
          <w:sz w:val="32"/>
          <w:szCs w:val="32"/>
        </w:rPr>
      </w:pPr>
      <w:r>
        <w:rPr>
          <w:rFonts w:ascii="黑体" w:eastAsia="黑体" w:cs="黑体" w:hint="eastAsia"/>
          <w:sz w:val="32"/>
          <w:szCs w:val="32"/>
        </w:rPr>
        <w:t>一、单位预算绩效管理工作开展情况。</w:t>
      </w:r>
    </w:p>
    <w:p>
      <w:pPr>
        <w:keepNext w:val="0"/>
        <w:keepLines w:val="0"/>
        <w:pageBreakBefore w:val="0"/>
        <w:widowControl w:val="0"/>
        <w:kinsoku/>
        <w:wordWrap/>
        <w:overflowPunct/>
        <w:topLinePunct w:val="0"/>
        <w:autoSpaceDE/>
        <w:autoSpaceDN/>
        <w:bidi w:val="0"/>
        <w:adjustRightInd/>
        <w:spacing w:line="640" w:lineRule="exact"/>
        <w:ind w:firstLineChars="200" w:firstLine="640"/>
        <w:textAlignment w:val="auto"/>
        <w:rPr>
          <w:rFonts w:ascii="仿宋_GB2312" w:eastAsia="仿宋_GB2312" w:cs="仿宋_GB2312"/>
          <w:sz w:val="32"/>
          <w:szCs w:val="32"/>
        </w:rPr>
      </w:pPr>
      <w:r>
        <w:rPr>
          <w:rFonts w:ascii="仿宋_GB2312" w:eastAsia="仿宋_GB2312" w:cs="仿宋_GB2312" w:hint="eastAsia"/>
          <w:sz w:val="32"/>
          <w:szCs w:val="32"/>
        </w:rPr>
        <w:t xml:space="preserve"> 完成了202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年本级部门预算整体绩效目标申报和4个重点项目预算绩效目标申报，并编报4个重点项目预算事前绩效评估报告。</w:t>
      </w:r>
    </w:p>
    <w:p>
      <w:pPr>
        <w:keepNext w:val="0"/>
        <w:keepLines w:val="0"/>
        <w:pageBreakBefore w:val="0"/>
        <w:widowControl w:val="0"/>
        <w:numPr>
          <w:ilvl w:val="0"/>
          <w:numId w:val="1"/>
        </w:numPr>
        <w:kinsoku/>
        <w:wordWrap/>
        <w:overflowPunct/>
        <w:topLinePunct w:val="0"/>
        <w:autoSpaceDE/>
        <w:autoSpaceDN/>
        <w:bidi w:val="0"/>
        <w:adjustRightInd/>
        <w:spacing w:line="640" w:lineRule="exact"/>
        <w:ind w:left="0" w:firstLineChars="200" w:firstLine="640"/>
        <w:textAlignment w:val="auto"/>
        <w:rPr>
          <w:rFonts w:ascii="黑体" w:eastAsia="黑体" w:cs="黑体"/>
          <w:sz w:val="32"/>
          <w:szCs w:val="32"/>
        </w:rPr>
      </w:pPr>
      <w:r>
        <w:rPr>
          <w:rFonts w:ascii="黑体" w:eastAsia="黑体" w:cs="黑体" w:hint="eastAsia"/>
          <w:sz w:val="32"/>
          <w:szCs w:val="32"/>
        </w:rPr>
        <w:t>单位整体绩效目标。</w:t>
      </w:r>
    </w:p>
    <w:p>
      <w:pPr>
        <w:pStyle w:val="15"/>
        <w:keepNext w:val="0"/>
        <w:keepLines w:val="0"/>
        <w:pageBreakBefore w:val="0"/>
        <w:widowControl w:val="0"/>
        <w:tabs>
          <w:tab w:val="center" w:pos="4153"/>
          <w:tab w:val="right" w:pos="8306"/>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年度主要任务</w:t>
      </w:r>
    </w:p>
    <w:p>
      <w:pPr>
        <w:pStyle w:val="15"/>
        <w:keepNext w:val="0"/>
        <w:keepLines w:val="0"/>
        <w:pageBreakBefore w:val="0"/>
        <w:widowControl w:val="0"/>
        <w:tabs>
          <w:tab w:val="center" w:pos="4153"/>
          <w:tab w:val="right" w:pos="8306"/>
        </w:tabs>
        <w:kinsoku/>
        <w:wordWrap/>
        <w:overflowPunct/>
        <w:topLinePunct w:val="0"/>
        <w:autoSpaceDE/>
        <w:autoSpaceDN/>
        <w:bidi w:val="0"/>
        <w:adjustRightInd/>
        <w:snapToGrid w:val="0"/>
        <w:spacing w:line="640" w:lineRule="exact"/>
        <w:ind w:left="640"/>
        <w:jc w:val="both"/>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社会保障管理</w:t>
      </w:r>
    </w:p>
    <w:p>
      <w:pPr>
        <w:pStyle w:val="15"/>
        <w:keepNext w:val="0"/>
        <w:keepLines w:val="0"/>
        <w:pageBreakBefore w:val="0"/>
        <w:widowControl w:val="0"/>
        <w:tabs>
          <w:tab w:val="center" w:pos="4153"/>
          <w:tab w:val="right" w:pos="8306"/>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制定全县社会保险个人账户、缴费记录、档案管理等业务工作规范并组织实施；制定全县</w:t>
      </w:r>
      <w:r>
        <w:rPr>
          <w:rFonts w:ascii="仿宋_GB2312" w:eastAsia="仿宋_GB2312" w:cs="仿宋_GB2312"/>
          <w:sz w:val="32"/>
          <w:szCs w:val="32"/>
        </w:rPr>
        <w:t>社会</w:t>
      </w:r>
      <w:r>
        <w:rPr>
          <w:rFonts w:ascii="仿宋_GB2312" w:eastAsia="仿宋_GB2312" w:cs="仿宋_GB2312" w:hint="eastAsia"/>
          <w:sz w:val="32"/>
          <w:szCs w:val="32"/>
        </w:rPr>
        <w:t>保险基金财务、会计制度的具体操作办法并组织实施，指导各单位财务按照社会保险基金财务、会计制度进行规范管理，编制汇总全县社会保险基金年度预决算报告，加强基金财务管理和会计核算等；</w:t>
      </w:r>
    </w:p>
    <w:p>
      <w:pPr>
        <w:pStyle w:val="15"/>
        <w:keepNext w:val="0"/>
        <w:keepLines w:val="0"/>
        <w:pageBreakBefore w:val="0"/>
        <w:widowControl w:val="0"/>
        <w:tabs>
          <w:tab w:val="center" w:pos="4153"/>
          <w:tab w:val="right" w:pos="8306"/>
        </w:tabs>
        <w:kinsoku/>
        <w:wordWrap/>
        <w:overflowPunct/>
        <w:topLinePunct w:val="0"/>
        <w:autoSpaceDE/>
        <w:autoSpaceDN/>
        <w:bidi w:val="0"/>
        <w:adjustRightInd/>
        <w:snapToGrid w:val="0"/>
        <w:spacing w:line="640" w:lineRule="exact"/>
        <w:ind w:left="640"/>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待遇支付</w:t>
      </w:r>
    </w:p>
    <w:p>
      <w:pPr>
        <w:pStyle w:val="18"/>
        <w:keepNext w:val="0"/>
        <w:keepLines w:val="0"/>
        <w:pageBreakBefore w:val="0"/>
        <w:widowControl w:val="0"/>
        <w:kinsoku/>
        <w:wordWrap/>
        <w:overflowPunct/>
        <w:topLinePunct w:val="0"/>
        <w:autoSpaceDE/>
        <w:autoSpaceDN/>
        <w:bidi w:val="0"/>
        <w:adjustRightInd/>
        <w:spacing w:line="64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督促检查全县参保单位离退休人员基本养老保险金按时足额发放和工伤、生育保险待遇的落实，制定社会保险社会化管理规范，对全县机关单位和企事业退休人员开展社会化管理服务和推进、巩固完善和规范基本养老保险金社会化发放工作等。</w:t>
      </w:r>
    </w:p>
    <w:p>
      <w:pPr>
        <w:pStyle w:val="15"/>
        <w:keepNext w:val="0"/>
        <w:keepLines w:val="0"/>
        <w:pageBreakBefore w:val="0"/>
        <w:widowControl w:val="0"/>
        <w:tabs>
          <w:tab w:val="center" w:pos="4153"/>
          <w:tab w:val="right" w:pos="8306"/>
        </w:tabs>
        <w:kinsoku/>
        <w:wordWrap/>
        <w:overflowPunct/>
        <w:topLinePunct w:val="0"/>
        <w:autoSpaceDE/>
        <w:autoSpaceDN/>
        <w:bidi w:val="0"/>
        <w:adjustRightInd/>
        <w:snapToGrid w:val="0"/>
        <w:spacing w:line="640" w:lineRule="exact"/>
        <w:ind w:left="640"/>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统筹规划</w:t>
      </w:r>
    </w:p>
    <w:p>
      <w:pPr>
        <w:pStyle w:val="15"/>
        <w:keepNext w:val="0"/>
        <w:keepLines w:val="0"/>
        <w:pageBreakBefore w:val="0"/>
        <w:widowControl w:val="0"/>
        <w:tabs>
          <w:tab w:val="center" w:pos="4153"/>
          <w:tab w:val="right" w:pos="8306"/>
        </w:tabs>
        <w:kinsoku/>
        <w:wordWrap/>
        <w:overflowPunct/>
        <w:topLinePunct w:val="0"/>
        <w:autoSpaceDE/>
        <w:autoSpaceDN/>
        <w:bidi w:val="0"/>
        <w:adjustRightInd/>
        <w:snapToGrid w:val="0"/>
        <w:spacing w:line="6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负责制定全县养老保险计划、规划</w:t>
      </w:r>
      <w:r>
        <w:rPr>
          <w:rFonts w:ascii="仿宋_GB2312" w:eastAsia="仿宋_GB2312" w:cs="仿宋_GB2312" w:hint="eastAsia"/>
          <w:sz w:val="32"/>
          <w:szCs w:val="32"/>
          <w:lang w:eastAsia="zh-CN"/>
        </w:rPr>
        <w:t>、</w:t>
      </w:r>
      <w:r>
        <w:rPr>
          <w:rFonts w:ascii="仿宋_GB2312" w:eastAsia="仿宋_GB2312" w:cs="仿宋_GB2312" w:hint="eastAsia"/>
          <w:sz w:val="32"/>
          <w:szCs w:val="32"/>
        </w:rPr>
        <w:t>具体实施工作，承担全县社会保险信息、统计数据的采集、整理、分析及管理工作，负责全县社会保险信息管理系统的开发建设、运行管理和网络管理等工作等</w:t>
      </w:r>
    </w:p>
    <w:p>
      <w:pPr>
        <w:pStyle w:val="15"/>
        <w:keepNext w:val="0"/>
        <w:keepLines w:val="0"/>
        <w:pageBreakBefore w:val="0"/>
        <w:widowControl w:val="0"/>
        <w:tabs>
          <w:tab w:val="center" w:pos="4153"/>
          <w:tab w:val="right" w:pos="8306"/>
        </w:tabs>
        <w:kinsoku/>
        <w:wordWrap/>
        <w:overflowPunct/>
        <w:topLinePunct w:val="0"/>
        <w:autoSpaceDE/>
        <w:autoSpaceDN/>
        <w:bidi w:val="0"/>
        <w:adjustRightInd/>
        <w:snapToGrid w:val="0"/>
        <w:spacing w:line="640" w:lineRule="exact"/>
        <w:ind w:left="640"/>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综合管理</w:t>
      </w:r>
    </w:p>
    <w:p>
      <w:pPr>
        <w:pStyle w:val="18"/>
        <w:keepNext w:val="0"/>
        <w:keepLines w:val="0"/>
        <w:pageBreakBefore w:val="0"/>
        <w:widowControl w:val="0"/>
        <w:kinsoku/>
        <w:wordWrap/>
        <w:overflowPunct/>
        <w:topLinePunct w:val="0"/>
        <w:autoSpaceDE/>
        <w:autoSpaceDN/>
        <w:bidi w:val="0"/>
        <w:adjustRightInd/>
        <w:spacing w:line="64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提供社会保险咨询、查询业务，开展社会保险宣传工作等。</w:t>
      </w:r>
    </w:p>
    <w:p>
      <w:pPr>
        <w:pStyle w:val="18"/>
        <w:keepNext w:val="0"/>
        <w:keepLines w:val="0"/>
        <w:pageBreakBefore w:val="0"/>
        <w:widowControl w:val="0"/>
        <w:kinsoku/>
        <w:wordWrap/>
        <w:overflowPunct/>
        <w:topLinePunct w:val="0"/>
        <w:autoSpaceDE/>
        <w:autoSpaceDN/>
        <w:bidi w:val="0"/>
        <w:adjustRightInd/>
        <w:spacing w:line="64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年度总体目标</w:t>
      </w:r>
    </w:p>
    <w:p>
      <w:pPr>
        <w:keepNext w:val="0"/>
        <w:keepLines w:val="0"/>
        <w:pageBreakBefore w:val="0"/>
        <w:widowControl w:val="0"/>
        <w:kinsoku/>
        <w:wordWrap/>
        <w:overflowPunct/>
        <w:topLinePunct w:val="0"/>
        <w:autoSpaceDE/>
        <w:autoSpaceDN/>
        <w:bidi w:val="0"/>
        <w:adjustRightInd/>
        <w:spacing w:line="6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根据县委、县政府关于202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年全县工作的总体部署，202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年主要工作任务是按时进行“五险一金”及机关事业单位养老保险和职业年金的征缴工作和退休养老金的按时、足额发放工作，严格按照202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年的预算数和县财政局下达的预算进行</w:t>
      </w:r>
      <w:r>
        <w:rPr>
          <w:rFonts w:ascii="仿宋_GB2312" w:eastAsia="仿宋_GB2312" w:cs="仿宋_GB2312" w:hint="eastAsia"/>
          <w:sz w:val="32"/>
          <w:szCs w:val="32"/>
          <w:lang w:eastAsia="zh-CN"/>
        </w:rPr>
        <w:t>拨付</w:t>
      </w:r>
      <w:r>
        <w:rPr>
          <w:rFonts w:ascii="仿宋_GB2312" w:eastAsia="仿宋_GB2312" w:cs="仿宋_GB2312" w:hint="eastAsia"/>
          <w:sz w:val="32"/>
          <w:szCs w:val="32"/>
        </w:rPr>
        <w:t>，主要支出如下：1、工资福利包括基本工资、津贴补贴、奖金、绩效工资、社会保险费等2、对个人和家庭的补助支出包括离休费、退休费、遗属生活费等3、商品和服务的支出按照县财政局下</w:t>
      </w:r>
      <w:r>
        <w:rPr>
          <w:rFonts w:ascii="仿宋_GB2312" w:eastAsia="仿宋_GB2312" w:cs="仿宋_GB2312" w:hint="eastAsia"/>
          <w:sz w:val="32"/>
          <w:szCs w:val="32"/>
          <w:lang w:eastAsia="zh-CN"/>
        </w:rPr>
        <w:t>达的</w:t>
      </w:r>
      <w:r>
        <w:rPr>
          <w:rFonts w:ascii="仿宋_GB2312" w:eastAsia="仿宋_GB2312" w:cs="仿宋_GB2312" w:hint="eastAsia"/>
          <w:sz w:val="32"/>
          <w:szCs w:val="32"/>
        </w:rPr>
        <w:t>公务经费定额标准、分类科目、结合实际开支，尽量不超预算。</w:t>
      </w:r>
    </w:p>
    <w:tbl>
      <w:tblPr>
        <w:jc w:val="left"/>
        <w:tblInd w:w="96" w:type="dxa"/>
        <w:tblW w:w="8862"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58"/>
        <w:gridCol w:w="1053"/>
        <w:gridCol w:w="2614"/>
        <w:gridCol w:w="1026"/>
        <w:gridCol w:w="1334"/>
        <w:gridCol w:w="813"/>
        <w:gridCol w:w="964"/>
      </w:tblGrid>
      <w:tr>
        <w:trPr>
          <w:trHeight w:val="510"/>
        </w:trPr>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绩效指标性质</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绩效指标值</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绩效度量单位</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r>
      <w:tr>
        <w:trPr>
          <w:trHeight w:val="510"/>
        </w:trPr>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5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开展养老保险政策进万家活动</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10"/>
        </w:trPr>
        <w:tc>
          <w:tcPr>
            <w:tcW w:w="105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5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全县工伤保险参保人数</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8464</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10"/>
        </w:trPr>
        <w:tc>
          <w:tcPr>
            <w:tcW w:w="105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5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全县企业养老保险参保人数</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4297</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10"/>
        </w:trPr>
        <w:tc>
          <w:tcPr>
            <w:tcW w:w="105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5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退休人员养老金按时足额发放</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10"/>
        </w:trPr>
        <w:tc>
          <w:tcPr>
            <w:tcW w:w="105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5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有</w:t>
            </w:r>
            <w:r>
              <w:rPr>
                <w:rFonts w:ascii="宋体" w:eastAsia="宋体" w:cs="宋体" w:hint="eastAsia"/>
                <w:i w:val="0"/>
                <w:iCs w:val="0"/>
                <w:color w:val="000000"/>
                <w:kern w:val="0"/>
                <w:sz w:val="18"/>
                <w:szCs w:val="18"/>
                <w:u w:val="none"/>
                <w:lang w:val="en-US" w:eastAsia="zh-CN"/>
              </w:rPr>
              <w:t>效</w:t>
            </w:r>
            <w:r>
              <w:rPr>
                <w:rFonts w:ascii="宋体" w:eastAsia="宋体" w:cs="宋体"/>
                <w:i w:val="0"/>
                <w:iCs w:val="0"/>
                <w:color w:val="000000"/>
                <w:kern w:val="0"/>
                <w:sz w:val="18"/>
                <w:szCs w:val="18"/>
                <w:u w:val="none"/>
                <w:lang w:val="en-US" w:eastAsia="zh-CN"/>
              </w:rPr>
              <w:t>保障机关工作开展</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优</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10"/>
        </w:trPr>
        <w:tc>
          <w:tcPr>
            <w:tcW w:w="105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5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预算完成率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92</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10"/>
        </w:trPr>
        <w:tc>
          <w:tcPr>
            <w:tcW w:w="105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运转类预算定期拨付效率情况</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优</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10"/>
        </w:trPr>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基本养老保险待遇水平稳步提升，对维护社会稳定的作用</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优</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10"/>
        </w:trPr>
        <w:tc>
          <w:tcPr>
            <w:tcW w:w="105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可持续影响指标</w:t>
            </w: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对日常工作的保障促进作用</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优</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10"/>
        </w:trPr>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0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10"/>
        </w:trPr>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10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经济成本指标</w:t>
            </w:r>
          </w:p>
        </w:tc>
        <w:tc>
          <w:tcPr>
            <w:tcW w:w="2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基本支出</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304.2</w:t>
            </w:r>
          </w:p>
        </w:tc>
        <w:tc>
          <w:tcPr>
            <w:tcW w:w="8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万元</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bl>
    <w:p>
      <w:pPr>
        <w:pStyle w:val="15"/>
        <w:tabs>
          <w:tab w:val="center" w:pos="4153"/>
          <w:tab w:val="right" w:pos="8306"/>
        </w:tabs>
      </w:pPr>
    </w:p>
    <w:p>
      <w:pPr>
        <w:ind w:firstLineChars="200" w:firstLine="640"/>
        <w:rPr>
          <w:rFonts w:ascii="黑体" w:eastAsia="黑体" w:cs="黑体"/>
          <w:sz w:val="32"/>
          <w:szCs w:val="32"/>
        </w:rPr>
      </w:pPr>
      <w:r>
        <w:rPr>
          <w:rFonts w:ascii="黑体" w:eastAsia="黑体" w:cs="黑体" w:hint="eastAsia"/>
          <w:sz w:val="32"/>
          <w:szCs w:val="32"/>
        </w:rPr>
        <w:t>三、重点项目绩效目标。</w:t>
      </w:r>
    </w:p>
    <w:p>
      <w:pPr>
        <w:keepNext w:val="0"/>
        <w:keepLines w:val="0"/>
        <w:pageBreakBefore w:val="0"/>
        <w:widowControl w:val="0"/>
        <w:kinsoku/>
        <w:wordWrap/>
        <w:overflowPunct/>
        <w:topLinePunct w:val="0"/>
        <w:autoSpaceDE/>
        <w:autoSpaceDN/>
        <w:bidi w:val="0"/>
        <w:adjustRightInd/>
        <w:snapToGrid/>
        <w:spacing w:line="640" w:lineRule="exact"/>
        <w:ind w:firstLineChars="200" w:firstLine="640"/>
        <w:textAlignment w:val="auto"/>
        <w:rPr>
          <w:rFonts w:ascii="仿宋_GB2312" w:eastAsia="仿宋_GB2312" w:cs="仿宋_GB2312"/>
          <w:sz w:val="32"/>
          <w:szCs w:val="32"/>
        </w:rPr>
      </w:pPr>
      <w:r>
        <w:rPr>
          <w:rFonts w:ascii="仿宋_GB2312" w:eastAsia="仿宋_GB2312" w:cs="仿宋_GB2312" w:hint="eastAsia"/>
          <w:sz w:val="32"/>
          <w:szCs w:val="32"/>
        </w:rPr>
        <w:t>重点项目1：统筹外人员工资</w:t>
      </w:r>
    </w:p>
    <w:p>
      <w:pPr>
        <w:keepNext w:val="0"/>
        <w:keepLines w:val="0"/>
        <w:pageBreakBefore w:val="0"/>
        <w:widowControl w:val="0"/>
        <w:kinsoku/>
        <w:wordWrap/>
        <w:overflowPunct/>
        <w:topLinePunct w:val="0"/>
        <w:autoSpaceDE/>
        <w:autoSpaceDN/>
        <w:bidi w:val="0"/>
        <w:adjustRightInd/>
        <w:snapToGrid/>
        <w:spacing w:line="64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rPr>
        <w:t>项目年度绩效目标：确保全县</w:t>
      </w:r>
      <w:r>
        <w:rPr>
          <w:rFonts w:ascii="仿宋_GB2312" w:eastAsia="仿宋_GB2312" w:cs="仿宋_GB2312"/>
          <w:sz w:val="32"/>
          <w:szCs w:val="32"/>
        </w:rPr>
        <w:t>国</w:t>
      </w:r>
      <w:r>
        <w:rPr>
          <w:rFonts w:ascii="仿宋_GB2312" w:eastAsia="仿宋_GB2312" w:cs="仿宋_GB2312" w:hint="eastAsia"/>
          <w:sz w:val="32"/>
          <w:szCs w:val="32"/>
        </w:rPr>
        <w:t>企改制人员生活补助按时足额发放</w:t>
      </w:r>
      <w:r>
        <w:rPr>
          <w:rFonts w:ascii="仿宋_GB2312" w:eastAsia="仿宋_GB2312" w:cs="仿宋_GB2312" w:hint="eastAsia"/>
          <w:sz w:val="32"/>
          <w:szCs w:val="32"/>
          <w:lang w:eastAsia="zh-CN"/>
        </w:rPr>
        <w:t>（</w:t>
      </w:r>
      <w:r>
        <w:rPr>
          <w:rFonts w:ascii="仿宋_GB2312" w:eastAsia="仿宋_GB2312" w:cs="仿宋_GB2312" w:hint="eastAsia"/>
          <w:sz w:val="32"/>
          <w:szCs w:val="32"/>
        </w:rPr>
        <w:t>共</w:t>
      </w:r>
      <w:r>
        <w:rPr>
          <w:rFonts w:ascii="仿宋_GB2312" w:eastAsia="仿宋_GB2312" w:cs="仿宋_GB2312" w:hint="eastAsia"/>
          <w:sz w:val="32"/>
          <w:szCs w:val="32"/>
          <w:lang w:val="en-US" w:eastAsia="zh-CN"/>
        </w:rPr>
        <w:t>195</w:t>
      </w:r>
      <w:r>
        <w:rPr>
          <w:rFonts w:ascii="仿宋_GB2312" w:eastAsia="仿宋_GB2312" w:cs="仿宋_GB2312" w:hint="eastAsia"/>
          <w:sz w:val="32"/>
          <w:szCs w:val="32"/>
        </w:rPr>
        <w:t>人，其中</w:t>
      </w:r>
      <w:r>
        <w:rPr>
          <w:rFonts w:ascii="仿宋_GB2312" w:eastAsia="仿宋_GB2312" w:cs="仿宋_GB2312" w:hint="eastAsia"/>
          <w:sz w:val="32"/>
          <w:szCs w:val="32"/>
          <w:lang w:val="en-US" w:eastAsia="zh-CN"/>
        </w:rPr>
        <w:t>193</w:t>
      </w:r>
      <w:r>
        <w:rPr>
          <w:rFonts w:ascii="仿宋_GB2312" w:eastAsia="仿宋_GB2312" w:cs="仿宋_GB2312" w:hint="eastAsia"/>
          <w:sz w:val="32"/>
          <w:szCs w:val="32"/>
        </w:rPr>
        <w:t>人月生活补助78.1元，1人</w:t>
      </w:r>
      <w:r>
        <w:rPr>
          <w:rFonts w:ascii="仿宋_GB2312" w:eastAsia="仿宋_GB2312" w:cs="仿宋_GB2312" w:hint="eastAsia"/>
          <w:sz w:val="32"/>
          <w:szCs w:val="32"/>
          <w:lang w:val="en-US" w:eastAsia="zh-CN"/>
        </w:rPr>
        <w:t>110</w:t>
      </w:r>
      <w:r>
        <w:rPr>
          <w:rFonts w:ascii="仿宋_GB2312" w:eastAsia="仿宋_GB2312" w:cs="仿宋_GB2312" w:hint="eastAsia"/>
          <w:sz w:val="32"/>
          <w:szCs w:val="32"/>
        </w:rPr>
        <w:t>元，1人</w:t>
      </w:r>
      <w:r>
        <w:rPr>
          <w:rFonts w:ascii="仿宋_GB2312" w:eastAsia="仿宋_GB2312" w:cs="仿宋_GB2312" w:hint="eastAsia"/>
          <w:sz w:val="32"/>
          <w:szCs w:val="32"/>
          <w:lang w:val="en-US" w:eastAsia="zh-CN"/>
        </w:rPr>
        <w:t>118.1</w:t>
      </w:r>
      <w:r>
        <w:rPr>
          <w:rFonts w:ascii="仿宋_GB2312" w:eastAsia="仿宋_GB2312" w:cs="仿宋_GB2312" w:hint="eastAsia"/>
          <w:sz w:val="32"/>
          <w:szCs w:val="32"/>
        </w:rPr>
        <w:t>元，共计</w:t>
      </w:r>
      <w:r>
        <w:rPr>
          <w:rFonts w:ascii="仿宋_GB2312" w:eastAsia="仿宋_GB2312" w:cs="仿宋_GB2312" w:hint="eastAsia"/>
          <w:sz w:val="32"/>
          <w:szCs w:val="32"/>
          <w:lang w:val="en-US" w:eastAsia="zh-CN"/>
        </w:rPr>
        <w:t>15301.4</w:t>
      </w:r>
      <w:r>
        <w:rPr>
          <w:rFonts w:ascii="仿宋_GB2312" w:eastAsia="仿宋_GB2312" w:cs="仿宋_GB2312" w:hint="eastAsia"/>
          <w:sz w:val="32"/>
          <w:szCs w:val="32"/>
        </w:rPr>
        <w:t>元，202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年预算金额</w:t>
      </w:r>
      <w:r>
        <w:rPr>
          <w:rFonts w:ascii="仿宋_GB2312" w:eastAsia="仿宋_GB2312" w:cs="仿宋_GB2312" w:hint="eastAsia"/>
          <w:sz w:val="32"/>
          <w:szCs w:val="32"/>
          <w:lang w:val="en-US" w:eastAsia="zh-CN"/>
        </w:rPr>
        <w:t>183616.8</w:t>
      </w:r>
      <w:r>
        <w:rPr>
          <w:rFonts w:ascii="仿宋_GB2312" w:eastAsia="仿宋_GB2312" w:cs="仿宋_GB2312" w:hint="eastAsia"/>
          <w:sz w:val="32"/>
          <w:szCs w:val="32"/>
        </w:rPr>
        <w:t>元</w:t>
      </w:r>
      <w:r>
        <w:rPr>
          <w:rFonts w:ascii="仿宋_GB2312" w:eastAsia="仿宋_GB2312" w:cs="仿宋_GB2312" w:hint="eastAsia"/>
          <w:sz w:val="32"/>
          <w:szCs w:val="32"/>
          <w:lang w:eastAsia="zh-CN"/>
        </w:rPr>
        <w:t>，</w:t>
      </w:r>
      <w:r>
        <w:rPr>
          <w:rFonts w:ascii="仿宋_GB2312" w:eastAsia="仿宋_GB2312" w:cs="仿宋_GB2312" w:hint="eastAsia"/>
          <w:sz w:val="32"/>
          <w:szCs w:val="32"/>
        </w:rPr>
        <w:t>较上年减少</w:t>
      </w:r>
      <w:r>
        <w:rPr>
          <w:rFonts w:ascii="仿宋_GB2312" w:eastAsia="仿宋_GB2312" w:cs="仿宋_GB2312" w:hint="eastAsia"/>
          <w:sz w:val="32"/>
          <w:szCs w:val="32"/>
          <w:lang w:val="en-US" w:eastAsia="zh-CN"/>
        </w:rPr>
        <w:t>36550.8</w:t>
      </w:r>
      <w:r>
        <w:rPr>
          <w:rFonts w:ascii="仿宋_GB2312" w:eastAsia="仿宋_GB2312" w:cs="仿宋_GB2312" w:hint="eastAsia"/>
          <w:sz w:val="32"/>
          <w:szCs w:val="32"/>
        </w:rPr>
        <w:t>元，较上年减少</w:t>
      </w:r>
      <w:r>
        <w:rPr>
          <w:rFonts w:ascii="仿宋_GB2312" w:eastAsia="仿宋_GB2312" w:cs="仿宋_GB2312" w:hint="eastAsia"/>
          <w:sz w:val="32"/>
          <w:szCs w:val="32"/>
          <w:lang w:val="en-US" w:eastAsia="zh-CN"/>
        </w:rPr>
        <w:t>16.6</w:t>
      </w:r>
      <w:r>
        <w:rPr>
          <w:rFonts w:ascii="仿宋_GB2312" w:eastAsia="仿宋_GB2312" w:cs="仿宋_GB2312" w:hint="eastAsia"/>
          <w:sz w:val="32"/>
          <w:szCs w:val="32"/>
        </w:rPr>
        <w:t>%，减少的主要原因为人员死亡。</w:t>
      </w:r>
      <w:r>
        <w:rPr>
          <w:rFonts w:ascii="仿宋_GB2312" w:eastAsia="仿宋_GB2312" w:cs="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绩效指标设置情况：细化指标</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个，包括产出指标、成本指标、效益指标和满意度指标。</w:t>
      </w:r>
    </w:p>
    <w:p>
      <w:pPr>
        <w:pStyle w:val="15"/>
        <w:tabs>
          <w:tab w:val="center" w:pos="4153"/>
          <w:tab w:val="right" w:pos="8306"/>
        </w:tabs>
        <w:rPr>
          <w:rFonts w:ascii="仿宋_GB2312" w:eastAsia="仿宋_GB2312" w:cs="仿宋_GB2312" w:hint="eastAsia"/>
          <w:sz w:val="32"/>
          <w:szCs w:val="32"/>
        </w:rPr>
      </w:pPr>
    </w:p>
    <w:tbl>
      <w:tblPr>
        <w:jc w:val="left"/>
        <w:tblInd w:w="96" w:type="dxa"/>
        <w:tblW w:w="9845"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019"/>
        <w:gridCol w:w="840"/>
        <w:gridCol w:w="1307"/>
        <w:gridCol w:w="1094"/>
        <w:gridCol w:w="977"/>
        <w:gridCol w:w="1261"/>
        <w:gridCol w:w="709"/>
        <w:gridCol w:w="705"/>
        <w:gridCol w:w="667"/>
        <w:gridCol w:w="567"/>
        <w:gridCol w:w="699"/>
      </w:tblGrid>
      <w:tr>
        <w:trPr>
          <w:trHeight w:val="467"/>
        </w:trPr>
        <w:tc>
          <w:tcPr>
            <w:tcW w:w="1019"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项目名称</w:t>
            </w:r>
          </w:p>
        </w:tc>
        <w:tc>
          <w:tcPr>
            <w:tcW w:w="840"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预算数</w:t>
            </w:r>
          </w:p>
        </w:tc>
        <w:tc>
          <w:tcPr>
            <w:tcW w:w="1307"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年度目标</w:t>
            </w:r>
          </w:p>
        </w:tc>
        <w:tc>
          <w:tcPr>
            <w:tcW w:w="1094"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一级指标</w:t>
            </w:r>
          </w:p>
        </w:tc>
        <w:tc>
          <w:tcPr>
            <w:tcW w:w="977"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二级指标</w:t>
            </w:r>
          </w:p>
        </w:tc>
        <w:tc>
          <w:tcPr>
            <w:tcW w:w="1261"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指标性质</w:t>
            </w:r>
          </w:p>
        </w:tc>
        <w:tc>
          <w:tcPr>
            <w:tcW w:w="705"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指标值</w:t>
            </w:r>
          </w:p>
        </w:tc>
        <w:tc>
          <w:tcPr>
            <w:tcW w:w="667"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度量单位</w:t>
            </w:r>
          </w:p>
        </w:tc>
        <w:tc>
          <w:tcPr>
            <w:tcW w:w="567"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权重</w:t>
            </w:r>
          </w:p>
        </w:tc>
        <w:tc>
          <w:tcPr>
            <w:tcW w:w="699"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指标方向性</w:t>
            </w:r>
          </w:p>
        </w:tc>
      </w:tr>
      <w:tr>
        <w:trPr>
          <w:trHeight w:val="395"/>
        </w:trPr>
        <w:tc>
          <w:tcPr>
            <w:tcW w:w="101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51322623T000008007297</w:t>
            </w:r>
            <w:r>
              <w:rPr>
                <w:rFonts w:ascii="宋体" w:eastAsia="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统筹外人员工资</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18.36</w:t>
            </w:r>
          </w:p>
        </w:tc>
        <w:tc>
          <w:tcPr>
            <w:tcW w:w="130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hint="eastAsia"/>
                <w:i w:val="0"/>
                <w:iCs w:val="0"/>
                <w:color w:val="000000"/>
                <w:kern w:val="0"/>
                <w:sz w:val="18"/>
                <w:szCs w:val="18"/>
                <w:u w:val="none"/>
                <w:lang w:val="en-US" w:eastAsia="zh-CN"/>
              </w:rPr>
              <w:t>确保全县</w:t>
            </w:r>
            <w:r>
              <w:rPr>
                <w:rFonts w:ascii="宋体" w:eastAsia="宋体" w:cs="宋体"/>
                <w:i w:val="0"/>
                <w:iCs w:val="0"/>
                <w:color w:val="000000"/>
                <w:kern w:val="0"/>
                <w:sz w:val="18"/>
                <w:szCs w:val="18"/>
                <w:u w:val="none"/>
                <w:lang w:val="en-US" w:eastAsia="zh-CN"/>
              </w:rPr>
              <w:t>国</w:t>
            </w:r>
            <w:r>
              <w:rPr>
                <w:rFonts w:ascii="宋体" w:eastAsia="宋体" w:cs="宋体" w:hint="eastAsia"/>
                <w:i w:val="0"/>
                <w:iCs w:val="0"/>
                <w:color w:val="000000"/>
                <w:kern w:val="0"/>
                <w:sz w:val="18"/>
                <w:szCs w:val="18"/>
                <w:u w:val="none"/>
                <w:lang w:val="en-US" w:eastAsia="zh-CN"/>
              </w:rPr>
              <w:t>企改制人员2024年生活补助按时足额发放，共195人，其中193人生活补助78.1元，1人标准为110元，1人标准为118.1元，每月发放金额为193*78.1+1*110+1*118.1=15301.4元，2024年预算金额为15301.4*12=183616.8元。</w:t>
            </w:r>
          </w:p>
        </w:tc>
        <w:tc>
          <w:tcPr>
            <w:tcW w:w="10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发放待遇人数</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195</w:t>
            </w:r>
          </w:p>
        </w:tc>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101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企业改制人员待遇发放准确率</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101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每月待遇发放及时足额率</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101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确保企业改制人员生活待遇</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优</w:t>
            </w:r>
          </w:p>
        </w:tc>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101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9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待遇领取对象满意度</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w:t>
            </w:r>
          </w:p>
        </w:tc>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101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经济成本指标</w:t>
            </w: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待遇领取1人，每人每月</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118.1</w:t>
            </w:r>
          </w:p>
        </w:tc>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元/人*月</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78"/>
        </w:trPr>
        <w:tc>
          <w:tcPr>
            <w:tcW w:w="101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企业改制人员待遇领取1人，每人每月</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110</w:t>
            </w:r>
          </w:p>
        </w:tc>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元/人*月</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78"/>
        </w:trPr>
        <w:tc>
          <w:tcPr>
            <w:tcW w:w="101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待遇领取193人，每人每月</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78.1</w:t>
            </w:r>
          </w:p>
        </w:tc>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元/人*月</w:t>
            </w:r>
          </w:p>
        </w:tc>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6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bl>
    <w:p>
      <w:pPr>
        <w:pStyle w:val="15"/>
        <w:tabs>
          <w:tab w:val="center" w:pos="4153"/>
          <w:tab w:val="right" w:pos="8306"/>
        </w:tabs>
        <w:rPr>
          <w:rFonts w:ascii="仿宋_GB2312" w:eastAsia="仿宋_GB2312" w:cs="仿宋_GB2312" w:hint="eastAsia"/>
          <w:sz w:val="32"/>
          <w:szCs w:val="32"/>
        </w:rPr>
      </w:pPr>
    </w:p>
    <w:p>
      <w:pPr>
        <w:pStyle w:val="15"/>
        <w:tabs>
          <w:tab w:val="center" w:pos="4153"/>
          <w:tab w:val="right" w:pos="8306"/>
        </w:tabs>
      </w:pPr>
    </w:p>
    <w:p>
      <w:pPr>
        <w:ind w:firstLineChars="200" w:firstLine="640"/>
        <w:rPr>
          <w:rFonts w:ascii="仿宋_GB2312" w:eastAsia="仿宋_GB2312" w:cs="仿宋_GB2312"/>
          <w:sz w:val="32"/>
          <w:szCs w:val="32"/>
        </w:rPr>
      </w:pPr>
      <w:r>
        <w:rPr>
          <w:rFonts w:ascii="仿宋_GB2312" w:eastAsia="仿宋_GB2312" w:cs="仿宋_GB2312" w:hint="eastAsia"/>
          <w:sz w:val="32"/>
          <w:szCs w:val="32"/>
        </w:rPr>
        <w:t>重点项目2：企业职工基本养老保险基金缺口</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rPr>
        <w:t>根据阿坝州企业职工基本养老保险基金缺口州级与县（市）、卧龙责任分担办法预测2024年企业养老保险一般性资金缺口349560元（97100000*30%*1.2%=349560元），2023年预算金额333720元，较上年增加158640元，较上年增加4.75%，主要原因为退休人员增加，待遇调增。</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绩效指标设置情况：细化指标</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个，包括产出指标、效益指标和满意度指标。</w:t>
      </w:r>
    </w:p>
    <w:tbl>
      <w:tblPr>
        <w:jc w:val="left"/>
        <w:tblInd w:w="96" w:type="dxa"/>
        <w:tblW w:w="9917"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726"/>
        <w:gridCol w:w="720"/>
        <w:gridCol w:w="1560"/>
        <w:gridCol w:w="1027"/>
        <w:gridCol w:w="1160"/>
        <w:gridCol w:w="1293"/>
        <w:gridCol w:w="737"/>
        <w:gridCol w:w="624"/>
        <w:gridCol w:w="823"/>
        <w:gridCol w:w="492"/>
        <w:gridCol w:w="755"/>
      </w:tblGrid>
      <w:tr>
        <w:trPr>
          <w:trHeight w:val="467"/>
        </w:trPr>
        <w:tc>
          <w:tcPr>
            <w:tcW w:w="726"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项目名称</w:t>
            </w:r>
          </w:p>
        </w:tc>
        <w:tc>
          <w:tcPr>
            <w:tcW w:w="720"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预算数</w:t>
            </w:r>
          </w:p>
        </w:tc>
        <w:tc>
          <w:tcPr>
            <w:tcW w:w="1560"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年度目标</w:t>
            </w:r>
          </w:p>
        </w:tc>
        <w:tc>
          <w:tcPr>
            <w:tcW w:w="1027"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一级指标</w:t>
            </w:r>
          </w:p>
        </w:tc>
        <w:tc>
          <w:tcPr>
            <w:tcW w:w="1160"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二级指标</w:t>
            </w:r>
          </w:p>
        </w:tc>
        <w:tc>
          <w:tcPr>
            <w:tcW w:w="1293"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三级指标</w:t>
            </w:r>
          </w:p>
        </w:tc>
        <w:tc>
          <w:tcPr>
            <w:tcW w:w="737"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指标性质</w:t>
            </w:r>
          </w:p>
        </w:tc>
        <w:tc>
          <w:tcPr>
            <w:tcW w:w="624"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指标值</w:t>
            </w:r>
          </w:p>
        </w:tc>
        <w:tc>
          <w:tcPr>
            <w:tcW w:w="823"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度量单位</w:t>
            </w:r>
          </w:p>
        </w:tc>
        <w:tc>
          <w:tcPr>
            <w:tcW w:w="492"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权重</w:t>
            </w:r>
          </w:p>
        </w:tc>
        <w:tc>
          <w:tcPr>
            <w:tcW w:w="755"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指标方向性</w:t>
            </w:r>
          </w:p>
        </w:tc>
      </w:tr>
      <w:tr>
        <w:trPr>
          <w:trHeight w:val="516"/>
        </w:trPr>
        <w:tc>
          <w:tcPr>
            <w:tcW w:w="7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51322623T000008029767-企业职工基本养老保险基金缺口</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34.96</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br/>
              <w:t>2024年根据阿坝州企业职工基本养老保险基金缺口州级与县（市）、卧龙责任分担办法测算预计2023年企业养老保险支出合计97100000元，企业养老保险缺口97100000元*30%*1.2%=349560元，2024年企业养老保险缺口资金金额：349560元。</w:t>
            </w:r>
          </w:p>
        </w:tc>
        <w:tc>
          <w:tcPr>
            <w:tcW w:w="102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企业养老保险领取待遇人数</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2920</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人/月</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516"/>
        </w:trPr>
        <w:tc>
          <w:tcPr>
            <w:tcW w:w="7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养老保险资格认证率</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516"/>
        </w:trPr>
        <w:tc>
          <w:tcPr>
            <w:tcW w:w="7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养老金发放准确率</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516"/>
        </w:trPr>
        <w:tc>
          <w:tcPr>
            <w:tcW w:w="7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及时足额发放退休人员养老金</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516"/>
        </w:trPr>
        <w:tc>
          <w:tcPr>
            <w:tcW w:w="7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2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企业养老待遇领取率</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516"/>
        </w:trPr>
        <w:tc>
          <w:tcPr>
            <w:tcW w:w="7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2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可持续影响指标</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退休</w:t>
            </w:r>
            <w:r>
              <w:rPr>
                <w:rFonts w:ascii="宋体" w:eastAsia="宋体" w:cs="宋体" w:hint="eastAsia"/>
                <w:i w:val="0"/>
                <w:iCs w:val="0"/>
                <w:color w:val="000000"/>
                <w:kern w:val="0"/>
                <w:sz w:val="18"/>
                <w:szCs w:val="18"/>
                <w:u w:val="none"/>
                <w:lang w:val="en-US" w:eastAsia="zh-CN"/>
              </w:rPr>
              <w:t>人员</w:t>
            </w:r>
            <w:r>
              <w:rPr>
                <w:rFonts w:ascii="宋体" w:eastAsia="宋体" w:cs="宋体"/>
                <w:i w:val="0"/>
                <w:iCs w:val="0"/>
                <w:color w:val="000000"/>
                <w:kern w:val="0"/>
                <w:sz w:val="18"/>
                <w:szCs w:val="18"/>
                <w:u w:val="none"/>
                <w:lang w:val="en-US" w:eastAsia="zh-CN"/>
              </w:rPr>
              <w:t>上访率</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0.01</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516"/>
        </w:trPr>
        <w:tc>
          <w:tcPr>
            <w:tcW w:w="7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领取待遇满意度</w:t>
            </w:r>
          </w:p>
        </w:tc>
        <w:tc>
          <w:tcPr>
            <w:tcW w:w="7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bl>
    <w:p>
      <w:pPr>
        <w:pStyle w:val="15"/>
        <w:tabs>
          <w:tab w:val="center" w:pos="4153"/>
          <w:tab w:val="right" w:pos="8306"/>
        </w:tabs>
        <w:rPr>
          <w:rFonts w:hint="eastAsia"/>
        </w:rPr>
      </w:pPr>
    </w:p>
    <w:p>
      <w:pPr>
        <w:pStyle w:val="15"/>
        <w:tabs>
          <w:tab w:val="center" w:pos="4153"/>
          <w:tab w:val="right" w:pos="8306"/>
        </w:tabs>
        <w:rPr>
          <w:rFonts w:hint="eastAsia"/>
        </w:rPr>
      </w:pPr>
    </w:p>
    <w:p>
      <w:pPr>
        <w:keepNext w:val="0"/>
        <w:keepLines w:val="0"/>
        <w:pageBreakBefore w:val="0"/>
        <w:widowControl w:val="0"/>
        <w:kinsoku/>
        <w:wordWrap/>
        <w:overflowPunct/>
        <w:topLinePunct w:val="0"/>
        <w:autoSpaceDE/>
        <w:autoSpaceDN/>
        <w:bidi w:val="0"/>
        <w:adjustRightInd/>
        <w:snapToGrid/>
        <w:spacing w:line="640" w:lineRule="exact"/>
        <w:ind w:firstLineChars="200" w:firstLine="640"/>
        <w:textAlignment w:val="auto"/>
        <w:rPr>
          <w:rFonts w:ascii="仿宋_GB2312" w:eastAsia="仿宋_GB2312" w:cs="仿宋_GB2312"/>
          <w:sz w:val="32"/>
          <w:szCs w:val="32"/>
        </w:rPr>
      </w:pPr>
      <w:r>
        <w:rPr>
          <w:rFonts w:ascii="仿宋_GB2312" w:eastAsia="仿宋_GB2312" w:cs="仿宋_GB2312" w:hint="eastAsia"/>
          <w:sz w:val="32"/>
          <w:szCs w:val="32"/>
        </w:rPr>
        <w:t>重点项目3：工伤保险缺口资金</w:t>
      </w:r>
    </w:p>
    <w:p>
      <w:pPr>
        <w:keepNext w:val="0"/>
        <w:keepLines w:val="0"/>
        <w:pageBreakBefore w:val="0"/>
        <w:widowControl w:val="0"/>
        <w:kinsoku/>
        <w:wordWrap/>
        <w:overflowPunct/>
        <w:topLinePunct w:val="0"/>
        <w:autoSpaceDE/>
        <w:autoSpaceDN/>
        <w:bidi w:val="0"/>
        <w:adjustRightInd/>
        <w:snapToGrid/>
        <w:spacing w:line="64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rPr>
        <w:t>项目年度绩效目标：根据四川省人力资源和社会保障厅征求关于进一步完善四川省工伤保险基金省级统筹制度的实施意见工伤保险缺口资金：</w:t>
      </w:r>
      <w:r>
        <w:rPr>
          <w:rFonts w:ascii="仿宋_GB2312" w:eastAsia="仿宋_GB2312" w:cs="仿宋_GB2312" w:hint="eastAsia"/>
          <w:sz w:val="32"/>
          <w:szCs w:val="32"/>
          <w:lang w:val="en-US" w:eastAsia="zh-CN"/>
        </w:rPr>
        <w:t>2024工伤保险缺口资金：2023年工伤待遇支出合计2600000*0.015=39000元。</w:t>
      </w:r>
    </w:p>
    <w:p>
      <w:pPr>
        <w:keepNext w:val="0"/>
        <w:keepLines w:val="0"/>
        <w:pageBreakBefore w:val="0"/>
        <w:widowControl w:val="0"/>
        <w:kinsoku/>
        <w:wordWrap/>
        <w:overflowPunct/>
        <w:topLinePunct w:val="0"/>
        <w:autoSpaceDE/>
        <w:autoSpaceDN/>
        <w:bidi w:val="0"/>
        <w:adjustRightInd/>
        <w:snapToGrid/>
        <w:spacing w:line="64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绩效指标设置情况：细化指标</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个，包括产出指标、成本指标、效益指标和满意度指标。</w:t>
      </w:r>
    </w:p>
    <w:tbl>
      <w:tblPr>
        <w:jc w:val="left"/>
        <w:tblInd w:w="96" w:type="dxa"/>
        <w:tblW w:w="9937"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072"/>
        <w:gridCol w:w="694"/>
        <w:gridCol w:w="1306"/>
        <w:gridCol w:w="1067"/>
        <w:gridCol w:w="1067"/>
        <w:gridCol w:w="1191"/>
        <w:gridCol w:w="680"/>
        <w:gridCol w:w="794"/>
        <w:gridCol w:w="821"/>
        <w:gridCol w:w="492"/>
        <w:gridCol w:w="753"/>
      </w:tblGrid>
      <w:tr>
        <w:trPr>
          <w:trHeight w:val="467"/>
        </w:trPr>
        <w:tc>
          <w:tcPr>
            <w:tcW w:w="1072"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项目名称</w:t>
            </w:r>
          </w:p>
        </w:tc>
        <w:tc>
          <w:tcPr>
            <w:tcW w:w="694"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预算数</w:t>
            </w:r>
          </w:p>
        </w:tc>
        <w:tc>
          <w:tcPr>
            <w:tcW w:w="1306"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年度目标</w:t>
            </w:r>
          </w:p>
        </w:tc>
        <w:tc>
          <w:tcPr>
            <w:tcW w:w="1067"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一级指标</w:t>
            </w:r>
          </w:p>
        </w:tc>
        <w:tc>
          <w:tcPr>
            <w:tcW w:w="1067"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二级指标</w:t>
            </w:r>
          </w:p>
        </w:tc>
        <w:tc>
          <w:tcPr>
            <w:tcW w:w="1191"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三级指标</w:t>
            </w:r>
          </w:p>
        </w:tc>
        <w:tc>
          <w:tcPr>
            <w:tcW w:w="680"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指标性质</w:t>
            </w:r>
          </w:p>
        </w:tc>
        <w:tc>
          <w:tcPr>
            <w:tcW w:w="794"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指标值</w:t>
            </w:r>
          </w:p>
        </w:tc>
        <w:tc>
          <w:tcPr>
            <w:tcW w:w="821"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度量单位</w:t>
            </w:r>
          </w:p>
        </w:tc>
        <w:tc>
          <w:tcPr>
            <w:tcW w:w="492"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权重</w:t>
            </w:r>
          </w:p>
        </w:tc>
        <w:tc>
          <w:tcPr>
            <w:tcW w:w="753"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指标方向性</w:t>
            </w:r>
          </w:p>
        </w:tc>
      </w:tr>
      <w:tr>
        <w:trPr>
          <w:trHeight w:val="452"/>
        </w:trPr>
        <w:tc>
          <w:tcPr>
            <w:tcW w:w="107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51322623T000008036116-工伤保险缺口资金</w:t>
            </w:r>
          </w:p>
        </w:tc>
        <w:tc>
          <w:tcPr>
            <w:tcW w:w="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3.90</w:t>
            </w:r>
          </w:p>
        </w:tc>
        <w:tc>
          <w:tcPr>
            <w:tcW w:w="130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br/>
              <w:t>2024工伤保险缺口资金：2023年工伤待遇支出合计2600000*0.015=39000元。</w:t>
            </w:r>
          </w:p>
        </w:tc>
        <w:tc>
          <w:tcPr>
            <w:tcW w:w="10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工伤待遇领取人数</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13</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人/月</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286"/>
        </w:trPr>
        <w:tc>
          <w:tcPr>
            <w:tcW w:w="107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基金规范运作率</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286"/>
        </w:trPr>
        <w:tc>
          <w:tcPr>
            <w:tcW w:w="107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待遇领取率</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107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每月工伤待遇及时足额发放率</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286"/>
        </w:trPr>
        <w:tc>
          <w:tcPr>
            <w:tcW w:w="107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化解社会矛盾</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107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107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0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10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经济成本指标</w:t>
            </w:r>
          </w:p>
        </w:tc>
        <w:tc>
          <w:tcPr>
            <w:tcW w:w="1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2024全年待遇发放额</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7.05</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万元</w:t>
            </w:r>
          </w:p>
        </w:tc>
        <w:tc>
          <w:tcPr>
            <w:tcW w:w="4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7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bl>
    <w:p>
      <w:pPr>
        <w:ind w:firstLineChars="200" w:firstLine="640"/>
        <w:rPr>
          <w:rFonts w:ascii="仿宋_GB2312" w:eastAsia="仿宋_GB2312" w:cs="仿宋_GB2312" w:hint="eastAsia"/>
          <w:sz w:val="32"/>
          <w:szCs w:val="32"/>
        </w:rPr>
      </w:pPr>
    </w:p>
    <w:p>
      <w:pPr>
        <w:pStyle w:val="15"/>
        <w:tabs>
          <w:tab w:val="center" w:pos="4153"/>
          <w:tab w:val="right" w:pos="8306"/>
        </w:tabs>
      </w:pPr>
    </w:p>
    <w:p>
      <w:pPr>
        <w:ind w:firstLineChars="200" w:firstLine="640"/>
        <w:rPr>
          <w:rFonts w:ascii="仿宋_GB2312" w:eastAsia="仿宋_GB2312" w:cs="仿宋_GB2312"/>
          <w:sz w:val="32"/>
          <w:szCs w:val="32"/>
        </w:rPr>
      </w:pPr>
      <w:r>
        <w:rPr>
          <w:rFonts w:ascii="仿宋_GB2312" w:eastAsia="仿宋_GB2312" w:cs="仿宋_GB2312" w:hint="eastAsia"/>
          <w:sz w:val="32"/>
          <w:szCs w:val="32"/>
        </w:rPr>
        <w:t>重点项目4：机关养老保险财政补贴</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rPr>
        <w:t>项目年度绩效目标：</w:t>
      </w:r>
      <w:r>
        <w:rPr>
          <w:rFonts w:ascii="仿宋_GB2312" w:eastAsia="仿宋_GB2312" w:cs="仿宋_GB2312" w:hint="eastAsia"/>
          <w:sz w:val="32"/>
          <w:szCs w:val="32"/>
          <w:lang w:val="en-US" w:eastAsia="zh-CN"/>
        </w:rPr>
        <w:t>据州上下发的2023年金川县机关养老保险预算调整表，2024年机关养老保险财政补助9930000元。发放机关养老保险人数1483人，确保全县机关养老人员待遇按时足额发放。</w:t>
      </w:r>
    </w:p>
    <w:p>
      <w:pPr>
        <w:pStyle w:val="15"/>
        <w:tabs>
          <w:tab w:val="center" w:pos="4153"/>
          <w:tab w:val="right" w:pos="8306"/>
        </w:tabs>
        <w:rPr>
          <w:rFonts w:ascii="仿宋_GB2312" w:eastAsia="仿宋_GB2312" w:cs="仿宋_GB2312" w:hint="eastAsia"/>
          <w:sz w:val="32"/>
          <w:szCs w:val="32"/>
        </w:rPr>
      </w:pPr>
      <w:r>
        <w:rPr>
          <w:rFonts w:ascii="仿宋_GB2312" w:eastAsia="仿宋_GB2312" w:cs="仿宋_GB2312" w:hint="eastAsia"/>
          <w:sz w:val="32"/>
          <w:szCs w:val="32"/>
        </w:rPr>
        <w:t>绩效指标设置情况：细化指标</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个，包括产出指标、效益指标和满意度指标。</w:t>
      </w:r>
    </w:p>
    <w:tbl>
      <w:tblPr>
        <w:jc w:val="left"/>
        <w:tblInd w:w="96" w:type="dxa"/>
        <w:tblW w:w="9628"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846"/>
        <w:gridCol w:w="720"/>
        <w:gridCol w:w="1533"/>
        <w:gridCol w:w="693"/>
        <w:gridCol w:w="867"/>
        <w:gridCol w:w="1228"/>
        <w:gridCol w:w="770"/>
        <w:gridCol w:w="896"/>
        <w:gridCol w:w="826"/>
        <w:gridCol w:w="493"/>
        <w:gridCol w:w="756"/>
      </w:tblGrid>
      <w:tr>
        <w:trPr>
          <w:trHeight w:val="467"/>
        </w:trPr>
        <w:tc>
          <w:tcPr>
            <w:tcW w:w="846"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tabs>
                <w:tab w:val="left" w:pos="1890"/>
              </w:tabs>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项目名称</w:t>
            </w:r>
          </w:p>
        </w:tc>
        <w:tc>
          <w:tcPr>
            <w:tcW w:w="720"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预算数</w:t>
            </w:r>
          </w:p>
        </w:tc>
        <w:tc>
          <w:tcPr>
            <w:tcW w:w="1533"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年度目标</w:t>
            </w:r>
          </w:p>
        </w:tc>
        <w:tc>
          <w:tcPr>
            <w:tcW w:w="693"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一级指标</w:t>
            </w:r>
          </w:p>
        </w:tc>
        <w:tc>
          <w:tcPr>
            <w:tcW w:w="867"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二级指标</w:t>
            </w:r>
          </w:p>
        </w:tc>
        <w:tc>
          <w:tcPr>
            <w:tcW w:w="1228"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三级指标</w:t>
            </w:r>
          </w:p>
        </w:tc>
        <w:tc>
          <w:tcPr>
            <w:tcW w:w="770"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指标性质</w:t>
            </w:r>
          </w:p>
        </w:tc>
        <w:tc>
          <w:tcPr>
            <w:tcW w:w="896"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指标值</w:t>
            </w:r>
          </w:p>
        </w:tc>
        <w:tc>
          <w:tcPr>
            <w:tcW w:w="826"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度量单位</w:t>
            </w:r>
          </w:p>
        </w:tc>
        <w:tc>
          <w:tcPr>
            <w:tcW w:w="493"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权重</w:t>
            </w:r>
          </w:p>
        </w:tc>
        <w:tc>
          <w:tcPr>
            <w:tcW w:w="756" w:type="dxa"/>
            <w:tcBorders>
              <w:top w:val="single" w:sz="4" w:space="0" w:color="000000"/>
              <w:left w:val="single" w:sz="4" w:space="0" w:color="000000"/>
              <w:bottom w:val="single" w:sz="4" w:space="0" w:color="000000"/>
              <w:right w:val="single" w:sz="4" w:space="0" w:color="000000"/>
            </w:tcBorders>
            <w:shd w:val="clear" w:color="F7F7F7" w:fill="F7F7F7"/>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指标方向性</w:t>
            </w:r>
          </w:p>
        </w:tc>
      </w:tr>
      <w:tr>
        <w:trPr>
          <w:trHeight w:val="452"/>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51322623T000008038319</w:t>
            </w:r>
            <w:r>
              <w:rPr>
                <w:rFonts w:ascii="宋体" w:eastAsia="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机关养老保险财政补贴</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993.00</w:t>
            </w:r>
          </w:p>
        </w:tc>
        <w:tc>
          <w:tcPr>
            <w:tcW w:w="153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根据州上下发的2023年金川县机关养老保险预算调整表，2024年机关养老保险财政补助9930000元。发放机关养老保险人数1483人，确保全县机关养老人员待遇按时足额发放。</w:t>
            </w:r>
          </w:p>
        </w:tc>
        <w:tc>
          <w:tcPr>
            <w:tcW w:w="69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机关养老保险领取待遇人数</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1483</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人/月</w:t>
            </w:r>
          </w:p>
        </w:tc>
        <w:tc>
          <w:tcPr>
            <w:tcW w:w="4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3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养老保险资格认证率</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3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6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机关养老保险待遇发放准确率</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3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及时足额发放退休人员养老金</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3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机关养老待遇领取率</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3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可持续影响指标</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退休人员上访率</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0.001</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2"/>
        </w:trPr>
        <w:tc>
          <w:tcPr>
            <w:tcW w:w="84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3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2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机关养老待遇领取对象满意度</w:t>
            </w:r>
          </w:p>
        </w:tc>
        <w:tc>
          <w:tcPr>
            <w:tcW w:w="7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bl>
    <w:p>
      <w:pPr>
        <w:pStyle w:val="15"/>
        <w:tabs>
          <w:tab w:val="center" w:pos="4153"/>
          <w:tab w:val="right" w:pos="8306"/>
        </w:tabs>
        <w:rPr>
          <w:rFonts w:ascii="仿宋_GB2312" w:eastAsia="仿宋_GB2312" w:cs="仿宋_GB2312" w:hint="eastAsia"/>
          <w:sz w:val="32"/>
          <w:szCs w:val="32"/>
        </w:rPr>
      </w:pPr>
    </w:p>
    <w:p>
      <w:pPr>
        <w:pStyle w:val="15"/>
        <w:tabs>
          <w:tab w:val="center" w:pos="4153"/>
          <w:tab w:val="right" w:pos="8306"/>
        </w:tabs>
        <w:rPr>
          <w:rFonts w:ascii="仿宋_GB2312" w:eastAsia="仿宋_GB2312" w:cs="仿宋_GB2312" w:hint="eastAsia"/>
          <w:sz w:val="32"/>
          <w:szCs w:val="32"/>
        </w:rPr>
      </w:pPr>
    </w:p>
    <w:p>
      <w:pPr>
        <w:pStyle w:val="15"/>
        <w:tabs>
          <w:tab w:val="center" w:pos="4153"/>
          <w:tab w:val="right" w:pos="8306"/>
        </w:tabs>
        <w:rPr>
          <w:rFonts w:ascii="仿宋_GB2312" w:eastAsia="仿宋_GB2312" w:cs="仿宋_GB2312" w:hint="eastAsia"/>
          <w:sz w:val="32"/>
          <w:szCs w:val="32"/>
        </w:rPr>
      </w:pPr>
    </w:p>
    <w:p>
      <w:pPr>
        <w:pStyle w:val="15"/>
        <w:tabs>
          <w:tab w:val="center" w:pos="4153"/>
          <w:tab w:val="right" w:pos="8306"/>
        </w:tabs>
        <w:rPr>
          <w:rFonts w:ascii="仿宋_GB2312" w:eastAsia="仿宋_GB2312" w:cs="仿宋_GB2312" w:hint="eastAsia"/>
          <w:sz w:val="32"/>
          <w:szCs w:val="32"/>
        </w:rPr>
      </w:pPr>
    </w:p>
    <w:p>
      <w:pPr>
        <w:pStyle w:val="15"/>
        <w:tabs>
          <w:tab w:val="center" w:pos="4153"/>
          <w:tab w:val="right" w:pos="8306"/>
        </w:tabs>
        <w:rPr>
          <w:rFonts w:ascii="仿宋_GB2312" w:eastAsia="仿宋_GB2312" w:cs="仿宋_GB2312" w:hint="eastAsia"/>
          <w:sz w:val="32"/>
          <w:szCs w:val="32"/>
        </w:rPr>
      </w:pPr>
    </w:p>
    <w:p>
      <w:pPr>
        <w:pStyle w:val="15"/>
        <w:tabs>
          <w:tab w:val="center" w:pos="4153"/>
          <w:tab w:val="right" w:pos="8306"/>
        </w:tabs>
        <w:rPr>
          <w:rFonts w:ascii="仿宋_GB2312" w:eastAsia="仿宋_GB2312" w:cs="仿宋_GB2312" w:hint="eastAsia"/>
          <w:sz w:val="32"/>
          <w:szCs w:val="32"/>
        </w:rPr>
      </w:pPr>
    </w:p>
    <w:p>
      <w:pPr>
        <w:pStyle w:val="15"/>
        <w:tabs>
          <w:tab w:val="center" w:pos="4153"/>
          <w:tab w:val="right" w:pos="8306"/>
        </w:tabs>
        <w:rPr>
          <w:rFonts w:ascii="仿宋_GB2312" w:eastAsia="仿宋_GB2312" w:cs="仿宋_GB2312" w:hint="eastAsia"/>
          <w:sz w:val="32"/>
          <w:szCs w:val="32"/>
        </w:rPr>
      </w:pPr>
    </w:p>
    <w:sectPr>
      <w:footerReference w:type="default" r:id="rId2"/>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0000000000000000000"/>
    <w:charset w:val="86"/>
    <w:family w:val="auto"/>
    <w:pitch w:val="variable"/>
    <w:sig w:usb0="00000000" w:usb1="00000000" w:usb2="00000000" w:usb3="00000000" w:csb0="00040000" w:csb1="00000000"/>
  </w:font>
  <w:font w:name="仿宋_GB2312">
    <w:altName w:val="仿宋"/>
    <w:panose1 w:val="00000000000000000000"/>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57950" cy="139560"/>
              <wp:effectExtent l="0" t="0" r="0" b="0"/>
              <wp:wrapNone/>
              <wp:docPr id="1" name="_x0000_s3073"/>
              <wp:cNvGraphicFramePr>
                <a:graphicFrameLocks noChangeAspect="0"/>
              </wp:cNvGraphicFramePr>
              <a:graphic>
                <a:graphicData uri="http://schemas.microsoft.com/office/word/2010/wordprocessingShape">
                  <wps:wsp>
                    <wps:cNvSpPr/>
                    <wps:spPr>
                      <a:xfrm rot="0">
                        <a:off x="0" y="0"/>
                        <a:ext cx="57950" cy="139560"/>
                      </a:xfrm>
                      <a:prstGeom prst="rect"/>
                      <a:noFill/>
                      <a:ln w="9525" cmpd="sng" cap="flat">
                        <a:noFill/>
                        <a:prstDash val="solid"/>
                        <a:miter/>
                      </a:ln>
                    </wps:spPr>
                    <wps:txbx id="2">
                      <w:txbxContent>
                        <w:p>
                          <w:pPr>
                            <w:pStyle w:val="15"/>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type="#_x0000_t202" id="_x0000_s3073 3" o:spid="_x0000_s3" filled="f" stroked="f" style="position:absolute;margin-left:0.0pt;margin-top:0.0pt;width:4.562999pt;height:10.988999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5"/>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docVars>
    <w:docVar w:name="commondata" w:val="eyJoZGlkIjoiNWE4NGViZjU0MzVjNDA1ZWUyM2EwMDQ1ZWE5YThiMz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autoRedefine/>
  </w:style>
  <w:style w:type="paragraph" w:styleId="15">
    <w:name w:val="footer"/>
    <w:basedOn w:val="0"/>
    <w:pPr>
      <w:tabs>
        <w:tab w:val="center" w:pos="4153"/>
        <w:tab w:val="right" w:pos="8306"/>
      </w:tabs>
      <w:snapToGrid w:val="0"/>
      <w:jc w:val="left"/>
    </w:pPr>
    <w:rPr>
      <w:sz w:val="18"/>
    </w:rPr>
  </w:style>
  <w:style w:type="paragraph" w:styleId="16">
    <w:name w:val="header"/>
    <w:basedOn w:val="0"/>
    <w:autoRedefine/>
    <w:pPr>
      <w:pBdr>
        <w:bottom w:val="single" w:sz="6" w:space="1" w:color="auto"/>
      </w:pBdr>
      <w:tabs>
        <w:tab w:val="center" w:pos="4153"/>
        <w:tab w:val="right" w:pos="8306"/>
      </w:tabs>
      <w:snapToGrid w:val="0"/>
      <w:jc w:val="center"/>
    </w:pPr>
    <w:rPr>
      <w:sz w:val="18"/>
      <w:szCs w:val="18"/>
    </w:rPr>
  </w:style>
  <w:style w:type="paragraph" w:styleId="17">
    <w:name w:val="Normal (Web)"/>
    <w:basedOn w:val="0"/>
    <w:autoRedefine/>
    <w:pPr>
      <w:spacing w:beforeAutospacing="1" w:afterAutospacing="1"/>
      <w:jc w:val="left"/>
    </w:pPr>
    <w:rPr>
      <w:rFonts w:cs="Times New Roman"/>
      <w:kern w:val="0"/>
      <w:sz w:val="24"/>
    </w:rPr>
  </w:style>
  <w:style w:type="paragraph" w:styleId="18">
    <w:name w:val="List Paragraph"/>
    <w:basedOn w:val="0"/>
    <w:pPr>
      <w:ind w:firstLineChars="200" w:firstLine="200"/>
    </w:pPr>
  </w:style>
  <w:style w:type="character" w:customStyle="1" w:styleId="19">
    <w:name w:val="font11"/>
    <w:basedOn w:val="10"/>
    <w:rPr>
      <w:rFonts w:ascii="宋体" w:eastAsia="宋体" w:cs="宋体"/>
      <w:color w:val="000000"/>
      <w:sz w:val="18"/>
      <w:szCs w:val="18"/>
      <w:u w:val="none"/>
    </w:rPr>
  </w:style>
  <w:style w:type="character" w:customStyle="1" w:styleId="20">
    <w:name w:val="font31"/>
    <w:basedOn w:val="10"/>
    <w:rPr>
      <w:rFonts w:ascii="宋体" w:eastAsia="宋体" w:cs="宋体"/>
      <w:color w:val="000000"/>
      <w:sz w:val="18"/>
      <w:szCs w:val="18"/>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7</TotalTime>
  <Application>Yozo_Office27021597764231179</Application>
  <Pages>7</Pages>
  <Words>2693</Words>
  <Characters>3206</Characters>
  <Lines>609</Lines>
  <Paragraphs>337</Paragraphs>
  <CharactersWithSpaces>3210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6</cp:revision>
  <dcterms:created xsi:type="dcterms:W3CDTF">2023-02-06T06:46:00Z</dcterms:created>
  <dcterms:modified xsi:type="dcterms:W3CDTF">2024-03-11T08:03:17Z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5E74D2C40144434DBEA38D70478C0333</vt:lpwstr>
  </property>
</Properties>
</file>