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emf" ContentType="image/emf"/>
  <Default Extension="bin" ContentType="application/vnd.openxmlformats-officedocument.oleObjec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rPr>
          <w:rFonts w:ascii="方正小标宋简体" w:eastAsia="方正小标宋简体"/>
          <w:color w:val="000000"/>
          <w:sz w:val="52"/>
          <w:szCs w:val="52"/>
        </w:rPr>
      </w:pPr>
    </w:p>
    <w:p>
      <w:pPr>
        <w:spacing w:line="600" w:lineRule="exact"/>
        <w:jc w:val="center"/>
        <w:rPr>
          <w:rFonts w:ascii="方正小标宋简体" w:eastAsia="方正小标宋简体"/>
          <w:color w:val="000000"/>
          <w:sz w:val="52"/>
          <w:szCs w:val="52"/>
        </w:rPr>
      </w:pPr>
    </w:p>
    <w:p>
      <w:pPr>
        <w:spacing w:line="600" w:lineRule="exact"/>
        <w:jc w:val="center"/>
        <w:rPr>
          <w:rFonts w:ascii="方正小标宋简体" w:eastAsia="方正小标宋简体"/>
          <w:color w:val="000000"/>
          <w:sz w:val="52"/>
          <w:szCs w:val="52"/>
        </w:rPr>
      </w:pPr>
    </w:p>
    <w:p>
      <w:pPr>
        <w:spacing w:line="600" w:lineRule="exact"/>
        <w:jc w:val="center"/>
        <w:rPr>
          <w:rFonts w:ascii="方正小标宋简体" w:eastAsia="方正小标宋简体"/>
          <w:color w:val="000000"/>
          <w:sz w:val="52"/>
          <w:szCs w:val="52"/>
        </w:rPr>
      </w:pPr>
    </w:p>
    <w:p>
      <w:pPr>
        <w:spacing w:line="600" w:lineRule="exact"/>
        <w:jc w:val="center"/>
        <w:rPr>
          <w:rFonts w:ascii="方正小标宋简体" w:eastAsia="方正小标宋简体"/>
          <w:color w:val="000000"/>
          <w:sz w:val="52"/>
          <w:szCs w:val="52"/>
        </w:rPr>
      </w:pPr>
    </w:p>
    <w:p>
      <w:pPr>
        <w:spacing w:line="600" w:lineRule="exact"/>
        <w:rPr>
          <w:rFonts w:ascii="方正小标宋简体" w:eastAsia="方正小标宋简体"/>
          <w:color w:val="000000"/>
          <w:sz w:val="52"/>
          <w:szCs w:val="52"/>
        </w:rPr>
      </w:pPr>
    </w:p>
    <w:p>
      <w:pPr>
        <w:adjustRightInd w:val="0"/>
        <w:snapToGrid w:val="0"/>
        <w:spacing w:line="360" w:lineRule="auto"/>
        <w:jc w:val="center"/>
        <w:outlineLvl w:val="0"/>
        <w:rPr>
          <w:rFonts w:eastAsia="方正小标宋简体"/>
          <w:sz w:val="72"/>
          <w:szCs w:val="72"/>
        </w:rPr>
      </w:pPr>
    </w:p>
    <w:p>
      <w:pPr>
        <w:adjustRightInd w:val="0"/>
        <w:snapToGrid w:val="0"/>
        <w:spacing w:line="360" w:lineRule="auto"/>
        <w:jc w:val="center"/>
        <w:outlineLvl w:val="0"/>
        <w:rPr>
          <w:rFonts w:eastAsia="方正小标宋简体"/>
          <w:sz w:val="72"/>
          <w:szCs w:val="72"/>
        </w:rPr>
      </w:pPr>
      <w:bookmarkStart w:id="0" w:name="_Toc14360"/>
      <w:bookmarkStart w:id="1" w:name="_Toc26181"/>
      <w:bookmarkStart w:id="2" w:name="_Toc17804"/>
      <w:bookmarkStart w:id="3" w:name="_Toc2218"/>
      <w:bookmarkStart w:id="4" w:name="_Toc29150"/>
      <w:r>
        <w:rPr>
          <w:rFonts w:eastAsia="方正小标宋简体" w:hint="eastAsia"/>
          <w:sz w:val="72"/>
          <w:szCs w:val="72"/>
        </w:rPr>
        <w:t>2022年度</w:t>
      </w:r>
      <w:bookmarkEnd w:id="0"/>
      <w:bookmarkEnd w:id="1"/>
      <w:bookmarkEnd w:id="2"/>
      <w:bookmarkEnd w:id="3"/>
      <w:bookmarkEnd w:id="4"/>
    </w:p>
    <w:p>
      <w:pPr>
        <w:adjustRightInd w:val="0"/>
        <w:snapToGrid w:val="0"/>
        <w:spacing w:line="360" w:lineRule="auto"/>
        <w:jc w:val="center"/>
        <w:outlineLvl w:val="0"/>
        <w:rPr>
          <w:rFonts w:eastAsia="方正小标宋简体"/>
          <w:sz w:val="72"/>
          <w:szCs w:val="72"/>
        </w:rPr>
      </w:pPr>
      <w:bookmarkStart w:id="5" w:name="_Toc25913"/>
      <w:bookmarkStart w:id="6" w:name="_Toc16679"/>
      <w:bookmarkStart w:id="7" w:name="_Toc7789"/>
      <w:bookmarkStart w:id="8" w:name="_Toc10642"/>
      <w:bookmarkStart w:id="9" w:name="_Toc31029"/>
      <w:r>
        <w:rPr>
          <w:rFonts w:eastAsia="方正小标宋简体" w:hint="eastAsia"/>
          <w:sz w:val="72"/>
          <w:szCs w:val="72"/>
        </w:rPr>
        <w:t>金川县社会保险事务中心</w:t>
      </w:r>
      <w:bookmarkEnd w:id="5"/>
      <w:bookmarkEnd w:id="6"/>
      <w:bookmarkEnd w:id="7"/>
      <w:bookmarkEnd w:id="8"/>
      <w:bookmarkEnd w:id="9"/>
    </w:p>
    <w:p>
      <w:pPr>
        <w:adjustRightInd w:val="0"/>
        <w:snapToGrid w:val="0"/>
        <w:spacing w:line="360" w:lineRule="auto"/>
        <w:jc w:val="center"/>
        <w:outlineLvl w:val="0"/>
        <w:rPr>
          <w:rFonts w:eastAsia="方正小标宋简体"/>
          <w:sz w:val="72"/>
          <w:szCs w:val="72"/>
        </w:rPr>
        <w:sectPr>
          <w:headerReference w:type="default" r:id="rId2"/>
          <w:footerReference w:type="default" r:id="rId3"/>
          <w:pgSz w:w="11906" w:h="16838"/>
          <w:pgMar w:top="1440" w:right="1800" w:bottom="1440" w:left="1800" w:header="851" w:footer="992" w:gutter="0"/>
          <w:pgNumType w:start="1"/>
          <w:docGrid w:type="lines" w:linePitch="312" w:charSpace="0"/>
        </w:sectPr>
      </w:pPr>
      <w:bookmarkStart w:id="10" w:name="_Toc15036"/>
      <w:bookmarkStart w:id="11" w:name="_Toc28662"/>
      <w:bookmarkStart w:id="12" w:name="_Toc27081"/>
      <w:bookmarkStart w:id="13" w:name="_Toc30242"/>
      <w:bookmarkStart w:id="14" w:name="_Toc18322"/>
      <w:r>
        <w:rPr>
          <w:rFonts w:eastAsia="方正小标宋简体" w:hint="eastAsia"/>
          <w:sz w:val="72"/>
          <w:szCs w:val="72"/>
        </w:rPr>
        <w:t>部门决算</w:t>
      </w:r>
      <w:bookmarkEnd w:id="10"/>
      <w:bookmarkEnd w:id="11"/>
      <w:bookmarkEnd w:id="12"/>
      <w:bookmarkEnd w:id="13"/>
      <w:bookmarkEnd w:id="14"/>
    </w:p>
    <w:p>
      <w:pPr>
        <w:spacing w:line="600" w:lineRule="exact"/>
        <w:jc w:val="center"/>
        <w:rPr>
          <w:rFonts w:ascii="仿宋" w:eastAsia="仿宋" w:cs="仿宋" w:hint="eastAsia"/>
          <w:bCs/>
          <w:sz w:val="32"/>
          <w:szCs w:val="32"/>
          <w:shd w:val="clear" w:color="auto" w:fill="FFFFFF"/>
        </w:rPr>
      </w:pPr>
      <w:r>
        <w:rPr>
          <w:rFonts w:ascii="宋体" w:hint="eastAsia"/>
          <w:b/>
          <w:bCs/>
          <w:sz w:val="40"/>
          <w:szCs w:val="48"/>
        </w:rPr>
        <w:t>目录</w:t>
      </w:r>
    </w:p>
    <w:p>
      <w:pPr>
        <w:pStyle w:val="19"/>
        <w:keepNext w:val="0"/>
        <w:keepLines w:val="0"/>
        <w:pageBreakBefore w:val="0"/>
        <w:widowControl w:val="0"/>
        <w:tabs>
          <w:tab w:val="right" w:leader="dot" w:pos="8296"/>
        </w:tabs>
        <w:kinsoku/>
        <w:wordWrap/>
        <w:overflowPunct/>
        <w:topLinePunct w:val="0"/>
        <w:autoSpaceDE/>
        <w:autoSpaceDN/>
        <w:bidi w:val="0"/>
        <w:adjustRightInd/>
        <w:snapToGrid/>
        <w:spacing w:beforeLines="50" w:before="156" w:afterLines="50" w:after="156" w:line="560" w:lineRule="exact"/>
        <w:jc w:val="center"/>
        <w:textAlignment w:val="auto"/>
      </w:pPr>
      <w:r>
        <w:rPr>
          <w:rFonts w:ascii="仿宋" w:eastAsia="仿宋" w:cs="仿宋" w:hint="eastAsia"/>
          <w:bCs/>
          <w:sz w:val="32"/>
          <w:szCs w:val="32"/>
          <w:shd w:val="clear" w:color="auto" w:fill="FFFFFF"/>
        </w:rPr>
        <w:t>公开时间：2023年8月24日</w:t>
      </w:r>
      <w:r>
        <w:rPr>
          <w:rFonts w:ascii="仿宋" w:eastAsia="仿宋" w:cs="仿宋" w:hint="eastAsia"/>
          <w:bCs/>
          <w:sz w:val="56"/>
          <w:szCs w:val="56"/>
          <w:shd w:val="clear" w:color="auto" w:fill="FFFFFF"/>
        </w:rPr>
        <w:fldChar w:fldCharType="begin"/>
      </w:r>
      <w:r>
        <w:rPr>
          <w:rFonts w:ascii="仿宋" w:eastAsia="仿宋" w:cs="仿宋" w:hint="eastAsia"/>
          <w:bCs/>
          <w:sz w:val="56"/>
          <w:szCs w:val="56"/>
          <w:shd w:val="clear" w:color="auto" w:fill="FFFFFF"/>
        </w:rPr>
        <w:instrText xml:space="preserve">TOC \o "1-2" \h \u </w:instrText>
      </w:r>
      <w:r>
        <w:rPr>
          <w:rFonts w:ascii="仿宋" w:eastAsia="仿宋" w:cs="仿宋" w:hint="eastAsia"/>
          <w:bCs/>
          <w:sz w:val="56"/>
          <w:szCs w:val="56"/>
          <w:shd w:val="clear" w:color="auto" w:fill="FFFFFF"/>
        </w:rPr>
        <w:fldChar w:fldCharType="separate"/>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_Toc2737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36"/>
        </w:rPr>
        <w:t xml:space="preserve">第一部分 </w:t>
      </w:r>
      <w:r>
        <w:rPr>
          <w:rFonts w:ascii="仿宋" w:eastAsia="仿宋" w:cs="仿宋" w:hint="eastAsia"/>
          <w:bCs w:val="0"/>
          <w:sz w:val="28"/>
          <w:szCs w:val="36"/>
        </w:rPr>
        <w:t>部门概况</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_Toc2737 \h </w:instrText>
      </w:r>
      <w:r>
        <w:rPr>
          <w:rFonts w:ascii="仿宋" w:eastAsia="仿宋" w:cs="仿宋" w:hint="eastAsia"/>
          <w:sz w:val="28"/>
          <w:szCs w:val="36"/>
        </w:rPr>
        <w:fldChar w:fldCharType="separate"/>
      </w:r>
      <w:r>
        <w:rPr>
          <w:rFonts w:ascii="仿宋" w:eastAsia="仿宋" w:cs="仿宋" w:hint="eastAsia"/>
          <w:sz w:val="28"/>
          <w:szCs w:val="36"/>
        </w:rPr>
        <w:t>1</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_Toc19366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rPr>
        <w:t>一、基本职能及主要工作</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_Toc19366 \h </w:instrText>
      </w:r>
      <w:r>
        <w:rPr>
          <w:rFonts w:ascii="仿宋" w:eastAsia="仿宋" w:cs="仿宋" w:hint="eastAsia"/>
          <w:sz w:val="28"/>
          <w:szCs w:val="36"/>
        </w:rPr>
        <w:fldChar w:fldCharType="separate"/>
      </w:r>
      <w:r>
        <w:rPr>
          <w:rFonts w:ascii="仿宋" w:eastAsia="仿宋" w:cs="仿宋" w:hint="eastAsia"/>
          <w:sz w:val="28"/>
          <w:szCs w:val="36"/>
        </w:rPr>
        <w:t>1</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_Toc27383 </w:instrText>
      </w:r>
      <w:r>
        <w:rPr>
          <w:rFonts w:ascii="仿宋" w:eastAsia="仿宋" w:cs="仿宋" w:hint="eastAsia"/>
          <w:bCs/>
          <w:sz w:val="28"/>
          <w:szCs w:val="144"/>
          <w:shd w:val="clear" w:color="auto" w:fill="FFFFFF"/>
        </w:rPr>
        <w:fldChar w:fldCharType="separate"/>
      </w:r>
      <w:r>
        <w:rPr>
          <w:rFonts w:ascii="仿宋" w:eastAsia="仿宋" w:cs="仿宋" w:hint="eastAsia"/>
          <w:bCs/>
          <w:sz w:val="28"/>
          <w:szCs w:val="44"/>
        </w:rPr>
        <w:t>（一）主要职能</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_Toc27383 \h </w:instrText>
      </w:r>
      <w:r>
        <w:rPr>
          <w:rFonts w:ascii="仿宋" w:eastAsia="仿宋" w:cs="仿宋" w:hint="eastAsia"/>
          <w:sz w:val="28"/>
          <w:szCs w:val="36"/>
        </w:rPr>
        <w:fldChar w:fldCharType="separate"/>
      </w:r>
      <w:r>
        <w:rPr>
          <w:rFonts w:ascii="仿宋" w:eastAsia="仿宋" w:cs="仿宋" w:hint="eastAsia"/>
          <w:sz w:val="28"/>
          <w:szCs w:val="36"/>
        </w:rPr>
        <w:t>1</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_Toc18533 </w:instrText>
      </w:r>
      <w:r>
        <w:rPr>
          <w:rFonts w:ascii="仿宋" w:eastAsia="仿宋" w:cs="仿宋" w:hint="eastAsia"/>
          <w:bCs/>
          <w:sz w:val="28"/>
          <w:szCs w:val="144"/>
          <w:shd w:val="clear" w:color="auto" w:fill="FFFFFF"/>
        </w:rPr>
        <w:fldChar w:fldCharType="separate"/>
      </w:r>
      <w:r>
        <w:rPr>
          <w:rFonts w:ascii="仿宋" w:eastAsia="仿宋" w:cs="仿宋" w:hint="eastAsia"/>
          <w:bCs/>
          <w:sz w:val="28"/>
          <w:szCs w:val="44"/>
        </w:rPr>
        <w:t>（二）2022年重点工作完成情况。</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_Toc18533 \h </w:instrText>
      </w:r>
      <w:r>
        <w:rPr>
          <w:rFonts w:ascii="仿宋" w:eastAsia="仿宋" w:cs="仿宋" w:hint="eastAsia"/>
          <w:sz w:val="28"/>
          <w:szCs w:val="36"/>
        </w:rPr>
        <w:fldChar w:fldCharType="separate"/>
      </w:r>
      <w:r>
        <w:rPr>
          <w:rFonts w:ascii="仿宋" w:eastAsia="仿宋" w:cs="仿宋" w:hint="eastAsia"/>
          <w:sz w:val="28"/>
          <w:szCs w:val="36"/>
        </w:rPr>
        <w:t>2</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_Toc6185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rPr>
        <w:t>二、机构设置</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_Toc6185 \h </w:instrText>
      </w:r>
      <w:r>
        <w:rPr>
          <w:rFonts w:ascii="仿宋" w:eastAsia="仿宋" w:cs="仿宋" w:hint="eastAsia"/>
          <w:sz w:val="28"/>
          <w:szCs w:val="36"/>
        </w:rPr>
        <w:fldChar w:fldCharType="separate"/>
      </w:r>
      <w:r>
        <w:rPr>
          <w:rFonts w:ascii="仿宋" w:eastAsia="仿宋" w:cs="仿宋" w:hint="eastAsia"/>
          <w:sz w:val="28"/>
          <w:szCs w:val="36"/>
        </w:rPr>
        <w:t>2</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_Toc25125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36"/>
        </w:rPr>
        <w:t>第二部分</w:t>
      </w:r>
      <w:r>
        <w:rPr>
          <w:rFonts w:ascii="仿宋" w:eastAsia="仿宋" w:cs="仿宋" w:hint="eastAsia"/>
          <w:bCs w:val="0"/>
          <w:sz w:val="28"/>
          <w:szCs w:val="36"/>
        </w:rPr>
        <w:t>2022年度部门决算情况说明</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_Toc25125 \h </w:instrText>
      </w:r>
      <w:r>
        <w:rPr>
          <w:rFonts w:ascii="仿宋" w:eastAsia="仿宋" w:cs="仿宋" w:hint="eastAsia"/>
          <w:sz w:val="28"/>
          <w:szCs w:val="36"/>
        </w:rPr>
        <w:fldChar w:fldCharType="separate"/>
      </w:r>
      <w:r>
        <w:rPr>
          <w:rFonts w:ascii="仿宋" w:eastAsia="仿宋" w:cs="仿宋" w:hint="eastAsia"/>
          <w:sz w:val="28"/>
          <w:szCs w:val="36"/>
        </w:rPr>
        <w:t>3</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_Toc17417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rPr>
        <w:t>一、收入支出决算总体情况说明</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_Toc17417 \h </w:instrText>
      </w:r>
      <w:r>
        <w:rPr>
          <w:rFonts w:ascii="仿宋" w:eastAsia="仿宋" w:cs="仿宋" w:hint="eastAsia"/>
          <w:sz w:val="28"/>
          <w:szCs w:val="36"/>
        </w:rPr>
        <w:fldChar w:fldCharType="separate"/>
      </w:r>
      <w:r>
        <w:rPr>
          <w:rFonts w:ascii="仿宋" w:eastAsia="仿宋" w:cs="仿宋" w:hint="eastAsia"/>
          <w:sz w:val="28"/>
          <w:szCs w:val="36"/>
        </w:rPr>
        <w:t>3</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_Toc23486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rPr>
        <w:t>二、收入支出预算执行情况</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_Toc23486 \h </w:instrText>
      </w:r>
      <w:r>
        <w:rPr>
          <w:rFonts w:ascii="仿宋" w:eastAsia="仿宋" w:cs="仿宋" w:hint="eastAsia"/>
          <w:sz w:val="28"/>
          <w:szCs w:val="36"/>
        </w:rPr>
        <w:fldChar w:fldCharType="separate"/>
      </w:r>
      <w:r>
        <w:rPr>
          <w:rFonts w:ascii="仿宋" w:eastAsia="仿宋" w:cs="仿宋" w:hint="eastAsia"/>
          <w:sz w:val="28"/>
          <w:szCs w:val="36"/>
        </w:rPr>
        <w:t>3</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_Toc9646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rPr>
        <w:t>三、财政拨款收支决算分析</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_Toc9646 \h </w:instrText>
      </w:r>
      <w:r>
        <w:rPr>
          <w:rFonts w:ascii="仿宋" w:eastAsia="仿宋" w:cs="仿宋" w:hint="eastAsia"/>
          <w:sz w:val="28"/>
          <w:szCs w:val="36"/>
        </w:rPr>
        <w:fldChar w:fldCharType="separate"/>
      </w:r>
      <w:r>
        <w:rPr>
          <w:rFonts w:ascii="仿宋" w:eastAsia="仿宋" w:cs="仿宋" w:hint="eastAsia"/>
          <w:sz w:val="28"/>
          <w:szCs w:val="36"/>
        </w:rPr>
        <w:t>4</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_Toc31011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rPr>
        <w:t>四、一般公共预算财政拨款支出决算情况</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_Toc31011 \h </w:instrText>
      </w:r>
      <w:r>
        <w:rPr>
          <w:rFonts w:ascii="仿宋" w:eastAsia="仿宋" w:cs="仿宋" w:hint="eastAsia"/>
          <w:sz w:val="28"/>
          <w:szCs w:val="36"/>
        </w:rPr>
        <w:fldChar w:fldCharType="separate"/>
      </w:r>
      <w:r>
        <w:rPr>
          <w:rFonts w:ascii="仿宋" w:eastAsia="仿宋" w:cs="仿宋" w:hint="eastAsia"/>
          <w:sz w:val="28"/>
          <w:szCs w:val="36"/>
        </w:rPr>
        <w:t>5</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_Toc32164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rPr>
        <w:t>（一）一般公共预算财政拨款支出决算总体情况</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_Toc32164 \h </w:instrText>
      </w:r>
      <w:r>
        <w:rPr>
          <w:rFonts w:ascii="仿宋" w:eastAsia="仿宋" w:cs="仿宋" w:hint="eastAsia"/>
          <w:sz w:val="28"/>
          <w:szCs w:val="36"/>
        </w:rPr>
        <w:fldChar w:fldCharType="separate"/>
      </w:r>
      <w:r>
        <w:rPr>
          <w:rFonts w:ascii="仿宋" w:eastAsia="仿宋" w:cs="仿宋" w:hint="eastAsia"/>
          <w:sz w:val="28"/>
          <w:szCs w:val="36"/>
        </w:rPr>
        <w:t>5</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_Toc31598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rPr>
        <w:t>（二）一般公共预算财政拨款支出决算结构情况</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_Toc31598 \h </w:instrText>
      </w:r>
      <w:r>
        <w:rPr>
          <w:rFonts w:ascii="仿宋" w:eastAsia="仿宋" w:cs="仿宋" w:hint="eastAsia"/>
          <w:sz w:val="28"/>
          <w:szCs w:val="36"/>
        </w:rPr>
        <w:fldChar w:fldCharType="separate"/>
      </w:r>
      <w:r>
        <w:rPr>
          <w:rFonts w:ascii="仿宋" w:eastAsia="仿宋" w:cs="仿宋" w:hint="eastAsia"/>
          <w:sz w:val="28"/>
          <w:szCs w:val="36"/>
        </w:rPr>
        <w:t>5</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_Toc2140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rPr>
        <w:t>（三）一般公共预算财政拨款支出决算具体情况</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_Toc2140 \h </w:instrText>
      </w:r>
      <w:r>
        <w:rPr>
          <w:rFonts w:ascii="仿宋" w:eastAsia="仿宋" w:cs="仿宋" w:hint="eastAsia"/>
          <w:sz w:val="28"/>
          <w:szCs w:val="36"/>
        </w:rPr>
        <w:fldChar w:fldCharType="separate"/>
      </w:r>
      <w:r>
        <w:rPr>
          <w:rFonts w:ascii="仿宋" w:eastAsia="仿宋" w:cs="仿宋" w:hint="eastAsia"/>
          <w:sz w:val="28"/>
          <w:szCs w:val="36"/>
        </w:rPr>
        <w:t>6</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_Toc5663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rPr>
        <w:t>五、财政拨款收入、支出分析</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_Toc5663 \h </w:instrText>
      </w:r>
      <w:r>
        <w:rPr>
          <w:rFonts w:ascii="仿宋" w:eastAsia="仿宋" w:cs="仿宋" w:hint="eastAsia"/>
          <w:sz w:val="28"/>
          <w:szCs w:val="36"/>
        </w:rPr>
        <w:fldChar w:fldCharType="separate"/>
      </w:r>
      <w:r>
        <w:rPr>
          <w:rFonts w:ascii="仿宋" w:eastAsia="仿宋" w:cs="仿宋" w:hint="eastAsia"/>
          <w:sz w:val="28"/>
          <w:szCs w:val="36"/>
        </w:rPr>
        <w:t>8</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_Toc14555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rPr>
        <w:t>六、支出按经济分类科目分析</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_Toc14555 \h </w:instrText>
      </w:r>
      <w:r>
        <w:rPr>
          <w:rFonts w:ascii="仿宋" w:eastAsia="仿宋" w:cs="仿宋" w:hint="eastAsia"/>
          <w:sz w:val="28"/>
          <w:szCs w:val="36"/>
        </w:rPr>
        <w:fldChar w:fldCharType="separate"/>
      </w:r>
      <w:r>
        <w:rPr>
          <w:rFonts w:ascii="仿宋" w:eastAsia="仿宋" w:cs="仿宋" w:hint="eastAsia"/>
          <w:sz w:val="28"/>
          <w:szCs w:val="36"/>
        </w:rPr>
        <w:t>10</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_Toc28557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rPr>
        <w:t>（一）“三公”经费财政拨款支出决算总体情况说明</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_Toc28557 \h </w:instrText>
      </w:r>
      <w:r>
        <w:rPr>
          <w:rFonts w:ascii="仿宋" w:eastAsia="仿宋" w:cs="仿宋" w:hint="eastAsia"/>
          <w:sz w:val="28"/>
          <w:szCs w:val="36"/>
        </w:rPr>
        <w:fldChar w:fldCharType="separate"/>
      </w:r>
      <w:r>
        <w:rPr>
          <w:rFonts w:ascii="仿宋" w:eastAsia="仿宋" w:cs="仿宋" w:hint="eastAsia"/>
          <w:sz w:val="28"/>
          <w:szCs w:val="36"/>
        </w:rPr>
        <w:t>10</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lang w:val="en-US" w:eastAsia="zh-CN"/>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_Toc9723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lang w:val="en-US" w:eastAsia="zh-CN"/>
        </w:rPr>
        <w:t>（二）“三公”经费财政拨款支出决算具体情况说明</w:t>
      </w:r>
      <w:r>
        <w:rPr>
          <w:rFonts w:ascii="仿宋" w:eastAsia="仿宋" w:cs="仿宋" w:hint="eastAsia"/>
          <w:sz w:val="28"/>
          <w:szCs w:val="36"/>
        </w:rPr>
        <w:tab/>
      </w:r>
      <w:r>
        <w:rPr>
          <w:rFonts w:ascii="仿宋" w:eastAsia="仿宋" w:cs="仿宋" w:hint="eastAsia"/>
          <w:sz w:val="28"/>
          <w:szCs w:val="36"/>
          <w:lang w:val="en-US" w:eastAsia="zh-CN"/>
        </w:rPr>
        <w:t>1</w:t>
      </w:r>
      <w:r>
        <w:rPr>
          <w:rFonts w:ascii="仿宋" w:eastAsia="仿宋" w:cs="仿宋" w:hint="eastAsia"/>
          <w:bCs/>
          <w:sz w:val="28"/>
          <w:szCs w:val="144"/>
          <w:shd w:val="clear" w:color="auto" w:fill="FFFFFF"/>
        </w:rPr>
        <w:fldChar w:fldCharType="end"/>
      </w:r>
      <w:r>
        <w:rPr>
          <w:rFonts w:ascii="仿宋" w:eastAsia="仿宋" w:cs="仿宋" w:hint="eastAsia"/>
          <w:bCs/>
          <w:sz w:val="28"/>
          <w:szCs w:val="144"/>
          <w:shd w:val="clear" w:color="auto" w:fill="FFFFFF"/>
          <w:lang w:val="en-US" w:eastAsia="zh-CN"/>
        </w:rPr>
        <w:t>1</w:t>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_Toc3475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rPr>
        <w:t>（三） 会议费支出情况</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_Toc3475 \h </w:instrText>
      </w:r>
      <w:r>
        <w:rPr>
          <w:rFonts w:ascii="仿宋" w:eastAsia="仿宋" w:cs="仿宋" w:hint="eastAsia"/>
          <w:sz w:val="28"/>
          <w:szCs w:val="36"/>
        </w:rPr>
        <w:fldChar w:fldCharType="separate"/>
      </w:r>
      <w:r>
        <w:rPr>
          <w:rFonts w:ascii="仿宋" w:eastAsia="仿宋" w:cs="仿宋" w:hint="eastAsia"/>
          <w:sz w:val="28"/>
          <w:szCs w:val="36"/>
        </w:rPr>
        <w:t>12</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_Toc9933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rPr>
        <w:t>（四） 培训费支出情况</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_Toc9933 \h </w:instrText>
      </w:r>
      <w:r>
        <w:rPr>
          <w:rFonts w:ascii="仿宋" w:eastAsia="仿宋" w:cs="仿宋" w:hint="eastAsia"/>
          <w:sz w:val="28"/>
          <w:szCs w:val="36"/>
        </w:rPr>
        <w:fldChar w:fldCharType="separate"/>
      </w:r>
      <w:r>
        <w:rPr>
          <w:rFonts w:ascii="仿宋" w:eastAsia="仿宋" w:cs="仿宋" w:hint="eastAsia"/>
          <w:sz w:val="28"/>
          <w:szCs w:val="36"/>
        </w:rPr>
        <w:t>12</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_Toc22792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rPr>
        <w:t>七、政府性基金预算财政拨款支出决算情况</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_Toc22792 \h </w:instrText>
      </w:r>
      <w:r>
        <w:rPr>
          <w:rFonts w:ascii="仿宋" w:eastAsia="仿宋" w:cs="仿宋" w:hint="eastAsia"/>
          <w:sz w:val="28"/>
          <w:szCs w:val="36"/>
        </w:rPr>
        <w:fldChar w:fldCharType="separate"/>
      </w:r>
      <w:r>
        <w:rPr>
          <w:rFonts w:ascii="仿宋" w:eastAsia="仿宋" w:cs="仿宋" w:hint="eastAsia"/>
          <w:sz w:val="28"/>
          <w:szCs w:val="36"/>
        </w:rPr>
        <w:t>12</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_Toc16082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lang w:eastAsia="zh-CN"/>
        </w:rPr>
        <w:t>八、</w:t>
      </w:r>
      <w:r>
        <w:rPr>
          <w:rFonts w:ascii="仿宋" w:eastAsia="仿宋" w:cs="仿宋" w:hint="eastAsia"/>
          <w:sz w:val="28"/>
          <w:szCs w:val="44"/>
        </w:rPr>
        <w:t>国有资本经营预算支出决算情况说明</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_Toc16082 \h </w:instrText>
      </w:r>
      <w:r>
        <w:rPr>
          <w:rFonts w:ascii="仿宋" w:eastAsia="仿宋" w:cs="仿宋" w:hint="eastAsia"/>
          <w:sz w:val="28"/>
          <w:szCs w:val="36"/>
        </w:rPr>
        <w:fldChar w:fldCharType="separate"/>
      </w:r>
      <w:r>
        <w:rPr>
          <w:rFonts w:ascii="仿宋" w:eastAsia="仿宋" w:cs="仿宋" w:hint="eastAsia"/>
          <w:sz w:val="28"/>
          <w:szCs w:val="36"/>
        </w:rPr>
        <w:t>12</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_Toc30074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lang w:eastAsia="zh-CN"/>
        </w:rPr>
        <w:t>九</w:t>
      </w:r>
      <w:r>
        <w:rPr>
          <w:rFonts w:ascii="仿宋" w:eastAsia="仿宋" w:cs="仿宋" w:hint="eastAsia"/>
          <w:sz w:val="28"/>
          <w:szCs w:val="44"/>
        </w:rPr>
        <w:t>、其他重要事项的情况说明</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_Toc30074 \h </w:instrText>
      </w:r>
      <w:r>
        <w:rPr>
          <w:rFonts w:ascii="仿宋" w:eastAsia="仿宋" w:cs="仿宋" w:hint="eastAsia"/>
          <w:sz w:val="28"/>
          <w:szCs w:val="36"/>
        </w:rPr>
        <w:fldChar w:fldCharType="separate"/>
      </w:r>
      <w:r>
        <w:rPr>
          <w:rFonts w:ascii="仿宋" w:eastAsia="仿宋" w:cs="仿宋" w:hint="eastAsia"/>
          <w:sz w:val="28"/>
          <w:szCs w:val="36"/>
        </w:rPr>
        <w:t>12</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_Toc16671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rPr>
        <w:t>（一）机关运行经费支出情况</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_Toc16671 \h </w:instrText>
      </w:r>
      <w:r>
        <w:rPr>
          <w:rFonts w:ascii="仿宋" w:eastAsia="仿宋" w:cs="仿宋" w:hint="eastAsia"/>
          <w:sz w:val="28"/>
          <w:szCs w:val="36"/>
        </w:rPr>
        <w:fldChar w:fldCharType="separate"/>
      </w:r>
      <w:r>
        <w:rPr>
          <w:rFonts w:ascii="仿宋" w:eastAsia="仿宋" w:cs="仿宋" w:hint="eastAsia"/>
          <w:sz w:val="28"/>
          <w:szCs w:val="36"/>
        </w:rPr>
        <w:t>12</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_Toc22598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rPr>
        <w:t>（二）政府采购支出情况</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_Toc22598 \h </w:instrText>
      </w:r>
      <w:r>
        <w:rPr>
          <w:rFonts w:ascii="仿宋" w:eastAsia="仿宋" w:cs="仿宋" w:hint="eastAsia"/>
          <w:sz w:val="28"/>
          <w:szCs w:val="36"/>
        </w:rPr>
        <w:fldChar w:fldCharType="separate"/>
      </w:r>
      <w:r>
        <w:rPr>
          <w:rFonts w:ascii="仿宋" w:eastAsia="仿宋" w:cs="仿宋" w:hint="eastAsia"/>
          <w:sz w:val="28"/>
          <w:szCs w:val="36"/>
        </w:rPr>
        <w:t>12</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_Toc2491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rPr>
        <w:t>（三）国有资产占有使用情况</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_Toc2491 \h </w:instrText>
      </w:r>
      <w:r>
        <w:rPr>
          <w:rFonts w:ascii="仿宋" w:eastAsia="仿宋" w:cs="仿宋" w:hint="eastAsia"/>
          <w:sz w:val="28"/>
          <w:szCs w:val="36"/>
        </w:rPr>
        <w:fldChar w:fldCharType="separate"/>
      </w:r>
      <w:r>
        <w:rPr>
          <w:rFonts w:ascii="仿宋" w:eastAsia="仿宋" w:cs="仿宋" w:hint="eastAsia"/>
          <w:sz w:val="28"/>
          <w:szCs w:val="36"/>
        </w:rPr>
        <w:t>13</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_Toc8462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rPr>
        <w:t>（四）预算绩效情况</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_Toc8462 \h </w:instrText>
      </w:r>
      <w:r>
        <w:rPr>
          <w:rFonts w:ascii="仿宋" w:eastAsia="仿宋" w:cs="仿宋" w:hint="eastAsia"/>
          <w:sz w:val="28"/>
          <w:szCs w:val="36"/>
        </w:rPr>
        <w:fldChar w:fldCharType="separate"/>
      </w:r>
      <w:r>
        <w:rPr>
          <w:rFonts w:ascii="仿宋" w:eastAsia="仿宋" w:cs="仿宋" w:hint="eastAsia"/>
          <w:sz w:val="28"/>
          <w:szCs w:val="36"/>
        </w:rPr>
        <w:t>13</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_Toc26282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lang w:eastAsia="zh-CN"/>
        </w:rPr>
        <w:t>十</w:t>
      </w:r>
      <w:r>
        <w:rPr>
          <w:rFonts w:ascii="仿宋" w:eastAsia="仿宋" w:cs="仿宋" w:hint="eastAsia"/>
          <w:sz w:val="28"/>
          <w:szCs w:val="44"/>
        </w:rPr>
        <w:t>、行政事业单位财务分析指标</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_Toc26282 \h </w:instrText>
      </w:r>
      <w:r>
        <w:rPr>
          <w:rFonts w:ascii="仿宋" w:eastAsia="仿宋" w:cs="仿宋" w:hint="eastAsia"/>
          <w:sz w:val="28"/>
          <w:szCs w:val="36"/>
        </w:rPr>
        <w:fldChar w:fldCharType="separate"/>
      </w:r>
      <w:r>
        <w:rPr>
          <w:rFonts w:ascii="仿宋" w:eastAsia="仿宋" w:cs="仿宋" w:hint="eastAsia"/>
          <w:sz w:val="28"/>
          <w:szCs w:val="36"/>
        </w:rPr>
        <w:t>13</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_Toc1803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36"/>
        </w:rPr>
        <w:t xml:space="preserve">第三部分 </w:t>
      </w:r>
      <w:r>
        <w:rPr>
          <w:rFonts w:ascii="仿宋" w:eastAsia="仿宋" w:cs="仿宋" w:hint="eastAsia"/>
          <w:sz w:val="28"/>
          <w:szCs w:val="56"/>
        </w:rPr>
        <w:t>名</w:t>
      </w:r>
      <w:r>
        <w:rPr>
          <w:rFonts w:ascii="仿宋" w:eastAsia="仿宋" w:cs="仿宋" w:hint="eastAsia"/>
          <w:sz w:val="28"/>
          <w:szCs w:val="36"/>
        </w:rPr>
        <w:t>词解释</w:t>
        <w:tab/>
      </w:r>
      <w:r>
        <w:rPr>
          <w:rFonts w:ascii="仿宋" w:eastAsia="仿宋" w:cs="仿宋" w:hint="eastAsia"/>
          <w:sz w:val="28"/>
          <w:szCs w:val="36"/>
        </w:rPr>
        <w:fldChar w:fldCharType="begin"/>
      </w:r>
      <w:r>
        <w:rPr>
          <w:rFonts w:ascii="仿宋" w:eastAsia="仿宋" w:cs="仿宋" w:hint="eastAsia"/>
          <w:sz w:val="28"/>
          <w:szCs w:val="36"/>
        </w:rPr>
        <w:instrText xml:space="preserve"> PAGEREF _Toc1803 \h </w:instrText>
      </w:r>
      <w:r>
        <w:rPr>
          <w:rFonts w:ascii="仿宋" w:eastAsia="仿宋" w:cs="仿宋" w:hint="eastAsia"/>
          <w:sz w:val="28"/>
          <w:szCs w:val="36"/>
        </w:rPr>
        <w:fldChar w:fldCharType="separate"/>
      </w:r>
      <w:r>
        <w:rPr>
          <w:rFonts w:ascii="仿宋" w:eastAsia="仿宋" w:cs="仿宋" w:hint="eastAsia"/>
          <w:sz w:val="28"/>
          <w:szCs w:val="36"/>
        </w:rPr>
        <w:t>16</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_Toc22141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36"/>
        </w:rPr>
        <w:t>第四部分 附件</w:t>
        <w:tab/>
      </w:r>
      <w:r>
        <w:rPr>
          <w:rFonts w:ascii="仿宋" w:eastAsia="仿宋" w:cs="仿宋" w:hint="eastAsia"/>
          <w:sz w:val="28"/>
          <w:szCs w:val="36"/>
        </w:rPr>
        <w:fldChar w:fldCharType="begin"/>
      </w:r>
      <w:r>
        <w:rPr>
          <w:rFonts w:ascii="仿宋" w:eastAsia="仿宋" w:cs="仿宋" w:hint="eastAsia"/>
          <w:sz w:val="28"/>
          <w:szCs w:val="36"/>
        </w:rPr>
        <w:instrText xml:space="preserve"> PAGEREF _Toc22141 \h </w:instrText>
      </w:r>
      <w:r>
        <w:rPr>
          <w:rFonts w:ascii="仿宋" w:eastAsia="仿宋" w:cs="仿宋" w:hint="eastAsia"/>
          <w:sz w:val="28"/>
          <w:szCs w:val="36"/>
        </w:rPr>
        <w:fldChar w:fldCharType="separate"/>
      </w:r>
      <w:r>
        <w:rPr>
          <w:rFonts w:ascii="仿宋" w:eastAsia="仿宋" w:cs="仿宋" w:hint="eastAsia"/>
          <w:sz w:val="28"/>
          <w:szCs w:val="36"/>
        </w:rPr>
        <w:t>18</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_Toc2518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36"/>
          <w:lang w:val="en-US" w:eastAsia="zh-CN"/>
        </w:rPr>
        <w:t>第五部分 决算公开表</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_Toc2518 \h </w:instrText>
      </w:r>
      <w:r>
        <w:rPr>
          <w:rFonts w:ascii="仿宋" w:eastAsia="仿宋" w:cs="仿宋" w:hint="eastAsia"/>
          <w:sz w:val="28"/>
          <w:szCs w:val="36"/>
        </w:rPr>
        <w:fldChar w:fldCharType="separate"/>
      </w:r>
      <w:r>
        <w:rPr>
          <w:rFonts w:ascii="仿宋" w:eastAsia="仿宋" w:cs="仿宋" w:hint="eastAsia"/>
          <w:sz w:val="28"/>
          <w:szCs w:val="36"/>
        </w:rPr>
        <w:t>25</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_Toc12400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lang w:val="en-US" w:eastAsia="zh-CN"/>
        </w:rPr>
        <w:t>（一）收入支出决算总表</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_Toc12400 \h </w:instrText>
      </w:r>
      <w:r>
        <w:rPr>
          <w:rFonts w:ascii="仿宋" w:eastAsia="仿宋" w:cs="仿宋" w:hint="eastAsia"/>
          <w:sz w:val="28"/>
          <w:szCs w:val="36"/>
        </w:rPr>
        <w:fldChar w:fldCharType="separate"/>
      </w:r>
      <w:r>
        <w:rPr>
          <w:rFonts w:ascii="仿宋" w:eastAsia="仿宋" w:cs="仿宋" w:hint="eastAsia"/>
          <w:sz w:val="28"/>
          <w:szCs w:val="36"/>
        </w:rPr>
        <w:t>25</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_Toc18845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lang w:val="en-US" w:eastAsia="zh-CN"/>
        </w:rPr>
        <w:t>（二）收入决算表</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_Toc18845 \h </w:instrText>
      </w:r>
      <w:r>
        <w:rPr>
          <w:rFonts w:ascii="仿宋" w:eastAsia="仿宋" w:cs="仿宋" w:hint="eastAsia"/>
          <w:sz w:val="28"/>
          <w:szCs w:val="36"/>
        </w:rPr>
        <w:fldChar w:fldCharType="separate"/>
      </w:r>
      <w:r>
        <w:rPr>
          <w:rFonts w:ascii="仿宋" w:eastAsia="仿宋" w:cs="仿宋" w:hint="eastAsia"/>
          <w:sz w:val="28"/>
          <w:szCs w:val="36"/>
        </w:rPr>
        <w:t>25</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_Toc10837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lang w:val="en-US" w:eastAsia="zh-CN"/>
        </w:rPr>
        <w:t>（三）支出决算表</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_Toc10837 \h </w:instrText>
      </w:r>
      <w:r>
        <w:rPr>
          <w:rFonts w:ascii="仿宋" w:eastAsia="仿宋" w:cs="仿宋" w:hint="eastAsia"/>
          <w:sz w:val="28"/>
          <w:szCs w:val="36"/>
        </w:rPr>
        <w:fldChar w:fldCharType="separate"/>
      </w:r>
      <w:r>
        <w:rPr>
          <w:rFonts w:ascii="仿宋" w:eastAsia="仿宋" w:cs="仿宋" w:hint="eastAsia"/>
          <w:sz w:val="28"/>
          <w:szCs w:val="36"/>
        </w:rPr>
        <w:t>25</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_Toc18912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lang w:val="en-US" w:eastAsia="zh-CN"/>
        </w:rPr>
        <w:t>（四）财政拨款收入支出决算总表</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_Toc18912 \h </w:instrText>
      </w:r>
      <w:r>
        <w:rPr>
          <w:rFonts w:ascii="仿宋" w:eastAsia="仿宋" w:cs="仿宋" w:hint="eastAsia"/>
          <w:sz w:val="28"/>
          <w:szCs w:val="36"/>
        </w:rPr>
        <w:fldChar w:fldCharType="separate"/>
      </w:r>
      <w:r>
        <w:rPr>
          <w:rFonts w:ascii="仿宋" w:eastAsia="仿宋" w:cs="仿宋" w:hint="eastAsia"/>
          <w:sz w:val="28"/>
          <w:szCs w:val="36"/>
        </w:rPr>
        <w:t>25</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_Toc4821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lang w:val="en-US" w:eastAsia="zh-CN"/>
        </w:rPr>
        <w:t>（五）财政拨款收入支出决算总表</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_Toc4821 \h </w:instrText>
      </w:r>
      <w:r>
        <w:rPr>
          <w:rFonts w:ascii="仿宋" w:eastAsia="仿宋" w:cs="仿宋" w:hint="eastAsia"/>
          <w:sz w:val="28"/>
          <w:szCs w:val="36"/>
        </w:rPr>
        <w:fldChar w:fldCharType="separate"/>
      </w:r>
      <w:r>
        <w:rPr>
          <w:rFonts w:ascii="仿宋" w:eastAsia="仿宋" w:cs="仿宋" w:hint="eastAsia"/>
          <w:sz w:val="28"/>
          <w:szCs w:val="36"/>
        </w:rPr>
        <w:t>25</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_Toc15142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lang w:val="en-US" w:eastAsia="zh-CN"/>
        </w:rPr>
        <w:t>（六）一般公共预算财政拨款支出决算表</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_Toc15142 \h </w:instrText>
      </w:r>
      <w:r>
        <w:rPr>
          <w:rFonts w:ascii="仿宋" w:eastAsia="仿宋" w:cs="仿宋" w:hint="eastAsia"/>
          <w:sz w:val="28"/>
          <w:szCs w:val="36"/>
        </w:rPr>
        <w:fldChar w:fldCharType="separate"/>
      </w:r>
      <w:r>
        <w:rPr>
          <w:rFonts w:ascii="仿宋" w:eastAsia="仿宋" w:cs="仿宋" w:hint="eastAsia"/>
          <w:sz w:val="28"/>
          <w:szCs w:val="36"/>
        </w:rPr>
        <w:t>25</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_Toc2774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lang w:val="en-US" w:eastAsia="zh-CN"/>
        </w:rPr>
        <w:t>（七）一般公共预算财政拨款支出决算表</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_Toc2774 \h </w:instrText>
      </w:r>
      <w:r>
        <w:rPr>
          <w:rFonts w:ascii="仿宋" w:eastAsia="仿宋" w:cs="仿宋" w:hint="eastAsia"/>
          <w:sz w:val="28"/>
          <w:szCs w:val="36"/>
        </w:rPr>
        <w:fldChar w:fldCharType="separate"/>
      </w:r>
      <w:r>
        <w:rPr>
          <w:rFonts w:ascii="仿宋" w:eastAsia="仿宋" w:cs="仿宋" w:hint="eastAsia"/>
          <w:sz w:val="28"/>
          <w:szCs w:val="36"/>
        </w:rPr>
        <w:t>25</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_Toc2892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lang w:val="en-US" w:eastAsia="zh-CN"/>
        </w:rPr>
        <w:t>（八）一般公共预算财政拨款基本支出决算明细表</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_Toc2892 \h </w:instrText>
      </w:r>
      <w:r>
        <w:rPr>
          <w:rFonts w:ascii="仿宋" w:eastAsia="仿宋" w:cs="仿宋" w:hint="eastAsia"/>
          <w:sz w:val="28"/>
          <w:szCs w:val="36"/>
        </w:rPr>
        <w:fldChar w:fldCharType="separate"/>
      </w:r>
      <w:r>
        <w:rPr>
          <w:rFonts w:ascii="仿宋" w:eastAsia="仿宋" w:cs="仿宋" w:hint="eastAsia"/>
          <w:sz w:val="28"/>
          <w:szCs w:val="36"/>
        </w:rPr>
        <w:t>25</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_Toc7948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lang w:val="en-US" w:eastAsia="zh-CN"/>
        </w:rPr>
        <w:t>（九）一般公共预算财政拨款项目支出决算表</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_Toc7948 \h </w:instrText>
      </w:r>
      <w:r>
        <w:rPr>
          <w:rFonts w:ascii="仿宋" w:eastAsia="仿宋" w:cs="仿宋" w:hint="eastAsia"/>
          <w:sz w:val="28"/>
          <w:szCs w:val="36"/>
        </w:rPr>
        <w:fldChar w:fldCharType="separate"/>
      </w:r>
      <w:r>
        <w:rPr>
          <w:rFonts w:ascii="仿宋" w:eastAsia="仿宋" w:cs="仿宋" w:hint="eastAsia"/>
          <w:sz w:val="28"/>
          <w:szCs w:val="36"/>
        </w:rPr>
        <w:t>25</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_Toc14682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lang w:val="en-US" w:eastAsia="zh-CN"/>
        </w:rPr>
        <w:t>（十）政府性基金预算财政拨款收入支出决算表</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_Toc14682 \h </w:instrText>
      </w:r>
      <w:r>
        <w:rPr>
          <w:rFonts w:ascii="仿宋" w:eastAsia="仿宋" w:cs="仿宋" w:hint="eastAsia"/>
          <w:sz w:val="28"/>
          <w:szCs w:val="36"/>
        </w:rPr>
        <w:fldChar w:fldCharType="separate"/>
      </w:r>
      <w:r>
        <w:rPr>
          <w:rFonts w:ascii="仿宋" w:eastAsia="仿宋" w:cs="仿宋" w:hint="eastAsia"/>
          <w:sz w:val="28"/>
          <w:szCs w:val="36"/>
        </w:rPr>
        <w:t>25</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_Toc27380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lang w:val="en-US" w:eastAsia="zh-CN"/>
        </w:rPr>
        <w:t>（十一）国有资本经营预算财政拨款收入支出决算表</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_Toc27380 \h </w:instrText>
      </w:r>
      <w:r>
        <w:rPr>
          <w:rFonts w:ascii="仿宋" w:eastAsia="仿宋" w:cs="仿宋" w:hint="eastAsia"/>
          <w:sz w:val="28"/>
          <w:szCs w:val="36"/>
        </w:rPr>
        <w:fldChar w:fldCharType="separate"/>
      </w:r>
      <w:r>
        <w:rPr>
          <w:rFonts w:ascii="仿宋" w:eastAsia="仿宋" w:cs="仿宋" w:hint="eastAsia"/>
          <w:sz w:val="28"/>
          <w:szCs w:val="36"/>
        </w:rPr>
        <w:t>25</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_Toc4362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lang w:val="en-US" w:eastAsia="zh-CN"/>
        </w:rPr>
        <w:t>（十二）国有资本经营预算财政拨款支出决算表</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_Toc4362 \h </w:instrText>
      </w:r>
      <w:r>
        <w:rPr>
          <w:rFonts w:ascii="仿宋" w:eastAsia="仿宋" w:cs="仿宋" w:hint="eastAsia"/>
          <w:sz w:val="28"/>
          <w:szCs w:val="36"/>
        </w:rPr>
        <w:fldChar w:fldCharType="separate"/>
      </w:r>
      <w:r>
        <w:rPr>
          <w:rFonts w:ascii="仿宋" w:eastAsia="仿宋" w:cs="仿宋" w:hint="eastAsia"/>
          <w:sz w:val="28"/>
          <w:szCs w:val="36"/>
        </w:rPr>
        <w:t>25</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ascii="仿宋" w:eastAsia="仿宋" w:cs="仿宋" w:hint="eastAsia"/>
          <w:sz w:val="28"/>
          <w:szCs w:val="36"/>
        </w:rPr>
      </w:pPr>
      <w:r>
        <w:rPr>
          <w:rFonts w:ascii="仿宋" w:eastAsia="仿宋" w:cs="仿宋" w:hint="eastAsia"/>
          <w:bCs/>
          <w:sz w:val="28"/>
          <w:szCs w:val="144"/>
          <w:shd w:val="clear" w:color="auto" w:fill="FFFFFF"/>
        </w:rPr>
        <w:fldChar w:fldCharType="begin"/>
      </w:r>
      <w:r>
        <w:rPr>
          <w:rFonts w:ascii="仿宋" w:eastAsia="仿宋" w:cs="仿宋" w:hint="eastAsia"/>
          <w:bCs/>
          <w:sz w:val="28"/>
          <w:szCs w:val="144"/>
          <w:shd w:val="clear" w:color="auto" w:fill="FFFFFF"/>
        </w:rPr>
        <w:instrText xml:space="preserve"> HYPERLINK \l _Toc30927 </w:instrText>
      </w:r>
      <w:r>
        <w:rPr>
          <w:rFonts w:ascii="仿宋" w:eastAsia="仿宋" w:cs="仿宋" w:hint="eastAsia"/>
          <w:bCs/>
          <w:sz w:val="28"/>
          <w:szCs w:val="144"/>
          <w:shd w:val="clear" w:color="auto" w:fill="FFFFFF"/>
        </w:rPr>
        <w:fldChar w:fldCharType="separate"/>
      </w:r>
      <w:r>
        <w:rPr>
          <w:rFonts w:ascii="仿宋" w:eastAsia="仿宋" w:cs="仿宋" w:hint="eastAsia"/>
          <w:sz w:val="28"/>
          <w:szCs w:val="44"/>
          <w:lang w:val="en-US" w:eastAsia="zh-CN"/>
        </w:rPr>
        <w:t>（十三）财政拨款“三公”经费支出决算表</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_Toc30927 \h </w:instrText>
      </w:r>
      <w:r>
        <w:rPr>
          <w:rFonts w:ascii="仿宋" w:eastAsia="仿宋" w:cs="仿宋" w:hint="eastAsia"/>
          <w:sz w:val="28"/>
          <w:szCs w:val="36"/>
        </w:rPr>
        <w:fldChar w:fldCharType="separate"/>
      </w:r>
      <w:r>
        <w:rPr>
          <w:rFonts w:ascii="仿宋" w:eastAsia="仿宋" w:cs="仿宋" w:hint="eastAsia"/>
          <w:sz w:val="28"/>
          <w:szCs w:val="36"/>
        </w:rPr>
        <w:t>25</w:t>
      </w:r>
      <w:r>
        <w:rPr>
          <w:rFonts w:ascii="仿宋" w:eastAsia="仿宋" w:cs="仿宋" w:hint="eastAsia"/>
          <w:sz w:val="28"/>
          <w:szCs w:val="36"/>
        </w:rPr>
        <w:fldChar w:fldCharType="end"/>
      </w:r>
      <w:r>
        <w:rPr>
          <w:rFonts w:ascii="仿宋" w:eastAsia="仿宋" w:cs="仿宋" w:hint="eastAsia"/>
          <w:bCs/>
          <w:sz w:val="28"/>
          <w:szCs w:val="144"/>
          <w:shd w:val="clear" w:color="auto" w:fill="FFFFFF"/>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beforeLines="50" w:before="156" w:afterLines="50" w:after="156" w:line="560" w:lineRule="exact"/>
        <w:jc w:val="center"/>
        <w:textAlignment w:val="auto"/>
        <w:rPr>
          <w:rFonts w:ascii="仿宋" w:eastAsia="仿宋" w:cs="仿宋" w:hint="eastAsia"/>
          <w:b/>
          <w:color w:val="000000"/>
          <w:sz w:val="56"/>
          <w:szCs w:val="56"/>
        </w:rPr>
        <w:sectPr>
          <w:footerReference w:type="default" r:id="rId4"/>
          <w:pgSz w:w="11906" w:h="16838"/>
          <w:pgMar w:top="1440" w:right="1800" w:bottom="1440" w:left="1800" w:header="851" w:footer="992" w:gutter="0"/>
          <w:pgNumType w:start="1"/>
          <w:docGrid w:type="lines" w:linePitch="312" w:charSpace="0"/>
        </w:sectPr>
      </w:pPr>
      <w:r>
        <w:rPr>
          <w:rFonts w:ascii="仿宋" w:eastAsia="仿宋" w:cs="仿宋" w:hint="eastAsia"/>
          <w:bCs/>
          <w:sz w:val="56"/>
          <w:szCs w:val="56"/>
          <w:shd w:val="clear" w:color="auto" w:fill="FFFFFF"/>
        </w:rPr>
        <w:fldChar w:fldCharType="end"/>
      </w:r>
    </w:p>
    <w:p>
      <w:pPr>
        <w:pStyle w:val="1"/>
        <w:jc w:val="center"/>
        <w:rPr>
          <w:rFonts w:ascii="宋体"/>
          <w:color w:val="000000"/>
        </w:rPr>
      </w:pPr>
      <w:bookmarkStart w:id="15" w:name="_Toc14857"/>
      <w:bookmarkStart w:id="16" w:name="_Toc2737"/>
      <w:r>
        <w:rPr>
          <w:rFonts w:ascii="黑体" w:eastAsia="黑体" w:hint="eastAsia"/>
          <w:b w:val="0"/>
        </w:rPr>
        <w:t xml:space="preserve">第一部分 </w:t>
      </w:r>
      <w:r>
        <w:rPr>
          <w:rStyle w:val="1Char"/>
          <w:rFonts w:ascii="黑体" w:eastAsia="黑体" w:hint="eastAsia"/>
          <w:b w:val="0"/>
          <w:bCs w:val="0"/>
        </w:rPr>
        <w:t>部门概况</w:t>
      </w:r>
      <w:bookmarkEnd w:id="15"/>
      <w:bookmarkEnd w:id="16"/>
    </w:p>
    <w:p>
      <w:pPr>
        <w:spacing w:line="600" w:lineRule="exact"/>
        <w:ind w:firstLineChars="200" w:firstLine="640"/>
        <w:outlineLvl w:val="0"/>
        <w:rPr>
          <w:rFonts w:ascii="黑体" w:eastAsia="黑体"/>
          <w:color w:val="000000"/>
          <w:sz w:val="32"/>
          <w:szCs w:val="32"/>
        </w:rPr>
      </w:pPr>
      <w:bookmarkStart w:id="17" w:name="_Toc19366"/>
      <w:r>
        <w:rPr>
          <w:rFonts w:ascii="黑体" w:eastAsia="黑体" w:hint="eastAsia"/>
          <w:color w:val="000000"/>
          <w:sz w:val="32"/>
          <w:szCs w:val="32"/>
        </w:rPr>
        <w:t>一、基本职能及主要工作</w:t>
      </w:r>
      <w:bookmarkEnd w:id="17"/>
    </w:p>
    <w:p>
      <w:pPr>
        <w:pStyle w:val="15"/>
        <w:adjustRightInd w:val="0"/>
        <w:snapToGrid w:val="0"/>
        <w:spacing w:beforeLines="0" w:before="93" w:line="600" w:lineRule="exact"/>
        <w:ind w:firstLineChars="208" w:firstLine="666"/>
        <w:outlineLvl w:val="1"/>
        <w:rPr>
          <w:bCs/>
          <w:color w:val="000000"/>
          <w:sz w:val="32"/>
          <w:szCs w:val="32"/>
        </w:rPr>
      </w:pPr>
      <w:bookmarkStart w:id="18" w:name="_Toc27383"/>
      <w:r>
        <w:rPr>
          <w:rFonts w:hint="eastAsia"/>
          <w:bCs/>
          <w:color w:val="000000"/>
          <w:sz w:val="32"/>
          <w:szCs w:val="32"/>
        </w:rPr>
        <w:t>（一）主要职能</w:t>
      </w:r>
      <w:bookmarkEnd w:id="18"/>
    </w:p>
    <w:p>
      <w:pPr>
        <w:widowControl/>
        <w:spacing w:line="560" w:lineRule="exact"/>
        <w:ind w:firstLineChars="200" w:firstLine="640"/>
        <w:jc w:val="left"/>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rPr>
        <w:t>1、根据有关法律、法规和规章，制定全县社会保险登记、申报、管理、使用、运营和待遇支付以及社会保险关系建立、中断、转移、接续和基金转移的办事程序与操作规范并组织实施；</w:t>
      </w:r>
    </w:p>
    <w:p>
      <w:pPr>
        <w:widowControl/>
        <w:spacing w:line="560" w:lineRule="exact"/>
        <w:ind w:firstLineChars="200" w:firstLine="640"/>
        <w:jc w:val="left"/>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rPr>
        <w:t>2、制定全县社会保险个人账户、缴费记录、档案管理等业务工作规范并组织实施；</w:t>
      </w:r>
    </w:p>
    <w:p>
      <w:pPr>
        <w:widowControl/>
        <w:spacing w:line="560" w:lineRule="exact"/>
        <w:ind w:firstLineChars="200" w:firstLine="640"/>
        <w:jc w:val="left"/>
        <w:rPr>
          <w:rFonts w:ascii="仿宋_GB2312" w:eastAsia="仿宋_GB2312"/>
          <w:bCs/>
          <w:sz w:val="32"/>
          <w:szCs w:val="32"/>
          <w:shd w:val="clear" w:color="auto" w:fill="FFFFFF"/>
        </w:rPr>
      </w:pPr>
      <w:r>
        <w:rPr>
          <w:rFonts w:ascii="仿宋_GB2312" w:eastAsia="仿宋_GB2312" w:hint="eastAsia"/>
          <w:bCs/>
          <w:sz w:val="32"/>
          <w:szCs w:val="32"/>
          <w:shd w:val="clear" w:color="auto" w:fill="FFFFFF"/>
        </w:rPr>
        <w:t>3、制定全县保险基金财务、会计制度的具体操作办法并组织实施，指导各单位财务按照社会保险基金财务、会计制度进行规范管理，编制汇总全县社会保险基金年度预决算报告，加强基金财务管理和会计核算；</w:t>
      </w:r>
    </w:p>
    <w:p>
      <w:pPr>
        <w:widowControl/>
        <w:spacing w:line="560" w:lineRule="exact"/>
        <w:ind w:firstLineChars="200" w:firstLine="640"/>
        <w:jc w:val="left"/>
        <w:rPr>
          <w:rFonts w:ascii="仿宋_GB2312" w:eastAsia="仿宋_GB2312"/>
          <w:bCs/>
          <w:sz w:val="32"/>
          <w:szCs w:val="32"/>
          <w:shd w:val="clear" w:color="auto" w:fill="FFFFFF"/>
        </w:rPr>
      </w:pPr>
      <w:r>
        <w:rPr>
          <w:rFonts w:ascii="仿宋_GB2312" w:eastAsia="仿宋_GB2312" w:hint="eastAsia"/>
          <w:bCs/>
          <w:sz w:val="32"/>
          <w:szCs w:val="32"/>
          <w:shd w:val="clear" w:color="auto" w:fill="FFFFFF"/>
        </w:rPr>
        <w:t>4、负责全县社会保险统筹规划，研究提出年度筹划和实施意见，负责全县社会保险调剂金的上解；</w:t>
      </w:r>
    </w:p>
    <w:p>
      <w:pPr>
        <w:widowControl/>
        <w:spacing w:line="560" w:lineRule="exact"/>
        <w:ind w:firstLineChars="200" w:firstLine="640"/>
        <w:jc w:val="left"/>
        <w:rPr>
          <w:rFonts w:ascii="仿宋_GB2312" w:eastAsia="仿宋_GB2312"/>
          <w:bCs/>
          <w:sz w:val="32"/>
          <w:szCs w:val="32"/>
          <w:shd w:val="clear" w:color="auto" w:fill="FFFFFF"/>
        </w:rPr>
      </w:pPr>
      <w:r>
        <w:rPr>
          <w:rFonts w:ascii="仿宋_GB2312" w:eastAsia="仿宋_GB2312" w:hint="eastAsia"/>
          <w:bCs/>
          <w:sz w:val="32"/>
          <w:szCs w:val="32"/>
          <w:shd w:val="clear" w:color="auto" w:fill="FFFFFF"/>
        </w:rPr>
        <w:t>5、督促检查全县参保单位离退休人员基本养老保险金按时足额发放和工伤待遇的落实，制定社会保险社会化管理规范，对全县机关单位和企事业退休人员开展社会化管理服务和推进、巩固完善和规范基本养老保险金社会化发放工作</w:t>
      </w:r>
    </w:p>
    <w:p>
      <w:pPr>
        <w:widowControl/>
        <w:spacing w:line="560" w:lineRule="exact"/>
        <w:ind w:firstLineChars="200" w:firstLine="640"/>
        <w:jc w:val="left"/>
        <w:rPr>
          <w:rFonts w:ascii="仿宋_GB2312" w:eastAsia="仿宋_GB2312"/>
          <w:bCs/>
          <w:sz w:val="32"/>
          <w:szCs w:val="32"/>
          <w:shd w:val="clear" w:color="auto" w:fill="FFFFFF"/>
        </w:rPr>
      </w:pPr>
      <w:r>
        <w:rPr>
          <w:rFonts w:ascii="仿宋_GB2312" w:eastAsia="仿宋_GB2312" w:hint="eastAsia"/>
          <w:bCs/>
          <w:sz w:val="32"/>
          <w:szCs w:val="32"/>
          <w:shd w:val="clear" w:color="auto" w:fill="FFFFFF"/>
        </w:rPr>
        <w:t>6、制定全县社会保险稽核工作规范，并开展社会保险稽核工作；</w:t>
      </w:r>
    </w:p>
    <w:p>
      <w:pPr>
        <w:widowControl/>
        <w:spacing w:line="560" w:lineRule="exact"/>
        <w:ind w:firstLineChars="200" w:firstLine="640"/>
        <w:jc w:val="left"/>
        <w:rPr>
          <w:rFonts w:ascii="仿宋_GB2312" w:eastAsia="仿宋_GB2312"/>
          <w:bCs/>
          <w:sz w:val="32"/>
          <w:szCs w:val="32"/>
          <w:shd w:val="clear" w:color="auto" w:fill="FFFFFF"/>
        </w:rPr>
      </w:pPr>
      <w:r>
        <w:rPr>
          <w:rFonts w:ascii="仿宋_GB2312" w:eastAsia="仿宋_GB2312" w:hint="eastAsia"/>
          <w:bCs/>
          <w:sz w:val="32"/>
          <w:szCs w:val="32"/>
          <w:shd w:val="clear" w:color="auto" w:fill="FFFFFF"/>
        </w:rPr>
        <w:t>7、负责经办县属参保单位职工养老、工伤工作；</w:t>
      </w:r>
    </w:p>
    <w:p>
      <w:pPr>
        <w:widowControl/>
        <w:spacing w:line="560" w:lineRule="exact"/>
        <w:ind w:firstLineChars="200" w:firstLine="640"/>
        <w:jc w:val="left"/>
        <w:rPr>
          <w:rFonts w:ascii="仿宋_GB2312" w:eastAsia="仿宋_GB2312"/>
          <w:bCs/>
          <w:sz w:val="32"/>
          <w:szCs w:val="32"/>
          <w:shd w:val="clear" w:color="auto" w:fill="FFFFFF"/>
        </w:rPr>
      </w:pPr>
      <w:r>
        <w:rPr>
          <w:rFonts w:ascii="仿宋_GB2312" w:eastAsia="仿宋_GB2312" w:hint="eastAsia"/>
          <w:bCs/>
          <w:sz w:val="32"/>
          <w:szCs w:val="32"/>
          <w:shd w:val="clear" w:color="auto" w:fill="FFFFFF"/>
        </w:rPr>
        <w:t>8、承担全县社会保险信息、统计数据的采集、整理、分析及管理工作，负责全县社会保险信息管理系统的开发建设、运行管理和网络管理等工作。</w:t>
      </w:r>
    </w:p>
    <w:p>
      <w:pPr>
        <w:pStyle w:val="15"/>
        <w:adjustRightInd w:val="0"/>
        <w:snapToGrid w:val="0"/>
        <w:spacing w:beforeLines="0" w:before="93" w:line="600" w:lineRule="exact"/>
        <w:ind w:firstLineChars="208" w:firstLine="666"/>
        <w:outlineLvl w:val="1"/>
        <w:rPr>
          <w:bCs/>
          <w:color w:val="000000"/>
          <w:sz w:val="32"/>
          <w:szCs w:val="32"/>
        </w:rPr>
      </w:pPr>
      <w:bookmarkStart w:id="19" w:name="_Toc18533"/>
      <w:r>
        <w:rPr>
          <w:rFonts w:hint="eastAsia"/>
          <w:bCs/>
          <w:color w:val="000000"/>
          <w:sz w:val="32"/>
          <w:szCs w:val="32"/>
        </w:rPr>
        <w:t>（二）2022年重点工作完成情况。</w:t>
      </w:r>
      <w:bookmarkEnd w:id="19"/>
    </w:p>
    <w:p>
      <w:pPr>
        <w:ind w:firstLineChars="196" w:firstLine="627"/>
        <w:rPr>
          <w:bCs/>
          <w:color w:val="000000"/>
          <w:sz w:val="32"/>
          <w:szCs w:val="32"/>
        </w:rPr>
      </w:pPr>
      <w:r>
        <w:rPr>
          <w:rFonts w:ascii="仿宋_GB2312" w:eastAsia="仿宋_GB2312" w:hint="eastAsia"/>
          <w:sz w:val="32"/>
          <w:szCs w:val="32"/>
        </w:rPr>
        <w:t>2022年我中心继续坚持积极稳妥，收入预算与经济发展相协调；坚持民生优先，继续加大民生投入；坚持厉行节约，努力降低行政成本；坚持改革创新，着力提高财政绩效。全面完成2022年各项工作，取得了实效。</w:t>
      </w:r>
    </w:p>
    <w:p>
      <w:pPr>
        <w:spacing w:line="600" w:lineRule="exact"/>
        <w:ind w:firstLineChars="200" w:firstLine="640"/>
        <w:outlineLvl w:val="0"/>
        <w:rPr>
          <w:rFonts w:ascii="黑体" w:eastAsia="黑体"/>
          <w:color w:val="000000"/>
          <w:sz w:val="32"/>
          <w:szCs w:val="32"/>
        </w:rPr>
      </w:pPr>
      <w:bookmarkStart w:id="20" w:name="_Toc6185"/>
      <w:r>
        <w:rPr>
          <w:rFonts w:ascii="黑体" w:eastAsia="黑体" w:hint="eastAsia"/>
          <w:color w:val="000000"/>
          <w:sz w:val="32"/>
          <w:szCs w:val="32"/>
        </w:rPr>
        <w:t>二、机构设置</w:t>
      </w:r>
      <w:bookmarkEnd w:id="20"/>
    </w:p>
    <w:p>
      <w:pPr>
        <w:spacing w:line="576" w:lineRule="exact"/>
        <w:ind w:firstLineChars="200" w:firstLine="640"/>
        <w:rPr>
          <w:rFonts w:ascii="仿宋_GB2312" w:eastAsia="仿宋_GB2312" w:cs="仿宋_GB2312"/>
          <w:sz w:val="32"/>
          <w:szCs w:val="32"/>
        </w:rPr>
      </w:pPr>
      <w:r>
        <w:rPr>
          <w:rFonts w:ascii="仿宋_GB2312" w:eastAsia="仿宋_GB2312" w:hint="eastAsia"/>
          <w:bCs/>
          <w:sz w:val="32"/>
          <w:szCs w:val="32"/>
          <w:shd w:val="clear" w:color="auto" w:fill="FFFFFF"/>
        </w:rPr>
        <w:t>1、机构情况：</w:t>
      </w:r>
      <w:r>
        <w:rPr>
          <w:rFonts w:ascii="仿宋_GB2312" w:eastAsia="仿宋_GB2312" w:hint="eastAsia"/>
          <w:bCs/>
          <w:sz w:val="32"/>
        </w:rPr>
        <w:t>金川县社会保险事务中心属独立编制机构和核算的参公事业单位，金川县社会保险服务指导站属独立编制机构和核算的参公事业单位</w:t>
      </w:r>
    </w:p>
    <w:p>
      <w:pPr>
        <w:spacing w:line="600" w:lineRule="exact"/>
        <w:ind w:firstLineChars="200" w:firstLine="640"/>
        <w:rPr>
          <w:rFonts w:ascii="仿宋_GB2312" w:eastAsia="仿宋_GB2312"/>
          <w:bCs/>
          <w:sz w:val="32"/>
        </w:rPr>
      </w:pPr>
      <w:r>
        <w:rPr>
          <w:rFonts w:ascii="仿宋_GB2312" w:eastAsia="仿宋_GB2312" w:hint="eastAsia"/>
          <w:bCs/>
          <w:sz w:val="32"/>
        </w:rPr>
        <w:t>2、人员情况：金川县社会保险事务中心人员编制数14人，其中：参公14人（工勤1人），事业2人，2022年末实有在职职工15人, 参公13人，事业2人，离休1人，无人员增减变动。</w:t>
      </w:r>
    </w:p>
    <w:p>
      <w:pPr>
        <w:spacing w:line="600" w:lineRule="exact"/>
        <w:ind w:firstLineChars="200" w:firstLine="640"/>
        <w:rPr>
          <w:rFonts w:ascii="仿宋_GB2312" w:eastAsia="仿宋_GB2312"/>
          <w:bCs/>
          <w:sz w:val="32"/>
        </w:rPr>
      </w:pPr>
      <w:r>
        <w:rPr>
          <w:rFonts w:ascii="仿宋_GB2312" w:eastAsia="仿宋_GB2312" w:hint="eastAsia"/>
          <w:bCs/>
          <w:sz w:val="32"/>
        </w:rPr>
        <w:drawing>
          <wp:anchor distT="0" distB="0" distL="114300" distR="114300" simplePos="0" relativeHeight="27" behindDoc="0" locked="0" layoutInCell="1" hidden="0" allowOverlap="1">
            <wp:simplePos x="0" y="0"/>
            <wp:positionH relativeFrom="column">
              <wp:posOffset>410210</wp:posOffset>
            </wp:positionH>
            <wp:positionV relativeFrom="paragraph">
              <wp:posOffset>83185</wp:posOffset>
            </wp:positionV>
            <wp:extent cx="4354829" cy="2298065"/>
            <wp:effectExtent l="0" t="0" r="0" b="0"/>
            <wp:wrapTight wrapText="bothSides">
              <wp:wrapPolygon>
                <wp:start x="-3" y="-48"/>
                <wp:lineTo x="-3" y="21527"/>
                <wp:lineTo x="21586" y="21527"/>
                <wp:lineTo x="21586" y="-48"/>
                <wp:lineTo x="-3" y="-48"/>
              </wp:wrapPolygon>
            </wp:wrapTight>
            <wp:docPr id="7" name="图表 3"/>
            <wp:cNvGraphicFramePr>
              <a:graphicFrameLocks noChangeAspect="0"/>
            </wp:cNvGraphicFramePr>
            <a:graphic>
              <a:graphicData uri="http://schemas.openxmlformats.org/drawingml/2006/chart">
                <c:chart xmlns:c="http://schemas.openxmlformats.org/drawingml/2006/chart" r:id="rId6"/>
              </a:graphicData>
            </a:graphic>
          </wp:anchor>
        </w:drawing>
      </w:r>
    </w:p>
    <w:p>
      <w:pPr>
        <w:pStyle w:val="1"/>
        <w:ind w:right="440"/>
        <w:jc w:val="right"/>
        <w:rPr>
          <w:rFonts w:ascii="黑体" w:eastAsia="黑体"/>
          <w:color w:val="000000"/>
          <w:sz w:val="32"/>
          <w:szCs w:val="32"/>
        </w:rPr>
      </w:pPr>
      <w:bookmarkStart w:id="21" w:name="_Toc25125"/>
      <w:bookmarkStart w:id="22" w:name="_Toc23365"/>
      <w:r>
        <w:rPr>
          <w:rFonts w:ascii="黑体" w:eastAsia="黑体" w:hint="eastAsia"/>
          <w:b w:val="0"/>
          <w:color w:val="000000"/>
        </w:rPr>
        <w:t>第二部分</w:t>
      </w:r>
      <w:r>
        <w:rPr>
          <w:rStyle w:val="1Char"/>
          <w:rFonts w:ascii="黑体" w:eastAsia="黑体" w:hint="eastAsia"/>
          <w:b w:val="0"/>
          <w:bCs w:val="0"/>
        </w:rPr>
        <w:t>2022年度部门决算情况说明</w:t>
      </w:r>
      <w:bookmarkStart w:id="23" w:name="_Toc15396603"/>
      <w:bookmarkStart w:id="24" w:name="_Toc15377205"/>
      <w:bookmarkStart w:id="25" w:name="_Toc26843608"/>
      <w:bookmarkEnd w:id="21"/>
      <w:bookmarkEnd w:id="22"/>
    </w:p>
    <w:p>
      <w:pPr>
        <w:spacing w:line="600" w:lineRule="exact"/>
        <w:ind w:firstLineChars="200" w:firstLine="640"/>
        <w:outlineLvl w:val="0"/>
        <w:rPr>
          <w:rFonts w:ascii="黑体" w:eastAsia="黑体"/>
          <w:color w:val="000000"/>
          <w:sz w:val="32"/>
          <w:szCs w:val="32"/>
        </w:rPr>
      </w:pPr>
      <w:bookmarkStart w:id="26" w:name="_Toc17417"/>
      <w:r>
        <w:rPr>
          <w:rFonts w:ascii="黑体" w:eastAsia="黑体" w:hint="eastAsia"/>
          <w:color w:val="000000"/>
          <w:sz w:val="32"/>
          <w:szCs w:val="32"/>
        </w:rPr>
        <w:t>一、收入支出决算总体情况说明</w:t>
      </w:r>
      <w:bookmarkEnd w:id="23"/>
      <w:bookmarkEnd w:id="24"/>
      <w:bookmarkEnd w:id="25"/>
      <w:bookmarkEnd w:id="26"/>
    </w:p>
    <w:p>
      <w:pPr>
        <w:ind w:firstLineChars="200" w:firstLine="640"/>
        <w:jc w:val="left"/>
        <w:rPr>
          <w:rFonts w:ascii="仿宋_GB2312" w:eastAsia="仿宋_GB2312"/>
          <w:bCs/>
          <w:sz w:val="32"/>
        </w:rPr>
      </w:pPr>
      <w:r>
        <w:rPr>
          <w:rFonts w:ascii="仿宋_GB2312" w:eastAsia="仿宋_GB2312" w:cs="仿宋_GB2312" w:hint="eastAsia"/>
          <w:sz w:val="32"/>
          <w:szCs w:val="32"/>
        </w:rPr>
        <w:t>2022年度收、支总361.2万元。与2021年相比，收、支总计各减少615.58万元，减少63.02%。主要变动原因是2022年无职业的年金</w:t>
      </w:r>
      <w:r>
        <w:rPr>
          <w:rFonts w:ascii="仿宋_GB2312" w:eastAsia="仿宋_GB2312" w:cs="仿宋_GB2312" w:hint="eastAsia"/>
          <w:sz w:val="32"/>
          <w:szCs w:val="32"/>
          <w:lang w:eastAsia="zh-CN"/>
        </w:rPr>
        <w:t>实账</w:t>
      </w:r>
      <w:r>
        <w:rPr>
          <w:rFonts w:ascii="仿宋_GB2312" w:eastAsia="仿宋_GB2312" w:cs="仿宋_GB2312" w:hint="eastAsia"/>
          <w:sz w:val="32"/>
          <w:szCs w:val="32"/>
        </w:rPr>
        <w:t>贴息。</w:t>
      </w:r>
    </w:p>
    <w:p>
      <w:pPr>
        <w:spacing w:line="600" w:lineRule="exact"/>
        <w:ind w:firstLineChars="200" w:firstLine="640"/>
        <w:outlineLvl w:val="0"/>
        <w:rPr>
          <w:rFonts w:ascii="黑体" w:eastAsia="黑体" w:cs="Times New Roman" w:hint="eastAsia"/>
          <w:color w:val="000000"/>
          <w:sz w:val="32"/>
          <w:szCs w:val="32"/>
        </w:rPr>
      </w:pPr>
      <w:bookmarkStart w:id="27" w:name="_Toc23486"/>
      <w:r>
        <w:rPr>
          <w:rFonts w:ascii="黑体" w:eastAsia="黑体" w:cs="Times New Roman" w:hint="eastAsia"/>
          <w:color w:val="000000"/>
          <w:sz w:val="32"/>
          <w:szCs w:val="32"/>
        </w:rPr>
        <w:drawing>
          <wp:anchor distT="0" distB="0" distL="114300" distR="114300" simplePos="0" relativeHeight="29" behindDoc="0" locked="0" layoutInCell="1" hidden="0" allowOverlap="1">
            <wp:simplePos x="0" y="0"/>
            <wp:positionH relativeFrom="column">
              <wp:posOffset>-147955</wp:posOffset>
            </wp:positionH>
            <wp:positionV relativeFrom="paragraph">
              <wp:posOffset>46990</wp:posOffset>
            </wp:positionV>
            <wp:extent cx="5775325" cy="2686684"/>
            <wp:effectExtent l="0" t="0" r="0" b="0"/>
            <wp:wrapSquare wrapText="bothSides"/>
            <wp:docPr id="8" name="图表 7"/>
            <wp:cNvGraphicFramePr>
              <a:graphicFrameLocks noChangeAspect="0"/>
            </wp:cNvGraphicFramePr>
            <a:graphic>
              <a:graphicData uri="http://schemas.openxmlformats.org/drawingml/2006/chart">
                <c:chart xmlns:c="http://schemas.openxmlformats.org/drawingml/2006/chart" r:id="rId7"/>
              </a:graphicData>
            </a:graphic>
          </wp:anchor>
        </w:drawing>
      </w:r>
      <w:r>
        <w:rPr>
          <w:rFonts w:ascii="黑体" w:eastAsia="黑体" w:cs="Times New Roman" w:hint="eastAsia"/>
          <w:color w:val="000000"/>
          <w:sz w:val="32"/>
          <w:szCs w:val="32"/>
        </w:rPr>
        <w:t>二、收入支出预算执行情况</w:t>
      </w:r>
      <w:bookmarkEnd w:id="27"/>
    </w:p>
    <w:p>
      <w:pPr>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2022年社会保险事务中心本年收入合计361.2万元，其中：财政拨款收入361.2万元，占100%；事业收入0万元；经营收入0万元；附属单位上缴收入0万元；其他收入0万元。其中1、2022年社会保险事务中心本年收入合计313.5万元，其中：财政拨款收入313.5万元，占100%；事业收入0万元；经营收入0万元；附属单位上缴收入0元；其他收入0万元。2、2022年</w:t>
      </w:r>
      <w:r>
        <w:rPr>
          <w:rFonts w:ascii="仿宋_GB2312" w:eastAsia="仿宋_GB2312" w:hint="eastAsia"/>
          <w:bCs/>
          <w:sz w:val="32"/>
        </w:rPr>
        <w:t>金川县社会保险服务指导站</w:t>
      </w:r>
      <w:r>
        <w:rPr>
          <w:rFonts w:ascii="仿宋_GB2312" w:eastAsia="仿宋_GB2312" w:cs="仿宋_GB2312" w:hint="eastAsia"/>
          <w:sz w:val="32"/>
          <w:szCs w:val="32"/>
        </w:rPr>
        <w:t>本年收入合计47.7万元，其中：财政拨款收入47.7万元，占100%；事业收入0万元；经营收入0万元；附属单位上缴收入0万元；其它收入0万元。</w:t>
      </w:r>
    </w:p>
    <w:p>
      <w:pPr>
        <w:rPr>
          <w:rFonts w:ascii="仿宋_GB2312" w:eastAsia="仿宋_GB2312" w:cs="仿宋_GB2312"/>
          <w:sz w:val="32"/>
          <w:szCs w:val="32"/>
        </w:rPr>
      </w:pPr>
      <w:r>
        <w:rPr>
          <w:rFonts w:ascii="仿宋_GB2312" w:eastAsia="仿宋_GB2312" w:cs="仿宋_GB2312" w:hint="eastAsia"/>
          <w:sz w:val="32"/>
          <w:szCs w:val="32"/>
        </w:rPr>
        <w:drawing>
          <wp:inline distT="0" distB="0" distL="114300" distR="114300">
            <wp:extent cx="5340985" cy="1156335"/>
            <wp:effectExtent l="0" t="0" r="0" b="0"/>
            <wp:docPr id="9" name="图表 1"/>
            <wp:cNvGraphicFramePr>
              <a:graphicFrameLocks noChangeAspect="0"/>
            </wp:cNvGraphicFramePr>
            <a:graphic>
              <a:graphicData uri="http://schemas.openxmlformats.org/drawingml/2006/chart">
                <c:chart xmlns:c="http://schemas.openxmlformats.org/drawingml/2006/chart" r:id="rId8"/>
              </a:graphicData>
            </a:graphic>
          </wp:inline>
        </w:drawing>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2022年社会保险事务中心本年支出合计</w:t>
      </w:r>
      <w:r>
        <w:rPr>
          <w:rFonts w:ascii="仿宋_GB2312" w:eastAsia="仿宋_GB2312" w:cs="仿宋_GB2312" w:hint="eastAsia"/>
          <w:sz w:val="32"/>
          <w:szCs w:val="32"/>
        </w:rPr>
        <w:t>361.2</w:t>
      </w:r>
      <w:r>
        <w:rPr>
          <w:rFonts w:ascii="仿宋_GB2312" w:eastAsia="仿宋_GB2312" w:hint="eastAsia"/>
          <w:color w:val="000000"/>
          <w:sz w:val="32"/>
          <w:szCs w:val="32"/>
        </w:rPr>
        <w:t>万元，其中：基本支出360.36万元；占总支出的99.77%，项目支出0.84万元，占总支出的0.23%，其中：1、2022年社会保险事务中心本年支出合计</w:t>
      </w:r>
      <w:r>
        <w:rPr>
          <w:rFonts w:ascii="仿宋_GB2312" w:eastAsia="仿宋_GB2312" w:cs="仿宋_GB2312" w:hint="eastAsia"/>
          <w:sz w:val="32"/>
          <w:szCs w:val="32"/>
        </w:rPr>
        <w:t>313.5</w:t>
      </w:r>
      <w:r>
        <w:rPr>
          <w:rFonts w:ascii="仿宋_GB2312" w:eastAsia="仿宋_GB2312" w:hint="eastAsia"/>
          <w:color w:val="000000"/>
          <w:sz w:val="32"/>
          <w:szCs w:val="32"/>
        </w:rPr>
        <w:t>万元，其中：基本支出312.66万元；占总支出的99.73%，项目支出0.84万元，占总支出的0.27%。2、2022年</w:t>
      </w:r>
      <w:r>
        <w:rPr>
          <w:rFonts w:ascii="仿宋_GB2312" w:eastAsia="仿宋_GB2312" w:hint="eastAsia"/>
          <w:bCs/>
          <w:sz w:val="32"/>
        </w:rPr>
        <w:t>金川县社会保险服务指导站</w:t>
      </w:r>
      <w:r>
        <w:rPr>
          <w:rFonts w:ascii="仿宋_GB2312" w:eastAsia="仿宋_GB2312" w:hint="eastAsia"/>
          <w:color w:val="000000"/>
          <w:sz w:val="32"/>
          <w:szCs w:val="32"/>
        </w:rPr>
        <w:t>本年支出合计</w:t>
      </w:r>
      <w:r>
        <w:rPr>
          <w:rFonts w:ascii="仿宋_GB2312" w:eastAsia="仿宋_GB2312" w:cs="仿宋_GB2312" w:hint="eastAsia"/>
          <w:sz w:val="32"/>
          <w:szCs w:val="32"/>
        </w:rPr>
        <w:t>47.7</w:t>
      </w:r>
      <w:r>
        <w:rPr>
          <w:rFonts w:ascii="仿宋_GB2312" w:eastAsia="仿宋_GB2312" w:hint="eastAsia"/>
          <w:color w:val="000000"/>
          <w:sz w:val="32"/>
          <w:szCs w:val="32"/>
        </w:rPr>
        <w:t>万元，其中：基本支出47.7万元；占总支出的100%。</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drawing>
          <wp:inline distT="0" distB="0" distL="114300" distR="114300">
            <wp:extent cx="4654550" cy="1570355"/>
            <wp:effectExtent l="0" t="0" r="0" b="0"/>
            <wp:docPr id="10" name="图表 2"/>
            <wp:cNvGraphicFramePr>
              <a:graphicFrameLocks noChangeAspect="0"/>
            </wp:cNvGraphicFramePr>
            <a:graphic>
              <a:graphicData uri="http://schemas.openxmlformats.org/drawingml/2006/chart">
                <c:chart xmlns:c="http://schemas.openxmlformats.org/drawingml/2006/chart" r:id="rId9"/>
              </a:graphicData>
            </a:graphic>
          </wp:inline>
        </w:drawing>
      </w:r>
    </w:p>
    <w:p>
      <w:pPr>
        <w:spacing w:line="600" w:lineRule="exact"/>
        <w:ind w:firstLineChars="200" w:firstLine="640"/>
        <w:outlineLvl w:val="0"/>
        <w:rPr>
          <w:rFonts w:ascii="仿宋_GB2312" w:eastAsia="黑体" w:hAnsi="仿宋_GB2312"/>
          <w:color w:val="000000"/>
          <w:sz w:val="32"/>
          <w:szCs w:val="32"/>
        </w:rPr>
      </w:pPr>
      <w:bookmarkStart w:id="28" w:name="_Toc9646"/>
      <w:r>
        <w:rPr>
          <w:rFonts w:ascii="黑体" w:eastAsia="黑体" w:hint="eastAsia"/>
          <w:color w:val="000000"/>
          <w:sz w:val="32"/>
          <w:szCs w:val="32"/>
        </w:rPr>
        <w:t>三、财政拨款收支决算分析</w:t>
      </w:r>
      <w:bookmarkEnd w:id="28"/>
    </w:p>
    <w:p>
      <w:pPr>
        <w:ind w:firstLineChars="200" w:firstLine="640"/>
        <w:rPr>
          <w:rFonts w:ascii="黑体" w:eastAsia="仿宋_GB2312" w:hAnsi="黑体"/>
          <w:sz w:val="32"/>
          <w:szCs w:val="32"/>
        </w:rPr>
      </w:pPr>
      <w:r>
        <w:rPr>
          <w:rFonts w:ascii="仿宋_GB2312" w:eastAsia="仿宋_GB2312" w:hint="eastAsia"/>
          <w:sz w:val="32"/>
          <w:szCs w:val="32"/>
        </w:rPr>
        <w:t>社会保险事务中心2022年度财政拨款收支总决算</w:t>
      </w:r>
      <w:r>
        <w:rPr>
          <w:rFonts w:ascii="仿宋_GB2312" w:eastAsia="仿宋_GB2312" w:cs="仿宋_GB2312" w:hint="eastAsia"/>
          <w:sz w:val="32"/>
          <w:szCs w:val="32"/>
        </w:rPr>
        <w:t>361.2</w:t>
      </w:r>
      <w:r>
        <w:rPr>
          <w:rFonts w:ascii="仿宋_GB2312" w:eastAsia="仿宋_GB2312" w:hint="eastAsia"/>
          <w:sz w:val="32"/>
          <w:szCs w:val="32"/>
        </w:rPr>
        <w:t>万元，与2021度财政拨款收支总决算</w:t>
      </w:r>
      <w:r>
        <w:rPr>
          <w:rFonts w:ascii="仿宋_GB2312" w:eastAsia="仿宋_GB2312" w:cs="仿宋_GB2312" w:hint="eastAsia"/>
          <w:sz w:val="32"/>
          <w:szCs w:val="32"/>
        </w:rPr>
        <w:t>976.78</w:t>
      </w:r>
      <w:r>
        <w:rPr>
          <w:rFonts w:ascii="仿宋_GB2312" w:eastAsia="仿宋_GB2312" w:hint="eastAsia"/>
          <w:sz w:val="32"/>
          <w:szCs w:val="32"/>
        </w:rPr>
        <w:t>万元相比，减少615.58万元，下降</w:t>
      </w:r>
      <w:r>
        <w:rPr>
          <w:rFonts w:ascii="仿宋_GB2312" w:eastAsia="仿宋_GB2312" w:hint="eastAsia"/>
          <w:sz w:val="32"/>
          <w:szCs w:val="32"/>
          <w:lang w:val="en-US" w:eastAsia="zh-CN"/>
        </w:rPr>
        <w:t>63.02</w:t>
      </w:r>
      <w:r>
        <w:rPr>
          <w:rFonts w:ascii="仿宋_GB2312" w:eastAsia="仿宋_GB2312" w:hint="eastAsia"/>
          <w:sz w:val="32"/>
          <w:szCs w:val="32"/>
        </w:rPr>
        <w:t>%。</w:t>
      </w:r>
      <w:r>
        <w:rPr>
          <w:rFonts w:ascii="仿宋_GB2312" w:eastAsia="仿宋_GB2312" w:hint="eastAsia"/>
          <w:sz w:val="32"/>
          <w:szCs w:val="32"/>
          <w:lang w:eastAsia="zh-CN"/>
        </w:rPr>
        <w:t>主要原因为</w:t>
      </w:r>
      <w:r>
        <w:rPr>
          <w:rFonts w:ascii="仿宋_GB2312" w:eastAsia="仿宋_GB2312" w:hint="eastAsia"/>
          <w:sz w:val="32"/>
          <w:szCs w:val="32"/>
          <w:lang w:val="en-US" w:eastAsia="zh-CN"/>
        </w:rPr>
        <w:t>2022年无职业年金实账贴息。</w:t>
      </w:r>
      <w:r>
        <w:rPr>
          <w:rFonts w:ascii="仿宋_GB2312" w:eastAsia="仿宋_GB2312" w:hint="eastAsia"/>
          <w:sz w:val="32"/>
          <w:szCs w:val="32"/>
        </w:rPr>
        <w:t>其中：1、社会保险事务中心2022年度财政拨款收支总决算</w:t>
      </w:r>
      <w:r>
        <w:rPr>
          <w:rFonts w:ascii="仿宋_GB2312" w:eastAsia="仿宋_GB2312" w:cs="仿宋_GB2312" w:hint="eastAsia"/>
          <w:sz w:val="32"/>
          <w:szCs w:val="32"/>
        </w:rPr>
        <w:t>313.5</w:t>
      </w:r>
      <w:r>
        <w:rPr>
          <w:rFonts w:ascii="仿宋_GB2312" w:eastAsia="仿宋_GB2312" w:hint="eastAsia"/>
          <w:sz w:val="32"/>
          <w:szCs w:val="32"/>
        </w:rPr>
        <w:t>万元，与2021年度财政拨款收支总决算</w:t>
      </w:r>
      <w:r>
        <w:rPr>
          <w:rFonts w:ascii="仿宋_GB2312" w:eastAsia="仿宋_GB2312" w:cs="仿宋_GB2312" w:hint="eastAsia"/>
          <w:sz w:val="32"/>
          <w:szCs w:val="32"/>
        </w:rPr>
        <w:t>976.78</w:t>
      </w:r>
      <w:r>
        <w:rPr>
          <w:rFonts w:ascii="仿宋_GB2312" w:eastAsia="仿宋_GB2312" w:hint="eastAsia"/>
          <w:sz w:val="32"/>
          <w:szCs w:val="32"/>
        </w:rPr>
        <w:t>万元相比，减少663.28万元，与上年减少68%.</w:t>
      </w:r>
      <w:r>
        <w:rPr>
          <w:rFonts w:ascii="黑体" w:eastAsia="仿宋_GB2312" w:hAnsi="黑体" w:hint="eastAsia"/>
          <w:sz w:val="32"/>
          <w:szCs w:val="32"/>
        </w:rPr>
        <w:t>2、</w:t>
      </w:r>
      <w:r>
        <w:rPr>
          <w:rFonts w:ascii="仿宋_GB2312" w:eastAsia="仿宋_GB2312" w:hint="eastAsia"/>
          <w:bCs/>
          <w:sz w:val="32"/>
        </w:rPr>
        <w:t>金川县社会保险服务指导站</w:t>
      </w:r>
      <w:r>
        <w:rPr>
          <w:rFonts w:ascii="仿宋_GB2312" w:eastAsia="仿宋_GB2312" w:hint="eastAsia"/>
          <w:sz w:val="32"/>
          <w:szCs w:val="32"/>
        </w:rPr>
        <w:t>2022年度财政拨款收支总决算</w:t>
      </w:r>
      <w:r>
        <w:rPr>
          <w:rFonts w:ascii="仿宋_GB2312" w:eastAsia="仿宋_GB2312" w:cs="仿宋_GB2312" w:hint="eastAsia"/>
          <w:sz w:val="32"/>
          <w:szCs w:val="32"/>
        </w:rPr>
        <w:t>47.7</w:t>
      </w:r>
      <w:r>
        <w:rPr>
          <w:rFonts w:ascii="仿宋_GB2312" w:eastAsia="仿宋_GB2312" w:hint="eastAsia"/>
          <w:sz w:val="32"/>
          <w:szCs w:val="32"/>
        </w:rPr>
        <w:t>万元，</w:t>
      </w:r>
      <w:r>
        <w:rPr>
          <w:rFonts w:ascii="仿宋_GB2312" w:eastAsia="仿宋_GB2312" w:hint="eastAsia"/>
          <w:bCs/>
          <w:sz w:val="32"/>
        </w:rPr>
        <w:t>金川县社会保险服务指导站为新增单位。</w:t>
      </w:r>
    </w:p>
    <w:p>
      <w:pPr>
        <w:spacing w:line="600" w:lineRule="exact"/>
        <w:outlineLvl w:val="0"/>
        <w:rPr>
          <w:rFonts w:ascii="黑体" w:eastAsia="黑体"/>
          <w:color w:val="000000"/>
          <w:sz w:val="32"/>
          <w:szCs w:val="32"/>
        </w:rPr>
      </w:pPr>
      <w:bookmarkStart w:id="29" w:name="_Toc31011"/>
      <w:r>
        <w:rPr>
          <w:rFonts w:ascii="黑体" w:eastAsia="黑体" w:hint="eastAsia"/>
          <w:color w:val="000000"/>
          <w:sz w:val="32"/>
          <w:szCs w:val="32"/>
        </w:rPr>
        <w:t>四、一般公共预算财政拨款支出决算情况</w:t>
      </w:r>
      <w:bookmarkEnd w:id="29"/>
    </w:p>
    <w:p>
      <w:pPr>
        <w:spacing w:line="600" w:lineRule="exact"/>
        <w:ind w:firstLineChars="200" w:firstLine="640"/>
        <w:outlineLvl w:val="1"/>
        <w:rPr>
          <w:rFonts w:ascii="仿宋_GB2312" w:eastAsia="仿宋_GB2312"/>
          <w:color w:val="000000"/>
          <w:sz w:val="32"/>
          <w:szCs w:val="32"/>
        </w:rPr>
      </w:pPr>
      <w:bookmarkStart w:id="30" w:name="_Toc32164"/>
      <w:r>
        <w:rPr>
          <w:rFonts w:ascii="仿宋_GB2312" w:eastAsia="仿宋_GB2312" w:hint="eastAsia"/>
          <w:color w:val="000000"/>
          <w:sz w:val="32"/>
          <w:szCs w:val="32"/>
        </w:rPr>
        <w:t>（一）一般公共预算财政拨款支出决算总体情况</w:t>
      </w:r>
      <w:bookmarkEnd w:id="30"/>
    </w:p>
    <w:p>
      <w:pPr>
        <w:spacing w:line="600" w:lineRule="exact"/>
        <w:ind w:firstLineChars="200" w:firstLine="640"/>
        <w:rPr>
          <w:rFonts w:ascii="仿宋_GB2312" w:eastAsia="仿宋_GB2312"/>
          <w:color w:val="000000"/>
          <w:sz w:val="32"/>
          <w:szCs w:val="32"/>
          <w:highlight w:val="green"/>
        </w:rPr>
      </w:pPr>
      <w:r>
        <w:rPr>
          <w:rFonts w:ascii="仿宋_GB2312" w:eastAsia="仿宋_GB2312" w:hint="eastAsia"/>
          <w:color w:val="000000"/>
          <w:sz w:val="32"/>
          <w:szCs w:val="32"/>
        </w:rPr>
        <w:t>社会保险事务中心2022年度一般公共预算财政拨款支出361.2万元，占本年支出合计的100%。与2021年相比，</w:t>
      </w:r>
      <w:r>
        <w:rPr>
          <w:rFonts w:ascii="仿宋_GB2312" w:eastAsia="仿宋_GB2312" w:hint="eastAsia"/>
          <w:sz w:val="32"/>
          <w:szCs w:val="32"/>
        </w:rPr>
        <w:t>减少615.58万元，下降63.02%。其中</w:t>
      </w:r>
      <w:r>
        <w:rPr>
          <w:rFonts w:ascii="仿宋_GB2312" w:eastAsia="仿宋_GB2312" w:hint="eastAsia"/>
          <w:sz w:val="32"/>
          <w:szCs w:val="32"/>
          <w:lang w:val="en-US" w:eastAsia="zh-CN"/>
        </w:rPr>
        <w:t>:</w:t>
      </w:r>
      <w:r>
        <w:rPr>
          <w:rFonts w:ascii="仿宋_GB2312" w:eastAsia="仿宋_GB2312" w:hint="eastAsia"/>
          <w:sz w:val="32"/>
          <w:szCs w:val="32"/>
        </w:rPr>
        <w:t>1、</w:t>
      </w:r>
      <w:r>
        <w:rPr>
          <w:rFonts w:ascii="仿宋_GB2312" w:eastAsia="仿宋_GB2312" w:hint="eastAsia"/>
          <w:color w:val="000000"/>
          <w:sz w:val="32"/>
          <w:szCs w:val="32"/>
        </w:rPr>
        <w:t>社会保险事务中心2022年度一般公共预算财政拨款支出313.5万元，占本年支出合计的100%。</w:t>
      </w:r>
      <w:r>
        <w:rPr>
          <w:rFonts w:ascii="仿宋_GB2312" w:eastAsia="仿宋_GB2312" w:hint="eastAsia"/>
          <w:sz w:val="32"/>
          <w:szCs w:val="32"/>
        </w:rPr>
        <w:t>2、</w:t>
      </w:r>
      <w:r>
        <w:rPr>
          <w:rFonts w:ascii="仿宋_GB2312" w:eastAsia="仿宋_GB2312" w:hint="eastAsia"/>
          <w:color w:val="000000"/>
          <w:sz w:val="32"/>
          <w:szCs w:val="32"/>
        </w:rPr>
        <w:t>社会保险事务中心2022年度一般公共预算财政拨款支出</w:t>
      </w:r>
      <w:r>
        <w:rPr>
          <w:rFonts w:ascii="仿宋_GB2312" w:eastAsia="仿宋_GB2312" w:cs="仿宋_GB2312" w:hint="eastAsia"/>
          <w:sz w:val="32"/>
          <w:szCs w:val="32"/>
        </w:rPr>
        <w:t>47.7</w:t>
      </w:r>
      <w:r>
        <w:rPr>
          <w:rFonts w:ascii="仿宋_GB2312" w:eastAsia="仿宋_GB2312" w:hint="eastAsia"/>
          <w:color w:val="000000"/>
          <w:sz w:val="32"/>
          <w:szCs w:val="32"/>
        </w:rPr>
        <w:t>万元，占本年支出合计的100%。</w:t>
      </w:r>
      <w:r>
        <w:rPr>
          <w:rFonts w:ascii="仿宋_GB2312" w:eastAsia="仿宋_GB2312" w:hint="eastAsia"/>
          <w:bCs/>
          <w:sz w:val="32"/>
        </w:rPr>
        <w:t>金川县社会保险服务指导站为新增单位。</w:t>
      </w:r>
    </w:p>
    <w:p>
      <w:pPr>
        <w:spacing w:line="600" w:lineRule="exact"/>
        <w:ind w:firstLineChars="50" w:firstLine="160"/>
        <w:outlineLvl w:val="1"/>
        <w:rPr>
          <w:rFonts w:ascii="仿宋_GB2312" w:eastAsia="仿宋_GB2312"/>
          <w:sz w:val="32"/>
          <w:szCs w:val="32"/>
        </w:rPr>
      </w:pPr>
      <w:bookmarkStart w:id="31" w:name="_Toc31598"/>
      <w:r>
        <w:rPr>
          <w:rFonts w:ascii="仿宋_GB2312" w:eastAsia="仿宋_GB2312" w:hint="eastAsia"/>
          <w:sz w:val="32"/>
          <w:szCs w:val="32"/>
        </w:rPr>
        <w:t>（二）一般公共预算财政拨款支出决算结构情况</w:t>
      </w:r>
      <w:bookmarkEnd w:id="31"/>
    </w:p>
    <w:p>
      <w:pPr>
        <w:spacing w:line="600" w:lineRule="exact"/>
        <w:ind w:firstLineChars="200" w:firstLine="640"/>
        <w:rPr>
          <w:rFonts w:ascii="仿宋_GB2312" w:eastAsia="仿宋_GB2312" w:hint="eastAsia"/>
          <w:color w:val="000000"/>
          <w:sz w:val="32"/>
          <w:szCs w:val="32"/>
        </w:rPr>
      </w:pPr>
      <w:r>
        <w:rPr>
          <w:rFonts w:ascii="仿宋_GB2312" w:eastAsia="仿宋_GB2312"/>
          <w:bCs/>
          <w:sz w:val="32"/>
          <w:lang w:val="zh-CN"/>
        </w:rPr>
        <w:drawing>
          <wp:anchor distT="0" distB="0" distL="114300" distR="114300" simplePos="0" relativeHeight="31" behindDoc="0" locked="0" layoutInCell="1" hidden="0" allowOverlap="1">
            <wp:simplePos x="0" y="0"/>
            <wp:positionH relativeFrom="column">
              <wp:posOffset>-167005</wp:posOffset>
            </wp:positionH>
            <wp:positionV relativeFrom="paragraph">
              <wp:posOffset>1976120</wp:posOffset>
            </wp:positionV>
            <wp:extent cx="5422899" cy="1307464"/>
            <wp:effectExtent l="0" t="0" r="0" b="0"/>
            <wp:wrapSquare wrapText="bothSides"/>
            <wp:docPr id="11" name="图表 4"/>
            <wp:cNvGraphicFramePr>
              <a:graphicFrameLocks noChangeAspect="0"/>
            </wp:cNvGraphicFramePr>
            <a:graphic>
              <a:graphicData uri="http://schemas.openxmlformats.org/drawingml/2006/chart">
                <c:chart xmlns:c="http://schemas.openxmlformats.org/drawingml/2006/chart" r:id="rId10"/>
              </a:graphicData>
            </a:graphic>
          </wp:anchor>
        </w:drawing>
      </w:r>
      <w:r>
        <w:rPr>
          <w:rFonts w:ascii="仿宋_GB2312" w:eastAsia="仿宋_GB2312" w:hint="eastAsia"/>
          <w:color w:val="000000"/>
          <w:sz w:val="32"/>
          <w:szCs w:val="32"/>
        </w:rPr>
        <w:t>金川县社会保险事务中心2022年一般公共预算财政拨款支出</w:t>
      </w:r>
      <w:r>
        <w:rPr>
          <w:rFonts w:ascii="仿宋_GB2312" w:eastAsia="仿宋_GB2312" w:hint="eastAsia"/>
          <w:color w:val="000000"/>
          <w:sz w:val="32"/>
          <w:szCs w:val="32"/>
          <w:lang w:val="en-US" w:eastAsia="zh-CN"/>
        </w:rPr>
        <w:t>361.2</w:t>
      </w:r>
      <w:r>
        <w:rPr>
          <w:rFonts w:ascii="仿宋_GB2312" w:eastAsia="仿宋_GB2312" w:hint="eastAsia"/>
          <w:color w:val="000000"/>
          <w:sz w:val="32"/>
          <w:szCs w:val="32"/>
        </w:rPr>
        <w:t>万元，主要用于以下方面:</w:t>
      </w:r>
      <w:r>
        <w:rPr>
          <w:rFonts w:ascii="仿宋_GB2312" w:eastAsia="仿宋_GB2312" w:hint="eastAsia"/>
          <w:color w:val="000000"/>
          <w:sz w:val="32"/>
          <w:szCs w:val="32"/>
          <w:lang w:val="zh-CN"/>
        </w:rPr>
        <w:t>社会保障和就业支出</w:t>
      </w:r>
      <w:r>
        <w:rPr>
          <w:rFonts w:ascii="仿宋_GB2312" w:eastAsia="仿宋_GB2312" w:hint="eastAsia"/>
          <w:color w:val="000000"/>
          <w:sz w:val="32"/>
          <w:szCs w:val="32"/>
          <w:lang w:val="en-US" w:eastAsia="zh-CN"/>
        </w:rPr>
        <w:t>321.86</w:t>
      </w:r>
      <w:r>
        <w:rPr>
          <w:rFonts w:ascii="仿宋_GB2312" w:eastAsia="仿宋_GB2312" w:hint="eastAsia"/>
          <w:color w:val="000000"/>
          <w:sz w:val="32"/>
          <w:szCs w:val="32"/>
          <w:lang w:val="zh-CN"/>
        </w:rPr>
        <w:t>万元，占</w:t>
      </w:r>
      <w:r>
        <w:rPr>
          <w:rFonts w:ascii="仿宋_GB2312" w:eastAsia="仿宋_GB2312" w:hint="eastAsia"/>
          <w:color w:val="000000"/>
          <w:sz w:val="32"/>
          <w:szCs w:val="32"/>
          <w:lang w:val="en-US" w:eastAsia="zh-CN"/>
        </w:rPr>
        <w:t>89.11</w:t>
      </w:r>
      <w:r>
        <w:rPr>
          <w:rFonts w:ascii="仿宋_GB2312" w:eastAsia="仿宋_GB2312" w:hint="eastAsia"/>
          <w:color w:val="000000"/>
          <w:sz w:val="32"/>
          <w:szCs w:val="32"/>
          <w:lang w:val="zh-CN"/>
        </w:rPr>
        <w:t>%；医疗卫生与计划生育支出</w:t>
      </w:r>
      <w:r>
        <w:rPr>
          <w:rFonts w:ascii="仿宋_GB2312" w:eastAsia="仿宋_GB2312" w:hint="eastAsia"/>
          <w:color w:val="000000"/>
          <w:sz w:val="32"/>
          <w:szCs w:val="32"/>
          <w:lang w:val="en-US" w:eastAsia="zh-CN"/>
        </w:rPr>
        <w:t>15.78</w:t>
      </w:r>
      <w:r>
        <w:rPr>
          <w:rFonts w:ascii="仿宋_GB2312" w:eastAsia="仿宋_GB2312" w:hint="eastAsia"/>
          <w:color w:val="000000"/>
          <w:sz w:val="32"/>
          <w:szCs w:val="32"/>
          <w:lang w:val="zh-CN"/>
        </w:rPr>
        <w:t>万元，占</w:t>
      </w:r>
      <w:r>
        <w:rPr>
          <w:rFonts w:ascii="仿宋_GB2312" w:eastAsia="仿宋_GB2312" w:hint="eastAsia"/>
          <w:color w:val="000000"/>
          <w:sz w:val="32"/>
          <w:szCs w:val="32"/>
          <w:lang w:val="en-US" w:eastAsia="zh-CN"/>
        </w:rPr>
        <w:t>4.37</w:t>
      </w:r>
      <w:r>
        <w:rPr>
          <w:rFonts w:ascii="仿宋_GB2312" w:eastAsia="仿宋_GB2312" w:hint="eastAsia"/>
          <w:color w:val="000000"/>
          <w:sz w:val="32"/>
          <w:szCs w:val="32"/>
          <w:lang w:val="zh-CN"/>
        </w:rPr>
        <w:t>%；住房保障支出</w:t>
      </w:r>
      <w:r>
        <w:rPr>
          <w:rFonts w:ascii="仿宋_GB2312" w:eastAsia="仿宋_GB2312" w:hint="eastAsia"/>
          <w:color w:val="000000"/>
          <w:sz w:val="32"/>
          <w:szCs w:val="32"/>
          <w:lang w:val="en-US" w:eastAsia="zh-CN"/>
        </w:rPr>
        <w:t>22.72</w:t>
      </w:r>
      <w:r>
        <w:rPr>
          <w:rFonts w:ascii="仿宋_GB2312" w:eastAsia="仿宋_GB2312" w:hint="eastAsia"/>
          <w:color w:val="000000"/>
          <w:sz w:val="32"/>
          <w:szCs w:val="32"/>
          <w:lang w:val="zh-CN"/>
        </w:rPr>
        <w:t>万元，占</w:t>
      </w:r>
      <w:r>
        <w:rPr>
          <w:rFonts w:ascii="仿宋_GB2312" w:eastAsia="仿宋_GB2312" w:hint="eastAsia"/>
          <w:color w:val="000000"/>
          <w:sz w:val="32"/>
          <w:szCs w:val="32"/>
        </w:rPr>
        <w:t>6.</w:t>
      </w:r>
      <w:r>
        <w:rPr>
          <w:rFonts w:ascii="仿宋_GB2312" w:eastAsia="仿宋_GB2312" w:hint="eastAsia"/>
          <w:color w:val="000000"/>
          <w:sz w:val="32"/>
          <w:szCs w:val="32"/>
          <w:lang w:val="en-US" w:eastAsia="zh-CN"/>
        </w:rPr>
        <w:t>29</w:t>
      </w:r>
      <w:r>
        <w:rPr>
          <w:rFonts w:ascii="仿宋_GB2312" w:eastAsia="仿宋_GB2312" w:hint="eastAsia"/>
          <w:color w:val="000000"/>
          <w:sz w:val="32"/>
          <w:szCs w:val="32"/>
          <w:lang w:val="zh-CN"/>
        </w:rPr>
        <w:t>%；教育支出</w:t>
      </w:r>
      <w:r>
        <w:rPr>
          <w:rFonts w:ascii="仿宋_GB2312" w:eastAsia="仿宋_GB2312" w:hint="eastAsia"/>
          <w:color w:val="000000"/>
          <w:sz w:val="32"/>
          <w:szCs w:val="32"/>
        </w:rPr>
        <w:t>0.84万元，占0.2</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%。其他支出0万元，占0%。</w:t>
      </w:r>
    </w:p>
    <w:p>
      <w:pPr>
        <w:pStyle w:val="26"/>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firstLineChars="200" w:firstLine="640"/>
        <w:textAlignment w:val="auto"/>
        <w:rPr>
          <w:rFonts w:ascii="仿宋_GB2312" w:eastAsia="仿宋_GB2312" w:hint="eastAsia"/>
          <w:color w:val="000000"/>
          <w:sz w:val="32"/>
          <w:szCs w:val="32"/>
        </w:rPr>
      </w:pPr>
      <w:r>
        <w:rPr>
          <w:rFonts w:ascii="仿宋_GB2312" w:eastAsia="仿宋_GB2312" w:hint="eastAsia"/>
          <w:color w:val="000000"/>
          <w:sz w:val="32"/>
          <w:szCs w:val="32"/>
        </w:rPr>
        <w:t>社会保险事务中心2022年一般公共预算财政拨款支出313.5万元，主要用于以下方面:</w:t>
      </w:r>
      <w:r>
        <w:rPr>
          <w:rFonts w:ascii="仿宋_GB2312" w:eastAsia="仿宋_GB2312" w:hint="eastAsia"/>
          <w:color w:val="000000"/>
          <w:sz w:val="32"/>
          <w:szCs w:val="32"/>
          <w:lang w:val="zh-CN"/>
        </w:rPr>
        <w:t>社会保障和就业支出278.68万元，占</w:t>
      </w:r>
      <w:r>
        <w:rPr>
          <w:rFonts w:ascii="仿宋_GB2312" w:eastAsia="仿宋_GB2312" w:hint="eastAsia"/>
          <w:color w:val="000000"/>
          <w:sz w:val="32"/>
          <w:szCs w:val="32"/>
        </w:rPr>
        <w:t>88.82</w:t>
      </w:r>
      <w:r>
        <w:rPr>
          <w:rFonts w:ascii="仿宋_GB2312" w:eastAsia="仿宋_GB2312" w:hint="eastAsia"/>
          <w:color w:val="000000"/>
          <w:sz w:val="32"/>
          <w:szCs w:val="32"/>
          <w:lang w:val="zh-CN"/>
        </w:rPr>
        <w:t>%；医疗卫生与计划生育支出</w:t>
      </w:r>
      <w:r>
        <w:rPr>
          <w:rFonts w:ascii="仿宋_GB2312" w:eastAsia="仿宋_GB2312" w:hint="eastAsia"/>
          <w:color w:val="000000"/>
          <w:sz w:val="32"/>
          <w:szCs w:val="32"/>
        </w:rPr>
        <w:t>13.94</w:t>
      </w:r>
      <w:r>
        <w:rPr>
          <w:rFonts w:ascii="仿宋_GB2312" w:eastAsia="仿宋_GB2312" w:hint="eastAsia"/>
          <w:color w:val="000000"/>
          <w:sz w:val="32"/>
          <w:szCs w:val="32"/>
          <w:lang w:val="zh-CN"/>
        </w:rPr>
        <w:t>万元，占</w:t>
      </w:r>
      <w:r>
        <w:rPr>
          <w:rFonts w:ascii="仿宋_GB2312" w:eastAsia="仿宋_GB2312" w:hint="eastAsia"/>
          <w:color w:val="000000"/>
          <w:sz w:val="32"/>
          <w:szCs w:val="32"/>
        </w:rPr>
        <w:t>4.4</w:t>
      </w:r>
      <w:r>
        <w:rPr>
          <w:rFonts w:ascii="仿宋_GB2312" w:eastAsia="仿宋_GB2312" w:hint="eastAsia"/>
          <w:color w:val="000000"/>
          <w:sz w:val="32"/>
          <w:szCs w:val="32"/>
          <w:lang w:val="zh-CN"/>
        </w:rPr>
        <w:t>%；住房保障支出</w:t>
      </w:r>
      <w:r>
        <w:rPr>
          <w:rFonts w:ascii="仿宋_GB2312" w:eastAsia="仿宋_GB2312" w:hint="eastAsia"/>
          <w:color w:val="000000"/>
          <w:sz w:val="32"/>
          <w:szCs w:val="32"/>
        </w:rPr>
        <w:t>20.3</w:t>
      </w:r>
      <w:r>
        <w:rPr>
          <w:rFonts w:ascii="仿宋_GB2312" w:eastAsia="仿宋_GB2312" w:hint="eastAsia"/>
          <w:color w:val="000000"/>
          <w:sz w:val="32"/>
          <w:szCs w:val="32"/>
          <w:lang w:val="zh-CN"/>
        </w:rPr>
        <w:t>万元，占</w:t>
      </w:r>
      <w:r>
        <w:rPr>
          <w:rFonts w:ascii="仿宋_GB2312" w:eastAsia="仿宋_GB2312" w:hint="eastAsia"/>
          <w:color w:val="000000"/>
          <w:sz w:val="32"/>
          <w:szCs w:val="32"/>
        </w:rPr>
        <w:t>6.5</w:t>
      </w:r>
      <w:r>
        <w:rPr>
          <w:rFonts w:ascii="仿宋_GB2312" w:eastAsia="仿宋_GB2312" w:hint="eastAsia"/>
          <w:color w:val="000000"/>
          <w:sz w:val="32"/>
          <w:szCs w:val="32"/>
          <w:lang w:val="zh-CN"/>
        </w:rPr>
        <w:t>%；教育支出</w:t>
      </w:r>
      <w:r>
        <w:rPr>
          <w:rFonts w:ascii="仿宋_GB2312" w:eastAsia="仿宋_GB2312" w:hint="eastAsia"/>
          <w:color w:val="000000"/>
          <w:sz w:val="32"/>
          <w:szCs w:val="32"/>
        </w:rPr>
        <w:t>0.84万元，占0.28%。其他支出0万元，占0%。</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rPr>
          <w:lang w:val="zh-CN"/>
        </w:rPr>
      </w:pP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金川县社会保险服务指导站2022年一般公共预算财政拨款支出47.7万元，主要用于以下方面:</w:t>
      </w:r>
      <w:r>
        <w:rPr>
          <w:rFonts w:ascii="仿宋_GB2312" w:eastAsia="仿宋_GB2312" w:hint="eastAsia"/>
          <w:color w:val="000000"/>
          <w:sz w:val="32"/>
          <w:szCs w:val="32"/>
          <w:lang w:val="zh-CN"/>
        </w:rPr>
        <w:t>社会保障和就业支出43.18万元，占</w:t>
      </w:r>
      <w:r>
        <w:rPr>
          <w:rFonts w:ascii="仿宋_GB2312" w:eastAsia="仿宋_GB2312" w:hint="eastAsia"/>
          <w:color w:val="000000"/>
          <w:sz w:val="32"/>
          <w:szCs w:val="32"/>
        </w:rPr>
        <w:t>90.5</w:t>
      </w:r>
      <w:r>
        <w:rPr>
          <w:rFonts w:ascii="仿宋_GB2312" w:eastAsia="仿宋_GB2312" w:hint="eastAsia"/>
          <w:color w:val="000000"/>
          <w:sz w:val="32"/>
          <w:szCs w:val="32"/>
          <w:lang w:val="zh-CN"/>
        </w:rPr>
        <w:t>%；医疗卫生与计划生育支出</w:t>
      </w:r>
      <w:r>
        <w:rPr>
          <w:rFonts w:ascii="仿宋_GB2312" w:eastAsia="仿宋_GB2312" w:hint="eastAsia"/>
          <w:color w:val="000000"/>
          <w:sz w:val="32"/>
          <w:szCs w:val="32"/>
        </w:rPr>
        <w:t>1.84</w:t>
      </w:r>
      <w:r>
        <w:rPr>
          <w:rFonts w:ascii="仿宋_GB2312" w:eastAsia="仿宋_GB2312" w:hint="eastAsia"/>
          <w:color w:val="000000"/>
          <w:sz w:val="32"/>
          <w:szCs w:val="32"/>
          <w:lang w:val="zh-CN"/>
        </w:rPr>
        <w:t>万元，占</w:t>
      </w:r>
      <w:r>
        <w:rPr>
          <w:rFonts w:ascii="仿宋_GB2312" w:eastAsia="仿宋_GB2312" w:hint="eastAsia"/>
          <w:color w:val="000000"/>
          <w:sz w:val="32"/>
          <w:szCs w:val="32"/>
        </w:rPr>
        <w:t>4.2</w:t>
      </w:r>
      <w:r>
        <w:rPr>
          <w:rFonts w:ascii="仿宋_GB2312" w:eastAsia="仿宋_GB2312" w:hint="eastAsia"/>
          <w:color w:val="000000"/>
          <w:sz w:val="32"/>
          <w:szCs w:val="32"/>
          <w:lang w:val="zh-CN"/>
        </w:rPr>
        <w:t>%；住房保障支出</w:t>
      </w:r>
      <w:r>
        <w:rPr>
          <w:rFonts w:ascii="仿宋_GB2312" w:eastAsia="仿宋_GB2312" w:hint="eastAsia"/>
          <w:color w:val="000000"/>
          <w:sz w:val="32"/>
          <w:szCs w:val="32"/>
        </w:rPr>
        <w:t>2.69</w:t>
      </w:r>
      <w:r>
        <w:rPr>
          <w:rFonts w:ascii="仿宋_GB2312" w:eastAsia="仿宋_GB2312" w:hint="eastAsia"/>
          <w:color w:val="000000"/>
          <w:sz w:val="32"/>
          <w:szCs w:val="32"/>
          <w:lang w:val="zh-CN"/>
        </w:rPr>
        <w:t>万元，占</w:t>
      </w:r>
      <w:r>
        <w:rPr>
          <w:rFonts w:ascii="仿宋_GB2312" w:eastAsia="仿宋_GB2312" w:hint="eastAsia"/>
          <w:color w:val="000000"/>
          <w:sz w:val="32"/>
          <w:szCs w:val="32"/>
        </w:rPr>
        <w:t>5.6</w:t>
      </w:r>
      <w:r>
        <w:rPr>
          <w:rFonts w:ascii="仿宋_GB2312" w:eastAsia="仿宋_GB2312" w:hint="eastAsia"/>
          <w:color w:val="000000"/>
          <w:sz w:val="32"/>
          <w:szCs w:val="32"/>
          <w:lang w:val="zh-CN"/>
        </w:rPr>
        <w:t>%</w:t>
      </w:r>
      <w:r>
        <w:rPr>
          <w:rFonts w:ascii="仿宋_GB2312" w:eastAsia="仿宋_GB2312" w:hint="eastAsia"/>
          <w:bCs/>
          <w:sz w:val="32"/>
          <w:lang w:val="zh-CN"/>
        </w:rPr>
        <w:t>。</w:t>
      </w:r>
    </w:p>
    <w:p>
      <w:pPr>
        <w:spacing w:line="600" w:lineRule="exact"/>
        <w:jc w:val="left"/>
        <w:outlineLvl w:val="1"/>
        <w:rPr>
          <w:rFonts w:ascii="仿宋_GB2312" w:eastAsia="仿宋_GB2312"/>
          <w:color w:val="000000"/>
          <w:sz w:val="32"/>
          <w:szCs w:val="32"/>
        </w:rPr>
      </w:pPr>
      <w:bookmarkStart w:id="32" w:name="_Toc2140"/>
      <w:r>
        <w:rPr>
          <w:rFonts w:ascii="仿宋_GB2312" w:eastAsia="仿宋_GB2312" w:hint="eastAsia"/>
          <w:color w:val="000000"/>
          <w:sz w:val="32"/>
          <w:szCs w:val="32"/>
        </w:rPr>
        <w:t>（三）一般公共预算财政拨款支出决算具体情况</w:t>
      </w:r>
      <w:bookmarkEnd w:id="32"/>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金川县社会保险事务中心一般公共预算财政拨款支出决算具体汇总如下:</w:t>
      </w:r>
    </w:p>
    <w:p>
      <w:pPr>
        <w:pStyle w:val="26"/>
        <w:numPr>
          <w:ilvl w:val="0"/>
          <w:numId w:val="2"/>
        </w:numPr>
        <w:spacing w:line="600" w:lineRule="exact"/>
        <w:ind w:firstLineChars="0"/>
        <w:rPr>
          <w:rFonts w:ascii="仿宋_GB2312" w:eastAsia="仿宋_GB2312"/>
          <w:sz w:val="32"/>
          <w:szCs w:val="32"/>
        </w:rPr>
      </w:pPr>
      <w:r>
        <w:rPr>
          <w:rFonts w:ascii="仿宋_GB2312" w:eastAsia="仿宋_GB2312" w:hint="eastAsia"/>
          <w:sz w:val="32"/>
          <w:szCs w:val="32"/>
        </w:rPr>
        <w:t>社会保障和就业</w:t>
      </w:r>
    </w:p>
    <w:p>
      <w:pPr>
        <w:pStyle w:val="26"/>
        <w:spacing w:line="600" w:lineRule="exact"/>
        <w:ind w:left="465" w:firstLineChars="0" w:firstLine="0"/>
        <w:rPr>
          <w:rFonts w:ascii="仿宋_GB2312" w:eastAsia="仿宋_GB2312"/>
          <w:sz w:val="32"/>
          <w:szCs w:val="32"/>
        </w:rPr>
      </w:pPr>
      <w:r>
        <w:rPr>
          <w:rFonts w:ascii="仿宋_GB2312" w:eastAsia="仿宋_GB2312" w:hint="eastAsia"/>
          <w:sz w:val="32"/>
          <w:szCs w:val="32"/>
        </w:rPr>
        <w:t>（1）金川县社会保险事务中心</w:t>
      </w:r>
      <w:r>
        <w:rPr>
          <w:rStyle w:val="22"/>
          <w:rFonts w:ascii="仿宋_GB2312" w:eastAsia="仿宋_GB2312" w:hint="eastAsia"/>
          <w:sz w:val="32"/>
          <w:szCs w:val="32"/>
        </w:rPr>
        <w:t>:</w:t>
      </w:r>
    </w:p>
    <w:p>
      <w:pPr>
        <w:pStyle w:val="26"/>
        <w:spacing w:line="600" w:lineRule="exact"/>
        <w:rPr>
          <w:rFonts w:ascii="仿宋_GB2312" w:eastAsia="仿宋_GB2312"/>
          <w:sz w:val="32"/>
          <w:szCs w:val="32"/>
        </w:rPr>
      </w:pPr>
      <w:r>
        <w:rPr>
          <w:rFonts w:ascii="仿宋_GB2312" w:eastAsia="仿宋_GB2312" w:hint="eastAsia"/>
          <w:sz w:val="32"/>
          <w:szCs w:val="32"/>
        </w:rPr>
        <w:t>社会保障和就业支出208（类）人力资</w:t>
      </w:r>
      <w:r>
        <w:rPr>
          <w:rFonts w:ascii="仿宋_GB2312" w:eastAsia="仿宋_GB2312" w:hint="eastAsia"/>
          <w:color w:val="000000"/>
          <w:sz w:val="32"/>
          <w:szCs w:val="32"/>
        </w:rPr>
        <w:t>源和社会保障管理事务01（款）社会保险经办机构09（项）</w:t>
      </w:r>
      <w:r>
        <w:rPr>
          <w:rFonts w:ascii="仿宋_GB2312" w:eastAsia="仿宋_GB2312" w:hint="eastAsia"/>
          <w:sz w:val="32"/>
          <w:szCs w:val="32"/>
        </w:rPr>
        <w:t>：2022年决算数为243.26万元，完成预算124.63%，决算数大于预算数的主要原因是：增加项目支出主要用于档案数字化管理，人员晋升，人员经费增加。</w:t>
      </w:r>
    </w:p>
    <w:p>
      <w:pPr>
        <w:spacing w:line="600" w:lineRule="exact"/>
        <w:ind w:firstLineChars="200" w:firstLine="640"/>
        <w:rPr>
          <w:rFonts w:ascii="仿宋_GB2312" w:eastAsia="仿宋_GB2312"/>
          <w:sz w:val="32"/>
          <w:szCs w:val="32"/>
        </w:rPr>
      </w:pPr>
      <w:r>
        <w:rPr>
          <w:rFonts w:ascii="仿宋_GB2312" w:eastAsia="仿宋_GB2312" w:hint="eastAsia"/>
          <w:color w:val="000000"/>
          <w:sz w:val="32"/>
          <w:szCs w:val="32"/>
        </w:rPr>
        <w:t>社会保障和就业支出208（类）行政事业单位离退休05（款）机关事业单位基本养老保险缴费05（项）</w:t>
      </w:r>
      <w:r>
        <w:rPr>
          <w:rFonts w:ascii="仿宋_GB2312" w:eastAsia="仿宋_GB2312" w:hint="eastAsia"/>
          <w:sz w:val="32"/>
          <w:szCs w:val="32"/>
        </w:rPr>
        <w:t>：2022年决算数2</w:t>
      </w:r>
      <w:r>
        <w:rPr>
          <w:rFonts w:ascii="仿宋_GB2312" w:eastAsia="仿宋_GB2312" w:hint="eastAsia"/>
          <w:sz w:val="32"/>
          <w:szCs w:val="32"/>
          <w:lang w:val="en-US" w:eastAsia="zh-CN"/>
        </w:rPr>
        <w:t>3</w:t>
      </w:r>
      <w:r>
        <w:rPr>
          <w:rFonts w:ascii="仿宋_GB2312" w:eastAsia="仿宋_GB2312" w:hint="eastAsia"/>
          <w:sz w:val="32"/>
          <w:szCs w:val="32"/>
        </w:rPr>
        <w:t>.61万元，完成预算112.4%，原因是人员晋升及基础绩效进入工资导致基数增加。</w:t>
      </w:r>
    </w:p>
    <w:p>
      <w:pPr>
        <w:spacing w:line="600" w:lineRule="exact"/>
        <w:ind w:firstLineChars="200" w:firstLine="640"/>
        <w:rPr>
          <w:rFonts w:ascii="仿宋_GB2312" w:eastAsia="仿宋_GB2312"/>
          <w:sz w:val="32"/>
          <w:szCs w:val="32"/>
        </w:rPr>
      </w:pPr>
      <w:r>
        <w:rPr>
          <w:rFonts w:ascii="仿宋_GB2312" w:eastAsia="仿宋_GB2312" w:hint="eastAsia"/>
          <w:color w:val="000000"/>
          <w:sz w:val="32"/>
          <w:szCs w:val="32"/>
        </w:rPr>
        <w:t>社会保障和就业支出208（类）行政事业单位离退休05（款）机关事业单位职业年金缴费06（项）</w:t>
      </w:r>
      <w:r>
        <w:rPr>
          <w:rFonts w:ascii="仿宋_GB2312" w:eastAsia="仿宋_GB2312" w:hint="eastAsia"/>
          <w:sz w:val="32"/>
          <w:szCs w:val="32"/>
        </w:rPr>
        <w:t>：2022年决算数为11.8</w:t>
      </w:r>
      <w:r>
        <w:rPr>
          <w:rFonts w:ascii="仿宋_GB2312" w:eastAsia="仿宋_GB2312" w:hint="eastAsia"/>
          <w:sz w:val="32"/>
          <w:szCs w:val="32"/>
          <w:lang w:val="en-US" w:eastAsia="zh-CN"/>
        </w:rPr>
        <w:t>1</w:t>
      </w:r>
      <w:r>
        <w:rPr>
          <w:rFonts w:ascii="仿宋_GB2312" w:eastAsia="仿宋_GB2312" w:hint="eastAsia"/>
          <w:sz w:val="32"/>
          <w:szCs w:val="32"/>
        </w:rPr>
        <w:t>万元，完成预算110%，原因是人员晋升及基础绩效进入工资导致基数增加。</w:t>
      </w:r>
    </w:p>
    <w:p>
      <w:pPr>
        <w:spacing w:line="600" w:lineRule="exact"/>
        <w:ind w:firstLineChars="200" w:firstLine="640"/>
        <w:rPr>
          <w:rFonts w:ascii="仿宋_GB2312" w:eastAsia="仿宋_GB2312"/>
          <w:sz w:val="32"/>
          <w:szCs w:val="32"/>
        </w:rPr>
      </w:pPr>
      <w:r>
        <w:rPr>
          <w:rFonts w:ascii="仿宋_GB2312" w:eastAsia="仿宋_GB2312" w:hint="eastAsia"/>
          <w:sz w:val="32"/>
          <w:szCs w:val="32"/>
        </w:rPr>
        <w:t>（2）金川县社会保险服务指导站</w:t>
      </w:r>
    </w:p>
    <w:p>
      <w:pPr>
        <w:spacing w:line="600" w:lineRule="exact"/>
        <w:ind w:firstLineChars="200" w:firstLine="640"/>
        <w:rPr>
          <w:rFonts w:ascii="仿宋_GB2312" w:eastAsia="仿宋_GB2312"/>
          <w:sz w:val="32"/>
          <w:szCs w:val="32"/>
        </w:rPr>
      </w:pPr>
      <w:r>
        <w:rPr>
          <w:rFonts w:ascii="仿宋_GB2312" w:eastAsia="仿宋_GB2312" w:hint="eastAsia"/>
          <w:color w:val="000000"/>
          <w:sz w:val="32"/>
          <w:szCs w:val="32"/>
        </w:rPr>
        <w:t>社会保障和就业支出208（类）人力资源和社会保障管理事务01（款）社会保险经办机构09（项）</w:t>
      </w:r>
      <w:r>
        <w:rPr>
          <w:rFonts w:ascii="仿宋_GB2312" w:eastAsia="仿宋_GB2312" w:hint="eastAsia"/>
          <w:sz w:val="32"/>
          <w:szCs w:val="32"/>
        </w:rPr>
        <w:t>：2022年决算数为38.56万元，完成预算208%，决算数大于预算数的主要原因是：人员晋升及基础绩效进入工资，人员经费增加。</w:t>
      </w:r>
    </w:p>
    <w:p>
      <w:pPr>
        <w:spacing w:line="600" w:lineRule="exact"/>
        <w:ind w:firstLineChars="200" w:firstLine="640"/>
        <w:rPr>
          <w:rFonts w:ascii="仿宋_GB2312" w:eastAsia="仿宋_GB2312"/>
          <w:sz w:val="32"/>
          <w:szCs w:val="32"/>
        </w:rPr>
      </w:pPr>
      <w:r>
        <w:rPr>
          <w:rFonts w:ascii="仿宋_GB2312" w:eastAsia="仿宋_GB2312" w:hint="eastAsia"/>
          <w:color w:val="000000"/>
          <w:sz w:val="32"/>
          <w:szCs w:val="32"/>
        </w:rPr>
        <w:t>社会保障和就业支出208（类）行政事业单位离退休05（款）机关事业单位基本养老保险缴费05（项）</w:t>
      </w:r>
      <w:r>
        <w:rPr>
          <w:rFonts w:ascii="仿宋_GB2312" w:eastAsia="仿宋_GB2312" w:hint="eastAsia"/>
          <w:sz w:val="32"/>
          <w:szCs w:val="32"/>
        </w:rPr>
        <w:t>：2022年决算数3.08万元，完成预算118.4%，原因是人员晋升及基础绩效进入工资导致基数增加。</w:t>
      </w:r>
    </w:p>
    <w:p>
      <w:pPr>
        <w:spacing w:line="600" w:lineRule="exact"/>
        <w:ind w:firstLineChars="200" w:firstLine="640"/>
        <w:rPr>
          <w:rStyle w:val="22"/>
          <w:rFonts w:ascii="仿宋_GB2312" w:eastAsia="仿宋_GB2312"/>
          <w:sz w:val="32"/>
          <w:szCs w:val="32"/>
        </w:rPr>
      </w:pPr>
      <w:r>
        <w:rPr>
          <w:rFonts w:ascii="仿宋_GB2312" w:eastAsia="仿宋_GB2312" w:hint="eastAsia"/>
          <w:color w:val="000000"/>
          <w:sz w:val="32"/>
          <w:szCs w:val="32"/>
        </w:rPr>
        <w:t>社会保障和就业支出208（类）行政事业单位离退休05（款）机关事业单位职业年金缴费06（项）</w:t>
      </w:r>
      <w:r>
        <w:rPr>
          <w:rFonts w:ascii="仿宋_GB2312" w:eastAsia="仿宋_GB2312" w:hint="eastAsia"/>
          <w:sz w:val="32"/>
          <w:szCs w:val="32"/>
        </w:rPr>
        <w:t>：2022年决算数为1.5</w:t>
      </w:r>
      <w:r>
        <w:rPr>
          <w:rFonts w:ascii="仿宋_GB2312" w:eastAsia="仿宋_GB2312" w:hint="eastAsia"/>
          <w:sz w:val="32"/>
          <w:szCs w:val="32"/>
          <w:lang w:val="en-US" w:eastAsia="zh-CN"/>
        </w:rPr>
        <w:t>4</w:t>
      </w:r>
      <w:r>
        <w:rPr>
          <w:rFonts w:ascii="仿宋_GB2312" w:eastAsia="仿宋_GB2312" w:hint="eastAsia"/>
          <w:sz w:val="32"/>
          <w:szCs w:val="32"/>
        </w:rPr>
        <w:t>万元，完成预算115%，原因是人员晋升及基础绩效进入工资导致基数增加。</w:t>
      </w:r>
    </w:p>
    <w:p>
      <w:pPr>
        <w:pStyle w:val="26"/>
        <w:numPr>
          <w:ilvl w:val="0"/>
          <w:numId w:val="2"/>
        </w:numPr>
        <w:spacing w:line="600" w:lineRule="exact"/>
        <w:ind w:left="0" w:firstLineChars="0" w:firstLine="643"/>
        <w:rPr>
          <w:rStyle w:val="22"/>
          <w:rFonts w:ascii="仿宋_GB2312" w:eastAsia="仿宋_GB2312"/>
          <w:sz w:val="32"/>
          <w:szCs w:val="32"/>
        </w:rPr>
      </w:pPr>
      <w:r>
        <w:rPr>
          <w:rStyle w:val="22"/>
          <w:rFonts w:ascii="仿宋_GB2312" w:eastAsia="仿宋_GB2312" w:hint="eastAsia"/>
          <w:sz w:val="32"/>
          <w:szCs w:val="32"/>
        </w:rPr>
        <w:t>医疗卫生与计划生育:</w:t>
      </w:r>
    </w:p>
    <w:p>
      <w:pPr>
        <w:pStyle w:val="26"/>
        <w:numPr>
          <w:ilvl w:val="0"/>
          <w:numId w:val="3"/>
        </w:numPr>
        <w:spacing w:line="600" w:lineRule="exact"/>
        <w:ind w:left="0" w:firstLineChars="0" w:firstLine="640"/>
        <w:jc w:val="left"/>
        <w:rPr>
          <w:rStyle w:val="22"/>
          <w:rFonts w:ascii="仿宋_GB2312" w:eastAsia="仿宋_GB2312"/>
          <w:b w:val="0"/>
          <w:bCs w:val="0"/>
          <w:sz w:val="32"/>
          <w:szCs w:val="32"/>
        </w:rPr>
      </w:pPr>
      <w:r>
        <w:rPr>
          <w:rStyle w:val="22"/>
          <w:rFonts w:ascii="仿宋_GB2312" w:eastAsia="仿宋_GB2312" w:hint="eastAsia"/>
          <w:b w:val="0"/>
          <w:bCs w:val="0"/>
          <w:sz w:val="32"/>
          <w:szCs w:val="32"/>
        </w:rPr>
        <w:t>金川县社会保险事务中心</w:t>
      </w:r>
    </w:p>
    <w:p>
      <w:pPr>
        <w:spacing w:line="600" w:lineRule="exact"/>
        <w:ind w:firstLineChars="200" w:firstLine="640"/>
        <w:jc w:val="left"/>
        <w:rPr>
          <w:rFonts w:ascii="仿宋_GB2312" w:eastAsia="仿宋_GB2312"/>
          <w:sz w:val="32"/>
          <w:szCs w:val="32"/>
        </w:rPr>
      </w:pPr>
      <w:r>
        <w:rPr>
          <w:rFonts w:ascii="仿宋_GB2312" w:eastAsia="仿宋_GB2312" w:hint="eastAsia"/>
          <w:color w:val="000000"/>
          <w:sz w:val="32"/>
          <w:szCs w:val="32"/>
        </w:rPr>
        <w:t>医疗卫生与计划生育支出210（类）医疗保障11（款）事业单位医疗02（项）：</w:t>
      </w:r>
      <w:r>
        <w:rPr>
          <w:rFonts w:ascii="仿宋_GB2312" w:eastAsia="仿宋_GB2312" w:hint="eastAsia"/>
          <w:sz w:val="32"/>
          <w:szCs w:val="32"/>
        </w:rPr>
        <w:t>2022年决算数为11</w:t>
      </w:r>
      <w:r>
        <w:rPr>
          <w:rFonts w:ascii="仿宋_GB2312" w:eastAsia="仿宋_GB2312" w:hint="eastAsia"/>
          <w:sz w:val="32"/>
          <w:szCs w:val="32"/>
          <w:lang w:val="en-US" w:eastAsia="zh-CN"/>
        </w:rPr>
        <w:t>.01</w:t>
      </w:r>
      <w:r>
        <w:rPr>
          <w:rFonts w:ascii="仿宋_GB2312" w:eastAsia="仿宋_GB2312" w:hint="eastAsia"/>
          <w:sz w:val="32"/>
          <w:szCs w:val="32"/>
        </w:rPr>
        <w:t>万元，完成预算125%，原因是人员晋升及基础绩效进入工资导致基数增加。</w:t>
      </w:r>
    </w:p>
    <w:p>
      <w:pPr>
        <w:spacing w:line="600" w:lineRule="exact"/>
        <w:ind w:firstLineChars="200" w:firstLine="640"/>
        <w:jc w:val="left"/>
        <w:rPr>
          <w:rStyle w:val="22"/>
          <w:rFonts w:ascii="仿宋_GB2312" w:eastAsia="仿宋_GB2312"/>
          <w:b w:val="0"/>
          <w:bCs w:val="0"/>
          <w:sz w:val="32"/>
          <w:szCs w:val="32"/>
        </w:rPr>
      </w:pPr>
      <w:r>
        <w:rPr>
          <w:rFonts w:ascii="仿宋_GB2312" w:eastAsia="仿宋_GB2312" w:hint="eastAsia"/>
          <w:color w:val="000000"/>
          <w:sz w:val="32"/>
          <w:szCs w:val="32"/>
        </w:rPr>
        <w:t>医疗卫生与计划生育支出210（类）医疗保障11（款）公务员医疗补助03（项）：</w:t>
      </w:r>
      <w:r>
        <w:rPr>
          <w:rFonts w:ascii="仿宋_GB2312" w:eastAsia="仿宋_GB2312" w:hint="eastAsia"/>
          <w:sz w:val="32"/>
          <w:szCs w:val="32"/>
        </w:rPr>
        <w:t xml:space="preserve"> 2022年决算数为2.9</w:t>
      </w:r>
      <w:r>
        <w:rPr>
          <w:rFonts w:ascii="仿宋_GB2312" w:eastAsia="仿宋_GB2312" w:hint="eastAsia"/>
          <w:sz w:val="32"/>
          <w:szCs w:val="32"/>
          <w:lang w:val="en-US" w:eastAsia="zh-CN"/>
        </w:rPr>
        <w:t>4</w:t>
      </w:r>
      <w:r>
        <w:rPr>
          <w:rFonts w:ascii="仿宋_GB2312" w:eastAsia="仿宋_GB2312" w:hint="eastAsia"/>
          <w:sz w:val="32"/>
          <w:szCs w:val="32"/>
        </w:rPr>
        <w:t>万元，完成预算93.54%，决算数小于预算数。</w:t>
      </w:r>
    </w:p>
    <w:p>
      <w:pPr>
        <w:pStyle w:val="26"/>
        <w:spacing w:line="600" w:lineRule="exact"/>
        <w:ind w:leftChars="200" w:left="420" w:firstLineChars="0" w:firstLine="0"/>
        <w:jc w:val="left"/>
        <w:rPr>
          <w:rStyle w:val="22"/>
          <w:rFonts w:ascii="仿宋_GB2312" w:eastAsia="仿宋_GB2312"/>
          <w:b w:val="0"/>
          <w:bCs w:val="0"/>
          <w:sz w:val="32"/>
          <w:szCs w:val="32"/>
        </w:rPr>
      </w:pPr>
      <w:r>
        <w:rPr>
          <w:rStyle w:val="22"/>
          <w:rFonts w:ascii="仿宋_GB2312" w:eastAsia="仿宋_GB2312" w:hint="eastAsia"/>
          <w:b w:val="0"/>
          <w:bCs w:val="0"/>
          <w:sz w:val="32"/>
          <w:szCs w:val="32"/>
        </w:rPr>
        <w:t>（2）金川县社会保险服务指导站</w:t>
      </w:r>
    </w:p>
    <w:p>
      <w:pPr>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医疗卫生与计划生育支出210（类）医疗保障11（款）事业单位医疗02（项）：2022年决算数为1.4</w:t>
      </w:r>
      <w:r>
        <w:rPr>
          <w:rFonts w:ascii="仿宋_GB2312" w:eastAsia="仿宋_GB2312" w:hint="eastAsia"/>
          <w:color w:val="000000"/>
          <w:sz w:val="32"/>
          <w:szCs w:val="32"/>
          <w:lang w:val="en-US" w:eastAsia="zh-CN"/>
        </w:rPr>
        <w:t>7</w:t>
      </w:r>
      <w:r>
        <w:rPr>
          <w:rFonts w:ascii="仿宋_GB2312" w:eastAsia="仿宋_GB2312" w:hint="eastAsia"/>
          <w:color w:val="000000"/>
          <w:sz w:val="32"/>
          <w:szCs w:val="32"/>
        </w:rPr>
        <w:t>万元，完成预算127%，原因是人员晋升及基础绩效进入工资导致基数增加。</w:t>
      </w:r>
    </w:p>
    <w:p>
      <w:pPr>
        <w:spacing w:line="600" w:lineRule="exact"/>
        <w:ind w:firstLineChars="200" w:firstLine="640"/>
        <w:jc w:val="left"/>
        <w:rPr>
          <w:rStyle w:val="22"/>
          <w:rFonts w:ascii="仿宋_GB2312" w:eastAsia="仿宋_GB2312"/>
          <w:b w:val="0"/>
          <w:bCs w:val="0"/>
          <w:color w:val="000000"/>
          <w:sz w:val="32"/>
          <w:szCs w:val="32"/>
        </w:rPr>
      </w:pPr>
      <w:r>
        <w:rPr>
          <w:rFonts w:ascii="仿宋_GB2312" w:eastAsia="仿宋_GB2312" w:hint="eastAsia"/>
          <w:color w:val="000000"/>
          <w:sz w:val="32"/>
          <w:szCs w:val="32"/>
        </w:rPr>
        <w:t>医疗卫生与计划生育支出210（类）医疗保障11（款）其他行政事业单位医疗支出99（项）： 2022年决算数为0.37万元，完成预算100%。</w:t>
      </w:r>
    </w:p>
    <w:p>
      <w:pPr>
        <w:spacing w:line="600" w:lineRule="exact"/>
        <w:ind w:firstLineChars="200" w:firstLine="640"/>
        <w:rPr>
          <w:rStyle w:val="22"/>
          <w:rFonts w:ascii="仿宋_GB2312" w:eastAsia="仿宋_GB2312"/>
          <w:sz w:val="32"/>
          <w:szCs w:val="32"/>
        </w:rPr>
      </w:pPr>
      <w:r>
        <w:rPr>
          <w:rStyle w:val="22"/>
          <w:rFonts w:ascii="仿宋_GB2312" w:eastAsia="仿宋_GB2312" w:hint="eastAsia"/>
          <w:sz w:val="32"/>
          <w:szCs w:val="32"/>
        </w:rPr>
        <w:t>3.住房保障支出:</w:t>
      </w:r>
    </w:p>
    <w:p>
      <w:pPr>
        <w:spacing w:line="600" w:lineRule="exact"/>
        <w:jc w:val="left"/>
        <w:rPr>
          <w:rStyle w:val="22"/>
          <w:rFonts w:ascii="仿宋_GB2312" w:eastAsia="仿宋_GB2312"/>
          <w:b w:val="0"/>
          <w:bCs w:val="0"/>
          <w:sz w:val="32"/>
          <w:szCs w:val="32"/>
        </w:rPr>
      </w:pPr>
      <w:r>
        <w:rPr>
          <w:rStyle w:val="22"/>
          <w:rFonts w:ascii="仿宋_GB2312" w:eastAsia="仿宋_GB2312" w:hint="eastAsia"/>
          <w:b w:val="0"/>
          <w:bCs w:val="0"/>
          <w:sz w:val="32"/>
          <w:szCs w:val="32"/>
        </w:rPr>
        <w:t>（1）金川县社会保险事务中心</w:t>
      </w:r>
    </w:p>
    <w:p>
      <w:pPr>
        <w:spacing w:line="600" w:lineRule="exact"/>
        <w:ind w:firstLineChars="200" w:firstLine="640"/>
        <w:rPr>
          <w:rFonts w:ascii="仿宋_GB2312" w:eastAsia="仿宋_GB2312"/>
          <w:sz w:val="32"/>
          <w:szCs w:val="32"/>
        </w:rPr>
      </w:pPr>
      <w:r>
        <w:rPr>
          <w:rFonts w:ascii="仿宋_GB2312" w:eastAsia="仿宋_GB2312" w:hint="eastAsia"/>
          <w:color w:val="000000"/>
          <w:sz w:val="32"/>
          <w:szCs w:val="32"/>
        </w:rPr>
        <w:t>住房保障支出221（类）住房改革支出02（款）住房公积金01（项）</w:t>
      </w:r>
      <w:r>
        <w:rPr>
          <w:rFonts w:ascii="仿宋_GB2312" w:eastAsia="仿宋_GB2312" w:hint="eastAsia"/>
          <w:sz w:val="32"/>
          <w:szCs w:val="32"/>
        </w:rPr>
        <w:t>： 2022年决算数为20</w:t>
      </w:r>
      <w:r>
        <w:rPr>
          <w:rFonts w:ascii="仿宋_GB2312" w:eastAsia="仿宋_GB2312" w:hint="eastAsia"/>
          <w:sz w:val="32"/>
          <w:szCs w:val="32"/>
          <w:lang w:val="en-US" w:eastAsia="zh-CN"/>
        </w:rPr>
        <w:t>.03</w:t>
      </w:r>
      <w:r>
        <w:rPr>
          <w:rFonts w:ascii="仿宋_GB2312" w:eastAsia="仿宋_GB2312" w:hint="eastAsia"/>
          <w:sz w:val="32"/>
          <w:szCs w:val="32"/>
        </w:rPr>
        <w:t>万元，完成预算133.3%，原因是人员晋升及基础绩效进入工资导致基数增加。</w:t>
      </w:r>
    </w:p>
    <w:p>
      <w:pPr>
        <w:spacing w:line="600" w:lineRule="exact"/>
        <w:jc w:val="left"/>
        <w:rPr>
          <w:rStyle w:val="22"/>
          <w:rFonts w:ascii="仿宋_GB2312" w:eastAsia="仿宋_GB2312"/>
          <w:b w:val="0"/>
          <w:bCs w:val="0"/>
          <w:sz w:val="32"/>
          <w:szCs w:val="32"/>
        </w:rPr>
      </w:pPr>
      <w:r>
        <w:rPr>
          <w:rStyle w:val="22"/>
          <w:rFonts w:ascii="仿宋_GB2312" w:eastAsia="仿宋_GB2312" w:hint="eastAsia"/>
          <w:b w:val="0"/>
          <w:bCs w:val="0"/>
          <w:sz w:val="32"/>
          <w:szCs w:val="32"/>
        </w:rPr>
        <w:t>（2）金川县社会保险服务指导站</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40"/>
        <w:jc w:val="left"/>
        <w:textAlignment w:val="auto"/>
        <w:rPr>
          <w:rFonts w:ascii="仿宋_GB2312" w:eastAsia="仿宋_GB2312"/>
          <w:color w:val="000000"/>
          <w:sz w:val="32"/>
          <w:szCs w:val="32"/>
        </w:rPr>
      </w:pPr>
      <w:r>
        <w:rPr>
          <w:rFonts w:ascii="仿宋_GB2312" w:eastAsia="仿宋_GB2312" w:hint="eastAsia"/>
          <w:color w:val="000000"/>
          <w:sz w:val="32"/>
          <w:szCs w:val="32"/>
        </w:rPr>
        <w:t>住房保障支出221（类）住房改革支出02（款）住房公积金01（项）： 2022年决算数为2.</w:t>
      </w:r>
      <w:r>
        <w:rPr>
          <w:rFonts w:ascii="仿宋_GB2312" w:eastAsia="仿宋_GB2312" w:hint="eastAsia"/>
          <w:color w:val="000000"/>
          <w:sz w:val="32"/>
          <w:szCs w:val="32"/>
          <w:lang w:val="en-US" w:eastAsia="zh-CN"/>
        </w:rPr>
        <w:t>69</w:t>
      </w:r>
      <w:r>
        <w:rPr>
          <w:rFonts w:ascii="仿宋_GB2312" w:eastAsia="仿宋_GB2312" w:hint="eastAsia"/>
          <w:color w:val="000000"/>
          <w:sz w:val="32"/>
          <w:szCs w:val="32"/>
        </w:rPr>
        <w:t>万元，完成预算135%，原因是人员晋升及基础绩效进入工资导致基数增加。</w:t>
      </w:r>
    </w:p>
    <w:p>
      <w:pPr>
        <w:spacing w:line="600" w:lineRule="exact"/>
        <w:outlineLvl w:val="0"/>
        <w:rPr>
          <w:rFonts w:ascii="黑体" w:eastAsia="黑体"/>
          <w:sz w:val="32"/>
          <w:szCs w:val="32"/>
        </w:rPr>
      </w:pPr>
      <w:bookmarkStart w:id="33" w:name="_Toc5663"/>
      <w:r>
        <w:rPr>
          <w:rFonts w:ascii="黑体" w:eastAsia="黑体" w:hint="eastAsia"/>
          <w:sz w:val="32"/>
          <w:szCs w:val="32"/>
        </w:rPr>
        <w:t>五、财政拨款收入、支出分析</w:t>
      </w:r>
      <w:bookmarkEnd w:id="33"/>
    </w:p>
    <w:p>
      <w:pPr>
        <w:keepNext w:val="0"/>
        <w:keepLines w:val="0"/>
        <w:pageBreakBefore w:val="0"/>
        <w:widowControl w:val="0"/>
        <w:kinsoku/>
        <w:wordWrap/>
        <w:overflowPunct/>
        <w:topLinePunct w:val="0"/>
        <w:autoSpaceDE/>
        <w:autoSpaceDN/>
        <w:bidi w:val="0"/>
        <w:adjustRightInd/>
        <w:snapToGrid/>
        <w:spacing w:line="600" w:lineRule="exact"/>
        <w:ind w:right="0" w:firstLineChars="200" w:firstLine="640"/>
        <w:textAlignment w:val="auto"/>
        <w:rPr>
          <w:rFonts w:ascii="仿宋_GB2312" w:eastAsia="仿宋_GB2312" w:hint="eastAsia"/>
          <w:color w:val="000000"/>
          <w:sz w:val="32"/>
          <w:szCs w:val="32"/>
        </w:rPr>
      </w:pPr>
      <w:r>
        <w:rPr>
          <w:rFonts w:ascii="仿宋_GB2312" w:eastAsia="仿宋_GB2312" w:hint="eastAsia"/>
          <w:color w:val="000000"/>
          <w:sz w:val="32"/>
          <w:szCs w:val="32"/>
        </w:rPr>
        <w:t>金川县社会保险事务中心2022年财政拨款基本支出</w:t>
      </w:r>
      <w:r>
        <w:rPr>
          <w:rFonts w:ascii="仿宋_GB2312" w:eastAsia="仿宋_GB2312" w:hint="eastAsia"/>
          <w:color w:val="000000"/>
          <w:sz w:val="32"/>
          <w:szCs w:val="32"/>
          <w:lang w:val="en-US" w:eastAsia="zh-CN"/>
        </w:rPr>
        <w:t>360.36</w:t>
      </w:r>
      <w:r>
        <w:rPr>
          <w:rFonts w:ascii="仿宋_GB2312" w:eastAsia="仿宋_GB2312" w:hint="eastAsia"/>
          <w:color w:val="000000"/>
          <w:sz w:val="32"/>
          <w:szCs w:val="32"/>
        </w:rPr>
        <w:t>万元，其中：人员经费</w:t>
      </w:r>
      <w:r>
        <w:rPr>
          <w:rFonts w:ascii="仿宋_GB2312" w:eastAsia="仿宋_GB2312" w:hint="eastAsia"/>
          <w:color w:val="000000"/>
          <w:sz w:val="32"/>
          <w:szCs w:val="32"/>
          <w:lang w:val="en-US" w:eastAsia="zh-CN"/>
        </w:rPr>
        <w:t>334.67</w:t>
      </w:r>
      <w:r>
        <w:rPr>
          <w:rFonts w:ascii="仿宋_GB2312" w:eastAsia="仿宋_GB2312" w:hint="eastAsia"/>
          <w:color w:val="000000"/>
          <w:sz w:val="32"/>
          <w:szCs w:val="32"/>
        </w:rPr>
        <w:t>万元，主要包括：基本工资</w:t>
      </w:r>
      <w:r>
        <w:rPr>
          <w:rFonts w:ascii="仿宋_GB2312" w:eastAsia="仿宋_GB2312" w:hint="eastAsia"/>
          <w:color w:val="000000"/>
          <w:sz w:val="32"/>
          <w:szCs w:val="32"/>
          <w:lang w:val="en-US" w:eastAsia="zh-CN"/>
        </w:rPr>
        <w:t>68.66</w:t>
      </w:r>
      <w:r>
        <w:rPr>
          <w:rFonts w:ascii="仿宋_GB2312" w:eastAsia="仿宋_GB2312" w:hint="eastAsia"/>
          <w:color w:val="000000"/>
          <w:sz w:val="32"/>
          <w:szCs w:val="32"/>
        </w:rPr>
        <w:t>万元、津贴补贴</w:t>
      </w:r>
      <w:r>
        <w:rPr>
          <w:rFonts w:ascii="仿宋_GB2312" w:eastAsia="仿宋_GB2312" w:hint="eastAsia"/>
          <w:color w:val="000000"/>
          <w:sz w:val="32"/>
          <w:szCs w:val="32"/>
          <w:lang w:val="en-US" w:eastAsia="zh-CN"/>
        </w:rPr>
        <w:t>71.46</w:t>
      </w:r>
      <w:r>
        <w:rPr>
          <w:rFonts w:ascii="仿宋_GB2312" w:eastAsia="仿宋_GB2312" w:hint="eastAsia"/>
          <w:color w:val="000000"/>
          <w:sz w:val="32"/>
          <w:szCs w:val="32"/>
        </w:rPr>
        <w:t>万元、奖金</w:t>
      </w:r>
      <w:r>
        <w:rPr>
          <w:rFonts w:ascii="仿宋_GB2312" w:eastAsia="仿宋_GB2312" w:hint="eastAsia"/>
          <w:color w:val="000000"/>
          <w:sz w:val="32"/>
          <w:szCs w:val="32"/>
          <w:lang w:val="en-US" w:eastAsia="zh-CN"/>
        </w:rPr>
        <w:t>53.29</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绩效工资</w:t>
      </w:r>
      <w:r>
        <w:rPr>
          <w:rFonts w:ascii="仿宋_GB2312" w:eastAsia="仿宋_GB2312" w:hint="eastAsia"/>
          <w:color w:val="000000"/>
          <w:sz w:val="32"/>
          <w:szCs w:val="32"/>
          <w:lang w:val="en-US" w:eastAsia="zh-CN"/>
        </w:rPr>
        <w:t>6.21万元、</w:t>
      </w:r>
      <w:r>
        <w:rPr>
          <w:rFonts w:ascii="仿宋_GB2312" w:eastAsia="仿宋_GB2312" w:hint="eastAsia"/>
          <w:color w:val="000000"/>
          <w:sz w:val="32"/>
          <w:szCs w:val="32"/>
        </w:rPr>
        <w:t>机关事业单位基本养老保险缴费</w:t>
      </w:r>
      <w:r>
        <w:rPr>
          <w:rFonts w:ascii="仿宋_GB2312" w:eastAsia="仿宋_GB2312" w:hint="eastAsia"/>
          <w:color w:val="000000"/>
          <w:sz w:val="32"/>
          <w:szCs w:val="32"/>
          <w:lang w:val="en-US" w:eastAsia="zh-CN"/>
        </w:rPr>
        <w:t>26.7</w:t>
      </w:r>
      <w:r>
        <w:rPr>
          <w:rFonts w:ascii="仿宋_GB2312" w:eastAsia="仿宋_GB2312" w:hint="eastAsia"/>
          <w:color w:val="000000"/>
          <w:sz w:val="32"/>
          <w:szCs w:val="32"/>
        </w:rPr>
        <w:t>万元、职业年金缴</w:t>
      </w:r>
      <w:r>
        <w:rPr>
          <w:rFonts w:ascii="仿宋_GB2312" w:eastAsia="仿宋_GB2312" w:hint="eastAsia"/>
          <w:color w:val="000000"/>
          <w:sz w:val="32"/>
          <w:szCs w:val="32"/>
          <w:lang w:val="en-US" w:eastAsia="zh-CN"/>
        </w:rPr>
        <w:t>13.35</w:t>
      </w:r>
      <w:r>
        <w:rPr>
          <w:rFonts w:ascii="仿宋_GB2312" w:eastAsia="仿宋_GB2312" w:hint="eastAsia"/>
          <w:color w:val="000000"/>
          <w:sz w:val="32"/>
          <w:szCs w:val="32"/>
        </w:rPr>
        <w:t>万元、职工基本医疗保险缴费</w:t>
      </w:r>
      <w:r>
        <w:rPr>
          <w:rFonts w:ascii="仿宋_GB2312" w:eastAsia="仿宋_GB2312" w:hint="eastAsia"/>
          <w:color w:val="000000"/>
          <w:sz w:val="32"/>
          <w:szCs w:val="32"/>
          <w:lang w:val="en-US" w:eastAsia="zh-CN"/>
        </w:rPr>
        <w:t>12.48</w:t>
      </w:r>
      <w:r>
        <w:rPr>
          <w:rFonts w:ascii="仿宋_GB2312" w:eastAsia="仿宋_GB2312" w:hint="eastAsia"/>
          <w:color w:val="000000"/>
          <w:sz w:val="32"/>
          <w:szCs w:val="32"/>
        </w:rPr>
        <w:t>万元、公务员医疗补助缴费</w:t>
      </w:r>
      <w:r>
        <w:rPr>
          <w:rFonts w:ascii="仿宋_GB2312" w:eastAsia="仿宋_GB2312" w:hint="eastAsia"/>
          <w:color w:val="000000"/>
          <w:sz w:val="32"/>
          <w:szCs w:val="32"/>
          <w:lang w:val="en-US" w:eastAsia="zh-CN"/>
        </w:rPr>
        <w:t>3.3</w:t>
      </w:r>
      <w:r>
        <w:rPr>
          <w:rFonts w:ascii="仿宋_GB2312" w:eastAsia="仿宋_GB2312" w:hint="eastAsia"/>
          <w:color w:val="000000"/>
          <w:sz w:val="32"/>
          <w:szCs w:val="32"/>
        </w:rPr>
        <w:t>万元、其他社会保障缴费</w:t>
      </w:r>
      <w:r>
        <w:rPr>
          <w:rFonts w:ascii="仿宋_GB2312" w:eastAsia="仿宋_GB2312" w:hint="eastAsia"/>
          <w:color w:val="000000"/>
          <w:sz w:val="32"/>
          <w:szCs w:val="32"/>
          <w:lang w:val="en-US" w:eastAsia="zh-CN"/>
        </w:rPr>
        <w:t>2.64</w:t>
      </w:r>
      <w:r>
        <w:rPr>
          <w:rFonts w:ascii="仿宋_GB2312" w:eastAsia="仿宋_GB2312" w:hint="eastAsia"/>
          <w:color w:val="000000"/>
          <w:sz w:val="32"/>
          <w:szCs w:val="32"/>
        </w:rPr>
        <w:t>万元、离休费</w:t>
      </w:r>
      <w:r>
        <w:rPr>
          <w:rFonts w:ascii="仿宋_GB2312" w:eastAsia="仿宋_GB2312" w:hint="eastAsia"/>
          <w:color w:val="000000"/>
          <w:sz w:val="32"/>
          <w:szCs w:val="32"/>
          <w:lang w:val="en-US" w:eastAsia="zh-CN"/>
        </w:rPr>
        <w:t>10.19</w:t>
      </w:r>
      <w:r>
        <w:rPr>
          <w:rFonts w:ascii="仿宋_GB2312" w:eastAsia="仿宋_GB2312" w:hint="eastAsia"/>
          <w:color w:val="000000"/>
          <w:sz w:val="32"/>
          <w:szCs w:val="32"/>
        </w:rPr>
        <w:t>万元、生活补助</w:t>
      </w:r>
      <w:r>
        <w:rPr>
          <w:rFonts w:ascii="仿宋_GB2312" w:eastAsia="仿宋_GB2312" w:hint="eastAsia"/>
          <w:color w:val="000000"/>
          <w:sz w:val="32"/>
          <w:szCs w:val="32"/>
          <w:lang w:val="en-US" w:eastAsia="zh-CN"/>
        </w:rPr>
        <w:t>4.24</w:t>
      </w:r>
      <w:r>
        <w:rPr>
          <w:rFonts w:ascii="仿宋_GB2312" w:eastAsia="仿宋_GB2312" w:hint="eastAsia"/>
          <w:color w:val="000000"/>
          <w:sz w:val="32"/>
          <w:szCs w:val="32"/>
        </w:rPr>
        <w:t>万元、住房公积金</w:t>
      </w:r>
      <w:r>
        <w:rPr>
          <w:rFonts w:ascii="仿宋_GB2312" w:eastAsia="仿宋_GB2312" w:hint="eastAsia"/>
          <w:color w:val="000000"/>
          <w:sz w:val="32"/>
          <w:szCs w:val="32"/>
          <w:lang w:val="en-US" w:eastAsia="zh-CN"/>
        </w:rPr>
        <w:t>22.72</w:t>
      </w:r>
      <w:r>
        <w:rPr>
          <w:rFonts w:ascii="仿宋_GB2312" w:eastAsia="仿宋_GB2312" w:hint="eastAsia"/>
          <w:color w:val="000000"/>
          <w:sz w:val="32"/>
          <w:szCs w:val="32"/>
        </w:rPr>
        <w:t>万元、奖励金</w:t>
      </w:r>
      <w:r>
        <w:rPr>
          <w:rFonts w:ascii="仿宋_GB2312" w:eastAsia="仿宋_GB2312" w:hint="eastAsia"/>
          <w:color w:val="000000"/>
          <w:sz w:val="32"/>
          <w:szCs w:val="32"/>
          <w:lang w:val="en-US" w:eastAsia="zh-CN"/>
        </w:rPr>
        <w:t>39.43</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公</w:t>
      </w:r>
      <w:r>
        <w:rPr>
          <w:rFonts w:ascii="仿宋_GB2312" w:eastAsia="仿宋_GB2312" w:hint="eastAsia"/>
          <w:color w:val="000000"/>
          <w:sz w:val="32"/>
          <w:szCs w:val="32"/>
        </w:rPr>
        <w:t>用经费</w:t>
      </w:r>
      <w:r>
        <w:rPr>
          <w:rFonts w:ascii="仿宋_GB2312" w:eastAsia="仿宋_GB2312" w:hint="eastAsia"/>
          <w:color w:val="000000"/>
          <w:sz w:val="32"/>
          <w:szCs w:val="32"/>
          <w:lang w:val="en-US" w:eastAsia="zh-CN"/>
        </w:rPr>
        <w:t>25.69</w:t>
      </w:r>
      <w:r>
        <w:rPr>
          <w:rFonts w:ascii="仿宋_GB2312" w:eastAsia="仿宋_GB2312" w:hint="eastAsia"/>
          <w:color w:val="000000"/>
          <w:sz w:val="32"/>
          <w:szCs w:val="32"/>
        </w:rPr>
        <w:t>万元，主要包括：办公费5.46万元、水费0.1万元、电费1万元、邮电费</w:t>
      </w:r>
      <w:r>
        <w:rPr>
          <w:rFonts w:ascii="仿宋_GB2312" w:eastAsia="仿宋_GB2312" w:hint="eastAsia"/>
          <w:color w:val="000000"/>
          <w:sz w:val="32"/>
          <w:szCs w:val="32"/>
          <w:lang w:val="en-US" w:eastAsia="zh-CN"/>
        </w:rPr>
        <w:t>2.4</w:t>
      </w:r>
      <w:r>
        <w:rPr>
          <w:rFonts w:ascii="仿宋_GB2312" w:eastAsia="仿宋_GB2312" w:hint="eastAsia"/>
          <w:color w:val="000000"/>
          <w:sz w:val="32"/>
          <w:szCs w:val="32"/>
        </w:rPr>
        <w:t>万元、差旅费4.3</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万元、维修（护）费0.6万元、公务用车运行维护费3.2</w:t>
      </w:r>
      <w:r>
        <w:rPr>
          <w:rFonts w:ascii="仿宋_GB2312" w:eastAsia="仿宋_GB2312" w:hint="eastAsia"/>
          <w:color w:val="000000"/>
          <w:sz w:val="32"/>
          <w:szCs w:val="32"/>
          <w:lang w:val="en-US" w:eastAsia="zh-CN"/>
        </w:rPr>
        <w:t>8</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印刷费</w:t>
      </w:r>
      <w:r>
        <w:rPr>
          <w:rFonts w:ascii="仿宋_GB2312" w:eastAsia="仿宋_GB2312" w:hint="eastAsia"/>
          <w:color w:val="000000"/>
          <w:sz w:val="32"/>
          <w:szCs w:val="32"/>
          <w:lang w:val="en-US" w:eastAsia="zh-CN"/>
        </w:rPr>
        <w:t>1.58</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，委托业务费</w:t>
      </w:r>
      <w:r>
        <w:rPr>
          <w:rFonts w:ascii="仿宋_GB2312" w:eastAsia="仿宋_GB2312" w:hint="eastAsia"/>
          <w:color w:val="000000"/>
          <w:sz w:val="32"/>
          <w:szCs w:val="32"/>
          <w:lang w:val="en-US" w:eastAsia="zh-CN"/>
        </w:rPr>
        <w:t>6万元，其他交通费用0.2万元，劳务费0.5万元，福利费0.25万元</w:t>
      </w:r>
      <w:r>
        <w:rPr>
          <w:rFonts w:ascii="仿宋_GB2312" w:eastAsia="仿宋_GB2312" w:hint="eastAsia"/>
          <w:color w:val="000000"/>
          <w:sz w:val="32"/>
          <w:szCs w:val="32"/>
        </w:rPr>
        <w:t>。2022年一般公共预算财政拨款项目支出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84万元，主要包括培训支出0.84万元</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Fonts w:ascii="仿宋_GB2312" w:eastAsia="仿宋_GB2312"/>
          <w:color w:val="000000"/>
          <w:sz w:val="32"/>
          <w:szCs w:val="32"/>
        </w:rPr>
      </w:pPr>
      <w:r>
        <w:rPr>
          <w:rFonts w:ascii="仿宋_GB2312" w:eastAsia="仿宋_GB2312" w:hint="eastAsia"/>
          <w:color w:val="000000"/>
          <w:sz w:val="32"/>
          <w:szCs w:val="32"/>
        </w:rPr>
        <w:t>1、社会保险事务中心2022年政拨款基本支出306.66万元，其中：人员经费288.63万元，主要包括：基本工资60.93万元、津贴补贴68.21万元、奖金45.96万元、机关事业单位基本养老保险缴费23.61万元、职业年金缴费11.8万元、职工基本医疗保险缴费：11万元、公务员医疗补助缴费2.9万元、其他社会保障缴费2.26万元、离休费10.1万元、生活补助4.24万元、住房公积金20万元、奖励金27.44万元。用经费19.86万元，主要包括：办公费5.46万元、水费0.1万元、电费1万元、邮电费0.74万元、差旅费4.3万元、维修（护）费0.6万元、公务用车运行维护费3.2万元、公务接待费0万元</w:t>
      </w:r>
      <w:r>
        <w:rPr>
          <w:rFonts w:ascii="仿宋_GB2312" w:eastAsia="仿宋_GB2312" w:hint="eastAsia"/>
          <w:color w:val="000000"/>
          <w:sz w:val="32"/>
          <w:szCs w:val="32"/>
          <w:lang w:eastAsia="zh-CN"/>
        </w:rPr>
        <w:t>，</w:t>
      </w:r>
      <w:r>
        <w:rPr>
          <w:rFonts w:ascii="仿宋_GB2312" w:eastAsia="仿宋_GB2312" w:hint="eastAsia"/>
          <w:color w:val="000000"/>
          <w:sz w:val="32"/>
          <w:szCs w:val="32"/>
        </w:rPr>
        <w:t>社会保障和就业支出6万元。2022年财政拨款项目支出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84万元，主要包括培训支出0.84万元。</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Fonts w:ascii="仿宋_GB2312" w:eastAsia="仿宋_GB2312"/>
          <w:color w:val="000000"/>
          <w:sz w:val="32"/>
          <w:szCs w:val="32"/>
        </w:rPr>
      </w:pPr>
      <w:r>
        <w:rPr>
          <w:rFonts w:ascii="仿宋_GB2312" w:eastAsia="仿宋_GB2312" w:hint="eastAsia"/>
          <w:color w:val="000000"/>
          <w:sz w:val="32"/>
          <w:szCs w:val="32"/>
        </w:rPr>
        <w:t>2、社会保险服务指导站2022年财政拨款基本支出47.7万元，其中：人员经费46.03万元，主要包括：基本工资7.73万元、津贴补贴3.25万元、奖金7.33万元、绩效工资6.21万元，机关事业单位基本养老保险缴费3.08万元、职业年金缴费1.54万元、职工基本医疗保险缴费：1.47万元、公务员医疗补助缴费0.37万元、其他社会保障缴费0.39万元、住房公积金2.7万元、奖励金11.99万元。公用经费1.67万元，主要包括：邮电费1.67万元。</w:t>
      </w:r>
    </w:p>
    <w:p>
      <w:pPr>
        <w:spacing w:line="600" w:lineRule="exact"/>
        <w:outlineLvl w:val="0"/>
        <w:rPr>
          <w:rFonts w:ascii="黑体" w:eastAsia="黑体"/>
          <w:color w:val="000000"/>
          <w:sz w:val="32"/>
          <w:szCs w:val="32"/>
        </w:rPr>
      </w:pPr>
      <w:bookmarkStart w:id="34" w:name="_Toc14555"/>
      <w:r>
        <w:rPr>
          <w:rFonts w:ascii="黑体" w:eastAsia="黑体" w:hint="eastAsia"/>
          <w:color w:val="000000"/>
          <w:sz w:val="32"/>
          <w:szCs w:val="32"/>
        </w:rPr>
        <w:t>六、支出按经济分类科目分析</w:t>
      </w:r>
      <w:bookmarkEnd w:id="34"/>
    </w:p>
    <w:p>
      <w:pPr>
        <w:spacing w:line="600" w:lineRule="exact"/>
        <w:ind w:firstLine="640"/>
        <w:outlineLvl w:val="1"/>
        <w:rPr>
          <w:rFonts w:ascii="仿宋_GB2312" w:eastAsia="仿宋_GB2312"/>
          <w:b/>
          <w:color w:val="000000"/>
          <w:sz w:val="32"/>
          <w:szCs w:val="32"/>
        </w:rPr>
      </w:pPr>
      <w:bookmarkStart w:id="35" w:name="_Toc28557"/>
      <w:r>
        <w:rPr>
          <w:rFonts w:ascii="仿宋_GB2312" w:eastAsia="仿宋_GB2312" w:hint="eastAsia"/>
          <w:b/>
          <w:color w:val="000000"/>
          <w:sz w:val="32"/>
          <w:szCs w:val="32"/>
        </w:rPr>
        <w:t>（一）“三公”经费财政拨款支出决算总体情况说明</w:t>
      </w:r>
      <w:bookmarkEnd w:id="35"/>
    </w:p>
    <w:p>
      <w:pPr>
        <w:spacing w:line="600" w:lineRule="exact"/>
        <w:ind w:firstLine="640"/>
        <w:rPr>
          <w:rFonts w:ascii="仿宋_GB2312" w:eastAsia="仿宋_GB2312"/>
          <w:color w:val="333333"/>
          <w:sz w:val="32"/>
          <w:szCs w:val="32"/>
        </w:rPr>
      </w:pPr>
      <w:r>
        <w:rPr>
          <w:rFonts w:ascii="仿宋_GB2312" w:eastAsia="仿宋_GB2312" w:hint="eastAsia"/>
          <w:color w:val="333333"/>
          <w:sz w:val="32"/>
          <w:szCs w:val="32"/>
        </w:rPr>
        <w:t>（1）社会保险事务中心2022年度“三公”经费财政拨款支出决算为3.28万元，完成预算93%，其中：无因公出国（境）费支出；无公务接待费支出；公务用车购置及运行维护费支出决算为3.28万元，完成预算93%。</w:t>
      </w:r>
    </w:p>
    <w:p>
      <w:pPr>
        <w:spacing w:line="600" w:lineRule="exact"/>
        <w:ind w:firstLine="640"/>
        <w:rPr>
          <w:rFonts w:ascii="仿宋_GB2312" w:eastAsia="仿宋_GB2312"/>
          <w:color w:val="333333"/>
          <w:sz w:val="32"/>
          <w:szCs w:val="32"/>
        </w:rPr>
      </w:pPr>
      <w:r>
        <w:rPr>
          <w:rFonts w:ascii="仿宋_GB2312" w:eastAsia="仿宋_GB2312" w:hint="eastAsia"/>
          <w:color w:val="333333"/>
          <w:sz w:val="32"/>
          <w:szCs w:val="32"/>
        </w:rPr>
        <w:t>2022年度“三公”经费财政拨款支出决算数比2021年</w:t>
      </w:r>
      <w:r>
        <w:rPr>
          <w:rFonts w:ascii="仿宋_GB2312" w:eastAsia="仿宋_GB2312" w:hint="eastAsia"/>
          <w:color w:val="000000"/>
          <w:sz w:val="32"/>
          <w:szCs w:val="32"/>
        </w:rPr>
        <w:t>减少0.75</w:t>
      </w:r>
      <w:r>
        <w:rPr>
          <w:rFonts w:ascii="仿宋_GB2312" w:eastAsia="仿宋_GB2312" w:hint="eastAsia"/>
          <w:color w:val="333333"/>
          <w:sz w:val="32"/>
          <w:szCs w:val="32"/>
        </w:rPr>
        <w:t>万元，</w:t>
      </w:r>
      <w:r>
        <w:rPr>
          <w:rFonts w:ascii="仿宋_GB2312" w:eastAsia="仿宋_GB2312" w:hint="eastAsia"/>
          <w:color w:val="000000"/>
          <w:sz w:val="32"/>
          <w:szCs w:val="32"/>
        </w:rPr>
        <w:t>减少</w:t>
      </w:r>
      <w:r>
        <w:rPr>
          <w:rFonts w:ascii="仿宋_GB2312" w:eastAsia="仿宋_GB2312" w:hint="eastAsia"/>
          <w:sz w:val="32"/>
          <w:szCs w:val="32"/>
        </w:rPr>
        <w:t>20</w:t>
      </w:r>
      <w:r>
        <w:rPr>
          <w:rFonts w:ascii="仿宋_GB2312" w:eastAsia="仿宋_GB2312" w:hint="eastAsia"/>
          <w:color w:val="000000"/>
          <w:sz w:val="32"/>
          <w:szCs w:val="32"/>
        </w:rPr>
        <w:t>%，其中：无</w:t>
      </w:r>
      <w:r>
        <w:rPr>
          <w:rFonts w:ascii="仿宋_GB2312" w:eastAsia="仿宋_GB2312" w:hint="eastAsia"/>
          <w:color w:val="333333"/>
          <w:sz w:val="32"/>
          <w:szCs w:val="32"/>
        </w:rPr>
        <w:t>因公出国（境）费支出；公务接待费用0元，公务用车购置及运行维护费支出决算为3.28万元，原因是2022年产生公务接待费支出；公务用车购置及运行维护费支出决算减少</w:t>
      </w:r>
      <w:r>
        <w:rPr>
          <w:rFonts w:ascii="仿宋_GB2312" w:eastAsia="仿宋_GB2312" w:hint="eastAsia"/>
          <w:color w:val="333333"/>
          <w:sz w:val="32"/>
          <w:szCs w:val="32"/>
          <w:lang w:val="en-US" w:eastAsia="zh-CN"/>
        </w:rPr>
        <w:t>0.66</w:t>
      </w:r>
      <w:r>
        <w:rPr>
          <w:rFonts w:ascii="仿宋_GB2312" w:eastAsia="仿宋_GB2312" w:hint="eastAsia"/>
          <w:color w:val="333333"/>
          <w:sz w:val="32"/>
          <w:szCs w:val="32"/>
        </w:rPr>
        <w:t>万元，</w:t>
      </w:r>
      <w:r>
        <w:rPr>
          <w:rFonts w:ascii="仿宋_GB2312" w:eastAsia="仿宋_GB2312" w:hint="eastAsia"/>
          <w:color w:val="000000"/>
          <w:sz w:val="32"/>
          <w:szCs w:val="32"/>
        </w:rPr>
        <w:t>减少</w:t>
      </w:r>
      <w:r>
        <w:rPr>
          <w:rFonts w:ascii="仿宋_GB2312" w:eastAsia="仿宋_GB2312" w:hint="eastAsia"/>
          <w:color w:val="000000"/>
          <w:sz w:val="32"/>
          <w:szCs w:val="32"/>
          <w:lang w:val="en-US" w:eastAsia="zh-CN"/>
        </w:rPr>
        <w:t>16.75</w:t>
      </w:r>
      <w:r>
        <w:rPr>
          <w:rFonts w:ascii="仿宋_GB2312" w:eastAsia="仿宋_GB2312" w:hint="eastAsia"/>
          <w:color w:val="000000"/>
          <w:sz w:val="32"/>
          <w:szCs w:val="32"/>
        </w:rPr>
        <w:t>%;</w:t>
      </w:r>
      <w:r>
        <w:rPr>
          <w:rFonts w:ascii="仿宋_GB2312" w:eastAsia="仿宋_GB2312" w:hint="eastAsia"/>
          <w:color w:val="333333"/>
          <w:sz w:val="32"/>
          <w:szCs w:val="32"/>
        </w:rPr>
        <w:t>原因在于单位车辆老旧。</w:t>
      </w:r>
    </w:p>
    <w:p>
      <w:pPr>
        <w:spacing w:line="600" w:lineRule="exact"/>
        <w:ind w:firstLine="640"/>
        <w:rPr>
          <w:rFonts w:ascii="仿宋_GB2312" w:eastAsia="仿宋_GB2312"/>
          <w:color w:val="333333"/>
          <w:sz w:val="32"/>
          <w:szCs w:val="32"/>
        </w:rPr>
      </w:pPr>
      <w:r>
        <w:rPr>
          <w:rFonts w:ascii="仿宋_GB2312" w:eastAsia="仿宋_GB2312" w:hint="eastAsia"/>
          <w:bCs/>
          <w:sz w:val="32"/>
        </w:rPr>
        <w:t>（2）金川县社会保险服务指导站</w:t>
      </w:r>
      <w:r>
        <w:rPr>
          <w:rFonts w:ascii="仿宋_GB2312" w:eastAsia="仿宋_GB2312" w:hint="eastAsia"/>
          <w:color w:val="333333"/>
          <w:sz w:val="32"/>
          <w:szCs w:val="32"/>
        </w:rPr>
        <w:t>2022年度“三公”经</w:t>
      </w:r>
      <w:r>
        <w:rPr>
          <w:rFonts w:ascii="仿宋_GB2312" w:eastAsia="仿宋_GB2312" w:hint="eastAsia"/>
          <w:color w:val="333333"/>
          <w:sz w:val="32"/>
          <w:szCs w:val="32"/>
        </w:rPr>
        <w:drawing>
          <wp:anchor distT="0" distB="0" distL="114300" distR="114300" simplePos="0" relativeHeight="33" behindDoc="0" locked="0" layoutInCell="1" hidden="0" allowOverlap="1">
            <wp:simplePos x="0" y="0"/>
            <wp:positionH relativeFrom="column">
              <wp:posOffset>142240</wp:posOffset>
            </wp:positionH>
            <wp:positionV relativeFrom="paragraph">
              <wp:posOffset>1224915</wp:posOffset>
            </wp:positionV>
            <wp:extent cx="5252085" cy="2448560"/>
            <wp:effectExtent l="0" t="0" r="0" b="0"/>
            <wp:wrapSquare wrapText="bothSides"/>
            <wp:docPr id="12" name="图表 12"/>
            <wp:cNvGraphicFramePr>
              <a:graphicFrameLocks noChangeAspect="0"/>
            </wp:cNvGraphicFramePr>
            <a:graphic>
              <a:graphicData uri="http://schemas.openxmlformats.org/drawingml/2006/chart">
                <c:chart xmlns:c="http://schemas.openxmlformats.org/drawingml/2006/chart" r:id="rId11"/>
              </a:graphicData>
            </a:graphic>
          </wp:anchor>
        </w:drawing>
      </w:r>
      <w:r>
        <w:rPr>
          <w:rFonts w:ascii="仿宋_GB2312" w:eastAsia="仿宋_GB2312" w:hint="eastAsia"/>
          <w:color w:val="333333"/>
          <w:sz w:val="32"/>
          <w:szCs w:val="32"/>
        </w:rPr>
        <w:t>费财政拨款支出决算为0万元，其中：无因公出国（境）费支出；无公务接待费支出；公务用车购置及运行维护费支出决算为0万元。</w:t>
      </w:r>
      <w:r>
        <w:rPr>
          <w:rFonts w:ascii="仿宋_GB2312" w:eastAsia="仿宋_GB2312" w:hint="eastAsia"/>
          <w:bCs/>
          <w:sz w:val="32"/>
        </w:rPr>
        <w:t>金川县社会保险服务指导站为新增单位。</w:t>
      </w:r>
    </w:p>
    <w:p>
      <w:pPr>
        <w:tabs>
          <w:tab w:val="left" w:pos="0"/>
        </w:tabs>
        <w:spacing w:line="600" w:lineRule="exact"/>
        <w:ind w:left="640"/>
        <w:outlineLvl w:val="1"/>
        <w:rPr>
          <w:rFonts w:ascii="仿宋_GB2312" w:eastAsia="仿宋_GB2312" w:hint="eastAsia"/>
          <w:b/>
          <w:color w:val="333333"/>
          <w:sz w:val="32"/>
          <w:szCs w:val="32"/>
        </w:rPr>
      </w:pPr>
      <w:r>
        <w:rPr>
          <w:rFonts w:ascii="仿宋_GB2312" w:eastAsia="仿宋_GB2312" w:hint="eastAsia"/>
          <w:b/>
          <w:color w:val="333333"/>
          <w:sz w:val="32"/>
          <w:szCs w:val="32"/>
        </w:rPr>
        <w:t>（二）“三公”经费财政拨款支出决算具体情况说明</w:t>
      </w:r>
    </w:p>
    <w:p>
      <w:pPr>
        <w:spacing w:line="600" w:lineRule="exact"/>
        <w:ind w:firstLine="640"/>
        <w:rPr>
          <w:rFonts w:ascii="仿宋_GB2312" w:eastAsia="仿宋_GB2312"/>
          <w:color w:val="333333"/>
          <w:sz w:val="32"/>
          <w:szCs w:val="32"/>
        </w:rPr>
      </w:pPr>
      <w:r>
        <w:rPr>
          <w:rFonts w:ascii="仿宋_GB2312" w:eastAsia="仿宋_GB2312" w:hint="eastAsia"/>
          <w:color w:val="333333"/>
          <w:sz w:val="32"/>
          <w:szCs w:val="32"/>
        </w:rPr>
        <w:t>2022年度“三公”经费财政拨款支出决算中，无因公出国（境）费支出；公务接待费支出决算0万元，完成预算0%；公务用车购置及运行维护费支出决算为3.28万元，完成预算93%。</w:t>
      </w:r>
      <w:r>
        <w:rPr>
          <w:rFonts w:ascii="仿宋_GB2312" w:eastAsia="仿宋_GB2312" w:hint="eastAsia"/>
          <w:color w:val="000000"/>
          <w:sz w:val="32"/>
          <w:szCs w:val="32"/>
        </w:rPr>
        <w:t>具体情况如下：</w:t>
      </w:r>
    </w:p>
    <w:p>
      <w:pPr>
        <w:spacing w:line="600" w:lineRule="exact"/>
        <w:ind w:firstLine="640"/>
        <w:rPr>
          <w:rFonts w:ascii="仿宋_GB2312" w:eastAsia="仿宋_GB2312"/>
          <w:b/>
          <w:color w:val="000000"/>
          <w:sz w:val="32"/>
          <w:szCs w:val="32"/>
        </w:rPr>
      </w:pPr>
      <w:r>
        <w:rPr>
          <w:rFonts w:ascii="仿宋_GB2312" w:eastAsia="仿宋_GB2312" w:hint="eastAsia"/>
          <w:b/>
          <w:color w:val="000000"/>
          <w:sz w:val="32"/>
          <w:szCs w:val="32"/>
        </w:rPr>
        <w:t>1.因公出国（境）经费</w:t>
      </w:r>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2022年无因公出国（境）费。</w:t>
      </w:r>
    </w:p>
    <w:p>
      <w:pPr>
        <w:spacing w:line="600" w:lineRule="exact"/>
        <w:ind w:firstLine="640"/>
        <w:rPr>
          <w:rFonts w:ascii="仿宋_GB2312" w:eastAsia="仿宋_GB2312" w:hint="eastAsia"/>
          <w:b/>
          <w:color w:val="000000"/>
          <w:sz w:val="32"/>
          <w:szCs w:val="32"/>
        </w:rPr>
      </w:pPr>
      <w:r>
        <w:rPr>
          <w:rFonts w:ascii="仿宋_GB2312" w:eastAsia="仿宋_GB2312" w:hint="eastAsia"/>
          <w:b/>
          <w:color w:val="000000"/>
          <w:sz w:val="32"/>
          <w:szCs w:val="32"/>
        </w:rPr>
        <w:t>2.公务用车购置及运行维护费</w:t>
      </w:r>
    </w:p>
    <w:p>
      <w:pPr>
        <w:spacing w:line="600" w:lineRule="exact"/>
        <w:ind w:firstLine="640"/>
        <w:rPr>
          <w:rFonts w:ascii="仿宋_GB2312" w:eastAsia="仿宋_GB2312" w:hint="eastAsia"/>
          <w:b/>
          <w:color w:val="000000"/>
          <w:sz w:val="32"/>
          <w:szCs w:val="32"/>
        </w:rPr>
      </w:pPr>
      <w:r>
        <w:rPr>
          <w:rFonts w:ascii="仿宋_GB2312" w:eastAsia="仿宋_GB2312" w:hint="eastAsia"/>
          <w:color w:val="000000"/>
          <w:sz w:val="32"/>
          <w:szCs w:val="32"/>
        </w:rPr>
        <w:t>2022年公务用车购置及运行维护费3.28万元,无公务用车购置支出。公务用车运行维护费支出3.28万元。主要用于开展各项财政工作所需的公务用车燃料费、维修费、过路过桥费、保险费等支出。</w:t>
      </w:r>
    </w:p>
    <w:p>
      <w:pPr>
        <w:numPr>
          <w:ilvl w:val="0"/>
          <w:numId w:val="2"/>
        </w:numPr>
        <w:spacing w:line="600" w:lineRule="exact"/>
        <w:ind w:left="0" w:firstLine="643"/>
        <w:rPr>
          <w:rFonts w:ascii="仿宋_GB2312" w:eastAsia="仿宋_GB2312" w:hint="eastAsia"/>
          <w:color w:val="000000"/>
          <w:sz w:val="32"/>
          <w:szCs w:val="32"/>
        </w:rPr>
      </w:pPr>
      <w:r>
        <w:rPr>
          <w:rFonts w:ascii="仿宋_GB2312" w:eastAsia="仿宋_GB2312" w:hint="eastAsia"/>
          <w:b/>
          <w:color w:val="000000"/>
          <w:sz w:val="32"/>
          <w:szCs w:val="32"/>
        </w:rPr>
        <w:t>公务接待费支出</w:t>
      </w:r>
      <w:r>
        <w:rPr>
          <w:rFonts w:ascii="仿宋_GB2312" w:eastAsia="仿宋_GB2312"/>
          <w:color w:val="000000"/>
          <w:sz w:val="32"/>
          <w:szCs w:val="32"/>
        </w:rPr>
        <w:t>0</w:t>
      </w:r>
      <w:r>
        <w:rPr>
          <w:rFonts w:ascii="仿宋_GB2312" w:eastAsia="仿宋_GB2312" w:hint="eastAsia"/>
          <w:color w:val="000000"/>
          <w:sz w:val="32"/>
          <w:szCs w:val="32"/>
        </w:rPr>
        <w:t>万元，</w:t>
      </w:r>
      <w:r>
        <w:rPr>
          <w:rFonts w:ascii="仿宋_GB2312" w:eastAsia="仿宋_GB2312" w:cs="仿宋" w:hint="eastAsia"/>
          <w:color w:val="000000"/>
          <w:sz w:val="32"/>
          <w:szCs w:val="32"/>
          <w:lang w:bidi="ar-SA"/>
        </w:rPr>
        <w:t>较上年减少</w:t>
      </w:r>
      <w:r>
        <w:rPr>
          <w:rFonts w:ascii="仿宋_GB2312" w:eastAsia="仿宋_GB2312" w:cs="仿宋"/>
          <w:color w:val="000000"/>
          <w:sz w:val="32"/>
          <w:szCs w:val="32"/>
          <w:lang w:bidi="ar-SA"/>
        </w:rPr>
        <w:t>0</w:t>
      </w:r>
      <w:r>
        <w:rPr>
          <w:rFonts w:ascii="仿宋_GB2312" w:eastAsia="仿宋_GB2312" w:cs="仿宋" w:hint="eastAsia"/>
          <w:color w:val="000000"/>
          <w:sz w:val="32"/>
          <w:szCs w:val="32"/>
          <w:lang w:val="en-US" w:eastAsia="zh-CN" w:bidi="ar-SA"/>
        </w:rPr>
        <w:t>.1</w:t>
      </w:r>
      <w:r>
        <w:rPr>
          <w:rFonts w:ascii="仿宋_GB2312" w:eastAsia="仿宋_GB2312" w:cs="仿宋" w:hint="eastAsia"/>
          <w:color w:val="000000"/>
          <w:sz w:val="32"/>
          <w:szCs w:val="32"/>
          <w:lang w:bidi="ar-SA"/>
        </w:rPr>
        <w:t>万元。</w:t>
      </w:r>
      <w:r>
        <w:rPr>
          <w:rFonts w:ascii="仿宋_GB2312" w:eastAsia="仿宋_GB2312" w:cs="仿宋"/>
          <w:color w:val="000000"/>
          <w:sz w:val="32"/>
          <w:szCs w:val="32"/>
          <w:lang w:bidi="ar-SA"/>
        </w:rPr>
        <w:t>2022年单位厉行节减，严格控制三公经费，</w:t>
      </w:r>
      <w:bookmarkStart w:id="36" w:name="_GoBack"/>
      <w:bookmarkEnd w:id="36"/>
      <w:r>
        <w:rPr>
          <w:rFonts w:ascii="仿宋_GB2312" w:eastAsia="仿宋_GB2312" w:hint="eastAsia"/>
          <w:color w:val="000000"/>
          <w:sz w:val="32"/>
          <w:szCs w:val="32"/>
        </w:rPr>
        <w:t>国内公务接待0批次，0人次，共计支出0万元。</w:t>
      </w:r>
      <w:bookmarkStart w:id="37" w:name="_Toc9723"/>
    </w:p>
    <w:p>
      <w:pPr>
        <w:spacing w:line="600" w:lineRule="exact"/>
        <w:ind w:left="643"/>
        <w:rPr>
          <w:rFonts w:ascii="仿宋_GB2312" w:eastAsia="仿宋_GB2312" w:hint="eastAsia"/>
          <w:color w:val="000000"/>
          <w:sz w:val="32"/>
          <w:szCs w:val="32"/>
        </w:rPr>
      </w:pPr>
      <w:r>
        <w:rPr>
          <w:rFonts w:ascii="仿宋_GB2312" w:eastAsia="仿宋_GB2312" w:hint="eastAsia"/>
          <w:b/>
          <w:color w:val="000000"/>
          <w:sz w:val="32"/>
          <w:szCs w:val="32"/>
          <w:lang w:val="en-US" w:eastAsia="zh-CN"/>
        </w:rPr>
        <w:t>4.</w:t>
      </w:r>
      <w:r>
        <w:rPr>
          <w:rFonts w:ascii="仿宋_GB2312" w:eastAsia="仿宋_GB2312"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w:t>
      </w:r>
      <w:bookmarkEnd w:id="37"/>
    </w:p>
    <w:p>
      <w:pPr>
        <w:numPr>
          <w:ilvl w:val="0"/>
          <w:numId w:val="4"/>
        </w:numPr>
        <w:spacing w:line="600" w:lineRule="exact"/>
        <w:ind w:left="0" w:firstLine="640"/>
        <w:outlineLvl w:val="1"/>
        <w:rPr>
          <w:rFonts w:ascii="仿宋_GB2312" w:eastAsia="仿宋_GB2312"/>
          <w:b/>
          <w:color w:val="333333"/>
          <w:sz w:val="32"/>
          <w:szCs w:val="32"/>
        </w:rPr>
      </w:pPr>
      <w:bookmarkStart w:id="38" w:name="_Toc3475"/>
      <w:r>
        <w:rPr>
          <w:rFonts w:ascii="仿宋_GB2312" w:eastAsia="仿宋_GB2312" w:hint="eastAsia"/>
          <w:b/>
          <w:color w:val="333333"/>
          <w:sz w:val="32"/>
          <w:szCs w:val="32"/>
        </w:rPr>
        <w:t>会议费支出情况</w:t>
      </w:r>
      <w:bookmarkEnd w:id="38"/>
    </w:p>
    <w:p>
      <w:pPr>
        <w:spacing w:line="600" w:lineRule="exact"/>
        <w:ind w:firstLine="640"/>
        <w:rPr>
          <w:rFonts w:ascii="仿宋_GB2312" w:eastAsia="仿宋_GB2312" w:hint="eastAsia"/>
          <w:color w:val="000000"/>
          <w:sz w:val="32"/>
          <w:szCs w:val="32"/>
          <w:lang w:eastAsia="zh-CN"/>
        </w:rPr>
      </w:pPr>
      <w:r>
        <w:rPr>
          <w:rFonts w:ascii="仿宋_GB2312" w:eastAsia="仿宋_GB2312" w:hint="eastAsia"/>
          <w:color w:val="000000"/>
          <w:sz w:val="32"/>
          <w:szCs w:val="32"/>
        </w:rPr>
        <w:t>本单位本年度无会议费支出</w:t>
      </w:r>
      <w:r>
        <w:rPr>
          <w:rFonts w:ascii="仿宋_GB2312" w:eastAsia="仿宋_GB2312" w:hint="eastAsia"/>
          <w:color w:val="000000"/>
          <w:sz w:val="32"/>
          <w:szCs w:val="32"/>
          <w:lang w:eastAsia="zh-CN"/>
        </w:rPr>
        <w:t>。</w:t>
      </w:r>
    </w:p>
    <w:p>
      <w:pPr>
        <w:numPr>
          <w:ilvl w:val="0"/>
          <w:numId w:val="4"/>
        </w:numPr>
        <w:spacing w:line="600" w:lineRule="exact"/>
        <w:ind w:left="0" w:firstLine="640"/>
        <w:outlineLvl w:val="1"/>
        <w:rPr>
          <w:rFonts w:ascii="仿宋_GB2312" w:eastAsia="仿宋_GB2312"/>
          <w:b/>
          <w:color w:val="333333"/>
          <w:sz w:val="32"/>
          <w:szCs w:val="32"/>
        </w:rPr>
      </w:pPr>
      <w:bookmarkStart w:id="39" w:name="_Toc9933"/>
      <w:r>
        <w:rPr>
          <w:rFonts w:ascii="仿宋_GB2312" w:eastAsia="仿宋_GB2312" w:hint="eastAsia"/>
          <w:b/>
          <w:color w:val="333333"/>
          <w:sz w:val="32"/>
          <w:szCs w:val="32"/>
        </w:rPr>
        <w:t>培训费支出情况</w:t>
      </w:r>
      <w:bookmarkEnd w:id="39"/>
    </w:p>
    <w:p>
      <w:pPr>
        <w:spacing w:line="600" w:lineRule="exact"/>
        <w:ind w:firstLine="640"/>
        <w:rPr>
          <w:rFonts w:ascii="仿宋_GB2312" w:eastAsia="仿宋_GB2312"/>
          <w:b/>
          <w:color w:val="333333"/>
          <w:sz w:val="32"/>
          <w:szCs w:val="32"/>
        </w:rPr>
      </w:pPr>
      <w:r>
        <w:rPr>
          <w:rFonts w:ascii="仿宋_GB2312" w:eastAsia="仿宋_GB2312" w:hint="eastAsia"/>
          <w:color w:val="000000"/>
          <w:sz w:val="32"/>
          <w:szCs w:val="32"/>
        </w:rPr>
        <w:t>本单位本年度培训费支出0.84万元。</w:t>
      </w:r>
    </w:p>
    <w:p>
      <w:pPr>
        <w:spacing w:line="600" w:lineRule="exact"/>
        <w:outlineLvl w:val="0"/>
        <w:rPr>
          <w:rFonts w:ascii="黑体" w:eastAsia="黑体"/>
          <w:color w:val="000000"/>
          <w:sz w:val="32"/>
          <w:szCs w:val="32"/>
        </w:rPr>
      </w:pPr>
      <w:bookmarkStart w:id="40" w:name="_Toc22792"/>
      <w:r>
        <w:rPr>
          <w:rFonts w:ascii="黑体" w:eastAsia="黑体" w:hint="eastAsia"/>
          <w:color w:val="000000"/>
          <w:sz w:val="32"/>
          <w:szCs w:val="32"/>
        </w:rPr>
        <w:t>七、政府性基金预算财政拨款支出决算情况</w:t>
      </w:r>
      <w:bookmarkEnd w:id="40"/>
    </w:p>
    <w:p>
      <w:pPr>
        <w:spacing w:line="600" w:lineRule="exact"/>
        <w:ind w:firstLine="640"/>
        <w:rPr>
          <w:rFonts w:ascii="仿宋_GB2312" w:eastAsia="仿宋_GB2312" w:hint="eastAsia"/>
          <w:color w:val="000000"/>
          <w:sz w:val="32"/>
          <w:szCs w:val="32"/>
        </w:rPr>
      </w:pPr>
      <w:r>
        <w:rPr>
          <w:rFonts w:ascii="仿宋_GB2312" w:eastAsia="仿宋_GB2312" w:hint="eastAsia"/>
          <w:color w:val="000000"/>
          <w:sz w:val="32"/>
          <w:szCs w:val="32"/>
        </w:rPr>
        <w:t>本单位2022年无政府性基金预算财政拨款支出。</w:t>
      </w:r>
    </w:p>
    <w:p>
      <w:pPr>
        <w:spacing w:line="600" w:lineRule="exact"/>
        <w:outlineLvl w:val="0"/>
        <w:rPr>
          <w:rFonts w:ascii="黑体" w:eastAsia="黑体" w:hint="eastAsia"/>
          <w:sz w:val="32"/>
          <w:szCs w:val="32"/>
        </w:rPr>
      </w:pPr>
      <w:bookmarkStart w:id="41" w:name="_Toc26843620"/>
      <w:bookmarkStart w:id="42" w:name="_Toc15377219"/>
      <w:bookmarkStart w:id="43" w:name="_Toc15396611"/>
      <w:bookmarkStart w:id="44" w:name="_Toc16082"/>
      <w:r>
        <w:rPr>
          <w:rFonts w:ascii="黑体" w:eastAsia="黑体" w:hint="eastAsia"/>
          <w:sz w:val="32"/>
          <w:szCs w:val="32"/>
          <w:lang w:eastAsia="zh-CN"/>
        </w:rPr>
        <w:t>八、</w:t>
      </w:r>
      <w:r>
        <w:rPr>
          <w:rFonts w:ascii="黑体" w:eastAsia="黑体" w:hint="eastAsia"/>
          <w:sz w:val="32"/>
          <w:szCs w:val="32"/>
        </w:rPr>
        <w:t>国有资本经营预算支出决算情况说明</w:t>
      </w:r>
      <w:bookmarkEnd w:id="41"/>
      <w:bookmarkEnd w:id="42"/>
      <w:bookmarkEnd w:id="43"/>
      <w:bookmarkEnd w:id="44"/>
    </w:p>
    <w:p>
      <w:pPr>
        <w:pageBreakBefore w:val="0"/>
        <w:widowControl w:val="0"/>
        <w:kinsoku/>
        <w:wordWrap/>
        <w:overflowPunct/>
        <w:topLinePunct w:val="0"/>
        <w:bidi w:val="0"/>
        <w:spacing w:line="576" w:lineRule="exact"/>
        <w:ind w:firstLine="640"/>
      </w:pPr>
      <w:r>
        <w:rPr>
          <w:rFonts w:ascii="仿宋_GB2312" w:eastAsia="仿宋_GB2312" w:hint="eastAsia"/>
          <w:color w:val="000000"/>
          <w:sz w:val="32"/>
          <w:szCs w:val="32"/>
        </w:rPr>
        <w:t>2022</w:t>
      </w:r>
      <w:r>
        <w:rPr>
          <w:rFonts w:ascii="Times New Roman" w:eastAsia="仿宋_GB2312" w:cs="Times New Roman" w:hAnsi="Times New Roman"/>
          <w:sz w:val="32"/>
          <w:szCs w:val="32"/>
        </w:rPr>
        <w:t>年国有资本经营预算财政拨款支出0万元。</w:t>
      </w:r>
    </w:p>
    <w:p>
      <w:pPr>
        <w:spacing w:line="600" w:lineRule="exact"/>
        <w:outlineLvl w:val="0"/>
        <w:rPr>
          <w:rFonts w:ascii="黑体" w:eastAsia="黑体"/>
          <w:sz w:val="32"/>
          <w:szCs w:val="32"/>
        </w:rPr>
      </w:pPr>
      <w:bookmarkStart w:id="45" w:name="_Toc30074"/>
      <w:r>
        <w:rPr>
          <w:rFonts w:ascii="黑体" w:eastAsia="黑体" w:hint="eastAsia"/>
          <w:sz w:val="32"/>
          <w:szCs w:val="32"/>
          <w:lang w:eastAsia="zh-CN"/>
        </w:rPr>
        <w:t>九</w:t>
      </w:r>
      <w:r>
        <w:rPr>
          <w:rFonts w:ascii="黑体" w:eastAsia="黑体" w:hint="eastAsia"/>
          <w:sz w:val="32"/>
          <w:szCs w:val="32"/>
        </w:rPr>
        <w:t>、其他重要事项的情况说明</w:t>
      </w:r>
      <w:bookmarkEnd w:id="45"/>
    </w:p>
    <w:p>
      <w:pPr>
        <w:spacing w:line="600" w:lineRule="exact"/>
        <w:ind w:firstLineChars="200" w:firstLine="640"/>
        <w:outlineLvl w:val="1"/>
        <w:rPr>
          <w:rFonts w:ascii="仿宋_GB2312" w:eastAsia="仿宋_GB2312"/>
          <w:color w:val="000000"/>
          <w:sz w:val="32"/>
          <w:szCs w:val="32"/>
        </w:rPr>
      </w:pPr>
      <w:bookmarkStart w:id="46" w:name="_Toc16671"/>
      <w:r>
        <w:rPr>
          <w:rFonts w:ascii="仿宋_GB2312" w:eastAsia="仿宋_GB2312" w:hint="eastAsia"/>
          <w:b/>
          <w:color w:val="000000"/>
          <w:sz w:val="32"/>
          <w:szCs w:val="32"/>
        </w:rPr>
        <w:t>（一）机关运行经费支出情况</w:t>
      </w:r>
      <w:bookmarkEnd w:id="46"/>
    </w:p>
    <w:p>
      <w:pPr>
        <w:spacing w:line="60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rPr>
        <w:t>2022年度，我中心机关运行经费支出</w:t>
      </w:r>
      <w:r>
        <w:rPr>
          <w:rFonts w:ascii="仿宋_GB2312" w:eastAsia="仿宋_GB2312" w:hint="eastAsia"/>
          <w:sz w:val="32"/>
          <w:szCs w:val="32"/>
          <w:lang w:val="en-US" w:eastAsia="zh-CN"/>
        </w:rPr>
        <w:t>24.02</w:t>
      </w:r>
      <w:r>
        <w:rPr>
          <w:rFonts w:ascii="仿宋_GB2312" w:eastAsia="仿宋_GB2312" w:hint="eastAsia"/>
          <w:sz w:val="32"/>
          <w:szCs w:val="32"/>
        </w:rPr>
        <w:t>万元，比2021年增加</w:t>
      </w:r>
      <w:r>
        <w:rPr>
          <w:rFonts w:ascii="仿宋_GB2312" w:eastAsia="仿宋_GB2312" w:hint="eastAsia"/>
          <w:sz w:val="32"/>
          <w:szCs w:val="32"/>
          <w:lang w:val="en-US" w:eastAsia="zh-CN"/>
        </w:rPr>
        <w:t>6.75</w:t>
      </w:r>
      <w:r>
        <w:rPr>
          <w:rFonts w:ascii="仿宋_GB2312" w:eastAsia="仿宋_GB2312" w:hint="eastAsia"/>
          <w:sz w:val="32"/>
          <w:szCs w:val="32"/>
        </w:rPr>
        <w:t>万元</w:t>
      </w:r>
      <w:r>
        <w:rPr>
          <w:rFonts w:ascii="仿宋_GB2312" w:eastAsia="仿宋_GB2312" w:hint="eastAsia"/>
          <w:sz w:val="32"/>
          <w:szCs w:val="32"/>
          <w:lang w:val="en-US" w:eastAsia="zh-CN"/>
        </w:rPr>
        <w:t>,</w:t>
      </w:r>
      <w:r>
        <w:rPr>
          <w:rFonts w:ascii="Times New Roman" w:eastAsia="仿宋_GB2312" w:cs="Times New Roman" w:hAnsi="Times New Roman" w:hint="eastAsia"/>
          <w:sz w:val="32"/>
          <w:szCs w:val="32"/>
          <w:lang w:bidi="ar-SA"/>
        </w:rPr>
        <w:t>维修维护费、办公费等经费有所</w:t>
      </w:r>
      <w:r>
        <w:rPr>
          <w:rFonts w:ascii="Times New Roman" w:eastAsia="仿宋_GB2312" w:cs="Times New Roman" w:hAnsi="Times New Roman"/>
          <w:sz w:val="32"/>
          <w:szCs w:val="32"/>
          <w:lang w:bidi="ar-SA"/>
        </w:rPr>
        <w:t>增加</w:t>
      </w:r>
      <w:r>
        <w:rPr>
          <w:rFonts w:eastAsia="仿宋_GB2312" w:cs="Times New Roman" w:hint="eastAsia"/>
          <w:sz w:val="32"/>
          <w:szCs w:val="32"/>
          <w:lang w:eastAsia="zh-CN" w:bidi="ar-SA"/>
        </w:rPr>
        <w:t>。</w:t>
      </w:r>
    </w:p>
    <w:p>
      <w:pPr>
        <w:autoSpaceDE w:val="0"/>
        <w:autoSpaceDN w:val="0"/>
        <w:adjustRightInd w:val="0"/>
        <w:spacing w:line="600" w:lineRule="exact"/>
        <w:ind w:firstLineChars="200" w:firstLine="640"/>
        <w:jc w:val="left"/>
        <w:outlineLvl w:val="1"/>
        <w:rPr>
          <w:rFonts w:ascii="仿宋_GB2312" w:eastAsia="仿宋_GB2312"/>
          <w:b/>
          <w:color w:val="000000"/>
          <w:sz w:val="32"/>
          <w:szCs w:val="32"/>
        </w:rPr>
      </w:pPr>
      <w:bookmarkStart w:id="47" w:name="_Toc22598"/>
      <w:r>
        <w:rPr>
          <w:rFonts w:ascii="仿宋_GB2312" w:eastAsia="仿宋_GB2312" w:hint="eastAsia"/>
          <w:b/>
          <w:color w:val="000000"/>
          <w:sz w:val="32"/>
          <w:szCs w:val="32"/>
        </w:rPr>
        <w:t>（二）政府采购支出情况</w:t>
      </w:r>
      <w:bookmarkEnd w:id="47"/>
    </w:p>
    <w:p>
      <w:pPr>
        <w:pStyle w:val="21"/>
        <w:keepNext w:val="0"/>
        <w:keepLines w:val="0"/>
        <w:widowControl/>
        <w:suppressLineNumbers w:val="0"/>
        <w:spacing w:before="0" w:beforeAutospacing="0"/>
        <w:ind w:left="0" w:firstLineChars="200" w:firstLine="640"/>
        <w:jc w:val="left"/>
        <w:rPr>
          <w:rFonts w:ascii="仿宋" w:eastAsia="仿宋" w:cs="仿宋" w:hint="eastAsia"/>
          <w:sz w:val="32"/>
          <w:szCs w:val="32"/>
          <w:shd w:val="clear" w:color="auto" w:fill="FFFFFF"/>
          <w:lang w:bidi="ar-SA"/>
        </w:rPr>
      </w:pPr>
      <w:r>
        <w:rPr>
          <w:rFonts w:ascii="仿宋" w:eastAsia="仿宋" w:cs="仿宋" w:hint="eastAsia"/>
          <w:sz w:val="32"/>
          <w:szCs w:val="32"/>
          <w:shd w:val="clear" w:color="auto" w:fill="FFFFFF"/>
          <w:lang w:bidi="ar-SA"/>
        </w:rPr>
        <w:t>2022年，政府采购支出总额0.00万元，其中：政府采购货物支出0.00万元、政府采购工程支出0.00万元、政府采购服务支出0.00万元。授予中小企业合同金额0.00万元，占政府采购支出总额的0.00%，其中：授予小微企业合同金额0.00万元，占政府采购支出总额的0.00%。</w:t>
      </w:r>
    </w:p>
    <w:p>
      <w:pPr>
        <w:autoSpaceDE w:val="0"/>
        <w:autoSpaceDN w:val="0"/>
        <w:adjustRightInd w:val="0"/>
        <w:spacing w:line="600" w:lineRule="exact"/>
        <w:ind w:firstLineChars="200" w:firstLine="640"/>
        <w:jc w:val="left"/>
        <w:outlineLvl w:val="1"/>
        <w:rPr>
          <w:rFonts w:ascii="仿宋_GB2312" w:eastAsia="仿宋_GB2312"/>
          <w:b/>
          <w:color w:val="000000"/>
          <w:sz w:val="32"/>
          <w:szCs w:val="32"/>
        </w:rPr>
      </w:pPr>
      <w:bookmarkStart w:id="48" w:name="_Toc2491"/>
      <w:r>
        <w:rPr>
          <w:rFonts w:ascii="仿宋_GB2312" w:eastAsia="仿宋_GB2312" w:hint="eastAsia"/>
          <w:b/>
          <w:color w:val="000000"/>
          <w:sz w:val="32"/>
          <w:szCs w:val="32"/>
        </w:rPr>
        <w:t>（三）国有资产占有使用情况</w:t>
      </w:r>
      <w:bookmarkEnd w:id="48"/>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截至2022年12月31日，我中心有公有车辆1辆，均为一般公务用车；无单价50万元以上通用设备，无单价100万元以上专用设备。</w:t>
      </w:r>
    </w:p>
    <w:p>
      <w:pPr>
        <w:autoSpaceDE w:val="0"/>
        <w:autoSpaceDN w:val="0"/>
        <w:adjustRightInd w:val="0"/>
        <w:spacing w:line="600" w:lineRule="exact"/>
        <w:ind w:firstLineChars="200" w:firstLine="640"/>
        <w:jc w:val="left"/>
        <w:outlineLvl w:val="1"/>
        <w:rPr>
          <w:rFonts w:ascii="仿宋_GB2312" w:eastAsia="仿宋_GB2312"/>
          <w:b/>
          <w:color w:val="000000"/>
          <w:sz w:val="32"/>
          <w:szCs w:val="32"/>
        </w:rPr>
      </w:pPr>
      <w:bookmarkStart w:id="49" w:name="_Toc8462"/>
      <w:r>
        <w:rPr>
          <w:rFonts w:ascii="仿宋_GB2312" w:eastAsia="仿宋_GB2312" w:hint="eastAsia"/>
          <w:b/>
          <w:color w:val="000000"/>
          <w:sz w:val="32"/>
          <w:szCs w:val="32"/>
        </w:rPr>
        <w:t>（四）预算绩效情况</w:t>
      </w:r>
      <w:bookmarkEnd w:id="49"/>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按照预算绩效管理要求，本部门对2022年一般公共预算项目支出开展了绩效目标管理，共编制整体绩效目标1个，涉及财政资金</w:t>
      </w:r>
      <w:r>
        <w:rPr>
          <w:rFonts w:ascii="仿宋_GB2312" w:eastAsia="仿宋_GB2312" w:hint="eastAsia"/>
          <w:color w:val="000000"/>
          <w:sz w:val="32"/>
          <w:szCs w:val="32"/>
          <w:lang w:val="en-US" w:eastAsia="zh-CN"/>
        </w:rPr>
        <w:t>296.63</w:t>
      </w:r>
      <w:r>
        <w:rPr>
          <w:rFonts w:ascii="仿宋_GB2312" w:eastAsia="仿宋_GB2312" w:hint="eastAsia"/>
          <w:color w:val="000000"/>
          <w:sz w:val="32"/>
          <w:szCs w:val="32"/>
        </w:rPr>
        <w:t>万元。</w:t>
      </w:r>
    </w:p>
    <w:p>
      <w:pPr>
        <w:spacing w:line="600" w:lineRule="atLeast"/>
        <w:ind w:firstLineChars="200" w:firstLine="640"/>
        <w:rPr>
          <w:rFonts w:ascii="仿宋_GB2312" w:eastAsia="仿宋_GB2312"/>
          <w:sz w:val="32"/>
          <w:szCs w:val="32"/>
        </w:rPr>
      </w:pPr>
      <w:r>
        <w:rPr>
          <w:rFonts w:ascii="仿宋_GB2312" w:eastAsia="仿宋_GB2312" w:hint="eastAsia"/>
          <w:sz w:val="32"/>
          <w:szCs w:val="32"/>
        </w:rPr>
        <w:t>1、评价结论</w:t>
      </w:r>
    </w:p>
    <w:p>
      <w:pPr>
        <w:spacing w:line="600" w:lineRule="atLeast"/>
        <w:ind w:firstLineChars="200" w:firstLine="640"/>
        <w:rPr>
          <w:rFonts w:ascii="仿宋_GB2312" w:eastAsia="仿宋_GB2312"/>
          <w:sz w:val="32"/>
          <w:szCs w:val="32"/>
        </w:rPr>
      </w:pPr>
      <w:r>
        <w:rPr>
          <w:rFonts w:ascii="仿宋_GB2312" w:eastAsia="仿宋_GB2312" w:hint="eastAsia"/>
          <w:sz w:val="32"/>
          <w:szCs w:val="32"/>
        </w:rPr>
        <w:t>部门预算执行情况良好，无不良记录及违规违纪行为，预算支出和决算支出情况相符。</w:t>
      </w:r>
    </w:p>
    <w:p>
      <w:pPr>
        <w:spacing w:line="600" w:lineRule="atLeast"/>
        <w:ind w:firstLineChars="200" w:firstLine="640"/>
        <w:rPr>
          <w:rFonts w:ascii="仿宋_GB2312" w:eastAsia="仿宋_GB2312"/>
          <w:sz w:val="32"/>
          <w:szCs w:val="32"/>
        </w:rPr>
      </w:pPr>
      <w:r>
        <w:rPr>
          <w:rFonts w:ascii="仿宋_GB2312" w:eastAsia="仿宋_GB2312" w:hint="eastAsia"/>
          <w:sz w:val="32"/>
          <w:szCs w:val="32"/>
        </w:rPr>
        <w:t>2、存在问题</w:t>
      </w:r>
    </w:p>
    <w:p>
      <w:pPr>
        <w:spacing w:line="600" w:lineRule="atLeast"/>
        <w:ind w:firstLineChars="200" w:firstLine="640"/>
        <w:rPr>
          <w:rFonts w:ascii="仿宋_GB2312" w:eastAsia="仿宋_GB2312"/>
          <w:sz w:val="32"/>
          <w:szCs w:val="32"/>
        </w:rPr>
      </w:pPr>
      <w:r>
        <w:rPr>
          <w:rFonts w:ascii="仿宋_GB2312" w:eastAsia="仿宋_GB2312" w:hint="eastAsia"/>
          <w:sz w:val="32"/>
          <w:szCs w:val="32"/>
        </w:rPr>
        <w:t>一是预算经费支出进度较缓；二是部门决算上报处理效率还需继续提升。</w:t>
      </w:r>
    </w:p>
    <w:p>
      <w:pPr>
        <w:spacing w:line="600" w:lineRule="atLeast"/>
        <w:ind w:firstLineChars="200" w:firstLine="640"/>
        <w:rPr>
          <w:rFonts w:ascii="仿宋_GB2312" w:eastAsia="仿宋_GB2312"/>
          <w:sz w:val="32"/>
          <w:szCs w:val="32"/>
        </w:rPr>
      </w:pPr>
      <w:r>
        <w:rPr>
          <w:rFonts w:ascii="仿宋_GB2312" w:eastAsia="仿宋_GB2312" w:hint="eastAsia"/>
          <w:sz w:val="32"/>
          <w:szCs w:val="32"/>
        </w:rPr>
        <w:t>3、改进建议</w:t>
      </w:r>
    </w:p>
    <w:p>
      <w:pPr>
        <w:spacing w:line="600" w:lineRule="atLeast"/>
        <w:ind w:firstLineChars="200" w:firstLine="640"/>
        <w:rPr>
          <w:rFonts w:ascii="仿宋_GB2312" w:eastAsia="仿宋_GB2312"/>
          <w:sz w:val="32"/>
          <w:szCs w:val="32"/>
        </w:rPr>
      </w:pPr>
      <w:r>
        <w:rPr>
          <w:rFonts w:ascii="仿宋_GB2312" w:eastAsia="仿宋_GB2312" w:hint="eastAsia"/>
          <w:sz w:val="32"/>
          <w:szCs w:val="32"/>
        </w:rPr>
        <w:t>加快完成机关财务管理规章制度建设、加强会计核算和财务管理能力，及时与财政局相关科室对接工作，提升工作效率。</w:t>
      </w:r>
    </w:p>
    <w:p>
      <w:pPr>
        <w:spacing w:line="600" w:lineRule="exact"/>
        <w:ind w:firstLineChars="200" w:firstLine="640"/>
        <w:outlineLvl w:val="0"/>
        <w:rPr>
          <w:rFonts w:ascii="仿宋_GB2312" w:eastAsia="仿宋_GB2312"/>
          <w:sz w:val="32"/>
          <w:szCs w:val="32"/>
        </w:rPr>
      </w:pPr>
      <w:bookmarkStart w:id="50" w:name="_Toc26282"/>
      <w:r>
        <w:rPr>
          <w:rFonts w:ascii="黑体" w:eastAsia="黑体" w:hint="eastAsia"/>
          <w:color w:val="000000"/>
          <w:sz w:val="32"/>
          <w:szCs w:val="32"/>
          <w:lang w:eastAsia="zh-CN"/>
        </w:rPr>
        <w:t>十</w:t>
      </w:r>
      <w:r>
        <w:rPr>
          <w:rFonts w:ascii="黑体" w:eastAsia="黑体" w:hint="eastAsia"/>
          <w:color w:val="000000"/>
          <w:sz w:val="32"/>
          <w:szCs w:val="32"/>
        </w:rPr>
        <w:t>、行政事业单位财务分析指标</w:t>
      </w:r>
      <w:bookmarkEnd w:id="50"/>
    </w:p>
    <w:p>
      <w:pPr>
        <w:pStyle w:val="23"/>
        <w:spacing w:line="560" w:lineRule="exact"/>
        <w:ind w:firstLineChars="200" w:firstLine="640"/>
        <w:rPr>
          <w:rFonts w:ascii="仿宋_GB2312" w:eastAsia="仿宋_GB2312" w:cs="Times New Roman"/>
          <w:b/>
          <w:kern w:val="2"/>
          <w:sz w:val="32"/>
          <w:szCs w:val="32"/>
        </w:rPr>
      </w:pPr>
      <w:r>
        <w:rPr>
          <w:rFonts w:ascii="仿宋_GB2312" w:eastAsia="仿宋_GB2312" w:cs="Times New Roman" w:hint="eastAsia"/>
          <w:b/>
          <w:kern w:val="2"/>
          <w:sz w:val="32"/>
          <w:szCs w:val="32"/>
        </w:rPr>
        <w:t>一、行政单位财务分析指标</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1.支出增长率，衡量行政单位支出的增长水平。计算公式为：</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支出增长率＝(本期支出总额÷上期支出总额-1)×100%=</w:t>
      </w:r>
      <w:r>
        <w:rPr>
          <w:rFonts w:ascii="仿宋_GB2312" w:eastAsia="仿宋_GB2312" w:hint="eastAsia"/>
          <w:sz w:val="32"/>
          <w:szCs w:val="32"/>
          <w:lang w:val="en-US" w:eastAsia="zh-CN"/>
        </w:rPr>
        <w:t>63.02</w:t>
      </w:r>
      <w:r>
        <w:rPr>
          <w:rFonts w:ascii="仿宋_GB2312" w:eastAsia="仿宋_GB2312" w:hint="eastAsia"/>
          <w:sz w:val="32"/>
          <w:szCs w:val="32"/>
        </w:rPr>
        <w:t>%</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2.当年预算支出完成率，衡量行政单位当年支出总预算及分项预算完成的程度。计算公式为：</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当年预算支出完成率＝年终执行数÷调整预算数×100%=100.00%</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3.人均开支，衡量行政单位人均年消耗经费水平。计算公式为：</w:t>
      </w:r>
    </w:p>
    <w:p>
      <w:pPr>
        <w:pStyle w:val="23"/>
        <w:spacing w:line="560" w:lineRule="exact"/>
        <w:ind w:firstLineChars="200" w:firstLine="640"/>
        <w:rPr>
          <w:rFonts w:ascii="仿宋_GB2312" w:eastAsia="仿宋_GB2312"/>
          <w:sz w:val="32"/>
          <w:szCs w:val="32"/>
          <w:lang w:val="en-US" w:eastAsia="zh-CN"/>
        </w:rPr>
      </w:pPr>
      <w:r>
        <w:rPr>
          <w:rFonts w:ascii="仿宋_GB2312" w:eastAsia="仿宋_GB2312" w:hint="eastAsia"/>
          <w:sz w:val="32"/>
          <w:szCs w:val="32"/>
        </w:rPr>
        <w:t>人均开支＝本期支出数÷本期平均在职人员数=</w:t>
      </w:r>
      <w:r>
        <w:rPr>
          <w:rFonts w:ascii="仿宋_GB2312" w:eastAsia="仿宋_GB2312" w:hint="eastAsia"/>
          <w:sz w:val="32"/>
          <w:szCs w:val="32"/>
          <w:lang w:val="en-US" w:eastAsia="zh-CN"/>
        </w:rPr>
        <w:t>24.08</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4.项目支出占总支出的比率，衡量行政单位的支出结构。计算公式为：</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项目支出比率=本期项目支出数÷本期支出总数×100%=</w:t>
      </w:r>
      <w:r>
        <w:rPr>
          <w:rFonts w:ascii="仿宋_GB2312" w:eastAsia="仿宋_GB2312" w:hint="eastAsia"/>
          <w:sz w:val="32"/>
          <w:szCs w:val="32"/>
          <w:lang w:val="en-US" w:eastAsia="zh-CN"/>
        </w:rPr>
        <w:t>0.23</w:t>
      </w:r>
      <w:r>
        <w:rPr>
          <w:rFonts w:ascii="仿宋_GB2312" w:eastAsia="仿宋_GB2312" w:hint="eastAsia"/>
          <w:sz w:val="32"/>
          <w:szCs w:val="32"/>
        </w:rPr>
        <w:t>%</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5.人员支出、公用支出占总支出的比率，衡量行政单位的支出结构。计算公式为：</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人员支出比率=本期人员支出数÷本期支出总数×100%=</w:t>
      </w:r>
      <w:r>
        <w:rPr>
          <w:rFonts w:ascii="仿宋_GB2312" w:eastAsia="仿宋_GB2312" w:hint="eastAsia"/>
          <w:sz w:val="32"/>
          <w:szCs w:val="32"/>
          <w:lang w:val="en-US" w:eastAsia="zh-CN"/>
        </w:rPr>
        <w:t>92.65</w:t>
      </w:r>
      <w:r>
        <w:rPr>
          <w:rFonts w:ascii="仿宋_GB2312" w:eastAsia="仿宋_GB2312" w:hint="eastAsia"/>
          <w:sz w:val="32"/>
          <w:szCs w:val="32"/>
        </w:rPr>
        <w:t>%</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公用支出比率=本期公用支出数÷本期支出总数×100%=</w:t>
      </w:r>
      <w:r>
        <w:rPr>
          <w:rFonts w:ascii="仿宋_GB2312" w:eastAsia="仿宋_GB2312" w:hint="eastAsia"/>
          <w:sz w:val="32"/>
          <w:szCs w:val="32"/>
          <w:lang w:val="en-US" w:eastAsia="zh-CN"/>
        </w:rPr>
        <w:t>7.34</w:t>
      </w:r>
      <w:r>
        <w:rPr>
          <w:rFonts w:ascii="仿宋_GB2312" w:eastAsia="仿宋_GB2312" w:hint="eastAsia"/>
          <w:sz w:val="32"/>
          <w:szCs w:val="32"/>
        </w:rPr>
        <w:t>%</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6.人均办公使用面积，衡量行政单位办公用房配备情况。计算公式为：</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人均办公使用面积=本期末单位办公用房使用面积÷本期末在职人员数=0.00</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7.人车比例，衡量行政单位公务用车配备情况。计算公式为：</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人车比例=本期末在职人员数÷本期末公务用车实有数=1</w:t>
      </w:r>
      <w:r>
        <w:rPr>
          <w:rFonts w:ascii="仿宋_GB2312" w:eastAsia="仿宋_GB2312" w:hint="eastAsia"/>
          <w:sz w:val="32"/>
          <w:szCs w:val="32"/>
          <w:lang w:val="en-US" w:eastAsia="zh-CN"/>
        </w:rPr>
        <w:t>5</w:t>
      </w:r>
      <w:r>
        <w:rPr>
          <w:rFonts w:ascii="仿宋_GB2312" w:eastAsia="仿宋_GB2312" w:hint="eastAsia"/>
          <w:sz w:val="32"/>
          <w:szCs w:val="32"/>
        </w:rPr>
        <w:t>.00 </w:t>
      </w:r>
    </w:p>
    <w:p>
      <w:pPr>
        <w:pStyle w:val="23"/>
        <w:spacing w:line="560" w:lineRule="exact"/>
        <w:ind w:firstLineChars="200" w:firstLine="640"/>
        <w:rPr>
          <w:rFonts w:ascii="仿宋_GB2312" w:eastAsia="仿宋_GB2312" w:cs="Times New Roman"/>
          <w:b/>
          <w:kern w:val="2"/>
          <w:sz w:val="32"/>
          <w:szCs w:val="32"/>
        </w:rPr>
      </w:pPr>
      <w:r>
        <w:rPr>
          <w:rFonts w:ascii="仿宋_GB2312" w:eastAsia="仿宋_GB2312" w:cs="Times New Roman" w:hint="eastAsia"/>
          <w:b/>
          <w:kern w:val="2"/>
          <w:sz w:val="32"/>
          <w:szCs w:val="32"/>
        </w:rPr>
        <w:t>二、事业单位财务分析指标</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1.预算收入和支出完成率，衡量事业单位收入和支出总预算及分项预算完成的程度。计算公式为：</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预算收入完成率＝年终执行数÷调整预算数×100%=100.00%</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预算支出完成率＝年终执行数÷调整预算数×100%=100.00%</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2.人员支出、公用支出占事业支出的比率，衡量事业单位事业支出结构。计算公式为：</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人员支出比率＝人员支出÷事业支出×100%=</w:t>
      </w:r>
      <w:r>
        <w:rPr>
          <w:rFonts w:ascii="仿宋_GB2312" w:eastAsia="仿宋_GB2312" w:hint="eastAsia"/>
          <w:sz w:val="32"/>
          <w:szCs w:val="32"/>
          <w:lang w:val="en-US" w:eastAsia="zh-CN"/>
        </w:rPr>
        <w:t>92.65</w:t>
      </w:r>
      <w:r>
        <w:rPr>
          <w:rFonts w:ascii="仿宋_GB2312" w:eastAsia="仿宋_GB2312" w:hint="eastAsia"/>
          <w:sz w:val="32"/>
          <w:szCs w:val="32"/>
        </w:rPr>
        <w:t>%</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公用支出比率＝公用支出÷事业支出×100%=</w:t>
      </w:r>
      <w:r>
        <w:rPr>
          <w:rFonts w:ascii="仿宋_GB2312" w:eastAsia="仿宋_GB2312" w:hint="eastAsia"/>
          <w:sz w:val="32"/>
          <w:szCs w:val="32"/>
          <w:lang w:val="en-US" w:eastAsia="zh-CN"/>
        </w:rPr>
        <w:t>7.34</w:t>
      </w:r>
      <w:r>
        <w:rPr>
          <w:rFonts w:ascii="仿宋_GB2312" w:eastAsia="仿宋_GB2312" w:hint="eastAsia"/>
          <w:sz w:val="32"/>
          <w:szCs w:val="32"/>
        </w:rPr>
        <w:t>%</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3.人均基本支出，衡量事业单位按照实际在编人数平均的基本支出水平。计算公式为：</w:t>
      </w:r>
    </w:p>
    <w:p>
      <w:pPr>
        <w:pStyle w:val="23"/>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rPr>
        <w:t>人均基本支出＝（基本支出-离退休人员支出）÷实际在编人数=</w:t>
      </w:r>
      <w:r>
        <w:rPr>
          <w:rFonts w:ascii="仿宋_GB2312" w:eastAsia="仿宋_GB2312" w:hint="eastAsia"/>
          <w:sz w:val="32"/>
          <w:szCs w:val="32"/>
          <w:lang w:val="en-US" w:eastAsia="zh-CN"/>
        </w:rPr>
        <w:t>23.34</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此外，行业事业单位还可根据相关财务制度规定和分析需要增加相关分析指标，如：</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1.财政拨款依存度, 衡量部门（单位）对财政拨款的依赖程度。</w:t>
      </w:r>
    </w:p>
    <w:p>
      <w:pPr>
        <w:pStyle w:val="23"/>
        <w:spacing w:line="560" w:lineRule="exact"/>
        <w:ind w:firstLineChars="200" w:firstLine="640"/>
        <w:rPr>
          <w:rFonts w:ascii="黑体" w:eastAsia="黑体"/>
          <w:sz w:val="32"/>
          <w:szCs w:val="32"/>
        </w:rPr>
      </w:pPr>
      <w:r>
        <w:rPr>
          <w:rFonts w:ascii="仿宋_GB2312" w:eastAsia="仿宋_GB2312" w:hint="eastAsia"/>
          <w:sz w:val="32"/>
          <w:szCs w:val="32"/>
        </w:rPr>
        <w:t>财政拨款依存度＝财政拨款收入÷收入总额×100%=100.00%</w:t>
      </w:r>
    </w:p>
    <w:p>
      <w:pPr>
        <w:rPr>
          <w:rStyle w:val="1Char"/>
          <w:rFonts w:ascii="黑体" w:eastAsia="黑体"/>
          <w:b w:val="0"/>
        </w:rPr>
      </w:pPr>
      <w:bookmarkStart w:id="51" w:name="_Toc15377225"/>
      <w:bookmarkStart w:id="52" w:name="_Toc30041"/>
      <w:bookmarkStart w:id="53" w:name="_Toc15396613"/>
      <w:r>
        <w:rPr>
          <w:rFonts w:ascii="黑体" w:eastAsia="黑体" w:hint="eastAsia"/>
          <w:b/>
          <w:color w:val="000000"/>
          <w:sz w:val="44"/>
          <w:szCs w:val="44"/>
        </w:rPr>
        <w:br w:type="page"/>
      </w:r>
    </w:p>
    <w:p>
      <w:pPr>
        <w:numPr>
          <w:ilvl w:val="0"/>
          <w:numId w:val="5"/>
        </w:numPr>
        <w:spacing w:line="600" w:lineRule="exact"/>
        <w:ind w:left="0" w:firstLineChars="150" w:firstLine="660"/>
        <w:jc w:val="center"/>
        <w:outlineLvl w:val="0"/>
        <w:rPr>
          <w:rStyle w:val="1Char"/>
          <w:rFonts w:ascii="黑体" w:eastAsia="黑体"/>
          <w:b w:val="0"/>
        </w:rPr>
      </w:pPr>
      <w:bookmarkStart w:id="54" w:name="_Toc1803"/>
      <w:r>
        <w:rPr>
          <w:rFonts w:ascii="黑体" w:eastAsia="黑体" w:hint="eastAsia"/>
          <w:b/>
          <w:color w:val="000000"/>
          <w:sz w:val="44"/>
          <w:szCs w:val="44"/>
        </w:rPr>
        <w:t>名</w:t>
      </w:r>
      <w:r>
        <w:rPr>
          <w:rStyle w:val="1Char"/>
          <w:rFonts w:ascii="黑体" w:eastAsia="黑体" w:hint="eastAsia"/>
          <w:b w:val="0"/>
        </w:rPr>
        <w:t>词解释</w:t>
      </w:r>
      <w:bookmarkEnd w:id="51"/>
      <w:bookmarkEnd w:id="52"/>
      <w:bookmarkEnd w:id="53"/>
      <w:bookmarkEnd w:id="54"/>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1.财政拨款收入：指州级财政当年拨付的资金。 </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2.年初结转和结余：指以前年度尚未完成、结转到本年按有关规定继续使用的资金。 </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3、社会保障和就业208人力资源和社会保障管理事务01社会保险经办机构09：指社会保险经办机构开展业务工作的支出。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4.社会保障和就业208行政事业单位离退休05机关事业单位基本养老保险缴费支出05：指机关事业单位实施养老保险制度由单位缴纳的基本养老保险费支出。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5.社会保障和就业208行政事业单位离退休05机关事业单位职业年金缴费支出06：指机关事业单位实施养老保险制度由单位缴纳的职业年金支出。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6、 医疗卫生与计划生育支出210医疗保障11事业单位医疗02：指反映财政部门集中安排的事业单位基本医疗保险缴费经费。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7. 住房保障支出221住房改革支出02住房公积金01：指反映行政事业单位按人力资源和社会保障部、财政部规定的基本工资和津贴补贴以及规定比例为职工缴纳的住房公积金。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8.年末结转和结余：指本年度或以前年度预算安排、因客观条件发生变化无法按原计划实施，需延迟到以后年度按有关规定继续使用的资金。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9.基本支出：指为保障机构正常运转、完成日常工作任务而发生的人员支出和公用支出。</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10.“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widowControl/>
        <w:spacing w:line="480" w:lineRule="exact"/>
        <w:jc w:val="center"/>
        <w:rPr>
          <w:rFonts w:ascii="仿宋_GB2312" w:eastAsia="仿宋_GB2312"/>
          <w:sz w:val="32"/>
          <w:szCs w:val="32"/>
        </w:rPr>
      </w:pPr>
      <w:r>
        <w:rPr>
          <w:rFonts w:ascii="仿宋_GB2312" w:eastAsia="仿宋_GB2312" w:hint="eastAsia"/>
          <w:sz w:val="32"/>
          <w:szCs w:val="32"/>
        </w:rPr>
        <w:br w:type="page"/>
      </w:r>
    </w:p>
    <w:p>
      <w:pPr>
        <w:numPr>
          <w:ilvl w:val="0"/>
          <w:numId w:val="5"/>
        </w:numPr>
        <w:spacing w:line="600" w:lineRule="exact"/>
        <w:ind w:left="0" w:firstLineChars="150" w:firstLine="660"/>
        <w:jc w:val="center"/>
        <w:outlineLvl w:val="0"/>
        <w:rPr>
          <w:rStyle w:val="1Char"/>
          <w:rFonts w:ascii="黑体" w:eastAsia="黑体"/>
          <w:b w:val="0"/>
        </w:rPr>
      </w:pPr>
      <w:bookmarkStart w:id="55" w:name="_Toc22141"/>
      <w:r>
        <w:rPr>
          <w:rStyle w:val="1Char"/>
          <w:rFonts w:ascii="黑体" w:eastAsia="黑体" w:hint="eastAsia"/>
          <w:b w:val="0"/>
        </w:rPr>
        <w:t>附件</w:t>
      </w:r>
      <w:bookmarkEnd w:id="55"/>
    </w:p>
    <w:p>
      <w:pPr>
        <w:widowControl/>
        <w:tabs>
          <w:tab w:val="left" w:pos="0"/>
        </w:tabs>
        <w:spacing w:line="480" w:lineRule="exact"/>
        <w:ind w:leftChars="150" w:left="315"/>
        <w:rPr>
          <w:rStyle w:val="1Char"/>
          <w:rFonts w:ascii="黑体" w:eastAsia="黑体"/>
          <w:b w:val="0"/>
        </w:rPr>
      </w:pPr>
    </w:p>
    <w:p>
      <w:pPr>
        <w:widowControl/>
        <w:spacing w:line="480" w:lineRule="exact"/>
        <w:jc w:val="center"/>
        <w:rPr>
          <w:rFonts w:ascii="方正小标宋简体" w:eastAsia="方正小标宋简体" w:cs="方正小标宋简体"/>
          <w:sz w:val="44"/>
          <w:szCs w:val="44"/>
        </w:rPr>
      </w:pPr>
      <w:r>
        <w:rPr>
          <w:rFonts w:ascii="方正小标宋简体" w:eastAsia="方正小标宋简体" w:cs="方正小标宋简体" w:hint="eastAsia"/>
          <w:sz w:val="44"/>
          <w:szCs w:val="44"/>
        </w:rPr>
        <w:t>金川县社会保险事务中心</w:t>
      </w:r>
    </w:p>
    <w:p>
      <w:pPr>
        <w:widowControl/>
        <w:spacing w:line="480" w:lineRule="exact"/>
        <w:jc w:val="center"/>
        <w:rPr>
          <w:rFonts w:ascii="方正小标宋简体" w:eastAsia="方正小标宋简体" w:cs="方正小标宋简体"/>
          <w:sz w:val="44"/>
          <w:szCs w:val="44"/>
        </w:rPr>
      </w:pPr>
      <w:r>
        <w:rPr>
          <w:rFonts w:ascii="方正小标宋简体" w:eastAsia="方正小标宋简体" w:cs="方正小标宋简体"/>
          <w:sz w:val="44"/>
          <w:szCs w:val="44"/>
        </w:rPr>
        <w:t>2022</w:t>
      </w:r>
      <w:r>
        <w:rPr>
          <w:rFonts w:ascii="方正小标宋简体" w:eastAsia="方正小标宋简体" w:cs="方正小标宋简体" w:hint="eastAsia"/>
          <w:sz w:val="44"/>
          <w:szCs w:val="44"/>
        </w:rPr>
        <w:t>部门整体支出绩效报告</w:t>
      </w:r>
    </w:p>
    <w:p>
      <w:pPr>
        <w:widowControl/>
        <w:spacing w:line="480" w:lineRule="exact"/>
        <w:jc w:val="center"/>
        <w:rPr>
          <w:rFonts w:ascii="方正小标宋简体" w:eastAsia="方正小标宋简体" w:cs="方正小标宋简体"/>
          <w:sz w:val="44"/>
          <w:szCs w:val="44"/>
        </w:rPr>
      </w:pPr>
    </w:p>
    <w:p>
      <w:pPr>
        <w:widowControl/>
        <w:adjustRightInd w:val="0"/>
        <w:snapToGrid w:val="0"/>
        <w:spacing w:line="480" w:lineRule="exact"/>
        <w:ind w:firstLineChars="200" w:firstLine="640"/>
        <w:jc w:val="left"/>
        <w:rPr>
          <w:rFonts w:ascii="黑体" w:eastAsia="黑体" w:cs="宋体"/>
          <w:color w:val="000000"/>
          <w:kern w:val="0"/>
          <w:lang w:val="zh-CN"/>
        </w:rPr>
      </w:pPr>
      <w:r>
        <w:rPr>
          <w:rFonts w:ascii="黑体" w:eastAsia="黑体" w:cs="宋体" w:hint="eastAsia"/>
          <w:color w:val="000000"/>
          <w:kern w:val="0"/>
          <w:sz w:val="32"/>
        </w:rPr>
        <w:t>一、</w:t>
      </w:r>
      <w:r>
        <w:rPr>
          <w:rFonts w:ascii="黑体" w:eastAsia="黑体" w:cs="宋体" w:hint="eastAsia"/>
          <w:color w:val="000000"/>
          <w:kern w:val="0"/>
          <w:sz w:val="32"/>
          <w:lang w:val="zh-CN"/>
        </w:rPr>
        <w:t>部门（单位）概况</w:t>
      </w:r>
    </w:p>
    <w:p>
      <w:pPr>
        <w:spacing w:line="576" w:lineRule="exact"/>
        <w:ind w:firstLineChars="200" w:firstLine="640"/>
        <w:rPr>
          <w:rFonts w:ascii="仿宋_GB2312" w:eastAsia="仿宋_GB2312"/>
          <w:bCs/>
          <w:sz w:val="32"/>
          <w:lang w:val="zh-CN"/>
        </w:rPr>
      </w:pPr>
      <w:r>
        <w:rPr>
          <w:rFonts w:ascii="仿宋_GB2312" w:eastAsia="仿宋_GB2312" w:hint="eastAsia"/>
          <w:bCs/>
          <w:sz w:val="32"/>
          <w:lang w:val="zh-CN"/>
        </w:rPr>
        <w:t>（一）机构组成</w:t>
      </w:r>
    </w:p>
    <w:p>
      <w:pPr>
        <w:spacing w:line="576" w:lineRule="exact"/>
        <w:ind w:firstLineChars="200" w:firstLine="640"/>
        <w:rPr>
          <w:rFonts w:ascii="仿宋_GB2312" w:eastAsia="仿宋_GB2312"/>
          <w:bCs/>
          <w:sz w:val="32"/>
          <w:lang w:val="zh-CN"/>
        </w:rPr>
      </w:pPr>
      <w:r>
        <w:rPr>
          <w:rFonts w:ascii="仿宋_GB2312" w:eastAsia="仿宋_GB2312" w:hint="eastAsia"/>
          <w:bCs/>
          <w:sz w:val="32"/>
        </w:rPr>
        <w:t>金川县社会保险事务中心属独立编制机构和独立核算的参公事业单位。</w:t>
      </w:r>
    </w:p>
    <w:p>
      <w:pPr>
        <w:spacing w:line="576" w:lineRule="exact"/>
        <w:ind w:firstLineChars="200" w:firstLine="640"/>
        <w:rPr>
          <w:rFonts w:ascii="仿宋_GB2312" w:eastAsia="仿宋_GB2312"/>
          <w:bCs/>
          <w:sz w:val="32"/>
          <w:lang w:val="zh-CN"/>
        </w:rPr>
      </w:pPr>
      <w:r>
        <w:rPr>
          <w:rFonts w:ascii="仿宋_GB2312" w:eastAsia="仿宋_GB2312" w:hint="eastAsia"/>
          <w:bCs/>
          <w:sz w:val="32"/>
          <w:lang w:val="zh-CN"/>
        </w:rPr>
        <w:t>（二）机构职能</w:t>
      </w:r>
    </w:p>
    <w:p>
      <w:pPr>
        <w:spacing w:line="576" w:lineRule="exact"/>
        <w:ind w:firstLineChars="200" w:firstLine="640"/>
        <w:rPr>
          <w:rFonts w:ascii="仿宋_GB2312" w:eastAsia="仿宋_GB2312"/>
          <w:bCs/>
          <w:sz w:val="32"/>
        </w:rPr>
      </w:pPr>
      <w:r>
        <w:rPr>
          <w:rFonts w:ascii="仿宋_GB2312" w:eastAsia="仿宋_GB2312" w:hint="eastAsia"/>
          <w:bCs/>
          <w:sz w:val="32"/>
        </w:rPr>
        <w:t>1、根据有关法律、法规和规章，制定全县社会保险登记、申报、征缴、管理、使用、运营和待遇支付以及社会保险关系建立、中断、转移、接续和基金转移的办事程序与操作规范并组织实施；</w:t>
      </w:r>
    </w:p>
    <w:p>
      <w:pPr>
        <w:spacing w:line="576" w:lineRule="exact"/>
        <w:ind w:firstLineChars="200" w:firstLine="640"/>
        <w:rPr>
          <w:rFonts w:ascii="仿宋_GB2312" w:eastAsia="仿宋_GB2312"/>
          <w:bCs/>
          <w:sz w:val="32"/>
        </w:rPr>
      </w:pPr>
      <w:r>
        <w:rPr>
          <w:rFonts w:ascii="仿宋_GB2312" w:eastAsia="仿宋_GB2312" w:hint="eastAsia"/>
          <w:bCs/>
          <w:sz w:val="32"/>
        </w:rPr>
        <w:t>2、制定全县社会保险个人账户、缴费记录、档案管理等业务工作规范并组织实施；</w:t>
      </w:r>
    </w:p>
    <w:p>
      <w:pPr>
        <w:spacing w:line="576" w:lineRule="exact"/>
        <w:ind w:firstLineChars="200" w:firstLine="640"/>
        <w:rPr>
          <w:rFonts w:ascii="仿宋_GB2312" w:eastAsia="仿宋_GB2312"/>
          <w:bCs/>
          <w:sz w:val="32"/>
        </w:rPr>
      </w:pPr>
      <w:r>
        <w:rPr>
          <w:rFonts w:ascii="仿宋_GB2312" w:eastAsia="仿宋_GB2312" w:hint="eastAsia"/>
          <w:bCs/>
          <w:sz w:val="32"/>
        </w:rPr>
        <w:t>3、制定全县保险基金财务、会计制度的具体操作办法并组织实施，指导各单位财务按照社会保险基金财务、会计制度进行规范管理，编制汇总全县社会保险基金年度预决算报告，加强基金财务管理和会计核算；</w:t>
      </w:r>
    </w:p>
    <w:p>
      <w:pPr>
        <w:spacing w:line="576" w:lineRule="exact"/>
        <w:ind w:firstLineChars="200" w:firstLine="640"/>
        <w:rPr>
          <w:rFonts w:ascii="仿宋_GB2312" w:eastAsia="仿宋_GB2312"/>
          <w:bCs/>
          <w:sz w:val="32"/>
        </w:rPr>
      </w:pPr>
      <w:r>
        <w:rPr>
          <w:rFonts w:ascii="仿宋_GB2312" w:eastAsia="仿宋_GB2312" w:hint="eastAsia"/>
          <w:bCs/>
          <w:sz w:val="32"/>
        </w:rPr>
        <w:t>4、负责全县社会保险统筹规划，研究提出年度筹划和实施意见，负责全县社会保险调剂金的上解；</w:t>
      </w:r>
    </w:p>
    <w:p>
      <w:pPr>
        <w:spacing w:line="576" w:lineRule="exact"/>
        <w:ind w:firstLineChars="200" w:firstLine="640"/>
        <w:rPr>
          <w:rFonts w:ascii="仿宋_GB2312" w:eastAsia="仿宋_GB2312"/>
          <w:bCs/>
          <w:sz w:val="32"/>
        </w:rPr>
      </w:pPr>
      <w:r>
        <w:rPr>
          <w:rFonts w:ascii="仿宋_GB2312" w:eastAsia="仿宋_GB2312" w:hint="eastAsia"/>
          <w:bCs/>
          <w:sz w:val="32"/>
        </w:rPr>
        <w:t>5、督促检查全县参保单位离退休人员基本养老保险金按时足额发放和工伤待遇的落实，制定社会保险社会化管理规范，对全县机关单位和企事业退休人员开展社会化管理服务和推进、巩固完善和规范基本养老保险金社会化发放工作</w:t>
      </w:r>
    </w:p>
    <w:p>
      <w:pPr>
        <w:spacing w:line="576" w:lineRule="exact"/>
        <w:ind w:firstLineChars="200" w:firstLine="640"/>
        <w:rPr>
          <w:rFonts w:ascii="仿宋_GB2312" w:eastAsia="仿宋_GB2312"/>
          <w:bCs/>
          <w:sz w:val="32"/>
        </w:rPr>
      </w:pPr>
      <w:r>
        <w:rPr>
          <w:rFonts w:ascii="仿宋_GB2312" w:eastAsia="仿宋_GB2312" w:hint="eastAsia"/>
          <w:bCs/>
          <w:sz w:val="32"/>
        </w:rPr>
        <w:t>6、制定全县社会保险稽核工作规范，并开展社会保险稽核工作；</w:t>
      </w:r>
    </w:p>
    <w:p>
      <w:pPr>
        <w:spacing w:line="576" w:lineRule="exact"/>
        <w:ind w:firstLineChars="200" w:firstLine="640"/>
        <w:rPr>
          <w:rFonts w:ascii="仿宋_GB2312" w:eastAsia="仿宋_GB2312"/>
          <w:bCs/>
          <w:sz w:val="32"/>
        </w:rPr>
      </w:pPr>
      <w:r>
        <w:rPr>
          <w:rFonts w:ascii="仿宋_GB2312" w:eastAsia="仿宋_GB2312" w:hint="eastAsia"/>
          <w:bCs/>
          <w:sz w:val="32"/>
        </w:rPr>
        <w:t>7、负责经办县属参保单位职工养老、工伤工作；</w:t>
      </w:r>
    </w:p>
    <w:p>
      <w:pPr>
        <w:spacing w:line="576" w:lineRule="exact"/>
        <w:ind w:firstLineChars="200" w:firstLine="640"/>
        <w:rPr>
          <w:rFonts w:ascii="仿宋_GB2312" w:eastAsia="仿宋_GB2312"/>
          <w:bCs/>
          <w:sz w:val="32"/>
          <w:lang w:val="zh-CN"/>
        </w:rPr>
      </w:pPr>
      <w:r>
        <w:rPr>
          <w:rFonts w:ascii="仿宋_GB2312" w:eastAsia="仿宋_GB2312" w:hint="eastAsia"/>
          <w:bCs/>
          <w:sz w:val="32"/>
        </w:rPr>
        <w:t>8、承担全县社会保险信息、统计数据的采集、整理、分析及管理工作，负责全县社会保险信息管理系统的开发建设、运行管理和网络管理等工作。</w:t>
      </w:r>
    </w:p>
    <w:p>
      <w:pPr>
        <w:spacing w:line="600" w:lineRule="exact"/>
        <w:ind w:firstLineChars="200" w:firstLine="640"/>
        <w:rPr>
          <w:rFonts w:ascii="仿宋_GB2312" w:eastAsia="仿宋_GB2312"/>
          <w:bCs/>
          <w:sz w:val="32"/>
        </w:rPr>
      </w:pPr>
      <w:r>
        <w:rPr>
          <w:rFonts w:ascii="仿宋_GB2312" w:eastAsia="仿宋_GB2312" w:hint="eastAsia"/>
          <w:bCs/>
          <w:sz w:val="32"/>
          <w:lang w:val="zh-CN"/>
        </w:rPr>
        <w:t>（三）人员概况</w:t>
      </w:r>
      <w:r>
        <w:rPr>
          <w:rFonts w:ascii="仿宋_GB2312" w:eastAsia="仿宋_GB2312" w:hint="eastAsia"/>
          <w:bCs/>
          <w:sz w:val="32"/>
        </w:rPr>
        <w:t>人员情况：金川县社会保险事务中心人员编制数16人，其中：参公14人（工勤1人），事业2人。2022年末实有在职职工15人, 参公13人，事业2人，离休1人，无人员增减变动。</w:t>
      </w:r>
    </w:p>
    <w:p>
      <w:pPr>
        <w:widowControl/>
        <w:adjustRightInd w:val="0"/>
        <w:snapToGrid w:val="0"/>
        <w:spacing w:line="480" w:lineRule="exact"/>
        <w:jc w:val="left"/>
        <w:rPr>
          <w:rFonts w:ascii="黑体" w:eastAsia="黑体" w:cs="宋体"/>
          <w:color w:val="000000"/>
          <w:kern w:val="0"/>
        </w:rPr>
      </w:pPr>
      <w:r>
        <w:rPr>
          <w:rFonts w:ascii="黑体" w:eastAsia="黑体" w:cs="宋体" w:hint="eastAsia"/>
          <w:color w:val="000000"/>
          <w:kern w:val="0"/>
          <w:sz w:val="32"/>
        </w:rPr>
        <w:t>二、部门财政资金收支情况</w:t>
      </w:r>
    </w:p>
    <w:p>
      <w:pPr>
        <w:spacing w:line="576" w:lineRule="exact"/>
        <w:ind w:firstLineChars="200" w:firstLine="640"/>
        <w:rPr>
          <w:rFonts w:ascii="仿宋_GB2312" w:eastAsia="仿宋_GB2312"/>
          <w:bCs/>
          <w:sz w:val="32"/>
          <w:lang w:val="zh-CN"/>
        </w:rPr>
      </w:pPr>
      <w:r>
        <w:rPr>
          <w:rFonts w:ascii="仿宋_GB2312" w:eastAsia="仿宋_GB2312" w:hint="eastAsia"/>
          <w:bCs/>
          <w:sz w:val="32"/>
          <w:lang w:val="zh-CN"/>
        </w:rPr>
        <w:t>（一）部门财政资金收入情况</w:t>
      </w:r>
    </w:p>
    <w:p>
      <w:pPr>
        <w:spacing w:line="576" w:lineRule="exact"/>
        <w:ind w:firstLineChars="200" w:firstLine="640"/>
        <w:rPr>
          <w:rFonts w:ascii="仿宋_GB2312" w:eastAsia="仿宋_GB2312"/>
          <w:bCs/>
          <w:sz w:val="32"/>
          <w:lang w:val="zh-CN"/>
        </w:rPr>
      </w:pPr>
      <w:r>
        <w:rPr>
          <w:rFonts w:ascii="仿宋_GB2312" w:eastAsia="仿宋_GB2312"/>
          <w:bCs/>
          <w:sz w:val="32"/>
          <w:lang w:val="zh-CN"/>
        </w:rP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position:absolute;margin-left:46.2pt;margin-top:0.05pt;width:279.65pt;height:160.35pt;z-index:35;mso-position-horizontal:absolute;mso-position-vertical:absolute;mso-wrap-distance-left:8.999863pt;mso-wrap-distance-right:8.999863pt;" o:ole="">
            <v:stroke color="#000000"/>
            <v:imagedata r:id="rId12" o:title="image1"/>
            <o:lock aspectratio="t"/>
            <w10:wrap type="topAndBottom"/>
          </v:shape>
          <o:OLEObject Type="Embed" ProgID="Package" ShapeID="_x0000_i1" DrawAspect="Content" ObjectID="_1393063351" r:id="rId13"/>
        </w:object>
      </w:r>
      <w:r>
        <w:rPr>
          <w:rFonts w:ascii="仿宋_GB2312" w:eastAsia="仿宋_GB2312" w:hint="eastAsia"/>
          <w:bCs/>
          <w:sz w:val="32"/>
          <w:lang w:val="zh-CN"/>
        </w:rPr>
        <w:t>2022年社会保险事务中心本年收入合计</w:t>
      </w:r>
      <w:r>
        <w:rPr>
          <w:rFonts w:ascii="仿宋_GB2312" w:eastAsia="仿宋_GB2312" w:hint="eastAsia"/>
          <w:bCs/>
          <w:sz w:val="32"/>
        </w:rPr>
        <w:t>361.2</w:t>
      </w:r>
      <w:r>
        <w:rPr>
          <w:rFonts w:ascii="仿宋_GB2312" w:eastAsia="仿宋_GB2312" w:hint="eastAsia"/>
          <w:bCs/>
          <w:sz w:val="32"/>
          <w:lang w:val="zh-CN"/>
        </w:rPr>
        <w:t>万元，其中：一般公共预算财政拨款收入</w:t>
      </w:r>
      <w:r>
        <w:rPr>
          <w:rFonts w:ascii="仿宋_GB2312" w:eastAsia="仿宋_GB2312" w:hint="eastAsia"/>
          <w:bCs/>
          <w:sz w:val="32"/>
        </w:rPr>
        <w:t>361.2</w:t>
      </w:r>
      <w:r>
        <w:rPr>
          <w:rFonts w:ascii="仿宋_GB2312" w:eastAsia="仿宋_GB2312" w:hint="eastAsia"/>
          <w:bCs/>
          <w:sz w:val="32"/>
          <w:lang w:val="zh-CN"/>
        </w:rPr>
        <w:t>万元，占100%；事业收入0万元；经营收入0万元；附属单位上缴收入0万元；其他收入0万元。上年结转和结余0元。</w:t>
      </w:r>
      <w:r>
        <w:rPr>
          <w:rFonts w:ascii="仿宋_GB2312" w:eastAsia="仿宋_GB2312"/>
          <w:bCs/>
          <w:sz w:val="32"/>
        </w:rPr>
        <w:drawing>
          <wp:anchor distT="0" distB="0" distL="114300" distR="114300" simplePos="0" relativeHeight="37" behindDoc="0" locked="0" layoutInCell="1" hidden="0" allowOverlap="1">
            <wp:simplePos x="0" y="0"/>
            <wp:positionH relativeFrom="column">
              <wp:posOffset>586740</wp:posOffset>
            </wp:positionH>
            <wp:positionV relativeFrom="paragraph">
              <wp:posOffset>635</wp:posOffset>
            </wp:positionV>
            <wp:extent cx="3418205" cy="1960245"/>
            <wp:effectExtent l="0" t="0" r="0" b="0"/>
            <wp:wrapTopAndBottom/>
            <wp:docPr id="15" name="对象 5"/>
            <wp:cNvGraphicFramePr>
              <a:graphicFrameLocks noChangeAspect="1"/>
            </wp:cNvGraphicFramePr>
            <a:graphic>
              <a:graphicData uri="http://schemas.openxmlformats.org/drawingml/2006/chart">
                <c:chart xmlns:c="http://schemas.openxmlformats.org/drawingml/2006/chart" r:id="rId14"/>
              </a:graphicData>
            </a:graphic>
          </wp:anchor>
        </w:drawing>
      </w:r>
      <w:r>
        <w:rPr>
          <w:rFonts w:ascii="仿宋_GB2312" w:eastAsia="仿宋_GB2312" w:hint="eastAsia"/>
          <w:bCs/>
          <w:sz w:val="32"/>
          <w:lang w:val="zh-CN"/>
        </w:rPr>
        <w:t>其中1、2022年社会保险事务中心本年收入合计</w:t>
      </w:r>
      <w:r>
        <w:rPr>
          <w:rFonts w:ascii="仿宋_GB2312" w:eastAsia="仿宋_GB2312" w:hint="eastAsia"/>
          <w:bCs/>
          <w:sz w:val="32"/>
        </w:rPr>
        <w:t>313.5</w:t>
      </w:r>
      <w:r>
        <w:rPr>
          <w:rFonts w:ascii="仿宋_GB2312" w:eastAsia="仿宋_GB2312" w:hint="eastAsia"/>
          <w:bCs/>
          <w:sz w:val="32"/>
          <w:lang w:val="zh-CN"/>
        </w:rPr>
        <w:t>万元，其中：一般公共预算财政拨款收入</w:t>
      </w:r>
      <w:r>
        <w:rPr>
          <w:rFonts w:ascii="仿宋_GB2312" w:eastAsia="仿宋_GB2312" w:hint="eastAsia"/>
          <w:bCs/>
          <w:sz w:val="32"/>
        </w:rPr>
        <w:t>313.5</w:t>
      </w:r>
      <w:r>
        <w:rPr>
          <w:rFonts w:ascii="仿宋_GB2312" w:eastAsia="仿宋_GB2312" w:hint="eastAsia"/>
          <w:bCs/>
          <w:sz w:val="32"/>
          <w:lang w:val="zh-CN"/>
        </w:rPr>
        <w:t>万元，占100%；事业收入0万元；经营收入0万元；附属单位上缴收入0万元；其他收入0万元。上年结转和结余0元。</w:t>
      </w:r>
    </w:p>
    <w:p>
      <w:pPr>
        <w:spacing w:line="576" w:lineRule="exact"/>
        <w:ind w:firstLineChars="200" w:firstLine="640"/>
        <w:rPr>
          <w:rFonts w:ascii="仿宋_GB2312" w:eastAsia="仿宋_GB2312"/>
          <w:bCs/>
          <w:sz w:val="32"/>
          <w:lang w:val="zh-CN"/>
        </w:rPr>
      </w:pPr>
      <w:r>
        <w:rPr>
          <w:rFonts w:ascii="仿宋_GB2312" w:eastAsia="仿宋_GB2312" w:hint="eastAsia"/>
          <w:bCs/>
          <w:sz w:val="32"/>
          <w:lang w:val="zh-CN"/>
        </w:rPr>
        <w:t>2、2022年</w:t>
      </w:r>
      <w:r>
        <w:rPr>
          <w:rFonts w:ascii="仿宋_GB2312" w:eastAsia="仿宋_GB2312" w:hint="eastAsia"/>
          <w:bCs/>
          <w:sz w:val="32"/>
        </w:rPr>
        <w:t>金川县社会保险服务指导站</w:t>
      </w:r>
      <w:r>
        <w:rPr>
          <w:rFonts w:ascii="仿宋_GB2312" w:eastAsia="仿宋_GB2312" w:hint="eastAsia"/>
          <w:bCs/>
          <w:sz w:val="32"/>
          <w:lang w:val="zh-CN"/>
        </w:rPr>
        <w:t>本年收入合计</w:t>
      </w:r>
      <w:r>
        <w:rPr>
          <w:rFonts w:ascii="仿宋_GB2312" w:eastAsia="仿宋_GB2312" w:hint="eastAsia"/>
          <w:bCs/>
          <w:sz w:val="32"/>
        </w:rPr>
        <w:t>47.7</w:t>
      </w:r>
      <w:r>
        <w:rPr>
          <w:rFonts w:ascii="仿宋_GB2312" w:eastAsia="仿宋_GB2312" w:hint="eastAsia"/>
          <w:bCs/>
          <w:sz w:val="32"/>
          <w:lang w:val="zh-CN"/>
        </w:rPr>
        <w:t>万元，其中：一般公共预算财政拨款收入</w:t>
      </w:r>
      <w:r>
        <w:rPr>
          <w:rFonts w:ascii="仿宋_GB2312" w:eastAsia="仿宋_GB2312" w:hint="eastAsia"/>
          <w:bCs/>
          <w:sz w:val="32"/>
        </w:rPr>
        <w:t>47.7</w:t>
      </w:r>
      <w:r>
        <w:rPr>
          <w:rFonts w:ascii="仿宋_GB2312" w:eastAsia="仿宋_GB2312" w:hint="eastAsia"/>
          <w:bCs/>
          <w:sz w:val="32"/>
          <w:lang w:val="zh-CN"/>
        </w:rPr>
        <w:t>万元，占100%；事业收入0万元；经营收入0万元；附属单位上缴收入0万元；其他收入0万元。上年结转和结余0元。</w:t>
      </w:r>
    </w:p>
    <w:p>
      <w:pPr>
        <w:spacing w:line="576" w:lineRule="exact"/>
        <w:ind w:firstLineChars="200" w:firstLine="640"/>
        <w:rPr>
          <w:rFonts w:ascii="仿宋_GB2312" w:eastAsia="仿宋_GB2312"/>
          <w:bCs/>
          <w:sz w:val="32"/>
          <w:lang w:val="zh-CN"/>
        </w:rPr>
      </w:pPr>
      <w:r>
        <w:rPr>
          <w:rFonts w:ascii="仿宋_GB2312" w:eastAsia="仿宋_GB2312" w:hint="eastAsia"/>
          <w:bCs/>
          <w:sz w:val="32"/>
          <w:lang w:val="zh-CN"/>
        </w:rPr>
        <w:t>（三）部门财政资金支出情况</w:t>
      </w:r>
    </w:p>
    <w:p>
      <w:pPr>
        <w:ind w:firstLineChars="200" w:firstLine="640"/>
        <w:rPr>
          <w:rFonts w:ascii="仿宋_GB2312" w:eastAsia="仿宋_GB2312"/>
          <w:color w:val="000000"/>
          <w:sz w:val="32"/>
          <w:szCs w:val="32"/>
        </w:rPr>
      </w:pPr>
      <w:r>
        <w:rPr>
          <w:rFonts w:ascii="仿宋_GB2312" w:eastAsia="仿宋_GB2312" w:hint="eastAsia"/>
          <w:bCs/>
          <w:sz w:val="32"/>
          <w:lang w:val="zh-CN"/>
        </w:rPr>
        <w:t>2022年社会保险事务中心（本级）本年支出合计</w:t>
      </w:r>
      <w:r>
        <w:rPr>
          <w:rFonts w:ascii="仿宋_GB2312" w:eastAsia="仿宋_GB2312" w:hint="eastAsia"/>
          <w:bCs/>
          <w:sz w:val="32"/>
        </w:rPr>
        <w:t>361.2</w:t>
      </w:r>
      <w:r>
        <w:rPr>
          <w:rFonts w:ascii="仿宋_GB2312" w:eastAsia="仿宋_GB2312" w:hint="eastAsia"/>
          <w:bCs/>
          <w:sz w:val="32"/>
          <w:lang w:val="zh-CN"/>
        </w:rPr>
        <w:t>万元，</w:t>
      </w:r>
      <w:r>
        <w:rPr>
          <w:rFonts w:ascii="仿宋_GB2312" w:eastAsia="仿宋_GB2312" w:hint="eastAsia"/>
          <w:color w:val="000000"/>
          <w:sz w:val="32"/>
          <w:szCs w:val="32"/>
        </w:rPr>
        <w:t>2022年社会保险事务中心本年支出合计</w:t>
      </w:r>
      <w:r>
        <w:rPr>
          <w:rFonts w:ascii="仿宋_GB2312" w:eastAsia="仿宋_GB2312" w:cs="仿宋_GB2312" w:hint="eastAsia"/>
          <w:sz w:val="32"/>
          <w:szCs w:val="32"/>
        </w:rPr>
        <w:t>361.2</w:t>
      </w:r>
      <w:r>
        <w:rPr>
          <w:rFonts w:ascii="仿宋_GB2312" w:eastAsia="仿宋_GB2312" w:hint="eastAsia"/>
          <w:color w:val="000000"/>
          <w:sz w:val="32"/>
          <w:szCs w:val="32"/>
        </w:rPr>
        <w:t>万元，其中：基本支出360.36万元；占总支出的99.77%，项目支出0.84万元，占总支出的0.23%，其中：1、2022年社会保险事务中心本年支出合计</w:t>
      </w:r>
      <w:r>
        <w:rPr>
          <w:rFonts w:ascii="仿宋_GB2312" w:eastAsia="仿宋_GB2312" w:cs="仿宋_GB2312" w:hint="eastAsia"/>
          <w:sz w:val="32"/>
          <w:szCs w:val="32"/>
        </w:rPr>
        <w:t>313.5</w:t>
      </w:r>
      <w:r>
        <w:rPr>
          <w:rFonts w:ascii="仿宋_GB2312" w:eastAsia="仿宋_GB2312" w:hint="eastAsia"/>
          <w:color w:val="000000"/>
          <w:sz w:val="32"/>
          <w:szCs w:val="32"/>
        </w:rPr>
        <w:t>万元，其中：基本支出312.66万元；占总支出的99.73%，项目支出0.84万元，占总支出的0.27%。2、2022年</w:t>
      </w:r>
      <w:r>
        <w:rPr>
          <w:rFonts w:ascii="仿宋_GB2312" w:eastAsia="仿宋_GB2312" w:hint="eastAsia"/>
          <w:bCs/>
          <w:sz w:val="32"/>
        </w:rPr>
        <w:t>金川县社会保险服务指导站</w:t>
      </w:r>
      <w:r>
        <w:rPr>
          <w:rFonts w:ascii="仿宋_GB2312" w:eastAsia="仿宋_GB2312" w:hint="eastAsia"/>
          <w:color w:val="000000"/>
          <w:sz w:val="32"/>
          <w:szCs w:val="32"/>
        </w:rPr>
        <w:t>本年支出合计</w:t>
      </w:r>
      <w:r>
        <w:rPr>
          <w:rFonts w:ascii="仿宋_GB2312" w:eastAsia="仿宋_GB2312" w:cs="仿宋_GB2312" w:hint="eastAsia"/>
          <w:sz w:val="32"/>
          <w:szCs w:val="32"/>
        </w:rPr>
        <w:t>47.7</w:t>
      </w:r>
      <w:r>
        <w:rPr>
          <w:rFonts w:ascii="仿宋_GB2312" w:eastAsia="仿宋_GB2312" w:hint="eastAsia"/>
          <w:color w:val="000000"/>
          <w:sz w:val="32"/>
          <w:szCs w:val="32"/>
        </w:rPr>
        <w:t>万元，其中：基本支出47.7万元；占总支出的100%。</w:t>
      </w:r>
    </w:p>
    <w:p>
      <w:pPr>
        <w:spacing w:line="576" w:lineRule="exact"/>
        <w:rPr>
          <w:rFonts w:ascii="仿宋_GB2312" w:eastAsia="仿宋_GB2312" w:hint="eastAsia"/>
          <w:bCs/>
          <w:sz w:val="32"/>
          <w:lang w:val="zh-CN"/>
        </w:rPr>
      </w:pPr>
      <w:r>
        <w:rPr>
          <w:rFonts w:ascii="仿宋_GB2312" w:eastAsia="仿宋_GB2312" w:hint="eastAsia"/>
          <w:color w:val="000000"/>
          <w:sz w:val="32"/>
          <w:szCs w:val="32"/>
        </w:rPr>
        <w:drawing>
          <wp:anchor distT="0" distB="0" distL="114300" distR="114300" simplePos="0" relativeHeight="39" behindDoc="0" locked="0" layoutInCell="1" hidden="0" allowOverlap="1">
            <wp:simplePos x="0" y="0"/>
            <wp:positionH relativeFrom="column">
              <wp:posOffset>229870</wp:posOffset>
            </wp:positionH>
            <wp:positionV relativeFrom="paragraph">
              <wp:posOffset>128270</wp:posOffset>
            </wp:positionV>
            <wp:extent cx="4655184" cy="1570989"/>
            <wp:effectExtent l="0" t="0" r="0" b="0"/>
            <wp:wrapSquare wrapText="bothSides"/>
            <wp:docPr id="16" name="图表 8"/>
            <wp:cNvGraphicFramePr>
              <a:graphicFrameLocks noChangeAspect="0"/>
            </wp:cNvGraphicFramePr>
            <a:graphic>
              <a:graphicData uri="http://schemas.openxmlformats.org/drawingml/2006/chart">
                <c:chart xmlns:c="http://schemas.openxmlformats.org/drawingml/2006/chart" r:id="rId15"/>
              </a:graphicData>
            </a:graphic>
          </wp:anchor>
        </w:drawing>
      </w:r>
    </w:p>
    <w:p>
      <w:pPr>
        <w:spacing w:line="600" w:lineRule="exact"/>
        <w:ind w:firstLineChars="200" w:firstLine="640"/>
        <w:rPr>
          <w:rFonts w:ascii="仿宋_GB2312" w:eastAsia="仿宋_GB2312" w:hint="eastAsia"/>
          <w:bCs/>
          <w:sz w:val="32"/>
          <w:lang w:val="zh-CN"/>
        </w:rPr>
      </w:pPr>
    </w:p>
    <w:p>
      <w:pPr>
        <w:spacing w:line="600" w:lineRule="exact"/>
        <w:ind w:firstLineChars="200" w:firstLine="640"/>
        <w:rPr>
          <w:rFonts w:ascii="仿宋_GB2312" w:eastAsia="仿宋_GB2312" w:hint="eastAsia"/>
          <w:bCs/>
          <w:sz w:val="32"/>
          <w:lang w:val="zh-CN"/>
        </w:rPr>
      </w:pPr>
    </w:p>
    <w:p>
      <w:pPr>
        <w:spacing w:line="600" w:lineRule="exact"/>
        <w:ind w:firstLineChars="200" w:firstLine="640"/>
        <w:rPr>
          <w:rFonts w:ascii="仿宋_GB2312" w:eastAsia="仿宋_GB2312" w:hint="eastAsia"/>
          <w:bCs/>
          <w:sz w:val="32"/>
          <w:lang w:val="zh-CN"/>
        </w:rPr>
      </w:pPr>
    </w:p>
    <w:p>
      <w:pPr>
        <w:spacing w:line="576" w:lineRule="exact"/>
        <w:rPr>
          <w:rFonts w:ascii="仿宋_GB2312" w:eastAsia="仿宋_GB2312" w:hint="eastAsia"/>
          <w:bCs/>
          <w:sz w:val="32"/>
          <w:lang w:val="zh-CN"/>
        </w:rPr>
      </w:pPr>
    </w:p>
    <w:p>
      <w:pPr>
        <w:spacing w:line="576" w:lineRule="exact"/>
        <w:rPr>
          <w:rFonts w:ascii="仿宋_GB2312" w:eastAsia="仿宋_GB2312" w:hint="eastAsia"/>
          <w:bCs/>
          <w:sz w:val="32"/>
          <w:lang w:val="zh-CN"/>
        </w:rPr>
      </w:pPr>
      <w:r>
        <w:rPr>
          <w:rFonts w:ascii="仿宋_GB2312" w:eastAsia="仿宋_GB2312" w:hint="eastAsia"/>
          <w:bCs/>
          <w:sz w:val="32"/>
          <w:lang w:val="zh-CN"/>
        </w:rPr>
        <w:t>（</w:t>
      </w:r>
      <w:r>
        <w:rPr>
          <w:rFonts w:ascii="仿宋_GB2312" w:eastAsia="仿宋_GB2312" w:hint="eastAsia"/>
          <w:bCs/>
          <w:sz w:val="32"/>
          <w:lang w:val="en-US" w:eastAsia="zh-CN"/>
        </w:rPr>
        <w:t>三</w:t>
      </w:r>
      <w:r>
        <w:rPr>
          <w:rFonts w:ascii="仿宋_GB2312" w:eastAsia="仿宋_GB2312" w:hint="eastAsia"/>
          <w:bCs/>
          <w:sz w:val="32"/>
          <w:lang w:val="zh-CN"/>
        </w:rPr>
        <w:t>）一般公共预算财政拨款支出决算结构情况</w:t>
      </w:r>
    </w:p>
    <w:p>
      <w:pPr>
        <w:spacing w:line="600" w:lineRule="exact"/>
        <w:ind w:firstLineChars="200" w:firstLine="640"/>
        <w:rPr>
          <w:rFonts w:ascii="仿宋_GB2312" w:eastAsia="仿宋_GB2312" w:hint="eastAsia"/>
          <w:color w:val="000000"/>
          <w:sz w:val="32"/>
          <w:szCs w:val="32"/>
        </w:rPr>
      </w:pPr>
      <w:r>
        <w:rPr>
          <w:rFonts w:ascii="仿宋_GB2312" w:eastAsia="仿宋_GB2312"/>
          <w:bCs/>
          <w:sz w:val="32"/>
          <w:lang w:val="zh-CN"/>
        </w:rPr>
        <w:drawing>
          <wp:anchor distT="0" distB="0" distL="114300" distR="114300" simplePos="0" relativeHeight="41" behindDoc="0" locked="0" layoutInCell="1" hidden="0" allowOverlap="1">
            <wp:simplePos x="0" y="0"/>
            <wp:positionH relativeFrom="column">
              <wp:posOffset>-167005</wp:posOffset>
            </wp:positionH>
            <wp:positionV relativeFrom="paragraph">
              <wp:posOffset>1976120</wp:posOffset>
            </wp:positionV>
            <wp:extent cx="5422899" cy="1307464"/>
            <wp:effectExtent l="0" t="0" r="0" b="0"/>
            <wp:wrapSquare wrapText="bothSides"/>
            <wp:docPr id="17" name="图表 9"/>
            <wp:cNvGraphicFramePr>
              <a:graphicFrameLocks noChangeAspect="0"/>
            </wp:cNvGraphicFramePr>
            <a:graphic>
              <a:graphicData uri="http://schemas.openxmlformats.org/drawingml/2006/chart">
                <c:chart xmlns:c="http://schemas.openxmlformats.org/drawingml/2006/chart" r:id="rId16"/>
              </a:graphicData>
            </a:graphic>
          </wp:anchor>
        </w:drawing>
      </w:r>
      <w:r>
        <w:rPr>
          <w:rFonts w:ascii="仿宋_GB2312" w:eastAsia="仿宋_GB2312" w:hint="eastAsia"/>
          <w:color w:val="000000"/>
          <w:sz w:val="32"/>
          <w:szCs w:val="32"/>
        </w:rPr>
        <w:t>金川县社会保险事务中心2022年一般公共预算财政拨款支出</w:t>
      </w:r>
      <w:r>
        <w:rPr>
          <w:rFonts w:ascii="仿宋_GB2312" w:eastAsia="仿宋_GB2312" w:hint="eastAsia"/>
          <w:color w:val="000000"/>
          <w:sz w:val="32"/>
          <w:szCs w:val="32"/>
          <w:lang w:val="en-US" w:eastAsia="zh-CN"/>
        </w:rPr>
        <w:t>361.2</w:t>
      </w:r>
      <w:r>
        <w:rPr>
          <w:rFonts w:ascii="仿宋_GB2312" w:eastAsia="仿宋_GB2312" w:hint="eastAsia"/>
          <w:color w:val="000000"/>
          <w:sz w:val="32"/>
          <w:szCs w:val="32"/>
        </w:rPr>
        <w:t>万元，主要用于以下方面:</w:t>
      </w:r>
      <w:r>
        <w:rPr>
          <w:rFonts w:ascii="仿宋_GB2312" w:eastAsia="仿宋_GB2312" w:hint="eastAsia"/>
          <w:color w:val="000000"/>
          <w:sz w:val="32"/>
          <w:szCs w:val="32"/>
          <w:lang w:val="zh-CN"/>
        </w:rPr>
        <w:t>社会保障和就业支出</w:t>
      </w:r>
      <w:r>
        <w:rPr>
          <w:rFonts w:ascii="仿宋_GB2312" w:eastAsia="仿宋_GB2312" w:hint="eastAsia"/>
          <w:color w:val="000000"/>
          <w:sz w:val="32"/>
          <w:szCs w:val="32"/>
          <w:lang w:val="en-US" w:eastAsia="zh-CN"/>
        </w:rPr>
        <w:t>321.86</w:t>
      </w:r>
      <w:r>
        <w:rPr>
          <w:rFonts w:ascii="仿宋_GB2312" w:eastAsia="仿宋_GB2312" w:hint="eastAsia"/>
          <w:color w:val="000000"/>
          <w:sz w:val="32"/>
          <w:szCs w:val="32"/>
          <w:lang w:val="zh-CN"/>
        </w:rPr>
        <w:t>万元，占</w:t>
      </w:r>
      <w:r>
        <w:rPr>
          <w:rFonts w:ascii="仿宋_GB2312" w:eastAsia="仿宋_GB2312" w:hint="eastAsia"/>
          <w:color w:val="000000"/>
          <w:sz w:val="32"/>
          <w:szCs w:val="32"/>
          <w:lang w:val="en-US" w:eastAsia="zh-CN"/>
        </w:rPr>
        <w:t>89.11</w:t>
      </w:r>
      <w:r>
        <w:rPr>
          <w:rFonts w:ascii="仿宋_GB2312" w:eastAsia="仿宋_GB2312" w:hint="eastAsia"/>
          <w:color w:val="000000"/>
          <w:sz w:val="32"/>
          <w:szCs w:val="32"/>
          <w:lang w:val="zh-CN"/>
        </w:rPr>
        <w:t>%；医疗卫生与计划生育支出</w:t>
      </w:r>
      <w:r>
        <w:rPr>
          <w:rFonts w:ascii="仿宋_GB2312" w:eastAsia="仿宋_GB2312" w:hint="eastAsia"/>
          <w:color w:val="000000"/>
          <w:sz w:val="32"/>
          <w:szCs w:val="32"/>
          <w:lang w:val="en-US" w:eastAsia="zh-CN"/>
        </w:rPr>
        <w:t>15.78</w:t>
      </w:r>
      <w:r>
        <w:rPr>
          <w:rFonts w:ascii="仿宋_GB2312" w:eastAsia="仿宋_GB2312" w:hint="eastAsia"/>
          <w:color w:val="000000"/>
          <w:sz w:val="32"/>
          <w:szCs w:val="32"/>
          <w:lang w:val="zh-CN"/>
        </w:rPr>
        <w:t>万元，占</w:t>
      </w:r>
      <w:r>
        <w:rPr>
          <w:rFonts w:ascii="仿宋_GB2312" w:eastAsia="仿宋_GB2312" w:hint="eastAsia"/>
          <w:color w:val="000000"/>
          <w:sz w:val="32"/>
          <w:szCs w:val="32"/>
          <w:lang w:val="en-US" w:eastAsia="zh-CN"/>
        </w:rPr>
        <w:t>4.37</w:t>
      </w:r>
      <w:r>
        <w:rPr>
          <w:rFonts w:ascii="仿宋_GB2312" w:eastAsia="仿宋_GB2312" w:hint="eastAsia"/>
          <w:color w:val="000000"/>
          <w:sz w:val="32"/>
          <w:szCs w:val="32"/>
          <w:lang w:val="zh-CN"/>
        </w:rPr>
        <w:t>%；住房保障支出</w:t>
      </w:r>
      <w:r>
        <w:rPr>
          <w:rFonts w:ascii="仿宋_GB2312" w:eastAsia="仿宋_GB2312" w:hint="eastAsia"/>
          <w:color w:val="000000"/>
          <w:sz w:val="32"/>
          <w:szCs w:val="32"/>
          <w:lang w:val="en-US" w:eastAsia="zh-CN"/>
        </w:rPr>
        <w:t>22.72</w:t>
      </w:r>
      <w:r>
        <w:rPr>
          <w:rFonts w:ascii="仿宋_GB2312" w:eastAsia="仿宋_GB2312" w:hint="eastAsia"/>
          <w:color w:val="000000"/>
          <w:sz w:val="32"/>
          <w:szCs w:val="32"/>
          <w:lang w:val="zh-CN"/>
        </w:rPr>
        <w:t>万元，占</w:t>
      </w:r>
      <w:r>
        <w:rPr>
          <w:rFonts w:ascii="仿宋_GB2312" w:eastAsia="仿宋_GB2312" w:hint="eastAsia"/>
          <w:color w:val="000000"/>
          <w:sz w:val="32"/>
          <w:szCs w:val="32"/>
        </w:rPr>
        <w:t>6.</w:t>
      </w:r>
      <w:r>
        <w:rPr>
          <w:rFonts w:ascii="仿宋_GB2312" w:eastAsia="仿宋_GB2312" w:hint="eastAsia"/>
          <w:color w:val="000000"/>
          <w:sz w:val="32"/>
          <w:szCs w:val="32"/>
          <w:lang w:val="en-US" w:eastAsia="zh-CN"/>
        </w:rPr>
        <w:t>29</w:t>
      </w:r>
      <w:r>
        <w:rPr>
          <w:rFonts w:ascii="仿宋_GB2312" w:eastAsia="仿宋_GB2312" w:hint="eastAsia"/>
          <w:color w:val="000000"/>
          <w:sz w:val="32"/>
          <w:szCs w:val="32"/>
          <w:lang w:val="zh-CN"/>
        </w:rPr>
        <w:t>%；教育支出</w:t>
      </w:r>
      <w:r>
        <w:rPr>
          <w:rFonts w:ascii="仿宋_GB2312" w:eastAsia="仿宋_GB2312" w:hint="eastAsia"/>
          <w:color w:val="000000"/>
          <w:sz w:val="32"/>
          <w:szCs w:val="32"/>
        </w:rPr>
        <w:t>0.84万元，占0.2</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%。其他支出0万元，占0%。</w:t>
      </w:r>
    </w:p>
    <w:p>
      <w:pPr>
        <w:pStyle w:val="26"/>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firstLineChars="200" w:firstLine="640"/>
        <w:textAlignment w:val="auto"/>
        <w:rPr>
          <w:rFonts w:ascii="仿宋_GB2312" w:eastAsia="仿宋_GB2312" w:hint="eastAsia"/>
          <w:color w:val="000000"/>
          <w:sz w:val="32"/>
          <w:szCs w:val="32"/>
        </w:rPr>
      </w:pPr>
      <w:r>
        <w:rPr>
          <w:rFonts w:ascii="仿宋_GB2312" w:eastAsia="仿宋_GB2312" w:hint="eastAsia"/>
          <w:color w:val="000000"/>
          <w:sz w:val="32"/>
          <w:szCs w:val="32"/>
        </w:rPr>
        <w:t>社会保险事务中心2022年一般公共预算财政拨款支出313.5万元，主要用于以下方面:</w:t>
      </w:r>
      <w:r>
        <w:rPr>
          <w:rFonts w:ascii="仿宋_GB2312" w:eastAsia="仿宋_GB2312" w:hint="eastAsia"/>
          <w:color w:val="000000"/>
          <w:sz w:val="32"/>
          <w:szCs w:val="32"/>
          <w:lang w:val="zh-CN"/>
        </w:rPr>
        <w:t>社会保障和就业支出278.68万元，占</w:t>
      </w:r>
      <w:r>
        <w:rPr>
          <w:rFonts w:ascii="仿宋_GB2312" w:eastAsia="仿宋_GB2312" w:hint="eastAsia"/>
          <w:color w:val="000000"/>
          <w:sz w:val="32"/>
          <w:szCs w:val="32"/>
        </w:rPr>
        <w:t>88.82</w:t>
      </w:r>
      <w:r>
        <w:rPr>
          <w:rFonts w:ascii="仿宋_GB2312" w:eastAsia="仿宋_GB2312" w:hint="eastAsia"/>
          <w:color w:val="000000"/>
          <w:sz w:val="32"/>
          <w:szCs w:val="32"/>
          <w:lang w:val="zh-CN"/>
        </w:rPr>
        <w:t>%；医疗卫生与计划生育支出</w:t>
      </w:r>
      <w:r>
        <w:rPr>
          <w:rFonts w:ascii="仿宋_GB2312" w:eastAsia="仿宋_GB2312" w:hint="eastAsia"/>
          <w:color w:val="000000"/>
          <w:sz w:val="32"/>
          <w:szCs w:val="32"/>
        </w:rPr>
        <w:t>13.94</w:t>
      </w:r>
      <w:r>
        <w:rPr>
          <w:rFonts w:ascii="仿宋_GB2312" w:eastAsia="仿宋_GB2312" w:hint="eastAsia"/>
          <w:color w:val="000000"/>
          <w:sz w:val="32"/>
          <w:szCs w:val="32"/>
          <w:lang w:val="zh-CN"/>
        </w:rPr>
        <w:t>万元，占</w:t>
      </w:r>
      <w:r>
        <w:rPr>
          <w:rFonts w:ascii="仿宋_GB2312" w:eastAsia="仿宋_GB2312" w:hint="eastAsia"/>
          <w:color w:val="000000"/>
          <w:sz w:val="32"/>
          <w:szCs w:val="32"/>
        </w:rPr>
        <w:t>4.4</w:t>
      </w:r>
      <w:r>
        <w:rPr>
          <w:rFonts w:ascii="仿宋_GB2312" w:eastAsia="仿宋_GB2312" w:hint="eastAsia"/>
          <w:color w:val="000000"/>
          <w:sz w:val="32"/>
          <w:szCs w:val="32"/>
          <w:lang w:val="zh-CN"/>
        </w:rPr>
        <w:t>%；住房保障支出</w:t>
      </w:r>
      <w:r>
        <w:rPr>
          <w:rFonts w:ascii="仿宋_GB2312" w:eastAsia="仿宋_GB2312" w:hint="eastAsia"/>
          <w:color w:val="000000"/>
          <w:sz w:val="32"/>
          <w:szCs w:val="32"/>
        </w:rPr>
        <w:t>20.3</w:t>
      </w:r>
      <w:r>
        <w:rPr>
          <w:rFonts w:ascii="仿宋_GB2312" w:eastAsia="仿宋_GB2312" w:hint="eastAsia"/>
          <w:color w:val="000000"/>
          <w:sz w:val="32"/>
          <w:szCs w:val="32"/>
          <w:lang w:val="zh-CN"/>
        </w:rPr>
        <w:t>万元，占</w:t>
      </w:r>
      <w:r>
        <w:rPr>
          <w:rFonts w:ascii="仿宋_GB2312" w:eastAsia="仿宋_GB2312" w:hint="eastAsia"/>
          <w:color w:val="000000"/>
          <w:sz w:val="32"/>
          <w:szCs w:val="32"/>
        </w:rPr>
        <w:t>6.5</w:t>
      </w:r>
      <w:r>
        <w:rPr>
          <w:rFonts w:ascii="仿宋_GB2312" w:eastAsia="仿宋_GB2312" w:hint="eastAsia"/>
          <w:color w:val="000000"/>
          <w:sz w:val="32"/>
          <w:szCs w:val="32"/>
          <w:lang w:val="zh-CN"/>
        </w:rPr>
        <w:t>%；教育支出</w:t>
      </w:r>
      <w:r>
        <w:rPr>
          <w:rFonts w:ascii="仿宋_GB2312" w:eastAsia="仿宋_GB2312" w:hint="eastAsia"/>
          <w:color w:val="000000"/>
          <w:sz w:val="32"/>
          <w:szCs w:val="32"/>
        </w:rPr>
        <w:t>0.84万元，占0.28%。其他支出0万元，占0%。</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rPr>
          <w:rFonts w:ascii="黑体" w:eastAsia="黑体" w:cs="宋体" w:hint="eastAsia"/>
          <w:color w:val="000000"/>
          <w:kern w:val="0"/>
          <w:sz w:val="32"/>
        </w:rPr>
      </w:pP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金川县社会保险服务指导站2022年一般公共预算财政拨款支出47.7万元，主要用于以下方面:</w:t>
      </w:r>
      <w:r>
        <w:rPr>
          <w:rFonts w:ascii="仿宋_GB2312" w:eastAsia="仿宋_GB2312" w:hint="eastAsia"/>
          <w:color w:val="000000"/>
          <w:sz w:val="32"/>
          <w:szCs w:val="32"/>
          <w:lang w:val="zh-CN"/>
        </w:rPr>
        <w:t>社会保障和就业支出43.18万元，占</w:t>
      </w:r>
      <w:r>
        <w:rPr>
          <w:rFonts w:ascii="仿宋_GB2312" w:eastAsia="仿宋_GB2312" w:hint="eastAsia"/>
          <w:color w:val="000000"/>
          <w:sz w:val="32"/>
          <w:szCs w:val="32"/>
        </w:rPr>
        <w:t>90.5</w:t>
      </w:r>
      <w:r>
        <w:rPr>
          <w:rFonts w:ascii="仿宋_GB2312" w:eastAsia="仿宋_GB2312" w:hint="eastAsia"/>
          <w:color w:val="000000"/>
          <w:sz w:val="32"/>
          <w:szCs w:val="32"/>
          <w:lang w:val="zh-CN"/>
        </w:rPr>
        <w:t>%；医疗卫生与计划生育支出</w:t>
      </w:r>
      <w:r>
        <w:rPr>
          <w:rFonts w:ascii="仿宋_GB2312" w:eastAsia="仿宋_GB2312" w:hint="eastAsia"/>
          <w:color w:val="000000"/>
          <w:sz w:val="32"/>
          <w:szCs w:val="32"/>
        </w:rPr>
        <w:t>1.84</w:t>
      </w:r>
      <w:r>
        <w:rPr>
          <w:rFonts w:ascii="仿宋_GB2312" w:eastAsia="仿宋_GB2312" w:hint="eastAsia"/>
          <w:color w:val="000000"/>
          <w:sz w:val="32"/>
          <w:szCs w:val="32"/>
          <w:lang w:val="zh-CN"/>
        </w:rPr>
        <w:t>万元，占</w:t>
      </w:r>
      <w:r>
        <w:rPr>
          <w:rFonts w:ascii="仿宋_GB2312" w:eastAsia="仿宋_GB2312" w:hint="eastAsia"/>
          <w:color w:val="000000"/>
          <w:sz w:val="32"/>
          <w:szCs w:val="32"/>
        </w:rPr>
        <w:t>4.2</w:t>
      </w:r>
      <w:r>
        <w:rPr>
          <w:rFonts w:ascii="仿宋_GB2312" w:eastAsia="仿宋_GB2312" w:hint="eastAsia"/>
          <w:color w:val="000000"/>
          <w:sz w:val="32"/>
          <w:szCs w:val="32"/>
          <w:lang w:val="zh-CN"/>
        </w:rPr>
        <w:t>%；住房保障支出</w:t>
      </w:r>
      <w:r>
        <w:rPr>
          <w:rFonts w:ascii="仿宋_GB2312" w:eastAsia="仿宋_GB2312" w:hint="eastAsia"/>
          <w:color w:val="000000"/>
          <w:sz w:val="32"/>
          <w:szCs w:val="32"/>
        </w:rPr>
        <w:t>2.69</w:t>
      </w:r>
      <w:r>
        <w:rPr>
          <w:rFonts w:ascii="仿宋_GB2312" w:eastAsia="仿宋_GB2312" w:hint="eastAsia"/>
          <w:color w:val="000000"/>
          <w:sz w:val="32"/>
          <w:szCs w:val="32"/>
          <w:lang w:val="zh-CN"/>
        </w:rPr>
        <w:t>万元，占</w:t>
      </w:r>
      <w:r>
        <w:rPr>
          <w:rFonts w:ascii="仿宋_GB2312" w:eastAsia="仿宋_GB2312" w:hint="eastAsia"/>
          <w:color w:val="000000"/>
          <w:sz w:val="32"/>
          <w:szCs w:val="32"/>
        </w:rPr>
        <w:t>5.6</w:t>
      </w:r>
      <w:r>
        <w:rPr>
          <w:rFonts w:ascii="仿宋_GB2312" w:eastAsia="仿宋_GB2312" w:hint="eastAsia"/>
          <w:color w:val="000000"/>
          <w:sz w:val="32"/>
          <w:szCs w:val="32"/>
          <w:lang w:val="zh-CN"/>
        </w:rPr>
        <w:t>%</w:t>
      </w:r>
      <w:r>
        <w:rPr>
          <w:rFonts w:ascii="仿宋_GB2312" w:eastAsia="仿宋_GB2312" w:hint="eastAsia"/>
          <w:bCs/>
          <w:sz w:val="32"/>
          <w:lang w:val="zh-CN"/>
        </w:rPr>
        <w:t>。</w:t>
      </w:r>
    </w:p>
    <w:p>
      <w:pPr>
        <w:widowControl/>
        <w:adjustRightInd w:val="0"/>
        <w:snapToGrid w:val="0"/>
        <w:spacing w:line="480" w:lineRule="exact"/>
        <w:jc w:val="left"/>
        <w:rPr>
          <w:rFonts w:ascii="黑体" w:eastAsia="黑体" w:cs="宋体"/>
          <w:color w:val="000000"/>
          <w:kern w:val="0"/>
        </w:rPr>
      </w:pPr>
      <w:r>
        <w:rPr>
          <w:rFonts w:ascii="黑体" w:eastAsia="黑体" w:cs="宋体" w:hint="eastAsia"/>
          <w:color w:val="000000"/>
          <w:kern w:val="0"/>
          <w:sz w:val="32"/>
        </w:rPr>
        <w:t>三、部门财政支出管理情况</w:t>
      </w:r>
    </w:p>
    <w:p>
      <w:pPr>
        <w:spacing w:line="600" w:lineRule="exact"/>
        <w:ind w:firstLineChars="200" w:firstLine="640"/>
        <w:rPr>
          <w:rFonts w:ascii="仿宋_GB2312" w:eastAsia="仿宋_GB2312"/>
          <w:bCs/>
          <w:sz w:val="32"/>
          <w:lang w:val="zh-CN"/>
        </w:rPr>
      </w:pPr>
      <w:r>
        <w:rPr>
          <w:rFonts w:ascii="仿宋_GB2312" w:eastAsia="仿宋_GB2312" w:hint="eastAsia"/>
          <w:bCs/>
          <w:sz w:val="32"/>
          <w:lang w:val="zh-CN"/>
        </w:rPr>
        <w:t>（一）部门预算管理</w:t>
      </w:r>
    </w:p>
    <w:p>
      <w:pPr>
        <w:spacing w:line="600" w:lineRule="exact"/>
        <w:ind w:firstLineChars="200" w:firstLine="640"/>
        <w:rPr>
          <w:rFonts w:ascii="仿宋_GB2312" w:eastAsia="仿宋_GB2312"/>
          <w:bCs/>
          <w:sz w:val="32"/>
        </w:rPr>
      </w:pPr>
      <w:r>
        <w:rPr>
          <w:rFonts w:ascii="仿宋_GB2312" w:eastAsia="仿宋_GB2312" w:hint="eastAsia"/>
          <w:bCs/>
          <w:sz w:val="32"/>
        </w:rPr>
        <w:t>金川县社会保险事务中心按照县财政的要求及时组织财务人员进行预决的编制，对本年度相应用款进行及时清理和处理，做到账账相符、账实相符、账证相符,先有预算再有支出的原则，及时处理相关事务；对绩效目标进行季度梳理和年度分析，及时上报相关报表；对专项预算提前细化，分科目上报，做到收支平衡；结合本部门实际工作情况：</w:t>
      </w:r>
    </w:p>
    <w:p>
      <w:pPr>
        <w:spacing w:line="600" w:lineRule="exact"/>
        <w:ind w:firstLineChars="200" w:firstLine="640"/>
        <w:rPr>
          <w:rFonts w:ascii="仿宋_GB2312" w:eastAsia="仿宋_GB2312"/>
          <w:bCs/>
          <w:sz w:val="32"/>
        </w:rPr>
      </w:pPr>
      <w:r>
        <w:rPr>
          <w:rFonts w:ascii="仿宋_GB2312" w:eastAsia="仿宋_GB2312" w:hint="eastAsia"/>
          <w:bCs/>
          <w:sz w:val="32"/>
        </w:rPr>
        <w:t>按照预算绩效管理要求，汇总部门对2022年一般公共预算项目支出开展了绩效目标管理，共编制项目支出绩效目标0个，涉及财政资金0万元；共编制部门整体支出绩效目标1个，涉及财政资金361.2万元。</w:t>
      </w:r>
    </w:p>
    <w:p>
      <w:pPr>
        <w:widowControl/>
        <w:shd w:val="clear" w:color="auto" w:fill="FFFFFF"/>
        <w:ind w:firstLineChars="200" w:firstLine="640"/>
        <w:jc w:val="left"/>
        <w:rPr>
          <w:rFonts w:ascii="仿宋_GB2312" w:eastAsia="仿宋_GB2312"/>
          <w:bCs/>
          <w:sz w:val="32"/>
        </w:rPr>
      </w:pPr>
      <w:r>
        <w:rPr>
          <w:rFonts w:ascii="仿宋_GB2312" w:eastAsia="仿宋_GB2312" w:hint="eastAsia"/>
          <w:bCs/>
          <w:sz w:val="32"/>
        </w:rPr>
        <w:t>本年度收入的年初预算数为296.93万元，上年度收入的年初预算数为3433.72万元，较上年减少3162.73万元；主要原因为减少运转类项目机关事业养老保险2810万元，人员经费及公用经费调至新增单位。</w:t>
      </w:r>
    </w:p>
    <w:p>
      <w:pPr>
        <w:spacing w:line="600" w:lineRule="exact"/>
        <w:ind w:firstLineChars="200" w:firstLine="640"/>
        <w:rPr>
          <w:rFonts w:ascii="仿宋_GB2312" w:eastAsia="仿宋_GB2312"/>
          <w:bCs/>
          <w:sz w:val="32"/>
          <w:lang w:val="zh-CN"/>
        </w:rPr>
      </w:pPr>
      <w:r>
        <w:rPr>
          <w:rFonts w:ascii="仿宋_GB2312" w:eastAsia="仿宋_GB2312" w:hint="eastAsia"/>
          <w:bCs/>
          <w:sz w:val="32"/>
          <w:lang w:val="zh-CN"/>
        </w:rPr>
        <w:t>（二）执行管理情况</w:t>
      </w:r>
    </w:p>
    <w:p>
      <w:pPr>
        <w:spacing w:line="600" w:lineRule="exact"/>
        <w:ind w:firstLineChars="200" w:firstLine="640"/>
        <w:rPr>
          <w:rFonts w:ascii="仿宋_GB2312" w:eastAsia="仿宋_GB2312"/>
          <w:bCs/>
          <w:sz w:val="32"/>
        </w:rPr>
      </w:pPr>
      <w:r>
        <w:rPr>
          <w:rFonts w:ascii="仿宋_GB2312" w:eastAsia="仿宋_GB2312" w:hint="eastAsia"/>
          <w:bCs/>
          <w:sz w:val="32"/>
        </w:rPr>
        <w:t>汇总单位绩效管理严格按照上级部门要求，开展自评工作，对评价结果及时总结上报。并按照县财政的要求，认真总结经验，及时上报相关的用款计划；分月、分季度上报相应计划，待财政审核通过后，严格按计划执行，各季度执行情况良好。</w:t>
      </w:r>
    </w:p>
    <w:p>
      <w:pPr>
        <w:spacing w:line="600" w:lineRule="exact"/>
        <w:ind w:firstLineChars="200" w:firstLine="640"/>
        <w:rPr>
          <w:rFonts w:ascii="仿宋_GB2312" w:eastAsia="仿宋_GB2312"/>
          <w:bCs/>
          <w:sz w:val="32"/>
          <w:lang w:val="zh-CN"/>
        </w:rPr>
      </w:pPr>
      <w:r>
        <w:rPr>
          <w:rFonts w:ascii="仿宋_GB2312" w:eastAsia="仿宋_GB2312" w:hint="eastAsia"/>
          <w:bCs/>
          <w:sz w:val="32"/>
        </w:rPr>
        <w:t>本单位2022年“三公”经费财政拨款预算数3.28万元，其中：因公出国（境）经费0万元，公务接待费0万元，公务用车购置及运行维护费3.28万元。2022年度“三公”经费财政拨款支出决算中，无因公出国（境）费支出；无公务接待费支出；公务用车购置及运行维护费支出决算3.28万元。今年我中心将会继续严格控制“三公”经费，按照上级的要求，继续深化部门预算改革，强化制度建设，完善预算分配机制，进一步加强“三公”经费预算的编制和执行管理，大力推进建立和完善厉行节约的长效机制。</w:t>
      </w:r>
    </w:p>
    <w:p>
      <w:pPr>
        <w:spacing w:line="600" w:lineRule="exact"/>
        <w:ind w:firstLineChars="200" w:firstLine="640"/>
        <w:rPr>
          <w:rFonts w:ascii="仿宋_GB2312" w:eastAsia="仿宋_GB2312"/>
          <w:bCs/>
          <w:sz w:val="32"/>
          <w:lang w:val="zh-CN"/>
        </w:rPr>
      </w:pPr>
      <w:r>
        <w:rPr>
          <w:rFonts w:ascii="仿宋_GB2312" w:eastAsia="仿宋_GB2312" w:hint="eastAsia"/>
          <w:bCs/>
          <w:sz w:val="32"/>
          <w:lang w:val="zh-CN"/>
        </w:rPr>
        <w:t>（三）综合管理情况</w:t>
      </w:r>
    </w:p>
    <w:p>
      <w:pPr>
        <w:spacing w:line="600" w:lineRule="exact"/>
        <w:ind w:firstLineChars="200" w:firstLine="640"/>
        <w:rPr>
          <w:rFonts w:ascii="仿宋_GB2312" w:eastAsia="仿宋_GB2312"/>
          <w:bCs/>
          <w:sz w:val="32"/>
          <w:lang w:val="zh-CN"/>
        </w:rPr>
      </w:pPr>
      <w:r>
        <w:rPr>
          <w:rFonts w:ascii="仿宋_GB2312" w:eastAsia="仿宋_GB2312" w:hint="eastAsia"/>
          <w:bCs/>
          <w:sz w:val="32"/>
        </w:rPr>
        <w:t>我中心执行事业单位会计管理制度，按照公共财政管理的基本要求，继续深化预决算编制改革，严格政策标准，优化支出结构提高预决算编制的科学化、精细化水平。严格执行内控制度管理办法，实行会计核算和账务管理制度公开；政府采购制度公开公示，预决算在规定时限内在政府门户网站公开接受群众的监督；资产管理做到账实相符、实时入账资产管理系统；我局绩效管理严格按照上级部门要求，并接受财政局监察股的动态管理，开展自评工作，对评价结果及时总结上报，</w:t>
      </w:r>
      <w:r>
        <w:rPr>
          <w:rFonts w:ascii="仿宋_GB2312" w:eastAsia="仿宋_GB2312" w:hint="eastAsia"/>
          <w:bCs/>
          <w:sz w:val="32"/>
          <w:lang w:val="zh-CN"/>
        </w:rPr>
        <w:t>依法接受财政监督。</w:t>
      </w:r>
    </w:p>
    <w:p>
      <w:pPr>
        <w:spacing w:line="600" w:lineRule="exact"/>
        <w:ind w:firstLineChars="200" w:firstLine="640"/>
        <w:rPr>
          <w:rFonts w:ascii="仿宋_GB2312" w:eastAsia="仿宋_GB2312"/>
          <w:bCs/>
          <w:sz w:val="32"/>
          <w:lang w:val="zh-CN"/>
        </w:rPr>
      </w:pPr>
      <w:r>
        <w:rPr>
          <w:rFonts w:ascii="仿宋_GB2312" w:eastAsia="仿宋_GB2312" w:hint="eastAsia"/>
          <w:bCs/>
          <w:sz w:val="32"/>
          <w:lang w:val="zh-CN"/>
        </w:rPr>
        <w:t>（四）整体绩效。</w:t>
      </w:r>
    </w:p>
    <w:p>
      <w:pPr>
        <w:spacing w:line="600" w:lineRule="exact"/>
        <w:ind w:firstLineChars="200" w:firstLine="640"/>
        <w:rPr>
          <w:rFonts w:ascii="仿宋_GB2312" w:eastAsia="仿宋_GB2312"/>
          <w:bCs/>
          <w:sz w:val="32"/>
        </w:rPr>
      </w:pPr>
      <w:r>
        <w:rPr>
          <w:rFonts w:ascii="仿宋_GB2312" w:eastAsia="仿宋_GB2312" w:hint="eastAsia"/>
          <w:bCs/>
          <w:sz w:val="32"/>
        </w:rPr>
        <w:t>2022年根据年初工作规划和重点性工作，积极履职，强化管理，较好的完成了工作目标。通过加强预算收支管理，不断建立健全内部管理制度，梳理内部管理流程，部门整体支出管理情况得到提升。根据2022年年度部门整体支出状况的概述和分析，单位整体支出绩效情况如下：</w:t>
      </w:r>
    </w:p>
    <w:p>
      <w:pPr>
        <w:spacing w:line="600" w:lineRule="exact"/>
        <w:ind w:firstLineChars="200" w:firstLine="640"/>
        <w:rPr>
          <w:rFonts w:ascii="仿宋_GB2312" w:eastAsia="仿宋_GB2312"/>
          <w:bCs/>
          <w:sz w:val="32"/>
        </w:rPr>
      </w:pPr>
      <w:r>
        <w:rPr>
          <w:rFonts w:ascii="仿宋_GB2312" w:eastAsia="仿宋_GB2312" w:hint="eastAsia"/>
          <w:bCs/>
          <w:sz w:val="32"/>
        </w:rPr>
        <w:t>（1）经济效益评价</w:t>
      </w:r>
    </w:p>
    <w:p>
      <w:pPr>
        <w:spacing w:line="600" w:lineRule="exact"/>
        <w:ind w:firstLineChars="200" w:firstLine="640"/>
        <w:rPr>
          <w:rFonts w:ascii="仿宋_GB2312" w:eastAsia="仿宋_GB2312"/>
          <w:bCs/>
          <w:sz w:val="32"/>
        </w:rPr>
      </w:pPr>
      <w:r>
        <w:rPr>
          <w:rFonts w:ascii="仿宋_GB2312" w:eastAsia="仿宋_GB2312" w:hint="eastAsia"/>
          <w:bCs/>
          <w:sz w:val="32"/>
        </w:rPr>
        <w:t>本年预算控制较好，2022年“三公”经费控制良好。</w:t>
      </w:r>
    </w:p>
    <w:p>
      <w:pPr>
        <w:spacing w:line="600" w:lineRule="exact"/>
        <w:ind w:firstLineChars="200" w:firstLine="640"/>
        <w:rPr>
          <w:rFonts w:ascii="仿宋_GB2312" w:eastAsia="仿宋_GB2312"/>
          <w:bCs/>
          <w:sz w:val="32"/>
        </w:rPr>
      </w:pPr>
      <w:r>
        <w:rPr>
          <w:rFonts w:ascii="仿宋_GB2312" w:eastAsia="仿宋_GB2312" w:hint="eastAsia"/>
          <w:bCs/>
          <w:sz w:val="32"/>
        </w:rPr>
        <w:t>预算执行方面。支出总额控制在预算总额以内，本年部门预算未进行预算相关事项的调整；2022年“三公”经费预算总额控制良好。</w:t>
      </w:r>
    </w:p>
    <w:p>
      <w:pPr>
        <w:spacing w:line="600" w:lineRule="exact"/>
        <w:ind w:firstLineChars="200" w:firstLine="640"/>
        <w:rPr>
          <w:rFonts w:ascii="仿宋_GB2312" w:eastAsia="仿宋_GB2312"/>
          <w:bCs/>
          <w:sz w:val="32"/>
        </w:rPr>
      </w:pPr>
      <w:r>
        <w:rPr>
          <w:rFonts w:ascii="仿宋_GB2312" w:eastAsia="仿宋_GB2312" w:hint="eastAsia"/>
          <w:bCs/>
          <w:sz w:val="32"/>
        </w:rPr>
        <w:t>预算管理方面，制度执行总体较为有效，仍需进一步强化；资金使用管理需进一步加强。</w:t>
      </w:r>
    </w:p>
    <w:p>
      <w:pPr>
        <w:spacing w:line="600" w:lineRule="exact"/>
        <w:ind w:firstLineChars="200" w:firstLine="640"/>
        <w:rPr>
          <w:rFonts w:ascii="仿宋_GB2312" w:eastAsia="仿宋_GB2312"/>
          <w:bCs/>
          <w:sz w:val="32"/>
        </w:rPr>
      </w:pPr>
      <w:r>
        <w:rPr>
          <w:rFonts w:ascii="仿宋_GB2312" w:eastAsia="仿宋_GB2312" w:hint="eastAsia"/>
          <w:bCs/>
          <w:sz w:val="32"/>
        </w:rPr>
        <w:t>资产管理方面，建立了资产管理制度，定期进行了盘点和资产清理，总体执行较好。</w:t>
      </w:r>
    </w:p>
    <w:p>
      <w:pPr>
        <w:spacing w:line="600" w:lineRule="exact"/>
        <w:ind w:firstLineChars="200" w:firstLine="640"/>
        <w:rPr>
          <w:rFonts w:ascii="仿宋_GB2312" w:eastAsia="仿宋_GB2312"/>
          <w:bCs/>
          <w:sz w:val="32"/>
        </w:rPr>
      </w:pPr>
      <w:r>
        <w:rPr>
          <w:rFonts w:ascii="仿宋_GB2312" w:eastAsia="仿宋_GB2312" w:hint="eastAsia"/>
          <w:bCs/>
          <w:sz w:val="32"/>
        </w:rPr>
        <w:t>（2）效率性评价和有效性评价</w:t>
      </w:r>
    </w:p>
    <w:p>
      <w:pPr>
        <w:spacing w:line="600" w:lineRule="exact"/>
        <w:ind w:firstLineChars="200" w:firstLine="640"/>
        <w:rPr>
          <w:rFonts w:ascii="仿宋_GB2312" w:eastAsia="仿宋_GB2312"/>
          <w:bCs/>
          <w:sz w:val="32"/>
        </w:rPr>
      </w:pPr>
      <w:r>
        <w:rPr>
          <w:rFonts w:ascii="仿宋_GB2312" w:eastAsia="仿宋_GB2312" w:hint="eastAsia"/>
          <w:bCs/>
          <w:sz w:val="32"/>
        </w:rPr>
        <w:t>预算安排的基本支出保障了正常的工作运转，预算安排的项目支出是非常必要的，在执行上是严格遵守各项财经纪律的，在项目资金的使用上也是放的心的，严守法律底线、纪律底线、道德底线。</w:t>
      </w:r>
    </w:p>
    <w:p>
      <w:pPr>
        <w:spacing w:line="600" w:lineRule="exact"/>
        <w:ind w:firstLineChars="200" w:firstLine="640"/>
        <w:rPr>
          <w:rFonts w:ascii="仿宋_GB2312" w:eastAsia="仿宋_GB2312"/>
          <w:bCs/>
          <w:sz w:val="32"/>
        </w:rPr>
      </w:pPr>
      <w:r>
        <w:rPr>
          <w:rFonts w:ascii="仿宋_GB2312" w:eastAsia="仿宋_GB2312" w:hint="eastAsia"/>
          <w:bCs/>
          <w:sz w:val="32"/>
        </w:rPr>
        <w:t>（3）社会公众满意度评价</w:t>
      </w:r>
    </w:p>
    <w:p>
      <w:pPr>
        <w:spacing w:line="600" w:lineRule="exact"/>
        <w:ind w:firstLineChars="200" w:firstLine="640"/>
        <w:rPr>
          <w:rFonts w:ascii="仿宋_GB2312" w:eastAsia="仿宋_GB2312"/>
          <w:bCs/>
          <w:sz w:val="32"/>
        </w:rPr>
      </w:pPr>
      <w:r>
        <w:rPr>
          <w:rFonts w:ascii="仿宋_GB2312" w:eastAsia="仿宋_GB2312" w:hint="eastAsia"/>
          <w:bCs/>
          <w:sz w:val="32"/>
        </w:rPr>
        <w:t>社保中心全体职工，在县委、县政府决策部署下，勤奋工作，2022年服务对象满意度为100%。</w:t>
      </w:r>
    </w:p>
    <w:p>
      <w:pPr>
        <w:widowControl/>
        <w:adjustRightInd w:val="0"/>
        <w:snapToGrid w:val="0"/>
        <w:spacing w:line="480" w:lineRule="exact"/>
        <w:ind w:firstLine="720"/>
        <w:jc w:val="left"/>
        <w:rPr>
          <w:rFonts w:ascii="黑体" w:eastAsia="黑体" w:cs="宋体"/>
          <w:color w:val="000000"/>
          <w:kern w:val="0"/>
        </w:rPr>
      </w:pPr>
      <w:r>
        <w:rPr>
          <w:rFonts w:ascii="黑体" w:eastAsia="黑体" w:cs="宋体" w:hint="eastAsia"/>
          <w:color w:val="000000"/>
          <w:kern w:val="0"/>
          <w:sz w:val="32"/>
        </w:rPr>
        <w:t>四、评价结论及建议</w:t>
      </w:r>
    </w:p>
    <w:p>
      <w:pPr>
        <w:spacing w:line="600" w:lineRule="exact"/>
        <w:ind w:firstLineChars="200" w:firstLine="640"/>
        <w:rPr>
          <w:rFonts w:ascii="仿宋_GB2312" w:eastAsia="仿宋_GB2312"/>
          <w:bCs/>
          <w:sz w:val="32"/>
          <w:lang w:val="zh-CN"/>
        </w:rPr>
      </w:pPr>
      <w:r>
        <w:rPr>
          <w:rFonts w:ascii="仿宋_GB2312" w:eastAsia="仿宋_GB2312" w:hint="eastAsia"/>
          <w:bCs/>
          <w:sz w:val="32"/>
          <w:lang w:val="zh-CN"/>
        </w:rPr>
        <w:t>1、评价结论。部门预算执行情况良好，无不良记录及违规违纪行为，预算支出和决算支出情况相符。</w:t>
      </w:r>
    </w:p>
    <w:p>
      <w:pPr>
        <w:spacing w:line="600" w:lineRule="exact"/>
        <w:ind w:firstLineChars="200" w:firstLine="640"/>
        <w:rPr>
          <w:rFonts w:ascii="仿宋_GB2312" w:eastAsia="仿宋_GB2312"/>
          <w:bCs/>
          <w:sz w:val="32"/>
          <w:lang w:val="zh-CN"/>
        </w:rPr>
      </w:pPr>
      <w:r>
        <w:rPr>
          <w:rFonts w:ascii="仿宋_GB2312" w:eastAsia="仿宋_GB2312" w:hint="eastAsia"/>
          <w:bCs/>
          <w:sz w:val="32"/>
          <w:lang w:val="zh-CN"/>
        </w:rPr>
        <w:t>2、存在问题。一是预算经费支出进度较缓；二是部门决算上报处理效率还需继续提升。</w:t>
      </w:r>
    </w:p>
    <w:p>
      <w:pPr>
        <w:spacing w:line="600" w:lineRule="exact"/>
        <w:ind w:firstLineChars="200" w:firstLine="640"/>
        <w:rPr>
          <w:rFonts w:ascii="仿宋_GB2312" w:eastAsia="仿宋_GB2312"/>
          <w:bCs/>
          <w:sz w:val="32"/>
          <w:lang w:val="zh-CN"/>
        </w:rPr>
      </w:pPr>
      <w:r>
        <w:rPr>
          <w:rFonts w:ascii="仿宋_GB2312" w:eastAsia="仿宋_GB2312" w:hint="eastAsia"/>
          <w:bCs/>
          <w:sz w:val="32"/>
          <w:lang w:val="zh-CN"/>
        </w:rPr>
        <w:t>3、改进建议。加快完成机关财务管理规章制度建设、加强会计核算和财务管理能力，及时与财政局相关科室对接工作，提升工作效率。</w:t>
      </w:r>
    </w:p>
    <w:p>
      <w:pPr>
        <w:spacing w:line="600" w:lineRule="exact"/>
        <w:ind w:firstLineChars="200" w:firstLine="640"/>
        <w:rPr>
          <w:rFonts w:ascii="仿宋_GB2312" w:eastAsia="仿宋_GB2312"/>
          <w:bCs/>
          <w:sz w:val="32"/>
          <w:lang w:val="zh-CN"/>
        </w:rPr>
      </w:pPr>
    </w:p>
    <w:p>
      <w:pPr>
        <w:rPr>
          <w:rStyle w:val="1Char"/>
          <w:rFonts w:ascii="黑体" w:eastAsia="黑体" w:hint="eastAsia"/>
          <w:b w:val="0"/>
          <w:lang w:val="en-US" w:eastAsia="zh-CN"/>
        </w:rPr>
      </w:pPr>
      <w:r>
        <w:rPr>
          <w:rStyle w:val="1Char"/>
          <w:rFonts w:ascii="黑体" w:eastAsia="黑体" w:hint="eastAsia"/>
          <w:b w:val="0"/>
          <w:lang w:val="en-US" w:eastAsia="zh-CN"/>
        </w:rPr>
        <w:br w:type="page"/>
      </w:r>
    </w:p>
    <w:p>
      <w:pPr>
        <w:numPr>
          <w:ilvl w:val="0"/>
          <w:numId w:val="5"/>
        </w:numPr>
        <w:spacing w:line="600" w:lineRule="exact"/>
        <w:ind w:left="0" w:firstLineChars="150" w:firstLine="660"/>
        <w:jc w:val="center"/>
        <w:outlineLvl w:val="0"/>
        <w:rPr>
          <w:rStyle w:val="1Char"/>
          <w:rFonts w:ascii="黑体" w:eastAsia="黑体" w:hint="eastAsia"/>
          <w:b w:val="0"/>
          <w:lang w:val="en-US" w:eastAsia="zh-CN"/>
        </w:rPr>
      </w:pPr>
      <w:bookmarkStart w:id="56" w:name="_Toc2518"/>
      <w:r>
        <w:rPr>
          <w:rStyle w:val="1Char"/>
          <w:rFonts w:ascii="黑体" w:eastAsia="黑体" w:hint="eastAsia"/>
          <w:b w:val="0"/>
          <w:lang w:val="en-US" w:eastAsia="zh-CN"/>
        </w:rPr>
        <w:t>决算公开表</w:t>
      </w:r>
      <w:bookmarkEnd w:id="56"/>
    </w:p>
    <w:p>
      <w:pPr>
        <w:spacing w:line="600" w:lineRule="exact"/>
        <w:ind w:firstLineChars="200" w:firstLine="640"/>
        <w:rPr>
          <w:rFonts w:ascii="仿宋_GB2312" w:eastAsia="仿宋_GB2312" w:hint="eastAsia"/>
          <w:bCs/>
          <w:sz w:val="32"/>
          <w:lang w:val="en-US" w:eastAsia="zh-CN"/>
        </w:rPr>
      </w:pPr>
      <w:bookmarkStart w:id="57" w:name="_Toc12400"/>
      <w:r>
        <w:rPr>
          <w:rFonts w:ascii="仿宋_GB2312" w:eastAsia="仿宋_GB2312" w:hint="eastAsia"/>
          <w:bCs/>
          <w:sz w:val="32"/>
          <w:lang w:val="en-US" w:eastAsia="zh-CN"/>
        </w:rPr>
        <w:t>（一）收入支出决算总表</w:t>
      </w:r>
      <w:bookmarkEnd w:id="57"/>
    </w:p>
    <w:p>
      <w:pPr>
        <w:spacing w:line="600" w:lineRule="exact"/>
        <w:ind w:firstLineChars="200" w:firstLine="640"/>
        <w:rPr>
          <w:rFonts w:ascii="仿宋_GB2312" w:eastAsia="仿宋_GB2312" w:hint="eastAsia"/>
          <w:bCs/>
          <w:sz w:val="32"/>
          <w:lang w:val="en-US" w:eastAsia="zh-CN"/>
        </w:rPr>
      </w:pPr>
      <w:bookmarkStart w:id="58" w:name="_Toc18845"/>
      <w:r>
        <w:rPr>
          <w:rFonts w:ascii="仿宋_GB2312" w:eastAsia="仿宋_GB2312" w:hint="eastAsia"/>
          <w:bCs/>
          <w:sz w:val="32"/>
          <w:lang w:val="en-US" w:eastAsia="zh-CN"/>
        </w:rPr>
        <w:t>（二）收入决算表</w:t>
      </w:r>
      <w:bookmarkEnd w:id="58"/>
    </w:p>
    <w:p>
      <w:pPr>
        <w:spacing w:line="600" w:lineRule="exact"/>
        <w:ind w:firstLineChars="200" w:firstLine="640"/>
        <w:rPr>
          <w:rFonts w:ascii="仿宋_GB2312" w:eastAsia="仿宋_GB2312" w:hint="eastAsia"/>
          <w:bCs/>
          <w:sz w:val="32"/>
          <w:lang w:val="en-US" w:eastAsia="zh-CN"/>
        </w:rPr>
      </w:pPr>
      <w:bookmarkStart w:id="59" w:name="_Toc10837"/>
      <w:r>
        <w:rPr>
          <w:rFonts w:ascii="仿宋_GB2312" w:eastAsia="仿宋_GB2312" w:hint="eastAsia"/>
          <w:bCs/>
          <w:sz w:val="32"/>
          <w:lang w:val="en-US" w:eastAsia="zh-CN"/>
        </w:rPr>
        <w:t>（三）支出决算表</w:t>
      </w:r>
      <w:bookmarkEnd w:id="59"/>
    </w:p>
    <w:p>
      <w:pPr>
        <w:spacing w:line="600" w:lineRule="exact"/>
        <w:ind w:firstLineChars="200" w:firstLine="640"/>
        <w:rPr>
          <w:rFonts w:ascii="仿宋_GB2312" w:eastAsia="仿宋_GB2312" w:hint="eastAsia"/>
          <w:bCs/>
          <w:sz w:val="32"/>
          <w:lang w:val="en-US" w:eastAsia="zh-CN"/>
        </w:rPr>
      </w:pPr>
      <w:bookmarkStart w:id="60" w:name="_Toc18912"/>
      <w:r>
        <w:rPr>
          <w:rFonts w:ascii="仿宋_GB2312" w:eastAsia="仿宋_GB2312" w:hint="eastAsia"/>
          <w:bCs/>
          <w:sz w:val="32"/>
          <w:lang w:val="en-US" w:eastAsia="zh-CN"/>
        </w:rPr>
        <w:t>（四）财政拨款收入支出决算总表</w:t>
      </w:r>
      <w:bookmarkEnd w:id="60"/>
    </w:p>
    <w:p>
      <w:pPr>
        <w:spacing w:line="600" w:lineRule="exact"/>
        <w:ind w:firstLineChars="200" w:firstLine="640"/>
        <w:rPr>
          <w:rFonts w:ascii="仿宋_GB2312" w:eastAsia="仿宋_GB2312" w:hint="eastAsia"/>
          <w:bCs/>
          <w:sz w:val="32"/>
          <w:lang w:val="en-US" w:eastAsia="zh-CN"/>
        </w:rPr>
      </w:pPr>
      <w:bookmarkStart w:id="61" w:name="_Toc4821"/>
      <w:r>
        <w:rPr>
          <w:rFonts w:ascii="仿宋_GB2312" w:eastAsia="仿宋_GB2312" w:hint="eastAsia"/>
          <w:bCs/>
          <w:sz w:val="32"/>
          <w:lang w:val="en-US" w:eastAsia="zh-CN"/>
        </w:rPr>
        <w:t>（五）财政拨款收入支出决算总表</w:t>
      </w:r>
      <w:bookmarkEnd w:id="61"/>
    </w:p>
    <w:p>
      <w:pPr>
        <w:spacing w:line="600" w:lineRule="exact"/>
        <w:ind w:firstLineChars="200" w:firstLine="640"/>
        <w:rPr>
          <w:rFonts w:ascii="仿宋_GB2312" w:eastAsia="仿宋_GB2312" w:hint="eastAsia"/>
          <w:bCs/>
          <w:sz w:val="32"/>
          <w:lang w:val="en-US" w:eastAsia="zh-CN"/>
        </w:rPr>
      </w:pPr>
      <w:bookmarkStart w:id="62" w:name="_Toc15142"/>
      <w:r>
        <w:rPr>
          <w:rFonts w:ascii="仿宋_GB2312" w:eastAsia="仿宋_GB2312" w:hint="eastAsia"/>
          <w:bCs/>
          <w:sz w:val="32"/>
          <w:lang w:val="en-US" w:eastAsia="zh-CN"/>
        </w:rPr>
        <w:t>（六）一般公共预算财政拨款支出决算表</w:t>
      </w:r>
      <w:bookmarkEnd w:id="62"/>
    </w:p>
    <w:p>
      <w:pPr>
        <w:spacing w:line="600" w:lineRule="exact"/>
        <w:ind w:firstLineChars="200" w:firstLine="640"/>
        <w:rPr>
          <w:rFonts w:ascii="仿宋_GB2312" w:eastAsia="仿宋_GB2312" w:hint="eastAsia"/>
          <w:bCs/>
          <w:sz w:val="32"/>
          <w:lang w:val="en-US" w:eastAsia="zh-CN"/>
        </w:rPr>
      </w:pPr>
      <w:bookmarkStart w:id="63" w:name="_Toc2774"/>
      <w:r>
        <w:rPr>
          <w:rFonts w:ascii="仿宋_GB2312" w:eastAsia="仿宋_GB2312" w:hint="eastAsia"/>
          <w:bCs/>
          <w:sz w:val="32"/>
          <w:lang w:val="en-US" w:eastAsia="zh-CN"/>
        </w:rPr>
        <w:t>（七）一般公共预算财政拨款支出决算表</w:t>
      </w:r>
      <w:bookmarkEnd w:id="63"/>
    </w:p>
    <w:p>
      <w:pPr>
        <w:spacing w:line="600" w:lineRule="exact"/>
        <w:ind w:firstLineChars="200" w:firstLine="640"/>
        <w:rPr>
          <w:rFonts w:ascii="仿宋_GB2312" w:eastAsia="仿宋_GB2312" w:hint="eastAsia"/>
          <w:bCs/>
          <w:sz w:val="32"/>
          <w:lang w:val="en-US" w:eastAsia="zh-CN"/>
        </w:rPr>
      </w:pPr>
      <w:bookmarkStart w:id="64" w:name="_Toc2892"/>
      <w:r>
        <w:rPr>
          <w:rFonts w:ascii="仿宋_GB2312" w:eastAsia="仿宋_GB2312" w:hint="eastAsia"/>
          <w:bCs/>
          <w:sz w:val="32"/>
          <w:lang w:val="en-US" w:eastAsia="zh-CN"/>
        </w:rPr>
        <w:t>（八）一般公共预算财政拨款基本支出决算明细表</w:t>
      </w:r>
      <w:bookmarkEnd w:id="64"/>
    </w:p>
    <w:p>
      <w:pPr>
        <w:spacing w:line="600" w:lineRule="exact"/>
        <w:ind w:firstLineChars="200" w:firstLine="640"/>
        <w:rPr>
          <w:rFonts w:ascii="仿宋_GB2312" w:eastAsia="仿宋_GB2312" w:hint="eastAsia"/>
          <w:bCs/>
          <w:sz w:val="32"/>
          <w:lang w:val="en-US" w:eastAsia="zh-CN"/>
        </w:rPr>
      </w:pPr>
      <w:bookmarkStart w:id="65" w:name="_Toc7948"/>
      <w:r>
        <w:rPr>
          <w:rFonts w:ascii="仿宋_GB2312" w:eastAsia="仿宋_GB2312" w:hint="eastAsia"/>
          <w:bCs/>
          <w:sz w:val="32"/>
          <w:lang w:val="en-US" w:eastAsia="zh-CN"/>
        </w:rPr>
        <w:t>（九）一般公共预算财政拨款项目支出决算表</w:t>
      </w:r>
      <w:bookmarkEnd w:id="65"/>
    </w:p>
    <w:p>
      <w:pPr>
        <w:spacing w:line="600" w:lineRule="exact"/>
        <w:ind w:firstLineChars="200" w:firstLine="640"/>
        <w:rPr>
          <w:rFonts w:ascii="仿宋_GB2312" w:eastAsia="仿宋_GB2312" w:hint="eastAsia"/>
          <w:bCs/>
          <w:sz w:val="32"/>
          <w:lang w:val="en-US" w:eastAsia="zh-CN"/>
        </w:rPr>
      </w:pPr>
      <w:bookmarkStart w:id="66" w:name="_Toc14682"/>
      <w:r>
        <w:rPr>
          <w:rFonts w:ascii="仿宋_GB2312" w:eastAsia="仿宋_GB2312" w:hint="eastAsia"/>
          <w:bCs/>
          <w:sz w:val="32"/>
          <w:lang w:val="en-US" w:eastAsia="zh-CN"/>
        </w:rPr>
        <w:t>（十）政府性基金预算财政拨款收入支出决算表</w:t>
      </w:r>
      <w:bookmarkEnd w:id="66"/>
    </w:p>
    <w:p>
      <w:pPr>
        <w:spacing w:line="600" w:lineRule="exact"/>
        <w:ind w:firstLineChars="200" w:firstLine="640"/>
        <w:rPr>
          <w:rFonts w:ascii="仿宋_GB2312" w:eastAsia="仿宋_GB2312" w:hint="eastAsia"/>
          <w:bCs/>
          <w:sz w:val="32"/>
          <w:lang w:val="en-US" w:eastAsia="zh-CN"/>
        </w:rPr>
      </w:pPr>
      <w:bookmarkStart w:id="67" w:name="_Toc27380"/>
      <w:r>
        <w:rPr>
          <w:rFonts w:ascii="仿宋_GB2312" w:eastAsia="仿宋_GB2312" w:hint="eastAsia"/>
          <w:bCs/>
          <w:sz w:val="32"/>
          <w:lang w:val="en-US" w:eastAsia="zh-CN"/>
        </w:rPr>
        <w:t>（十一）国有资本经营预算财政拨款收入支出决算表</w:t>
      </w:r>
      <w:bookmarkEnd w:id="67"/>
    </w:p>
    <w:p>
      <w:pPr>
        <w:spacing w:line="600" w:lineRule="exact"/>
        <w:ind w:firstLineChars="200" w:firstLine="640"/>
        <w:rPr>
          <w:rFonts w:ascii="仿宋_GB2312" w:eastAsia="仿宋_GB2312" w:hint="eastAsia"/>
          <w:bCs/>
          <w:sz w:val="32"/>
          <w:lang w:val="en-US" w:eastAsia="zh-CN"/>
        </w:rPr>
      </w:pPr>
      <w:bookmarkStart w:id="68" w:name="_Toc4362"/>
      <w:r>
        <w:rPr>
          <w:rFonts w:ascii="仿宋_GB2312" w:eastAsia="仿宋_GB2312" w:hint="eastAsia"/>
          <w:bCs/>
          <w:sz w:val="32"/>
          <w:lang w:val="en-US" w:eastAsia="zh-CN"/>
        </w:rPr>
        <w:t>（十二）国有资本经营预算财政拨款支出决算表</w:t>
      </w:r>
      <w:bookmarkEnd w:id="68"/>
    </w:p>
    <w:p>
      <w:pPr>
        <w:spacing w:line="600" w:lineRule="exact"/>
        <w:ind w:firstLineChars="200" w:firstLine="640"/>
        <w:rPr>
          <w:rFonts w:ascii="仿宋_GB2312" w:eastAsia="仿宋_GB2312" w:hint="eastAsia"/>
          <w:bCs/>
          <w:sz w:val="32"/>
          <w:lang w:val="en-US" w:eastAsia="zh-CN"/>
        </w:rPr>
      </w:pPr>
      <w:bookmarkStart w:id="69" w:name="_Toc30927"/>
      <w:r>
        <w:rPr>
          <w:rFonts w:ascii="仿宋_GB2312" w:eastAsia="仿宋_GB2312" w:hint="eastAsia"/>
          <w:bCs/>
          <w:sz w:val="32"/>
          <w:lang w:val="en-US" w:eastAsia="zh-CN"/>
        </w:rPr>
        <w:t>（十三）财政拨款“三公”经费支出决算表</w:t>
      </w:r>
      <w:bookmarkEnd w:id="69"/>
    </w:p>
    <w:p>
      <w:pPr>
        <w:spacing w:line="600" w:lineRule="exact"/>
        <w:ind w:firstLineChars="200" w:firstLine="640"/>
        <w:rPr>
          <w:rFonts w:ascii="仿宋_GB2312" w:eastAsia="仿宋_GB2312" w:hint="eastAsia"/>
          <w:bCs/>
          <w:sz w:val="32"/>
          <w:lang w:val="zh-CN"/>
        </w:rPr>
      </w:pPr>
    </w:p>
    <w:sectPr>
      <w:footerReference w:type="default" r:id="rId5"/>
      <w:pgSz w:w="11906" w:h="16838"/>
      <w:pgMar w:top="1440" w:right="1800" w:bottom="1440" w:left="1800" w:header="851" w:footer="992" w:gutter="0"/>
      <w:pgNumType w:start="1"/>
      <w:docGrid w:type="lines" w:linePitch="312" w:charSpace="0"/>
    </w:sectPr>
  </w:body>
</w:document>
</file>

<file path=word/fontTable.xml><?xml version="1.0" encoding="utf-8"?>
<w:fonts xmlns:w="http://schemas.openxmlformats.org/wordprocessingml/2006/main" xmlns:r="http://schemas.openxmlformats.org/officeDocument/2006/relationships">
  <w:font w:name="仿宋">
    <w:altName w:val="仿宋_GB2312"/>
    <w:panose1 w:val="02010609060101010101"/>
    <w:charset w:val="86"/>
    <w:family w:val="modern"/>
    <w:pitch w:val="variable"/>
    <w:sig w:usb0="800002BF" w:usb1="38CF7CFA" w:usb2="00000016" w:usb3="00000000" w:csb0="00040001" w:csb1="00000000"/>
  </w:font>
  <w:font w:name="方正小标宋简体">
    <w:altName w:val="方正黑体_GBK"/>
    <w:panose1 w:val="00000000000000000000"/>
    <w:charset w:val="86"/>
    <w:family w:val="script"/>
    <w:pitch w:val="variable"/>
    <w:sig w:usb0="00000000" w:usb1="00000000" w:usb2="00000010" w:usb3="00000000" w:csb0="00040000" w:csb1="00000000"/>
  </w:font>
  <w:font w:name="宋体">
    <w:altName w:val="方正书宋_GBK"/>
    <w:panose1 w:val="02010600030101010101"/>
    <w:charset w:val="86"/>
    <w:family w:val="auto"/>
    <w:pitch w:val="variable"/>
    <w:sig w:usb0="00000003" w:usb1="288F0000" w:usb2="00000006" w:usb3="00000000" w:csb0="00040001" w:csb1="00000000"/>
  </w:font>
  <w:font w:name="黑体">
    <w:altName w:val="方正黑体_GBK"/>
    <w:panose1 w:val="02010609060101010101"/>
    <w:charset w:val="86"/>
    <w:family w:val="auto"/>
    <w:pitch w:val="variable"/>
    <w:sig w:usb0="800002BF" w:usb1="38CF7CFA" w:usb2="00000016" w:usb3="00000000" w:csb0="00040001" w:csb1="00000000"/>
  </w:font>
  <w:font w:name="仿宋_GB2312">
    <w:altName w:val="仿宋"/>
    <w:panose1 w:val="00000000000000000000"/>
    <w:charset w:val="86"/>
    <w:family w:val="auto"/>
    <w:pitch w:val="variable"/>
    <w:sig w:usb0="00000000" w:usb1="00000000" w:usb2="00000010" w:usb3="00000000" w:csb0="00040000" w:csb1="00000000"/>
  </w:font>
  <w:font w:name="Times New Roman">
    <w:altName w:val="DejaVu Sans"/>
    <w:panose1 w:val="02020603050405020304"/>
    <w:charset w:val="01"/>
    <w:family w:val="auto"/>
    <w:pitch w:val="variable"/>
    <w:sig w:usb0="E0002AFF" w:usb1="C0007841" w:usb2="00000009" w:usb3="00000000" w:csb0="400001FF" w:csb1="FFFF0000"/>
  </w:font>
  <w:font w:name="Cambria">
    <w:altName w:val="DejaVu Sans"/>
    <w:panose1 w:val="02040503050406030204"/>
    <w:charset w:val="00"/>
    <w:family w:val="roman"/>
    <w:pitch w:val="variable"/>
    <w:sig w:usb0="E00002FF" w:usb1="400004FF" w:usb2="00000000" w:usb3="00000000" w:csb0="2000019F" w:csb1="00000000"/>
  </w:font>
  <w:font w:name="Calibri">
    <w:altName w:val="DejaVu Sans"/>
    <w:panose1 w:val="020F0502020204030204"/>
    <w:charset w:val="00"/>
    <w:family w:val="swiss"/>
    <w:pitch w:val="variable"/>
    <w:sig w:usb0="E00002FF" w:usb1="4000ACFF" w:usb2="00000001"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jc w:val="center"/>
    </w:pPr>
  </w:p>
  <w:p>
    <w:pPr>
      <w:pStyle w:val="17"/>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jc w:val="center"/>
    </w:pPr>
    <w:r>
      <mc:AlternateContent>
        <mc:Choice Requires="wps">
          <w:drawing>
            <wp:anchor distT="0" distB="0" distL="114298" distR="114298" simplePos="0" relativeHeight="43" behindDoc="0" locked="0" layoutInCell="1" hidden="0" allowOverlap="1">
              <wp:simplePos x="0" y="0"/>
              <wp:positionH relativeFrom="margin">
                <wp:align>center</wp:align>
              </wp:positionH>
              <wp:positionV relativeFrom="paragraph">
                <wp:posOffset>0</wp:posOffset>
              </wp:positionV>
              <wp:extent cx="72694" cy="133159"/>
              <wp:effectExtent l="0" t="0" r="0" b="0"/>
              <wp:wrapNone/>
              <wp:docPr id="1" name="文本框 3"/>
              <wp:cNvGraphicFramePr>
                <a:graphicFrameLocks noChangeAspect="0"/>
              </wp:cNvGraphicFramePr>
              <a:graphic>
                <a:graphicData uri="http://schemas.microsoft.com/office/word/2010/wordprocessingShape">
                  <wps:wsp>
                    <wps:cNvSpPr/>
                    <wps:spPr>
                      <a:xfrm rot="0">
                        <a:off x="0" y="0"/>
                        <a:ext cx="72694" cy="133159"/>
                      </a:xfrm>
                      <a:prstGeom prst="rect"/>
                      <a:noFill/>
                      <a:ln w="9525" cmpd="sng" cap="flat">
                        <a:noFill/>
                        <a:prstDash val="solid"/>
                        <a:miter/>
                      </a:ln>
                    </wps:spPr>
                    <wps:txbx id="2">
                      <w:txbxContent>
                        <w:p>
                          <w:pPr>
                            <w:pStyle w:val="17"/>
                            <w:tabs>
                              <w:tab w:val="center" w:pos="4153"/>
                              <w:tab w:val="right" w:pos="8306"/>
                            </w:tabs>
                            <w:jc w:val="center"/>
                          </w:pPr>
                          <w:r>
                            <w:fldChar w:fldCharType="begin"/>
                          </w:r>
                          <w:r>
                            <w:instrText xml:space="preserve"> PAGE   \* MERGEFORMAT </w:instrText>
                          </w:r>
                          <w:r>
                            <w:fldChar w:fldCharType="separate"/>
                          </w:r>
                          <w:r>
                            <w:rPr>
                              <w:lang w:val="zh-CN"/>
                            </w:rPr>
                            <w:t>2</w:t>
                          </w:r>
                          <w:r>
                            <w:rPr>
                              <w:lang w:val="zh-CN"/>
                            </w:rPr>
                            <w:fldChar w:fldCharType="end"/>
                          </w:r>
                        </w:p>
                      </w:txbxContent>
                    </wps:txbx>
                    <wps:bodyPr vert="horz" wrap="none" lIns="0" tIns="0" rIns="0" bIns="0" anchor="t" anchorCtr="0" upright="1">
                      <a:spAutoFit/>
                    </wps:bodyPr>
                  </wps:wsp>
                </a:graphicData>
              </a:graphic>
            </wp:anchor>
          </w:drawing>
        </mc:Choice>
        <mc:Fallback>
          <w:pict>
            <v:rect type="#_x0000_t1" id="文本框 3 3" o:spid="_x0000_s3" filled="f" stroked="f" style="position:absolute;margin-left:0.0pt;margin-top:0.0pt;width:5.724pt;height:10.485001pt;z-index:43;mso-position-horizontal:center;mso-position-horizontal-relative:margin;mso-position-vertical:absolute;mso-wrap-distance-left:8.999863pt;mso-wrap-distance-right:8.999863pt;mso-wrap-style:none;">
              <v:stroke color="#000000"/>
              <v:textbox id="858" inset="0mm,0mm,0mm,0mm" o:insetmode="custom" style="layout-flow:horizontal;v-text-anchor:top;mso-fit-shape-to-text:t;">
                <w:txbxContent>
                  <w:p>
                    <w:pPr>
                      <w:pStyle w:val="17"/>
                      <w:tabs>
                        <w:tab w:val="center" w:pos="4153"/>
                        <w:tab w:val="right" w:pos="8306"/>
                      </w:tabs>
                      <w:jc w:val="center"/>
                    </w:pPr>
                    <w:r>
                      <w:fldChar w:fldCharType="begin"/>
                    </w:r>
                    <w:r>
                      <w:instrText xml:space="preserve"> PAGE   \* MERGEFORMAT </w:instrText>
                    </w:r>
                    <w:r>
                      <w:fldChar w:fldCharType="separate"/>
                    </w:r>
                    <w:r>
                      <w:rPr>
                        <w:lang w:val="zh-CN"/>
                      </w:rPr>
                      <w:t>2</w:t>
                    </w:r>
                    <w:r>
                      <w:rPr>
                        <w:lang w:val="zh-CN"/>
                      </w:rPr>
                      <w:fldChar w:fldCharType="end"/>
                    </w:r>
                  </w:p>
                </w:txbxContent>
              </v:textbox>
            </v:rect>
          </w:pict>
        </mc:Fallback>
      </mc:AlternateContent>
    </w:r>
  </w:p>
  <w:p>
    <w:pPr>
      <w:pStyle w:val="17"/>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jc w:val="center"/>
    </w:pPr>
    <w:r>
      <mc:AlternateContent>
        <mc:Choice Requires="wps">
          <w:drawing>
            <wp:anchor distT="0" distB="0" distL="114298" distR="114298" simplePos="0" relativeHeight="45" behindDoc="0" locked="0" layoutInCell="1" hidden="0" allowOverlap="1">
              <wp:simplePos x="0" y="0"/>
              <wp:positionH relativeFrom="margin">
                <wp:align>center</wp:align>
              </wp:positionH>
              <wp:positionV relativeFrom="paragraph">
                <wp:posOffset>0</wp:posOffset>
              </wp:positionV>
              <wp:extent cx="145389" cy="133159"/>
              <wp:effectExtent l="0" t="0" r="0" b="0"/>
              <wp:wrapNone/>
              <wp:docPr id="4" name="文本框 2"/>
              <wp:cNvGraphicFramePr>
                <a:graphicFrameLocks noChangeAspect="0"/>
              </wp:cNvGraphicFramePr>
              <a:graphic>
                <a:graphicData uri="http://schemas.microsoft.com/office/word/2010/wordprocessingShape">
                  <wps:wsp>
                    <wps:cNvSpPr/>
                    <wps:spPr>
                      <a:xfrm rot="0">
                        <a:off x="0" y="0"/>
                        <a:ext cx="145389" cy="133159"/>
                      </a:xfrm>
                      <a:prstGeom prst="rect"/>
                      <a:noFill/>
                      <a:ln w="9525" cmpd="sng" cap="flat">
                        <a:noFill/>
                        <a:prstDash val="solid"/>
                        <a:miter/>
                      </a:ln>
                    </wps:spPr>
                    <wps:txbx id="5">
                      <w:txbxContent>
                        <w:p>
                          <w:pPr>
                            <w:pStyle w:val="17"/>
                            <w:tabs>
                              <w:tab w:val="center" w:pos="4153"/>
                              <w:tab w:val="right" w:pos="8306"/>
                            </w:tabs>
                            <w:jc w:val="center"/>
                          </w:pPr>
                          <w:r>
                            <w:fldChar w:fldCharType="begin"/>
                          </w:r>
                          <w:r>
                            <w:instrText xml:space="preserve"> PAGE   \* MERGEFORMAT </w:instrText>
                          </w:r>
                          <w:r>
                            <w:fldChar w:fldCharType="separate"/>
                          </w:r>
                          <w:r>
                            <w:rPr>
                              <w:lang w:val="zh-CN"/>
                            </w:rPr>
                            <w:t>5</w:t>
                          </w:r>
                          <w:r>
                            <w:rPr>
                              <w:lang w:val="zh-CN"/>
                            </w:rPr>
                            <w:fldChar w:fldCharType="end"/>
                          </w:r>
                        </w:p>
                      </w:txbxContent>
                    </wps:txbx>
                    <wps:bodyPr vert="horz" wrap="none" lIns="0" tIns="0" rIns="0" bIns="0" anchor="t" anchorCtr="0" upright="1">
                      <a:spAutoFit/>
                    </wps:bodyPr>
                  </wps:wsp>
                </a:graphicData>
              </a:graphic>
            </wp:anchor>
          </w:drawing>
        </mc:Choice>
        <mc:Fallback>
          <w:pict>
            <v:rect type="#_x0000_t1" id="文本框 2 6" o:spid="_x0000_s6" filled="f" stroked="f" style="position:absolute;margin-left:0.0pt;margin-top:0.0pt;width:11.447991pt;height:10.485009pt;z-index:45;mso-position-horizontal:center;mso-position-horizontal-relative:margin;mso-position-vertical:absolute;mso-wrap-distance-left:8.999863pt;mso-wrap-distance-right:8.999863pt;mso-wrap-style:none;">
              <v:stroke color="#000000"/>
              <v:textbox id="859" inset="0mm,0mm,0mm,0mm" o:insetmode="custom" style="layout-flow:horizontal;v-text-anchor:top;mso-fit-shape-to-text:t;">
                <w:txbxContent>
                  <w:p>
                    <w:pPr>
                      <w:pStyle w:val="17"/>
                      <w:tabs>
                        <w:tab w:val="center" w:pos="4153"/>
                        <w:tab w:val="right" w:pos="8306"/>
                      </w:tabs>
                      <w:jc w:val="center"/>
                    </w:pPr>
                    <w:r>
                      <w:fldChar w:fldCharType="begin"/>
                    </w:r>
                    <w:r>
                      <w:instrText xml:space="preserve"> PAGE   \* MERGEFORMAT </w:instrText>
                    </w:r>
                    <w:r>
                      <w:fldChar w:fldCharType="separate"/>
                    </w:r>
                    <w:r>
                      <w:rPr>
                        <w:lang w:val="zh-CN"/>
                      </w:rPr>
                      <w:t>5</w:t>
                    </w:r>
                    <w:r>
                      <w:rPr>
                        <w:lang w:val="zh-CN"/>
                      </w:rPr>
                      <w:fldChar w:fldCharType="end"/>
                    </w:r>
                  </w:p>
                </w:txbxContent>
              </v:textbox>
            </v:rect>
          </w:pict>
        </mc:Fallback>
      </mc:AlternateContent>
    </w:r>
  </w:p>
  <w:p>
    <w:pPr>
      <w:pStyle w:val="17"/>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pBdr>
        <w:bottom w:val="none" w:sz="0" w:space="0" w:color="auto"/>
      </w:pBdr>
      <w:tabs>
        <w:tab w:val="center" w:pos="4153"/>
        <w:tab w:val="right" w:pos="8306"/>
      </w:tabs>
      <w:jc w:val="left"/>
      <w:rPr>
        <w:rFonts w:ascii="仿宋" w:eastAsia="仿宋" w:cs="仿宋"/>
        <w:sz w:val="11"/>
        <w:szCs w:val="11"/>
      </w:rPr>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2912B9C4"/>
    <w:multiLevelType w:val="singleLevel"/>
    <w:tmpl w:val="2912B9C4"/>
    <w:lvl w:ilvl="0">
      <w:start w:val="1"/>
      <w:numFmt w:val="decimal"/>
      <w:lvlRestart w:val="0"/>
      <w:suff w:val="nothing"/>
      <w:lvlText w:val="%1、"/>
      <w:lvlJc w:val="left"/>
      <w:pPr>
        <w:tabs>
          <w:tab w:val="num" w:pos="0"/>
        </w:tabs>
        <w:ind w:left="0" w:hanging="0"/>
      </w:pPr>
    </w:lvl>
  </w:abstractNum>
  <w:abstractNum w:abstractNumId="1">
    <w:nsid w:val="494E7499"/>
    <w:multiLevelType w:val="multilevel"/>
    <w:tmpl w:val="494E7499"/>
    <w:lvl w:ilvl="0">
      <w:start w:val="1"/>
      <w:numFmt w:val="decimal"/>
      <w:lvlRestart w:val="0"/>
      <w:lvlText w:val="%1."/>
      <w:lvlJc w:val="left"/>
      <w:pPr>
        <w:tabs>
          <w:tab w:val="num" w:pos="0"/>
        </w:tabs>
        <w:ind w:left="465" w:hanging="465"/>
      </w:pPr>
      <w:rPr>
        <w:rFonts w:hint="default"/>
        <w:b/>
        <w:color w:val="auto"/>
      </w:r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2">
    <w:nsid w:val="7BD9097D"/>
    <w:multiLevelType w:val="multilevel"/>
    <w:tmpl w:val="7BD9097D"/>
    <w:lvl w:ilvl="0">
      <w:start w:val="1"/>
      <w:numFmt w:val="decimal"/>
      <w:lvlRestart w:val="0"/>
      <w:lvlText w:val="（%1）"/>
      <w:lvlJc w:val="left"/>
      <w:pPr>
        <w:tabs>
          <w:tab w:val="num" w:pos="0"/>
        </w:tabs>
        <w:ind w:left="1080" w:hanging="1080"/>
      </w:pPr>
      <w:rPr>
        <w:rFonts w:hint="default"/>
      </w:r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3">
    <w:nsid w:val="D7BDC64D"/>
    <w:multiLevelType w:val="singleLevel"/>
    <w:tmpl w:val="D7BDC64D"/>
    <w:lvl w:ilvl="0">
      <w:start w:val="3"/>
      <w:numFmt w:val="chineseCounting"/>
      <w:lvlRestart w:val="0"/>
      <w:suff w:val="nothing"/>
      <w:lvlText w:val="（%1）"/>
      <w:lvlJc w:val="left"/>
      <w:pPr>
        <w:tabs>
          <w:tab w:val="num" w:pos="0"/>
        </w:tabs>
        <w:ind w:left="0" w:hanging="0"/>
      </w:pPr>
      <w:rPr>
        <w:rFonts w:hint="eastAsia"/>
      </w:rPr>
    </w:lvl>
  </w:abstractNum>
  <w:abstractNum w:abstractNumId="4">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3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2"/>
  </w:compat>
  <w:docVars>
    <w:docVar w:name="commondata" w:val="eyJoZGlkIjoiNWE4NGViZjU0MzVjNDA1ZWUyM2EwMDQ1ZWE5YThiMzY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pPr>
      <w:keepNext/>
      <w:keepLines/>
      <w:widowControl w:val="0"/>
      <w:spacing w:before="260" w:after="260" w:line="415" w:lineRule="auto"/>
      <w:outlineLvl w:val="1"/>
    </w:pPr>
    <w:rPr>
      <w:rFonts w:ascii="Cambria" w:hAnsi="Cambria"/>
      <w:b/>
      <w:bCs/>
      <w:sz w:val="32"/>
      <w:szCs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Balloon Text"/>
    <w:basedOn w:val="0"/>
    <w:rPr>
      <w:sz w:val="18"/>
      <w:szCs w:val="18"/>
    </w:rPr>
  </w:style>
  <w:style w:type="paragraph" w:styleId="17">
    <w:name w:val="footer"/>
    <w:basedOn w:val="0"/>
    <w:pPr>
      <w:tabs>
        <w:tab w:val="center" w:pos="4153"/>
        <w:tab w:val="right" w:pos="8306"/>
      </w:tabs>
      <w:snapToGrid w:val="0"/>
      <w:jc w:val="left"/>
    </w:pPr>
    <w:rPr>
      <w:rFonts w:ascii="Calibri" w:hAnsi="Calibri"/>
      <w:kern w:val="0"/>
      <w:sz w:val="18"/>
      <w:szCs w:val="18"/>
    </w:rPr>
  </w:style>
  <w:style w:type="paragraph" w:styleId="18">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9">
    <w:name w:val="toc 1"/>
    <w:basedOn w:val="0"/>
    <w:next w:val="0"/>
  </w:style>
  <w:style w:type="paragraph" w:styleId="20">
    <w:name w:val="toc 2"/>
    <w:basedOn w:val="0"/>
    <w:next w:val="0"/>
    <w:pPr>
      <w:ind w:leftChars="200" w:left="200"/>
    </w:pPr>
  </w:style>
  <w:style w:type="paragraph" w:styleId="21">
    <w:name w:val="Normal (Web)"/>
    <w:pPr>
      <w:widowControl w:val="0"/>
      <w:spacing w:before="0" w:beforeAutospacing="1" w:after="0" w:afterAutospacing="1"/>
      <w:ind w:left="0" w:right="0"/>
      <w:jc w:val="left"/>
    </w:pPr>
    <w:rPr>
      <w:rFonts w:ascii="Times New Roman" w:eastAsia="宋体" w:cs="Times New Roman" w:hAnsi="Times New Roman"/>
      <w:kern w:val="0"/>
      <w:sz w:val="24"/>
      <w:szCs w:val="24"/>
      <w:lang w:val="en-US" w:eastAsia="zh-CN" w:bidi="ar-SA"/>
    </w:rPr>
  </w:style>
  <w:style w:type="character" w:styleId="22">
    <w:name w:val="Strong"/>
    <w:rPr>
      <w:b/>
      <w:bCs/>
    </w:rPr>
  </w:style>
  <w:style w:type="paragraph" w:customStyle="1" w:styleId="23">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24">
    <w:name w:val="WPSOffice手动目录 2"/>
    <w:pPr>
      <w:ind w:leftChars="200" w:left="200"/>
    </w:pPr>
    <w:rPr>
      <w:rFonts w:ascii="Times New Roman" w:eastAsia="宋体" w:cs="Times New Roman" w:hAnsi="Times New Roman"/>
      <w:sz w:val="20"/>
      <w:szCs w:val="20"/>
      <w:lang w:val="en-US" w:eastAsia="zh-CN" w:bidi="ar-SA"/>
    </w:rPr>
  </w:style>
  <w:style w:type="paragraph" w:customStyle="1" w:styleId="25">
    <w:name w:val="WPSOffice手动目录 1"/>
    <w:rPr>
      <w:rFonts w:ascii="Times New Roman" w:eastAsia="宋体" w:cs="Times New Roman" w:hAnsi="Times New Roman"/>
      <w:sz w:val="20"/>
      <w:szCs w:val="20"/>
      <w:lang w:val="en-US" w:eastAsia="zh-CN" w:bidi="ar-SA"/>
    </w:rPr>
  </w:style>
  <w:style w:type="paragraph" w:styleId="26">
    <w:name w:val="List Paragraph"/>
    <w:basedOn w:val="0"/>
    <w:pPr>
      <w:ind w:firstLineChars="200" w:firstLine="200"/>
    </w:pPr>
  </w:style>
  <w:style w:type="paragraph" w:customStyle="1" w:styleId="27">
    <w:name w:val="Revision"/>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chart" Target="charts/chart1.xml"/><Relationship Id="rId7" Type="http://schemas.openxmlformats.org/officeDocument/2006/relationships/chart" Target="charts/chart2.xml"/><Relationship Id="rId8" Type="http://schemas.openxmlformats.org/officeDocument/2006/relationships/chart" Target="charts/chart3.xml"/><Relationship Id="rId9" Type="http://schemas.openxmlformats.org/officeDocument/2006/relationships/chart" Target="charts/chart4.xml"/><Relationship Id="rId10" Type="http://schemas.openxmlformats.org/officeDocument/2006/relationships/chart" Target="charts/chart5.xml"/><Relationship Id="rId11" Type="http://schemas.openxmlformats.org/officeDocument/2006/relationships/chart" Target="charts/chart6.xml"/><Relationship Id="rId12" Type="http://schemas.openxmlformats.org/officeDocument/2006/relationships/image" Target="media/14.emf"/><Relationship Id="rId13" Type="http://schemas.openxmlformats.org/officeDocument/2006/relationships/oleObject" Target="embeddings/oleObject1.bin"/><Relationship Id="rId14" Type="http://schemas.openxmlformats.org/officeDocument/2006/relationships/chart" Target="charts/chart7.xml"/><Relationship Id="rId15" Type="http://schemas.openxmlformats.org/officeDocument/2006/relationships/chart" Target="charts/chart8.xml"/><Relationship Id="rId16" Type="http://schemas.openxmlformats.org/officeDocument/2006/relationships/chart" Target="charts/chart9.xml"/><Relationship Id="rId17" Type="http://schemas.openxmlformats.org/officeDocument/2006/relationships/styles" Target="styles.xml"/><Relationship Id="rId18" Type="http://schemas.openxmlformats.org/officeDocument/2006/relationships/numbering" Target="numbering.xml"/><Relationship Id="rId1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char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char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人数</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1"/>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showLegendKey val="0"/>
            <c:showVal val="0"/>
            <c:showCatName val="0"/>
            <c:showSerName val="0"/>
            <c:showPercent val="0"/>
            <c:showBubbleSize val="0"/>
            <c:showLeaderLines val="0"/>
          </c:dLbls>
          <c:cat>
            <c:strRef>
              <c:f>'Sheet1'!$A$2:$A$3</c:f>
              <c:strCache>
                <c:ptCount val="2"/>
                <c:pt idx="0">
                  <c:v>参公</c:v>
                </c:pt>
                <c:pt idx="1">
                  <c:v>事业</c:v>
                </c:pt>
              </c:strCache>
            </c:strRef>
          </c:cat>
          <c:val>
            <c:numRef>
              <c:f>'Sheet1'!$B$2:$B$3</c:f>
              <c:numCache>
                <c:formatCode>General</c:formatCode>
                <c:ptCount val="2"/>
                <c:pt idx="0">
                  <c:v>13.0</c:v>
                </c:pt>
                <c:pt idx="1">
                  <c:v>2.0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 (2)'!$B$1</c:f>
              <c:strCache>
                <c:ptCount val="1"/>
                <c:pt idx="0">
                  <c:v>2021</c:v>
                </c:pt>
              </c:strCache>
            </c:strRef>
          </c:tx>
          <c:spPr>
            <a:solidFill>
              <a:srgbClr val="4F81B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1"/>
            <c:dLblPos val="inEnd"/>
            <c:showLegendKey val="0"/>
            <c:showVal val="1"/>
            <c:showCatName val="0"/>
            <c:showSerName val="0"/>
            <c:showPercent val="0"/>
            <c:showBubbleSize val="0"/>
            <c:showLeaderLines val="0"/>
          </c:dLbls>
          <c:cat>
            <c:strRef>
              <c:f>'Sheet1 (2)'!$A$2:$A$3</c:f>
              <c:strCache>
                <c:ptCount val="2"/>
                <c:pt idx="0">
                  <c:v>收入总计</c:v>
                </c:pt>
                <c:pt idx="1">
                  <c:v>支出总计</c:v>
                </c:pt>
              </c:strCache>
            </c:strRef>
          </c:cat>
          <c:val>
            <c:numRef>
              <c:f>'Sheet1 (2)'!$B$2:$B$3</c:f>
              <c:numCache>
                <c:formatCode>General</c:formatCode>
                <c:ptCount val="2"/>
                <c:pt idx="0">
                  <c:v>976.78</c:v>
                </c:pt>
                <c:pt idx="1">
                  <c:v>976.78</c:v>
                </c:pt>
              </c:numCache>
            </c:numRef>
          </c:val>
        </c:ser>
        <c:ser>
          <c:idx val="1"/>
          <c:order val="1"/>
          <c:tx>
            <c:strRef>
              <c:f>'Sheet1 (2)'!$C$1</c:f>
              <c:strCache>
                <c:ptCount val="1"/>
                <c:pt idx="0">
                  <c:v>2022</c:v>
                </c:pt>
              </c:strCache>
            </c:strRef>
          </c:tx>
          <c:spPr>
            <a:solidFill>
              <a:srgbClr val="C0504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1"/>
            <c:dLblPos val="inEnd"/>
            <c:showLegendKey val="0"/>
            <c:showVal val="1"/>
            <c:showCatName val="0"/>
            <c:showSerName val="0"/>
            <c:showPercent val="0"/>
            <c:showBubbleSize val="0"/>
            <c:showLeaderLines val="0"/>
          </c:dLbls>
          <c:cat>
            <c:strRef>
              <c:f>'Sheet1 (2)'!$A$2:$A$3</c:f>
              <c:strCache>
                <c:ptCount val="2"/>
                <c:pt idx="0">
                  <c:v>收入总计</c:v>
                </c:pt>
                <c:pt idx="1">
                  <c:v>支出总计</c:v>
                </c:pt>
              </c:strCache>
            </c:strRef>
          </c:cat>
          <c:val>
            <c:numRef>
              <c:f>'Sheet1 (2)'!$C$2:$C$3</c:f>
              <c:numCache>
                <c:formatCode>General</c:formatCode>
                <c:ptCount val="2"/>
                <c:pt idx="0">
                  <c:v>361.2</c:v>
                </c:pt>
                <c:pt idx="1">
                  <c:v>361.2</c:v>
                </c:pt>
              </c:numCache>
            </c:numRef>
          </c:val>
        </c:ser>
        <c:gapWidth val="65"/>
        <c:axId val="0"/>
        <c:axId val="1"/>
      </c:barChart>
      <c:catAx>
        <c:axId val="0"/>
        <c:scaling>
          <c:orientation val="minMax"/>
        </c:scaling>
        <c:delete val="0"/>
        <c:axPos val="b"/>
        <c:numFmt formatCode="General" sourceLinked="1"/>
        <c:majorTickMark val="none"/>
        <c:minorTickMark val="none"/>
        <c:tickLblPos val="nextTo"/>
        <c:spPr>
          <a:ln w="19050">
            <a:solidFill>
              <a:srgbClr val="404040"/>
            </a:solidFill>
            <a:prstDash val="solid"/>
          </a:ln>
        </c:spPr>
        <c:txPr>
          <a:bodyPr/>
          <a:lstStyle/>
          <a:p>
            <a:pPr>
              <a:defRPr sz="900" b="0" i="0" u="none" strike="noStrike" cap="all" baseline="0">
                <a:solidFill>
                  <a:srgbClr val="40404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1"/>
        <c:axPos val="l"/>
        <c:majorGridlines>
          <c:spPr>
            <a:ln w="6350">
              <a:solidFill>
                <a:srgbClr val="868686"/>
              </a:solidFill>
              <a:prstDash val="solid"/>
            </a:ln>
          </c:spPr>
        </c:majorGridlines>
        <c:numFmt formatCode="General" sourceLinked="1"/>
        <c:majorTickMark val="none"/>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solidFill>
          <a:srgbClr val="F2F2F2">
            <a:alpha val="39000"/>
          </a:srgbClr>
        </a:solidFill>
        <a:ln>
          <a:noFill/>
        </a:ln>
      </c:spPr>
      <c:txPr>
        <a:bodyPr/>
        <a:lstStyle/>
        <a:p>
          <a:pPr>
            <a:defRPr sz="900" b="0" i="0" u="none" strike="noStrike" baseline="0">
              <a:solidFill>
                <a:srgbClr val="404040"/>
              </a:solidFill>
              <a:latin typeface="AR PL UKai CN"/>
              <a:ea typeface="AR PL UKai CN"/>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hPercent val="100"/>
      <c:rotY val="0"/>
      <c:depthPercent val="100"/>
      <c:rAngAx val="0"/>
      <c:perspective val="0"/>
    </c:view3D>
    <c:floor>
      <c:thickness val="0"/>
      <c:spPr>
        <a:ln>
          <a:noFill/>
        </a:ln>
      </c:spPr>
    </c:floor>
    <c:sideWall>
      <c:thickness val="0"/>
      <c:spPr>
        <a:ln>
          <a:noFill/>
        </a:ln>
      </c:spPr>
    </c:sideWall>
    <c:backWall>
      <c:thickness val="0"/>
      <c:spPr>
        <a:noFill/>
        <a:ln>
          <a:noFill/>
        </a:ln>
      </c:spPr>
    </c:backWall>
    <c:plotArea>
      <c:layout>
        <c:manualLayout>
          <c:layoutTarget val="inner"/>
          <c:xMode val="edge"/>
          <c:yMode val="edge"/>
          <c:x val="0.024820609"/>
          <c:y val="0.10466507"/>
          <c:w val="0.94659454"/>
          <c:h val="0.87739235"/>
        </c:manualLayout>
      </c:layout>
      <c:pie3DChart>
        <c:varyColors val="1"/>
        <c:ser>
          <c:idx val="0"/>
          <c:order val="0"/>
          <c:tx>
            <c:strRef>
              <c:f>'Sheet1 (3)'!$B$1</c:f>
              <c:strCache>
                <c:ptCount val="1"/>
                <c:pt idx="0">
                  <c:v>金额</c:v>
                </c:pt>
              </c:strCache>
            </c:strRef>
          </c:tx>
          <c:dPt>
            <c:idx val="0"/>
            <c:bubble3D val="0"/>
            <c:spPr>
              <a:solidFill>
                <a:srgbClr val="4F81BD"/>
              </a:solidFill>
              <a:ln w="25400">
                <a:solidFill>
                  <a:srgbClr val="FFFFFF"/>
                </a:solidFill>
                <a:prstDash val="solid"/>
              </a:ln>
            </c:spPr>
          </c:dPt>
          <c:dPt>
            <c:idx val="1"/>
            <c:bubble3D val="0"/>
            <c:spPr>
              <a:solidFill>
                <a:srgbClr val="C0504D"/>
              </a:solidFill>
              <a:ln w="25400">
                <a:solidFill>
                  <a:srgbClr val="FFFFFF"/>
                </a:solidFill>
                <a:prstDash val="solid"/>
              </a:ln>
            </c:spPr>
          </c:dPt>
          <c:dPt>
            <c:idx val="2"/>
            <c:bubble3D val="0"/>
            <c:spPr>
              <a:solidFill>
                <a:srgbClr val="9BBB59"/>
              </a:solidFill>
              <a:ln w="25400">
                <a:solidFill>
                  <a:srgbClr val="FFFFFF"/>
                </a:solidFill>
                <a:prstDash val="solid"/>
              </a:ln>
            </c:spPr>
          </c:dPt>
          <c:dPt>
            <c:idx val="3"/>
            <c:bubble3D val="0"/>
            <c:spPr>
              <a:solidFill>
                <a:srgbClr val="8064A2"/>
              </a:solidFill>
              <a:ln w="25400">
                <a:solidFill>
                  <a:srgbClr val="FFFFFF"/>
                </a:solidFill>
                <a:prstDash val="solid"/>
              </a:ln>
            </c:spPr>
          </c:dPt>
          <c:dLbls>
            <c:dLbl>
              <c:idx val="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1"/>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2"/>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3"/>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showLegendKey val="0"/>
            <c:showVal val="0"/>
            <c:showCatName val="0"/>
            <c:showSerName val="0"/>
            <c:showPercent val="0"/>
            <c:showBubbleSize val="0"/>
            <c:showLeaderLines val="0"/>
          </c:dLbls>
          <c:cat>
            <c:strRef>
              <c:f>'Sheet1 (3)'!$A$2:$A$5</c:f>
              <c:strCache>
                <c:ptCount val="4"/>
                <c:pt idx="0">
                  <c:v>财政拨款收入</c:v>
                </c:pt>
                <c:pt idx="1">
                  <c:v>事业收入</c:v>
                </c:pt>
                <c:pt idx="2">
                  <c:v>经营收入</c:v>
                </c:pt>
                <c:pt idx="3">
                  <c:v>其他收入</c:v>
                </c:pt>
              </c:strCache>
            </c:strRef>
          </c:cat>
          <c:val>
            <c:numRef>
              <c:f>'Sheet1 (3)'!$B$2:$B$5</c:f>
              <c:numCache>
                <c:formatCode>General</c:formatCode>
                <c:ptCount val="4"/>
                <c:pt idx="0">
                  <c:v>976.78</c:v>
                </c:pt>
                <c:pt idx="1">
                  <c:v>0.0</c:v>
                </c:pt>
                <c:pt idx="2">
                  <c:v>0.0</c:v>
                </c:pt>
                <c:pt idx="3">
                  <c:v>0.0</c:v>
                </c:pt>
              </c:numCache>
            </c:numRef>
          </c:val>
        </c:ser>
        <c:gapDepth val="150"/>
        <c:firstSliceAng val="0"/>
      </c:pie3DChart>
      <c:spPr>
        <a:noFill/>
        <a:ln>
          <a:noFill/>
        </a:ln>
      </c:spPr>
    </c:plotArea>
    <c:legend>
      <c:legendPos val="r"/>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hPercent val="100"/>
      <c:rotY val="0"/>
      <c:depthPercent val="100"/>
      <c:rAngAx val="0"/>
      <c:perspective val="0"/>
    </c:view3D>
    <c:floor>
      <c:thickness val="0"/>
      <c:spPr>
        <a:ln>
          <a:noFill/>
        </a:ln>
      </c:spPr>
    </c:floor>
    <c:sideWall>
      <c:thickness val="0"/>
      <c:spPr>
        <a:ln>
          <a:noFill/>
        </a:ln>
      </c:spPr>
    </c:sideWall>
    <c:backWall>
      <c:thickness val="0"/>
      <c:spPr>
        <a:noFill/>
        <a:ln>
          <a:noFill/>
        </a:ln>
      </c:spPr>
    </c:backWall>
    <c:plotArea>
      <c:layout/>
      <c:pie3DChart>
        <c:varyColors val="1"/>
        <c:ser>
          <c:idx val="0"/>
          <c:order val="0"/>
          <c:tx>
            <c:strRef>
              <c:f>'Sheet1 (4)'!$B$1</c:f>
              <c:strCache>
                <c:ptCount val="1"/>
                <c:pt idx="0">
                  <c:v>金额</c:v>
                </c:pt>
              </c:strCache>
            </c:strRef>
          </c:tx>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Lbls>
            <c:spPr>
              <a:noFill/>
              <a:ln>
                <a:noFill/>
              </a:ln>
            </c:spPr>
            <c:txPr>
              <a:bodyPr vert="horz"/>
              <a:lstStyle/>
              <a:p>
                <a:pPr>
                  <a:defRPr sz="1000" b="1" i="0" u="none" strike="noStrike" baseline="0">
                    <a:solidFill>
                      <a:srgbClr val="4F81BD"/>
                    </a:solidFill>
                    <a:latin typeface="AR PL UKai CN"/>
                    <a:ea typeface="AR PL UKai CN"/>
                    <a:cs typeface="Lucida Sans"/>
                  </a:defRPr>
                </a:pPr>
                <a:endParaRPr lang="zh-CN"/>
              </a:p>
            </c:txPr>
            <c:numFmt formatCode="0%" sourceLinked="0"/>
            <c:dLbl>
              <c:idx val="0"/>
              <c:layout>
                <c:manualLayout>
                  <c:x val="0.27417815"/>
                  <c:y val="0.0"/>
                </c:manualLayout>
              </c:layout>
              <c:numFmt formatCode="0%" sourceLinked="0"/>
              <c:spPr>
                <a:noFill/>
                <a:ln>
                  <a:noFill/>
                </a:ln>
              </c:spPr>
              <c:txPr>
                <a:bodyPr vert="horz"/>
                <a:lstStyle/>
                <a:p>
                  <a:pPr>
                    <a:defRPr sz="1000" b="1" i="0" u="none" strike="noStrike" baseline="0">
                      <a:solidFill>
                        <a:srgbClr val="4F81BD"/>
                      </a:solidFill>
                      <a:latin typeface="AR PL UKai CN"/>
                      <a:ea typeface="AR PL UKai CN"/>
                      <a:cs typeface="Lucida Sans"/>
                    </a:defRPr>
                  </a:pPr>
                  <a:endParaRPr lang="zh-CN"/>
                </a:p>
              </c:txPr>
              <c:dLblPos val="bestFit"/>
              <c:tx>
                <c:rich>
                  <a:bodyPr vert="horz"/>
                  <a:lstStyle/>
                  <a:p>
                    <a:pPr>
                      <a:defRPr sz="1000" b="1" i="0" u="none" strike="noStrike" baseline="0">
                        <a:solidFill>
                          <a:srgbClr val="4F81BD"/>
                        </a:solidFill>
                        <a:latin typeface="AR PL UKai CN"/>
                        <a:ea typeface="AR PL UKai CN"/>
                        <a:cs typeface="Lucida Sans"/>
                      </a:defRPr>
                    </a:pPr>
                    <a:r>
                      <a:rPr lang="zh-CN"/>
                      <a:t>基本支出
99.77%</a:t>
                    </a:r>
                  </a:p>
                </c:rich>
              </c:tx>
              <c:showLegendKey val="0"/>
              <c:showVal val="0"/>
              <c:showCatName val="1"/>
              <c:showSerName val="0"/>
              <c:showPercent val="1"/>
              <c:showBubbleSize val="0"/>
              <c:separator>
</c:separator>
            </c:dLbl>
            <c:dLbl>
              <c:idx val="1"/>
              <c:layout>
                <c:manualLayout>
                  <c:x val="-0.27622426"/>
                  <c:y val="0.018189168"/>
                </c:manualLayout>
              </c:layout>
              <c:numFmt formatCode="0%" sourceLinked="0"/>
              <c:spPr>
                <a:noFill/>
                <a:ln>
                  <a:noFill/>
                </a:ln>
              </c:spPr>
              <c:txPr>
                <a:bodyPr vert="horz"/>
                <a:lstStyle/>
                <a:p>
                  <a:pPr>
                    <a:defRPr sz="1000" b="1" i="0" u="none" strike="noStrike" baseline="0">
                      <a:solidFill>
                        <a:srgbClr val="C0504D"/>
                      </a:solidFill>
                      <a:latin typeface="AR PL UKai CN"/>
                      <a:ea typeface="AR PL UKai CN"/>
                      <a:cs typeface="Lucida Sans"/>
                    </a:defRPr>
                  </a:pPr>
                  <a:endParaRPr lang="zh-CN"/>
                </a:p>
              </c:txPr>
              <c:dLblPos val="bestFit"/>
              <c:tx>
                <c:rich>
                  <a:bodyPr vert="horz"/>
                  <a:lstStyle/>
                  <a:p>
                    <a:pPr>
                      <a:defRPr sz="1000" b="1" i="0" u="none" strike="noStrike" baseline="0">
                        <a:solidFill>
                          <a:srgbClr val="C0504D"/>
                        </a:solidFill>
                        <a:latin typeface="AR PL UKai CN"/>
                        <a:ea typeface="AR PL UKai CN"/>
                        <a:cs typeface="Lucida Sans"/>
                      </a:defRPr>
                    </a:pPr>
                    <a:r>
                      <a:rPr lang="zh-CN"/>
                      <a:t>项目支出0.23%</a:t>
                    </a:r>
                  </a:p>
                </c:rich>
              </c:tx>
              <c:showLegendKey val="0"/>
              <c:showVal val="0"/>
              <c:showCatName val="1"/>
              <c:showSerName val="0"/>
              <c:showPercent val="1"/>
              <c:showBubbleSize val="0"/>
              <c:separator>
</c:separator>
            </c:dLbl>
            <c:dLblPos val="outEnd"/>
            <c:showLegendKey val="0"/>
            <c:showVal val="0"/>
            <c:showCatName val="1"/>
            <c:showSerName val="0"/>
            <c:showPercent val="1"/>
            <c:showBubbleSize val="0"/>
            <c:showLeaderLines val="1"/>
          </c:dLbls>
          <c:cat>
            <c:strRef>
              <c:f>'Sheet1 (4)'!$A$2:$A$3</c:f>
              <c:strCache>
                <c:ptCount val="2"/>
                <c:pt idx="0">
                  <c:v>基本支出</c:v>
                </c:pt>
                <c:pt idx="1">
                  <c:v>项目支出</c:v>
                </c:pt>
              </c:strCache>
            </c:strRef>
          </c:cat>
          <c:val>
            <c:numRef>
              <c:f>'Sheet1 (4)'!$B$2:$B$3</c:f>
              <c:numCache>
                <c:formatCode>General</c:formatCode>
                <c:ptCount val="2"/>
                <c:pt idx="0">
                  <c:v>99.77</c:v>
                </c:pt>
                <c:pt idx="1">
                  <c:v>0.23</c:v>
                </c:pt>
              </c:numCache>
            </c:numRef>
          </c:val>
        </c:ser>
        <c:gapDepth val="150"/>
        <c:firstSliceAng val="0"/>
      </c:pie3DChart>
      <c:spPr>
        <a:noFill/>
        <a:ln>
          <a:noFill/>
        </a:ln>
      </c:spPr>
    </c:plotArea>
    <c:legend>
      <c:legendPos val="r"/>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hPercent val="100"/>
      <c:rotY val="0"/>
      <c:depthPercent val="100"/>
      <c:rAngAx val="0"/>
      <c:perspective val="0"/>
    </c:view3D>
    <c:floor>
      <c:thickness val="0"/>
      <c:spPr>
        <a:ln>
          <a:noFill/>
        </a:ln>
      </c:spPr>
    </c:floor>
    <c:sideWall>
      <c:thickness val="0"/>
      <c:spPr>
        <a:ln>
          <a:noFill/>
        </a:ln>
      </c:spPr>
    </c:sideWall>
    <c:backWall>
      <c:thickness val="0"/>
      <c:spPr>
        <a:noFill/>
        <a:ln>
          <a:noFill/>
        </a:ln>
      </c:spPr>
    </c:backWall>
    <c:plotArea>
      <c:layout>
        <c:manualLayout>
          <c:layoutTarget val="inner"/>
          <c:xMode val="edge"/>
          <c:yMode val="edge"/>
          <c:x val="0.027751757"/>
          <c:y val="0.06410879"/>
          <c:w val="0.647541"/>
          <c:h val="0.918407"/>
        </c:manualLayout>
      </c:layout>
      <c:pie3DChart>
        <c:varyColors val="1"/>
        <c:ser>
          <c:idx val="0"/>
          <c:order val="0"/>
          <c:tx>
            <c:strRef>
              <c:f>'Sheet1 (5)'!$B$1</c:f>
              <c:strCache>
                <c:ptCount val="1"/>
                <c:pt idx="0">
                  <c:v>列1</c:v>
                </c:pt>
              </c:strCache>
            </c:strRef>
          </c:tx>
          <c:dPt>
            <c:idx val="0"/>
            <c:bubble3D val="0"/>
            <c:spPr>
              <a:solidFill>
                <a:srgbClr val="4F81BD">
                  <a:alpha val="90000"/>
                </a:srgbClr>
              </a:solidFill>
              <a:ln w="19050">
                <a:solidFill>
                  <a:srgbClr val="376092"/>
                </a:solidFill>
                <a:prstDash val="solid"/>
              </a:ln>
            </c:spPr>
          </c:dPt>
          <c:dPt>
            <c:idx val="1"/>
            <c:bubble3D val="0"/>
            <c:spPr>
              <a:solidFill>
                <a:srgbClr val="C0504D">
                  <a:alpha val="90000"/>
                </a:srgbClr>
              </a:solidFill>
              <a:ln w="19050">
                <a:solidFill>
                  <a:srgbClr val="953735"/>
                </a:solidFill>
                <a:prstDash val="solid"/>
              </a:ln>
            </c:spPr>
          </c:dPt>
          <c:dPt>
            <c:idx val="2"/>
            <c:bubble3D val="0"/>
            <c:spPr>
              <a:solidFill>
                <a:srgbClr val="9BBB59">
                  <a:alpha val="90000"/>
                </a:srgbClr>
              </a:solidFill>
              <a:ln w="19050">
                <a:solidFill>
                  <a:srgbClr val="77933C"/>
                </a:solidFill>
                <a:prstDash val="solid"/>
              </a:ln>
            </c:spPr>
          </c:dPt>
          <c:dPt>
            <c:idx val="3"/>
            <c:bubble3D val="0"/>
            <c:spPr>
              <a:solidFill>
                <a:srgbClr val="8064A2">
                  <a:alpha val="90000"/>
                </a:srgbClr>
              </a:solidFill>
              <a:ln w="19050">
                <a:solidFill>
                  <a:srgbClr val="604A7B"/>
                </a:solidFill>
                <a:prstDash val="solid"/>
              </a:ln>
            </c:spPr>
          </c:dPt>
          <c:dLbls>
            <c:dLbl>
              <c:idx val="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1"/>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2"/>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3"/>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showLegendKey val="0"/>
            <c:showVal val="0"/>
            <c:showCatName val="0"/>
            <c:showSerName val="0"/>
            <c:showPercent val="0"/>
            <c:showBubbleSize val="0"/>
            <c:showLeaderLines val="0"/>
          </c:dLbls>
          <c:cat>
            <c:strRef>
              <c:f>'Sheet1 (5)'!$A$2:$A$5</c:f>
              <c:strCache>
                <c:ptCount val="4"/>
                <c:pt idx="0">
                  <c:v>社会保障和就业支出</c:v>
                </c:pt>
                <c:pt idx="1">
                  <c:v>医疗卫生与计划生育支出</c:v>
                </c:pt>
                <c:pt idx="2">
                  <c:v>住房保障支出</c:v>
                </c:pt>
                <c:pt idx="3">
                  <c:v>教育支出</c:v>
                </c:pt>
              </c:strCache>
            </c:strRef>
          </c:cat>
          <c:val>
            <c:numRef>
              <c:f>'Sheet1 (5)'!$B$2:$B$5</c:f>
              <c:numCache>
                <c:formatCode>0.00%</c:formatCode>
                <c:ptCount val="4"/>
                <c:pt idx="0">
                  <c:v>0.8911</c:v>
                </c:pt>
                <c:pt idx="1">
                  <c:v>0.0437</c:v>
                </c:pt>
                <c:pt idx="2">
                  <c:v>0.0629</c:v>
                </c:pt>
                <c:pt idx="3">
                  <c:v>0.0023</c:v>
                </c:pt>
              </c:numCache>
            </c:numRef>
          </c:val>
        </c:ser>
        <c:gapDepth val="150"/>
        <c:firstSliceAng val="0"/>
      </c:pie3DChart>
      <c:spPr>
        <a:noFill/>
        <a:ln>
          <a:noFill/>
        </a:ln>
      </c:spPr>
    </c:plotArea>
    <c:legend>
      <c:legendPos val="r"/>
      <c:layout/>
      <c:overlay val="0"/>
      <c:spPr>
        <a:noFill/>
        <a:ln>
          <a:noFill/>
        </a:ln>
      </c:spPr>
      <c:txPr>
        <a:bodyPr/>
        <a:lstStyle/>
        <a:p>
          <a:pPr>
            <a:defRPr sz="900" b="0" i="0" u="none" strike="noStrike" baseline="0">
              <a:solidFill>
                <a:srgbClr val="808080"/>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 (6)'!$B$1</c:f>
              <c:strCache>
                <c:ptCount val="1"/>
                <c:pt idx="0">
                  <c:v>2021</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(6)'!$A$2:$A$3</c:f>
              <c:strCache>
                <c:ptCount val="2"/>
                <c:pt idx="0">
                  <c:v>公务接待费用</c:v>
                </c:pt>
                <c:pt idx="1">
                  <c:v>公务用车购置及运行维护费</c:v>
                </c:pt>
              </c:strCache>
            </c:strRef>
          </c:cat>
          <c:val>
            <c:numRef>
              <c:f>'Sheet1 (6)'!$B$2:$B$3</c:f>
              <c:numCache>
                <c:formatCode>General</c:formatCode>
                <c:ptCount val="2"/>
                <c:pt idx="0">
                  <c:v>0.0</c:v>
                </c:pt>
                <c:pt idx="1">
                  <c:v>3.94</c:v>
                </c:pt>
              </c:numCache>
            </c:numRef>
          </c:val>
        </c:ser>
        <c:ser>
          <c:idx val="1"/>
          <c:order val="1"/>
          <c:tx>
            <c:strRef>
              <c:f>'Sheet1 (6)'!$C$1</c:f>
              <c:strCache>
                <c:ptCount val="1"/>
                <c:pt idx="0">
                  <c:v>2022</c:v>
                </c:pt>
              </c:strCache>
            </c:strRef>
          </c:tx>
          <c:spPr>
            <a:solidFill>
              <a:srgbClr val="D99694"/>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(6)'!$A$2:$A$3</c:f>
              <c:strCache>
                <c:ptCount val="2"/>
                <c:pt idx="0">
                  <c:v>公务接待费用</c:v>
                </c:pt>
                <c:pt idx="1">
                  <c:v>公务用车购置及运行维护费</c:v>
                </c:pt>
              </c:strCache>
            </c:strRef>
          </c:cat>
          <c:val>
            <c:numRef>
              <c:f>'Sheet1 (6)'!$C$2:$C$3</c:f>
              <c:numCache>
                <c:formatCode>General</c:formatCode>
                <c:ptCount val="2"/>
                <c:pt idx="0">
                  <c:v>0.1</c:v>
                </c:pt>
                <c:pt idx="1">
                  <c:v>3.28</c:v>
                </c:pt>
              </c:numCache>
            </c:numRef>
          </c:val>
        </c:ser>
        <c:gapWidth val="75"/>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ax val="4.0"/>
        </c:scaling>
        <c:delete val="0"/>
        <c:axPos val="l"/>
        <c:majorGridlines>
          <c:spPr>
            <a:ln w="6350">
              <a:solidFill>
                <a:srgbClr val="D9D9D9"/>
              </a:solidFill>
              <a:prstDash val="solid"/>
            </a:ln>
          </c:spPr>
        </c:majorGridlines>
        <c:title>
          <c:tx>
            <c:rich>
              <a:bodyPr rot="-5400000" vert="horz"/>
              <a:lstStyle/>
              <a:p>
                <a:pPr>
                  <a:defRPr sz="1000" b="0" i="0" u="none" strike="noStrike" baseline="0">
                    <a:solidFill>
                      <a:srgbClr val="595959"/>
                    </a:solidFill>
                    <a:latin typeface="AR PL UKai CN"/>
                    <a:ea typeface="AR PL UKai CN"/>
                    <a:cs typeface="Lucida Sans"/>
                  </a:defRPr>
                </a:pPr>
                <a:r>
                  <a:rPr lang="zh-CN"/>
                  <a:t>单位：万元</a:t>
                </a:r>
              </a:p>
            </c:rich>
          </c:tx>
          <c:layout/>
          <c:overlay val="0"/>
          <c:spPr>
            <a:noFill/>
            <a:ln>
              <a:noFill/>
            </a:ln>
          </c:spPr>
        </c:title>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dTable>
        <c:showHorzBorder val="1"/>
        <c:showVertBorder val="1"/>
        <c:showOutline val="1"/>
        <c:showKeys val="1"/>
        <c:spPr>
          <a:ln w="6350">
            <a:solidFill>
              <a:srgbClr val="D9D9D9"/>
            </a:solidFill>
            <a:prstDash val="solid"/>
          </a:ln>
        </c:spPr>
        <c:txPr>
          <a:bodyPr/>
          <a:lstStyle/>
          <a:p>
            <a:pPr rtl="0">
              <a:defRPr sz="900" b="0" i="0" u="none" strike="noStrike" baseline="0">
                <a:solidFill>
                  <a:srgbClr val="595959"/>
                </a:solidFill>
                <a:latin typeface="AR PL UKai CN"/>
                <a:ea typeface="AR PL UKai CN"/>
                <a:cs typeface="Lucida Sans"/>
              </a:defRPr>
            </a:pPr>
            <a:endParaRPr lang="zh-CN"/>
          </a:p>
        </c:txPr>
      </c:dTable>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hPercent val="100"/>
      <c:rotY val="0"/>
      <c:depthPercent val="100"/>
      <c:rAngAx val="0"/>
      <c:perspective val="0"/>
    </c:view3D>
    <c:floor>
      <c:thickness val="0"/>
      <c:spPr>
        <a:ln w="6350">
          <a:solidFill>
            <a:srgbClr val="898989"/>
          </a:solidFill>
          <a:prstDash val="solid"/>
        </a:ln>
      </c:spPr>
    </c:floor>
    <c:sideWall>
      <c:thickness val="0"/>
      <c:spPr>
        <a:ln>
          <a:noFill/>
        </a:ln>
      </c:spPr>
    </c:sideWall>
    <c:backWall>
      <c:thickness val="0"/>
      <c:spPr>
        <a:solidFill>
          <a:srgbClr val="C0C0C0"/>
        </a:solidFill>
        <a:ln w="6350">
          <a:solidFill>
            <a:srgbClr val="808080"/>
          </a:solidFill>
          <a:prstDash val="solid"/>
        </a:ln>
      </c:spPr>
    </c:backWall>
    <c:plotArea>
      <c:layout>
        <c:manualLayout>
          <c:layoutTarget val="inner"/>
          <c:xMode val="edge"/>
          <c:yMode val="edge"/>
          <c:x val="0.04898981"/>
          <c:y val="0.18802619"/>
          <c:w val="0.5807259"/>
          <c:h val="0.5806049"/>
        </c:manualLayout>
      </c:layout>
      <c:pie3DChart>
        <c:varyColors val="1"/>
        <c:ser>
          <c:idx val="0"/>
          <c:order val="0"/>
          <c:tx>
            <c:strRef>
              <c:f>'Sheet1 (7)'!$A$2</c:f>
              <c:strCache>
                <c:ptCount val="1"/>
                <c:pt idx="0">
                  <c:v>本年收入</c:v>
                </c:pt>
              </c:strCache>
            </c:strRef>
          </c:tx>
          <c:spPr>
            <a:solidFill>
              <a:srgbClr val="9999FF"/>
            </a:solidFill>
            <a:ln w="6350">
              <a:solidFill>
                <a:srgbClr val="000000"/>
              </a:solidFill>
              <a:prstDash val="solid"/>
            </a:ln>
          </c:spPr>
          <c:dPt>
            <c:idx val="0"/>
            <c:bubble3D val="0"/>
            <c:spPr>
              <a:solidFill>
                <a:srgbClr val="9999FF"/>
              </a:solidFill>
              <a:ln w="6350">
                <a:solidFill>
                  <a:srgbClr val="000000"/>
                </a:solidFill>
                <a:prstDash val="solid"/>
              </a:ln>
            </c:spPr>
          </c:dPt>
          <c:dPt>
            <c:idx val="1"/>
            <c:bubble3D val="0"/>
            <c:spPr>
              <a:solidFill>
                <a:srgbClr val="993366"/>
              </a:solidFill>
              <a:ln w="6350">
                <a:solidFill>
                  <a:srgbClr val="000000"/>
                </a:solidFill>
                <a:prstDash val="solid"/>
              </a:ln>
            </c:spPr>
          </c:dPt>
          <c:dLbls>
            <c:dLbl>
              <c:idx val="0"/>
              <c:spPr>
                <a:noFill/>
                <a:ln>
                  <a:noFill/>
                </a:ln>
              </c:spPr>
              <c:txPr>
                <a:bodyPr vert="horz"/>
                <a:lstStyle/>
                <a:p>
                  <a:pPr>
                    <a:defRPr sz="1000" b="0" i="0" u="none" strike="noStrike" baseline="0">
                      <a:solidFill>
                        <a:srgbClr val="000000"/>
                      </a:solidFill>
                      <a:latin typeface="宋体"/>
                      <a:ea typeface="宋体"/>
                      <a:cs typeface="Lucida Sans"/>
                    </a:defRPr>
                  </a:pPr>
                  <a:endParaRPr lang="zh-CN"/>
                </a:p>
              </c:txPr>
              <c:delete val="1"/>
            </c:dLbl>
            <c:dLbl>
              <c:idx val="1"/>
              <c:spPr>
                <a:noFill/>
                <a:ln>
                  <a:noFill/>
                </a:ln>
              </c:spPr>
              <c:txPr>
                <a:bodyPr vert="horz"/>
                <a:lstStyle/>
                <a:p>
                  <a:pPr>
                    <a:defRPr sz="1000" b="0" i="0" u="none" strike="noStrike" baseline="0">
                      <a:solidFill>
                        <a:srgbClr val="000000"/>
                      </a:solidFill>
                      <a:latin typeface="宋体"/>
                      <a:ea typeface="宋体"/>
                      <a:cs typeface="Lucida Sans"/>
                    </a:defRPr>
                  </a:pPr>
                  <a:endParaRPr lang="zh-CN"/>
                </a:p>
              </c:txPr>
              <c:delete val="1"/>
            </c:dLbl>
            <c:showLegendKey val="0"/>
            <c:showVal val="0"/>
            <c:showCatName val="0"/>
            <c:showSerName val="0"/>
            <c:showPercent val="0"/>
            <c:showBubbleSize val="0"/>
            <c:showLeaderLines val="0"/>
          </c:dLbls>
          <c:cat>
            <c:strRef>
              <c:f>'Sheet1 (7)'!$B$1:$C$1</c:f>
              <c:strCache>
                <c:ptCount val="2"/>
                <c:pt idx="0">
                  <c:v>财政拨款收入</c:v>
                </c:pt>
                <c:pt idx="1">
                  <c:v>其他收入</c:v>
                </c:pt>
              </c:strCache>
            </c:strRef>
          </c:cat>
          <c:val>
            <c:numRef>
              <c:f>'Sheet1 (7)'!$B$2:$C$2</c:f>
              <c:numCache>
                <c:formatCode>General</c:formatCode>
                <c:ptCount val="2"/>
                <c:pt idx="0">
                  <c:v>210.48</c:v>
                </c:pt>
              </c:numCache>
            </c:numRef>
          </c:val>
        </c:ser>
        <c:ser>
          <c:idx val="1"/>
          <c:order val="1"/>
          <c:tx>
            <c:strRef>
              <c:f>'Sheet1 (7)'!$A$3</c:f>
              <c:strCache>
                <c:ptCount val="1"/>
                <c:pt idx="0">
                  <c:v/>
                </c:pt>
              </c:strCache>
            </c:strRef>
          </c:tx>
          <c:spPr>
            <a:solidFill>
              <a:srgbClr val="993366"/>
            </a:solidFill>
            <a:ln w="6350">
              <a:solidFill>
                <a:srgbClr val="000000"/>
              </a:solidFill>
              <a:prstDash val="solid"/>
            </a:ln>
          </c:spPr>
          <c:dPt>
            <c:idx val="0"/>
            <c:invertIfNegative val="0"/>
            <c:bubble3D val="0"/>
            <c:spPr>
              <a:ln w="6350">
                <a:solidFill>
                  <a:srgbClr val="000000"/>
                </a:solidFill>
                <a:prstDash val="solid"/>
              </a:ln>
            </c:spPr>
          </c:dPt>
          <c:dPt>
            <c:idx val="1"/>
            <c:invertIfNegative val="0"/>
            <c:bubble3D val="0"/>
            <c:spPr>
              <a:ln w="6350">
                <a:solidFill>
                  <a:srgbClr val="000000"/>
                </a:solidFill>
                <a:prstDash val="solid"/>
              </a:ln>
            </c:spPr>
          </c:dPt>
          <c:dLbls>
            <c:dLbl>
              <c:idx val="0"/>
              <c:spPr>
                <a:noFill/>
                <a:ln>
                  <a:noFill/>
                </a:ln>
              </c:spPr>
              <c:txPr>
                <a:bodyPr vert="horz"/>
                <a:lstStyle/>
                <a:p>
                  <a:pPr>
                    <a:defRPr sz="1000" b="0" i="0" u="none" strike="noStrike" baseline="0">
                      <a:solidFill>
                        <a:srgbClr val="000000"/>
                      </a:solidFill>
                      <a:latin typeface="宋体"/>
                      <a:ea typeface="宋体"/>
                      <a:cs typeface="Lucida Sans"/>
                    </a:defRPr>
                  </a:pPr>
                  <a:endParaRPr lang="zh-CN"/>
                </a:p>
              </c:txPr>
              <c:delete val="1"/>
            </c:dLbl>
            <c:dLbl>
              <c:idx val="1"/>
              <c:spPr>
                <a:noFill/>
                <a:ln>
                  <a:noFill/>
                </a:ln>
              </c:spPr>
              <c:txPr>
                <a:bodyPr vert="horz"/>
                <a:lstStyle/>
                <a:p>
                  <a:pPr>
                    <a:defRPr sz="1000" b="0" i="0" u="none" strike="noStrike" baseline="0">
                      <a:solidFill>
                        <a:srgbClr val="000000"/>
                      </a:solidFill>
                      <a:latin typeface="宋体"/>
                      <a:ea typeface="宋体"/>
                      <a:cs typeface="Lucida Sans"/>
                    </a:defRPr>
                  </a:pPr>
                  <a:endParaRPr lang="zh-CN"/>
                </a:p>
              </c:txPr>
              <c:delete val="1"/>
            </c:dLbl>
            <c:showLegendKey val="0"/>
            <c:showVal val="0"/>
            <c:showCatName val="0"/>
            <c:showSerName val="0"/>
            <c:showPercent val="0"/>
            <c:showBubbleSize val="0"/>
            <c:showLeaderLines val="0"/>
          </c:dLbls>
          <c:cat>
            <c:strRef>
              <c:f>'Sheet1 (7)'!$B$1:$C$1</c:f>
              <c:strCache>
                <c:ptCount val="2"/>
                <c:pt idx="0">
                  <c:v>财政拨款收入</c:v>
                </c:pt>
                <c:pt idx="1">
                  <c:v>其他收入</c:v>
                </c:pt>
              </c:strCache>
            </c:strRef>
          </c:cat>
          <c:val>
            <c:numRef>
              <c:f>'Sheet1 (7)'!$B$3:$C$3</c:f>
              <c:numCache>
                <c:formatCode>General</c:formatCode>
                <c:ptCount val="2"/>
              </c:numCache>
            </c:numRef>
          </c:val>
        </c:ser>
        <c:ser>
          <c:idx val="2"/>
          <c:order val="2"/>
          <c:tx>
            <c:strRef>
              <c:f>'Sheet1 (7)'!$A$4</c:f>
              <c:strCache>
                <c:ptCount val="1"/>
                <c:pt idx="0">
                  <c:v/>
                </c:pt>
              </c:strCache>
            </c:strRef>
          </c:tx>
          <c:spPr>
            <a:solidFill>
              <a:srgbClr val="FFFFCC"/>
            </a:solidFill>
            <a:ln w="6350">
              <a:solidFill>
                <a:srgbClr val="000000"/>
              </a:solidFill>
              <a:prstDash val="solid"/>
            </a:ln>
          </c:spPr>
          <c:dPt>
            <c:idx val="0"/>
            <c:invertIfNegative val="0"/>
            <c:bubble3D val="0"/>
            <c:spPr>
              <a:ln w="6350">
                <a:solidFill>
                  <a:srgbClr val="000000"/>
                </a:solidFill>
                <a:prstDash val="solid"/>
              </a:ln>
            </c:spPr>
          </c:dPt>
          <c:dPt>
            <c:idx val="1"/>
            <c:invertIfNegative val="0"/>
            <c:bubble3D val="0"/>
            <c:spPr>
              <a:ln w="6350">
                <a:solidFill>
                  <a:srgbClr val="000000"/>
                </a:solidFill>
                <a:prstDash val="solid"/>
              </a:ln>
            </c:spPr>
          </c:dPt>
          <c:dLbls>
            <c:dLbl>
              <c:idx val="0"/>
              <c:spPr>
                <a:noFill/>
                <a:ln>
                  <a:noFill/>
                </a:ln>
              </c:spPr>
              <c:txPr>
                <a:bodyPr vert="horz"/>
                <a:lstStyle/>
                <a:p>
                  <a:pPr>
                    <a:defRPr sz="1000" b="0" i="0" u="none" strike="noStrike" baseline="0">
                      <a:solidFill>
                        <a:srgbClr val="000000"/>
                      </a:solidFill>
                      <a:latin typeface="宋体"/>
                      <a:ea typeface="宋体"/>
                      <a:cs typeface="Lucida Sans"/>
                    </a:defRPr>
                  </a:pPr>
                  <a:endParaRPr lang="zh-CN"/>
                </a:p>
              </c:txPr>
              <c:delete val="1"/>
            </c:dLbl>
            <c:dLbl>
              <c:idx val="1"/>
              <c:spPr>
                <a:noFill/>
                <a:ln>
                  <a:noFill/>
                </a:ln>
              </c:spPr>
              <c:txPr>
                <a:bodyPr vert="horz"/>
                <a:lstStyle/>
                <a:p>
                  <a:pPr>
                    <a:defRPr sz="1000" b="0" i="0" u="none" strike="noStrike" baseline="0">
                      <a:solidFill>
                        <a:srgbClr val="000000"/>
                      </a:solidFill>
                      <a:latin typeface="宋体"/>
                      <a:ea typeface="宋体"/>
                      <a:cs typeface="Lucida Sans"/>
                    </a:defRPr>
                  </a:pPr>
                  <a:endParaRPr lang="zh-CN"/>
                </a:p>
              </c:txPr>
              <c:delete val="1"/>
            </c:dLbl>
            <c:showLegendKey val="0"/>
            <c:showVal val="0"/>
            <c:showCatName val="0"/>
            <c:showSerName val="0"/>
            <c:showPercent val="0"/>
            <c:showBubbleSize val="0"/>
            <c:showLeaderLines val="0"/>
          </c:dLbls>
          <c:cat>
            <c:strRef>
              <c:f>'Sheet1 (7)'!$B$1:$C$1</c:f>
              <c:strCache>
                <c:ptCount val="2"/>
                <c:pt idx="0">
                  <c:v>财政拨款收入</c:v>
                </c:pt>
                <c:pt idx="1">
                  <c:v>其他收入</c:v>
                </c:pt>
              </c:strCache>
            </c:strRef>
          </c:cat>
          <c:val>
            <c:numRef>
              <c:f>'Sheet1 (7)'!$B$4:$C$4</c:f>
              <c:numCache>
                <c:formatCode>General</c:formatCode>
                <c:ptCount val="2"/>
              </c:numCache>
            </c:numRef>
          </c:val>
        </c:ser>
        <c:gapDepth val="150"/>
        <c:firstSliceAng val="0"/>
      </c:pie3DChart>
      <c:spPr>
        <a:solidFill>
          <a:srgbClr val="C0C0C0"/>
        </a:solidFill>
        <a:ln w="6350">
          <a:solidFill>
            <a:srgbClr val="808080"/>
          </a:solidFill>
          <a:prstDash val="solid"/>
        </a:ln>
      </c:spPr>
    </c:plotArea>
    <c:plotVisOnly val="1"/>
    <c:dispBlanksAs val="zero"/>
    <c:showDLblsOverMax val="0"/>
  </c:chart>
  <c:spPr>
    <a:noFill/>
    <a:ln>
      <a:noFill/>
    </a:ln>
  </c:spPr>
  <c:txPr>
    <a:bodyPr/>
    <a:lstStyle/>
    <a:p>
      <a:pPr>
        <a:defRPr sz="10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hPercent val="100"/>
      <c:rotY val="0"/>
      <c:depthPercent val="100"/>
      <c:rAngAx val="0"/>
      <c:perspective val="0"/>
    </c:view3D>
    <c:floor>
      <c:thickness val="0"/>
      <c:spPr>
        <a:ln>
          <a:noFill/>
        </a:ln>
      </c:spPr>
    </c:floor>
    <c:sideWall>
      <c:thickness val="0"/>
      <c:spPr>
        <a:ln>
          <a:noFill/>
        </a:ln>
      </c:spPr>
    </c:sideWall>
    <c:backWall>
      <c:thickness val="0"/>
      <c:spPr>
        <a:noFill/>
        <a:ln>
          <a:noFill/>
        </a:ln>
      </c:spPr>
    </c:backWall>
    <c:plotArea>
      <c:layout/>
      <c:pie3DChart>
        <c:varyColors val="1"/>
        <c:ser>
          <c:idx val="0"/>
          <c:order val="0"/>
          <c:tx>
            <c:strRef>
              <c:f>'Sheet1 (8)'!$B$1</c:f>
              <c:strCache>
                <c:ptCount val="1"/>
                <c:pt idx="0">
                  <c:v>金额</c:v>
                </c:pt>
              </c:strCache>
            </c:strRef>
          </c:tx>
          <c:spPr>
            <a:solidFill>
              <a:srgbClr val="4F81BD"/>
            </a:solidFill>
          </c:spPr>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Lbls>
            <c:spPr>
              <a:noFill/>
              <a:ln>
                <a:noFill/>
              </a:ln>
            </c:spPr>
            <c:txPr>
              <a:bodyPr vert="horz"/>
              <a:lstStyle/>
              <a:p>
                <a:pPr>
                  <a:defRPr sz="1000" b="1" i="0" u="none" strike="noStrike" baseline="0">
                    <a:solidFill>
                      <a:srgbClr val="4F81BD"/>
                    </a:solidFill>
                    <a:latin typeface="AR PL UKai CN"/>
                    <a:ea typeface="AR PL UKai CN"/>
                    <a:cs typeface="Lucida Sans"/>
                  </a:defRPr>
                </a:pPr>
                <a:endParaRPr lang="zh-CN"/>
              </a:p>
            </c:txPr>
            <c:numFmt formatCode="0%" sourceLinked="0"/>
            <c:dLbl>
              <c:idx val="0"/>
              <c:layout>
                <c:manualLayout>
                  <c:x val="0.27417815"/>
                  <c:y val="0.0"/>
                </c:manualLayout>
              </c:layout>
              <c:numFmt formatCode="0%" sourceLinked="0"/>
              <c:spPr>
                <a:noFill/>
                <a:ln>
                  <a:noFill/>
                </a:ln>
              </c:spPr>
              <c:txPr>
                <a:bodyPr vert="horz"/>
                <a:lstStyle/>
                <a:p>
                  <a:pPr>
                    <a:defRPr sz="1000" b="1" i="0" u="none" strike="noStrike" baseline="0">
                      <a:solidFill>
                        <a:srgbClr val="4F81BD"/>
                      </a:solidFill>
                      <a:latin typeface="AR PL UKai CN"/>
                      <a:ea typeface="AR PL UKai CN"/>
                      <a:cs typeface="Lucida Sans"/>
                    </a:defRPr>
                  </a:pPr>
                  <a:endParaRPr lang="zh-CN"/>
                </a:p>
              </c:txPr>
              <c:dLblPos val="bestFit"/>
              <c:tx>
                <c:rich>
                  <a:bodyPr vert="horz"/>
                  <a:lstStyle/>
                  <a:p>
                    <a:pPr>
                      <a:defRPr sz="1000" b="1" i="0" u="none" strike="noStrike" baseline="0">
                        <a:solidFill>
                          <a:srgbClr val="4F81BD"/>
                        </a:solidFill>
                        <a:latin typeface="AR PL UKai CN"/>
                        <a:ea typeface="AR PL UKai CN"/>
                        <a:cs typeface="Lucida Sans"/>
                      </a:defRPr>
                    </a:pPr>
                    <a:r>
                      <a:rPr lang="zh-CN"/>
                      <a:t>基本支出
99.77%</a:t>
                    </a:r>
                  </a:p>
                </c:rich>
              </c:tx>
              <c:showLegendKey val="0"/>
              <c:showVal val="0"/>
              <c:showCatName val="1"/>
              <c:showSerName val="0"/>
              <c:showPercent val="1"/>
              <c:showBubbleSize val="0"/>
              <c:separator>
</c:separator>
            </c:dLbl>
            <c:dLbl>
              <c:idx val="1"/>
              <c:layout>
                <c:manualLayout>
                  <c:x val="-0.27622426"/>
                  <c:y val="0.018189168"/>
                </c:manualLayout>
              </c:layout>
              <c:numFmt formatCode="0%" sourceLinked="0"/>
              <c:spPr>
                <a:noFill/>
                <a:ln>
                  <a:noFill/>
                </a:ln>
              </c:spPr>
              <c:txPr>
                <a:bodyPr vert="horz"/>
                <a:lstStyle/>
                <a:p>
                  <a:pPr>
                    <a:defRPr sz="1000" b="1" i="0" u="none" strike="noStrike" baseline="0">
                      <a:solidFill>
                        <a:srgbClr val="C0504D"/>
                      </a:solidFill>
                      <a:latin typeface="AR PL UKai CN"/>
                      <a:ea typeface="AR PL UKai CN"/>
                      <a:cs typeface="Lucida Sans"/>
                    </a:defRPr>
                  </a:pPr>
                  <a:endParaRPr lang="zh-CN"/>
                </a:p>
              </c:txPr>
              <c:dLblPos val="bestFit"/>
              <c:tx>
                <c:rich>
                  <a:bodyPr vert="horz"/>
                  <a:lstStyle/>
                  <a:p>
                    <a:pPr>
                      <a:defRPr sz="1000" b="1" i="0" u="none" strike="noStrike" baseline="0">
                        <a:solidFill>
                          <a:srgbClr val="C0504D"/>
                        </a:solidFill>
                        <a:latin typeface="AR PL UKai CN"/>
                        <a:ea typeface="AR PL UKai CN"/>
                        <a:cs typeface="Lucida Sans"/>
                      </a:defRPr>
                    </a:pPr>
                    <a:r>
                      <a:rPr lang="zh-CN"/>
                      <a:t>项目支出0.23%</a:t>
                    </a:r>
                  </a:p>
                </c:rich>
              </c:tx>
              <c:showLegendKey val="0"/>
              <c:showVal val="0"/>
              <c:showCatName val="1"/>
              <c:showSerName val="0"/>
              <c:showPercent val="1"/>
              <c:showBubbleSize val="0"/>
              <c:separator>
</c:separator>
            </c:dLbl>
            <c:dLblPos val="outEnd"/>
            <c:showLegendKey val="0"/>
            <c:showVal val="0"/>
            <c:showCatName val="1"/>
            <c:showSerName val="0"/>
            <c:showPercent val="1"/>
            <c:showBubbleSize val="0"/>
            <c:showLeaderLines val="1"/>
          </c:dLbls>
          <c:cat>
            <c:strRef>
              <c:f>'Sheet1 (8)'!$A$2:$A$3</c:f>
              <c:strCache>
                <c:ptCount val="2"/>
                <c:pt idx="0">
                  <c:v>基本支出</c:v>
                </c:pt>
                <c:pt idx="1">
                  <c:v>项目支出</c:v>
                </c:pt>
              </c:strCache>
            </c:strRef>
          </c:cat>
          <c:val>
            <c:numRef>
              <c:f>'Sheet1 (8)'!$B$2:$B$3</c:f>
              <c:numCache>
                <c:formatCode>General</c:formatCode>
                <c:ptCount val="2"/>
                <c:pt idx="0">
                  <c:v>99.77</c:v>
                </c:pt>
                <c:pt idx="1">
                  <c:v>0.23</c:v>
                </c:pt>
              </c:numCache>
            </c:numRef>
          </c:val>
        </c:ser>
        <c:gapDepth val="150"/>
        <c:firstSliceAng val="0"/>
      </c:pie3DChart>
      <c:spPr>
        <a:noFill/>
        <a:ln>
          <a:noFill/>
        </a:ln>
      </c:spPr>
    </c:plotArea>
    <c:legend>
      <c:legendPos val="r"/>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hPercent val="100"/>
      <c:rotY val="0"/>
      <c:depthPercent val="100"/>
      <c:rAngAx val="0"/>
      <c:perspective val="0"/>
    </c:view3D>
    <c:floor>
      <c:thickness val="0"/>
      <c:spPr>
        <a:ln>
          <a:noFill/>
        </a:ln>
      </c:spPr>
    </c:floor>
    <c:sideWall>
      <c:thickness val="0"/>
      <c:spPr>
        <a:ln>
          <a:noFill/>
        </a:ln>
      </c:spPr>
    </c:sideWall>
    <c:backWall>
      <c:thickness val="0"/>
      <c:spPr>
        <a:noFill/>
        <a:ln>
          <a:noFill/>
        </a:ln>
      </c:spPr>
    </c:backWall>
    <c:plotArea>
      <c:layout>
        <c:manualLayout>
          <c:layoutTarget val="inner"/>
          <c:xMode val="edge"/>
          <c:yMode val="edge"/>
          <c:x val="0.027751757"/>
          <c:y val="0.06410879"/>
          <c:w val="0.647541"/>
          <c:h val="0.918407"/>
        </c:manualLayout>
      </c:layout>
      <c:pie3DChart>
        <c:varyColors val="1"/>
        <c:ser>
          <c:idx val="0"/>
          <c:order val="0"/>
          <c:tx>
            <c:strRef>
              <c:f>'Sheet1 (9)'!$B$1</c:f>
              <c:strCache>
                <c:ptCount val="1"/>
                <c:pt idx="0">
                  <c:v>列1</c:v>
                </c:pt>
              </c:strCache>
            </c:strRef>
          </c:tx>
          <c:spPr>
            <a:solidFill>
              <a:srgbClr val="4F81BD"/>
            </a:solidFill>
          </c:spPr>
          <c:dPt>
            <c:idx val="0"/>
            <c:bubble3D val="0"/>
            <c:spPr>
              <a:solidFill>
                <a:srgbClr val="4F81BD">
                  <a:alpha val="90000"/>
                </a:srgbClr>
              </a:solidFill>
              <a:ln w="19050">
                <a:solidFill>
                  <a:srgbClr val="376092"/>
                </a:solidFill>
                <a:prstDash val="solid"/>
              </a:ln>
            </c:spPr>
          </c:dPt>
          <c:dPt>
            <c:idx val="1"/>
            <c:bubble3D val="0"/>
            <c:spPr>
              <a:solidFill>
                <a:srgbClr val="C0504D">
                  <a:alpha val="90000"/>
                </a:srgbClr>
              </a:solidFill>
              <a:ln w="19050">
                <a:solidFill>
                  <a:srgbClr val="953735"/>
                </a:solidFill>
                <a:prstDash val="solid"/>
              </a:ln>
            </c:spPr>
          </c:dPt>
          <c:dPt>
            <c:idx val="2"/>
            <c:bubble3D val="0"/>
            <c:spPr>
              <a:solidFill>
                <a:srgbClr val="9BBB59">
                  <a:alpha val="90000"/>
                </a:srgbClr>
              </a:solidFill>
              <a:ln w="19050">
                <a:solidFill>
                  <a:srgbClr val="77933C"/>
                </a:solidFill>
                <a:prstDash val="solid"/>
              </a:ln>
            </c:spPr>
          </c:dPt>
          <c:dPt>
            <c:idx val="3"/>
            <c:bubble3D val="0"/>
            <c:spPr>
              <a:solidFill>
                <a:srgbClr val="8064A2">
                  <a:alpha val="90000"/>
                </a:srgbClr>
              </a:solidFill>
              <a:ln w="19050">
                <a:solidFill>
                  <a:srgbClr val="604A7B"/>
                </a:solidFill>
                <a:prstDash val="solid"/>
              </a:ln>
            </c:spPr>
          </c:dPt>
          <c:dLbls>
            <c:dLbl>
              <c:idx val="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1"/>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2"/>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3"/>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showLegendKey val="0"/>
            <c:showVal val="0"/>
            <c:showCatName val="0"/>
            <c:showSerName val="0"/>
            <c:showPercent val="0"/>
            <c:showBubbleSize val="0"/>
            <c:showLeaderLines val="0"/>
          </c:dLbls>
          <c:cat>
            <c:strRef>
              <c:f>'Sheet1 (9)'!$A$2:$A$5</c:f>
              <c:strCache>
                <c:ptCount val="4"/>
                <c:pt idx="0">
                  <c:v>社会保障和就业支出</c:v>
                </c:pt>
                <c:pt idx="1">
                  <c:v>医疗卫生与计划生育支出</c:v>
                </c:pt>
                <c:pt idx="2">
                  <c:v>住房保障支出</c:v>
                </c:pt>
                <c:pt idx="3">
                  <c:v>教育支出</c:v>
                </c:pt>
              </c:strCache>
            </c:strRef>
          </c:cat>
          <c:val>
            <c:numRef>
              <c:f>'Sheet1 (9)'!$B$2:$B$5</c:f>
              <c:numCache>
                <c:formatCode>0.00%</c:formatCode>
                <c:ptCount val="4"/>
                <c:pt idx="0">
                  <c:v>0.8911</c:v>
                </c:pt>
                <c:pt idx="1">
                  <c:v>0.0437</c:v>
                </c:pt>
                <c:pt idx="2">
                  <c:v>0.0629</c:v>
                </c:pt>
                <c:pt idx="3">
                  <c:v>0.0023</c:v>
                </c:pt>
              </c:numCache>
            </c:numRef>
          </c:val>
        </c:ser>
        <c:gapDepth val="150"/>
        <c:firstSliceAng val="0"/>
      </c:pie3DChart>
      <c:spPr>
        <a:noFill/>
        <a:ln>
          <a:noFill/>
        </a:ln>
      </c:spPr>
    </c:plotArea>
    <c:legend>
      <c:legendPos val="r"/>
      <c:layout/>
      <c:overlay val="0"/>
      <c:spPr>
        <a:noFill/>
        <a:ln>
          <a:noFill/>
        </a:ln>
      </c:spPr>
      <c:txPr>
        <a:bodyPr/>
        <a:lstStyle/>
        <a:p>
          <a:pPr>
            <a:defRPr sz="900" b="0" i="0" u="none" strike="noStrike" baseline="0">
              <a:solidFill>
                <a:srgbClr val="808080"/>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TotalTime>
  <Application>Yozo_Office27021597764231179</Application>
  <Pages>29</Pages>
  <Words>10411</Words>
  <Characters>11783</Characters>
  <Lines>570</Lines>
  <Paragraphs>247</Paragraphs>
  <CharactersWithSpaces>11850</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creator>xbany</dc:creator>
  <cp:lastModifiedBy>user</cp:lastModifiedBy>
  <cp:revision>69</cp:revision>
  <cp:lastPrinted>2023-08-25T05:23:00Z</cp:lastPrinted>
  <dcterms:created xsi:type="dcterms:W3CDTF">2022-08-22T02:58:00Z</dcterms:created>
  <dcterms:modified xsi:type="dcterms:W3CDTF">2023-09-21T09:21:01Z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2052-12.1.0.15374</vt:lpwstr>
  </property>
  <property fmtid="{D5CDD505-2E9C-101B-9397-08002B2CF9AE}" pid="3" name="ICV">
    <vt:lpwstr>E916E431AA57413193A1690AF56CAD83</vt:lpwstr>
  </property>
</Properties>
</file>