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金川县社会保险事务中心</w:t>
      </w:r>
    </w:p>
    <w:p>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重点项目预算的绩效目标情况说明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2023年，我单位部门预算</w:t>
      </w:r>
      <w:r>
        <w:rPr>
          <w:rFonts w:ascii="仿宋_GB2312" w:hAnsi="仿宋_GB2312" w:eastAsia="仿宋_GB2312" w:cs="仿宋_GB2312"/>
          <w:sz w:val="32"/>
          <w:szCs w:val="32"/>
        </w:rPr>
        <w:t>3211.95</w:t>
      </w:r>
      <w:r>
        <w:rPr>
          <w:rFonts w:hint="eastAsia" w:ascii="仿宋_GB2312" w:hAnsi="仿宋_GB2312" w:eastAsia="仿宋_GB2312" w:cs="仿宋_GB2312"/>
          <w:sz w:val="32"/>
          <w:szCs w:val="32"/>
        </w:rPr>
        <w:t>万元 ，均严格按绩效管理要求实现项目绩效目标管理，其中重点项目预算4个，现将情况说明如下：</w:t>
      </w:r>
    </w:p>
    <w:p>
      <w:pPr>
        <w:ind w:firstLine="640" w:firstLineChars="200"/>
        <w:rPr>
          <w:rFonts w:ascii="黑体" w:hAnsi="黑体" w:eastAsia="黑体" w:cs="黑体"/>
          <w:sz w:val="32"/>
          <w:szCs w:val="32"/>
        </w:rPr>
      </w:pPr>
      <w:r>
        <w:rPr>
          <w:rFonts w:hint="eastAsia" w:ascii="黑体" w:hAnsi="黑体" w:eastAsia="黑体" w:cs="黑体"/>
          <w:sz w:val="32"/>
          <w:szCs w:val="32"/>
        </w:rPr>
        <w:t>一、单位预算绩效管理工作开展情况。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完成了2023年本级部门预算整体绩效目标申报和4个重点项目预算绩效目标申报，并编报4个重点项目预算事前绩效评估报告。</w:t>
      </w:r>
    </w:p>
    <w:p>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单位整体绩效目标。</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年度主要任务</w:t>
      </w:r>
    </w:p>
    <w:p>
      <w:pPr>
        <w:pStyle w:val="2"/>
        <w:numPr>
          <w:ilvl w:val="0"/>
          <w:numId w:val="0"/>
        </w:numPr>
        <w:ind w:left="640" w:left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社会保障管理</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全县社会保险个人账户、缴费记录、档案管理等业务工作规范并组织实施；制定全县保险基金财务、会计制度的具体操作办法并组织实施，指导各单位财务按照社会保险基金财务、会计制度进行规范管理，编制汇总全县社会保险基金年度预决算报告，加强基金财务管理和会计核算等；</w:t>
      </w:r>
    </w:p>
    <w:p>
      <w:pPr>
        <w:pStyle w:val="2"/>
        <w:numPr>
          <w:ilvl w:val="0"/>
          <w:numId w:val="0"/>
        </w:numPr>
        <w:ind w:left="640"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待遇支付</w:t>
      </w:r>
    </w:p>
    <w:p>
      <w:pPr>
        <w:pStyle w:val="8"/>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督促检查全县参保单位离退休人员基本养老保险金按时足额发放和工伤、生育保险待遇的落实，制定社会保险社会化管理规范，对全县机关单位和企事业退休人员开展社会化管理服务和推进、巩固完善和规范基本养老保险金社会化发放工作等。</w:t>
      </w:r>
    </w:p>
    <w:p>
      <w:pPr>
        <w:pStyle w:val="2"/>
        <w:numPr>
          <w:ilvl w:val="0"/>
          <w:numId w:val="0"/>
        </w:numPr>
        <w:ind w:left="640"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统筹规划</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负责制定全县养老保险计划、规划、和具体实施工作，承担全县社会保险信息、统计数据的采集、整理、分析及管理工作，负责全县社会保险信息管理系统的开发建设、运行管理和网络管理等工作等</w:t>
      </w:r>
    </w:p>
    <w:p>
      <w:pPr>
        <w:pStyle w:val="2"/>
        <w:numPr>
          <w:ilvl w:val="0"/>
          <w:numId w:val="0"/>
        </w:numPr>
        <w:ind w:left="640"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综合管理</w:t>
      </w:r>
    </w:p>
    <w:p>
      <w:pPr>
        <w:pStyle w:val="8"/>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提供社会保险咨询、查询业务，开展社会保险宣传工作等。</w:t>
      </w:r>
    </w:p>
    <w:p>
      <w:pPr>
        <w:pStyle w:val="8"/>
        <w:numPr>
          <w:ilvl w:val="0"/>
          <w:numId w:val="0"/>
        </w:numPr>
        <w:ind w:left="640"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年度总体目标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县委、县政府关于2023年全县工作的总体部署，2023年主要工作任务是按时进行“五险一金”及机关事业单位养老保险和职业年金的征缴工作和退休养老金的按时、足额发放工作，严格按照2023年的预算数和县财政局下达的预算进行</w:t>
      </w:r>
      <w:r>
        <w:rPr>
          <w:rFonts w:hint="eastAsia" w:ascii="仿宋_GB2312" w:hAnsi="仿宋_GB2312" w:eastAsia="仿宋_GB2312" w:cs="仿宋_GB2312"/>
          <w:sz w:val="32"/>
          <w:szCs w:val="32"/>
          <w:lang w:eastAsia="zh-CN"/>
        </w:rPr>
        <w:t>拨</w:t>
      </w:r>
      <w:bookmarkStart w:id="0" w:name="_GoBack"/>
      <w:bookmarkEnd w:id="0"/>
      <w:r>
        <w:rPr>
          <w:rFonts w:hint="eastAsia" w:ascii="仿宋_GB2312" w:hAnsi="仿宋_GB2312" w:eastAsia="仿宋_GB2312" w:cs="仿宋_GB2312"/>
          <w:sz w:val="32"/>
          <w:szCs w:val="32"/>
        </w:rPr>
        <w:t>付，主要支出如下：1、工资福利包括基本工资、津贴补贴、奖金、绩效工资、社会保险费等2、对个人和家庭的补助支出包括离休费、退休费、遗属生活费等3、商品和服务的支出按照县财政局下达公务经费定额标准、分类科目、结合实际开支，尽量不超预算。</w:t>
      </w:r>
    </w:p>
    <w:tbl>
      <w:tblPr>
        <w:tblStyle w:val="5"/>
        <w:tblW w:w="884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3"/>
        <w:gridCol w:w="1068"/>
        <w:gridCol w:w="2441"/>
        <w:gridCol w:w="2588"/>
        <w:gridCol w:w="20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人员经费足额保障率</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预算结余率</w:t>
            </w:r>
          </w:p>
        </w:tc>
        <w:tc>
          <w:tcPr>
            <w:tcW w:w="20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bl>
    <w:p>
      <w:pPr>
        <w:pStyle w:val="2"/>
      </w:pPr>
    </w:p>
    <w:p>
      <w:pPr>
        <w:ind w:firstLine="640" w:firstLineChars="200"/>
        <w:rPr>
          <w:rFonts w:ascii="黑体" w:hAnsi="黑体" w:eastAsia="黑体" w:cs="黑体"/>
          <w:sz w:val="32"/>
          <w:szCs w:val="32"/>
        </w:rPr>
      </w:pPr>
      <w:r>
        <w:rPr>
          <w:rFonts w:hint="eastAsia" w:ascii="黑体" w:hAnsi="黑体" w:eastAsia="黑体" w:cs="黑体"/>
          <w:sz w:val="32"/>
          <w:szCs w:val="32"/>
        </w:rPr>
        <w:t>三、重点项目绩效目标。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重点项目1：统筹外人员工资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项目年度绩效目标：确保全县企改制人员生活补助按时足额发放（</w:t>
      </w:r>
      <w:r>
        <w:rPr>
          <w:rFonts w:hint="eastAsia" w:ascii="仿宋_GB2312" w:hAnsi="仿宋_GB2312" w:eastAsia="仿宋_GB2312" w:cs="仿宋_GB2312"/>
          <w:sz w:val="32"/>
          <w:szCs w:val="32"/>
          <w:lang w:val="en-US" w:eastAsia="zh-CN"/>
        </w:rPr>
        <w:t>人员</w:t>
      </w:r>
      <w:r>
        <w:rPr>
          <w:rFonts w:hint="eastAsia" w:ascii="仿宋_GB2312" w:hAnsi="仿宋_GB2312" w:eastAsia="仿宋_GB2312" w:cs="仿宋_GB2312"/>
          <w:sz w:val="32"/>
          <w:szCs w:val="32"/>
        </w:rPr>
        <w:t>共216人，其中211人月生活补助78.1元，1人1015.3元，1人234.3元，1人110元，1人118.1元，1人390.5元，共计18347.3元，2021年预算金额220167.6元。）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绩效指标设置情况：细化指标</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个，包括产出指标、成本指标、效益指标和满意度指标。</w:t>
      </w:r>
    </w:p>
    <w:tbl>
      <w:tblPr>
        <w:tblStyle w:val="5"/>
        <w:tblW w:w="100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9"/>
        <w:gridCol w:w="735"/>
        <w:gridCol w:w="1185"/>
        <w:gridCol w:w="1185"/>
        <w:gridCol w:w="1410"/>
        <w:gridCol w:w="1620"/>
        <w:gridCol w:w="735"/>
        <w:gridCol w:w="630"/>
        <w:gridCol w:w="615"/>
        <w:gridCol w:w="510"/>
        <w:gridCol w:w="8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649"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项目名称</w:t>
            </w:r>
          </w:p>
        </w:tc>
        <w:tc>
          <w:tcPr>
            <w:tcW w:w="73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预算数</w:t>
            </w:r>
          </w:p>
        </w:tc>
        <w:tc>
          <w:tcPr>
            <w:tcW w:w="118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年度目标</w:t>
            </w:r>
          </w:p>
        </w:tc>
        <w:tc>
          <w:tcPr>
            <w:tcW w:w="118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二级指标</w:t>
            </w:r>
          </w:p>
        </w:tc>
        <w:tc>
          <w:tcPr>
            <w:tcW w:w="162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三级指标</w:t>
            </w:r>
          </w:p>
        </w:tc>
        <w:tc>
          <w:tcPr>
            <w:tcW w:w="73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指标性质</w:t>
            </w:r>
          </w:p>
        </w:tc>
        <w:tc>
          <w:tcPr>
            <w:tcW w:w="63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指标值</w:t>
            </w:r>
          </w:p>
        </w:tc>
        <w:tc>
          <w:tcPr>
            <w:tcW w:w="61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度量单位</w:t>
            </w:r>
          </w:p>
        </w:tc>
        <w:tc>
          <w:tcPr>
            <w:tcW w:w="51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权重</w:t>
            </w:r>
          </w:p>
        </w:tc>
        <w:tc>
          <w:tcPr>
            <w:tcW w:w="81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统筹外人员工资</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22.02万元</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5"/>
                <w:szCs w:val="15"/>
                <w:u w:val="none"/>
                <w:lang w:val="en-US" w:eastAsia="zh-CN" w:bidi="ar"/>
              </w:rPr>
              <w:t>确保全县企改制人员生活补助按时足额发放（共216人，其中211人月生活补助78.1元，1人1015.3元，1人234.3元，1人110元，1人118.1元，1人390.5元，共计18347.3元，2021年预算金额</w:t>
            </w:r>
            <w:r>
              <w:rPr>
                <w:rFonts w:hint="eastAsia" w:ascii="宋体" w:hAnsi="宋体" w:eastAsia="宋体" w:cs="宋体"/>
                <w:i w:val="0"/>
                <w:iCs w:val="0"/>
                <w:color w:val="000000"/>
                <w:kern w:val="0"/>
                <w:sz w:val="16"/>
                <w:szCs w:val="16"/>
                <w:u w:val="none"/>
                <w:lang w:val="en-US" w:eastAsia="zh-CN" w:bidi="ar"/>
              </w:rPr>
              <w:t>220167.6元。）</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时效指标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每月发放待遇率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质量指标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企业改制人员待遇发放准确率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成本指标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经济成本指标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企业改制人员领取待遇每人每月</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1016</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元/人*月</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数量指标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发放待遇人数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社会效益指标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确保企业改制人员最低生活补助</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满意度指标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服务对象满意度指标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企业改制人员满意率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9"/>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pStyle w:val="2"/>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重点项目2：企业职工基本养老保险基金缺口资金</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项目年度绩效目标：预计2022年企业养老保险支出合计92600000元，根据阿坝州企业职工基本养老保险基金缺口 州级与县（市）、卧龙责任分担办法预测企业养老保险一般性资金缺口92600000元*30%*1.2%=333360元</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绩效指标设置情况：细化指标</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个，包括产出指标、效益指标和满意度指标。</w:t>
      </w:r>
    </w:p>
    <w:tbl>
      <w:tblPr>
        <w:tblStyle w:val="5"/>
        <w:tblW w:w="99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9"/>
        <w:gridCol w:w="735"/>
        <w:gridCol w:w="1296"/>
        <w:gridCol w:w="1074"/>
        <w:gridCol w:w="1410"/>
        <w:gridCol w:w="1620"/>
        <w:gridCol w:w="735"/>
        <w:gridCol w:w="630"/>
        <w:gridCol w:w="615"/>
        <w:gridCol w:w="401"/>
        <w:gridCol w:w="7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649"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项目名称</w:t>
            </w:r>
          </w:p>
        </w:tc>
        <w:tc>
          <w:tcPr>
            <w:tcW w:w="73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预算数</w:t>
            </w:r>
          </w:p>
        </w:tc>
        <w:tc>
          <w:tcPr>
            <w:tcW w:w="1296"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年度目标</w:t>
            </w:r>
          </w:p>
        </w:tc>
        <w:tc>
          <w:tcPr>
            <w:tcW w:w="1074"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二级指标</w:t>
            </w:r>
          </w:p>
        </w:tc>
        <w:tc>
          <w:tcPr>
            <w:tcW w:w="162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三级指标</w:t>
            </w:r>
          </w:p>
        </w:tc>
        <w:tc>
          <w:tcPr>
            <w:tcW w:w="73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指标性质</w:t>
            </w:r>
          </w:p>
        </w:tc>
        <w:tc>
          <w:tcPr>
            <w:tcW w:w="63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指标值</w:t>
            </w:r>
          </w:p>
        </w:tc>
        <w:tc>
          <w:tcPr>
            <w:tcW w:w="61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度量单位</w:t>
            </w:r>
          </w:p>
        </w:tc>
        <w:tc>
          <w:tcPr>
            <w:tcW w:w="401"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权重</w:t>
            </w:r>
          </w:p>
        </w:tc>
        <w:tc>
          <w:tcPr>
            <w:tcW w:w="797"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rPr>
              <w:t>企业职工基本养老保险基金缺口</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33.34</w:t>
            </w:r>
          </w:p>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万元</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rPr>
              <w:t>预计2022年企业养老保险支出合计92600000元，根据阿坝州企业职工基本养老保险基金缺口 州级与县（市）、卧龙责任分担办法预测企业养老保险一般性资金缺口92600000元*30%*1.2%=333360元</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保障企业养老待遇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每月发放企业养老保险待遇率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领取待遇达标率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8"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企业养老保险领取待遇人数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人数</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领取待遇满意度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pStyle w:val="2"/>
        <w:rPr>
          <w:rFonts w:hint="eastAsia"/>
        </w:rPr>
      </w:pPr>
    </w:p>
    <w:p>
      <w:pPr>
        <w:pStyle w:val="2"/>
        <w:rPr>
          <w:rFonts w:hint="eastAsia"/>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重点项目3：工伤保险缺口资金</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项目年度绩效目标：根据四川省人力资源和社会保障厅征求关于进一步完善四川省工伤保险基金省级统筹制度的实施意见工伤保险缺口资金：2022年工伤待遇支出合计2100000*0.015=31500元。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绩效指标设置情况：细化指标</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个，包括产出指标、成本指标、效益指标和满意度指标。</w:t>
      </w:r>
    </w:p>
    <w:tbl>
      <w:tblPr>
        <w:tblStyle w:val="5"/>
        <w:tblW w:w="99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9"/>
        <w:gridCol w:w="735"/>
        <w:gridCol w:w="1296"/>
        <w:gridCol w:w="1074"/>
        <w:gridCol w:w="1410"/>
        <w:gridCol w:w="1620"/>
        <w:gridCol w:w="735"/>
        <w:gridCol w:w="630"/>
        <w:gridCol w:w="615"/>
        <w:gridCol w:w="401"/>
        <w:gridCol w:w="7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649"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项目名称</w:t>
            </w:r>
          </w:p>
        </w:tc>
        <w:tc>
          <w:tcPr>
            <w:tcW w:w="73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预算数</w:t>
            </w:r>
          </w:p>
        </w:tc>
        <w:tc>
          <w:tcPr>
            <w:tcW w:w="1296"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年度目标</w:t>
            </w:r>
          </w:p>
        </w:tc>
        <w:tc>
          <w:tcPr>
            <w:tcW w:w="1074"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二级指标</w:t>
            </w:r>
          </w:p>
        </w:tc>
        <w:tc>
          <w:tcPr>
            <w:tcW w:w="162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三级指标</w:t>
            </w:r>
          </w:p>
        </w:tc>
        <w:tc>
          <w:tcPr>
            <w:tcW w:w="73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指标性质</w:t>
            </w:r>
          </w:p>
        </w:tc>
        <w:tc>
          <w:tcPr>
            <w:tcW w:w="63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指标值</w:t>
            </w:r>
          </w:p>
        </w:tc>
        <w:tc>
          <w:tcPr>
            <w:tcW w:w="61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度量单位</w:t>
            </w:r>
          </w:p>
        </w:tc>
        <w:tc>
          <w:tcPr>
            <w:tcW w:w="401"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权重</w:t>
            </w:r>
          </w:p>
        </w:tc>
        <w:tc>
          <w:tcPr>
            <w:tcW w:w="797"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64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工伤保险缺口资金</w:t>
            </w:r>
          </w:p>
        </w:tc>
        <w:tc>
          <w:tcPr>
            <w:tcW w:w="73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3.15万元</w:t>
            </w:r>
          </w:p>
        </w:tc>
        <w:tc>
          <w:tcPr>
            <w:tcW w:w="129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根据四川省人力资源和社会保障厅征求关于进一步完善四川省工伤保险基金省级统筹制度的实施意见工伤保险缺口资金：2022年工伤待遇支出合计2100000*0.015=31500元。</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化解社会矛盾</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64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工伤工亡待遇领取对象</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64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诶月工伤领取待遇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4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全年待遇发放额</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49"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工伤待遇领取人数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人数</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649"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质量指标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待遇领取率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pStyle w:val="2"/>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重点项目4：机关养老保险财政补贴</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项目年度绩效目标：机关退休养老保险财政补贴28170000元，发放机关养老保险人数1429人，确保全县机关养老人员待遇</w:t>
      </w:r>
      <w:r>
        <w:rPr>
          <w:rFonts w:hint="eastAsia" w:ascii="仿宋_GB2312" w:hAnsi="仿宋_GB2312" w:eastAsia="仿宋_GB2312" w:cs="仿宋_GB2312"/>
          <w:sz w:val="32"/>
          <w:szCs w:val="32"/>
          <w:lang w:val="en-US" w:eastAsia="zh-CN"/>
        </w:rPr>
        <w:t>按时发放</w:t>
      </w:r>
      <w:r>
        <w:rPr>
          <w:rFonts w:hint="eastAsia" w:ascii="仿宋_GB2312" w:hAnsi="仿宋_GB2312" w:eastAsia="仿宋_GB2312" w:cs="仿宋_GB2312"/>
          <w:sz w:val="32"/>
          <w:szCs w:val="32"/>
          <w:lang w:eastAsia="zh-CN"/>
        </w:rPr>
        <w:t>。</w:t>
      </w:r>
    </w:p>
    <w:p>
      <w:pPr>
        <w:pStyle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绩效指标设置情况：细化指标</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个，包括产出指标、效益指标和满意度指标。</w:t>
      </w:r>
    </w:p>
    <w:tbl>
      <w:tblPr>
        <w:tblStyle w:val="5"/>
        <w:tblW w:w="99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9"/>
        <w:gridCol w:w="735"/>
        <w:gridCol w:w="1296"/>
        <w:gridCol w:w="1074"/>
        <w:gridCol w:w="1410"/>
        <w:gridCol w:w="1620"/>
        <w:gridCol w:w="735"/>
        <w:gridCol w:w="630"/>
        <w:gridCol w:w="615"/>
        <w:gridCol w:w="401"/>
        <w:gridCol w:w="7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649" w:type="dxa"/>
            <w:tcBorders>
              <w:top w:val="single" w:color="000000" w:sz="4" w:space="0"/>
              <w:left w:val="single" w:color="000000" w:sz="4" w:space="0"/>
              <w:bottom w:val="single" w:color="auto"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项目名称</w:t>
            </w:r>
          </w:p>
        </w:tc>
        <w:tc>
          <w:tcPr>
            <w:tcW w:w="735" w:type="dxa"/>
            <w:tcBorders>
              <w:top w:val="single" w:color="000000" w:sz="4" w:space="0"/>
              <w:left w:val="single" w:color="000000" w:sz="4" w:space="0"/>
              <w:bottom w:val="single" w:color="auto"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预算数</w:t>
            </w:r>
          </w:p>
        </w:tc>
        <w:tc>
          <w:tcPr>
            <w:tcW w:w="1296" w:type="dxa"/>
            <w:tcBorders>
              <w:top w:val="single" w:color="000000" w:sz="4" w:space="0"/>
              <w:left w:val="single" w:color="000000" w:sz="4" w:space="0"/>
              <w:bottom w:val="single" w:color="auto"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年度目标</w:t>
            </w:r>
          </w:p>
        </w:tc>
        <w:tc>
          <w:tcPr>
            <w:tcW w:w="1074"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二级指标</w:t>
            </w:r>
          </w:p>
        </w:tc>
        <w:tc>
          <w:tcPr>
            <w:tcW w:w="162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三级指标</w:t>
            </w:r>
          </w:p>
        </w:tc>
        <w:tc>
          <w:tcPr>
            <w:tcW w:w="73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指标性质</w:t>
            </w:r>
          </w:p>
        </w:tc>
        <w:tc>
          <w:tcPr>
            <w:tcW w:w="630"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指标值</w:t>
            </w:r>
          </w:p>
        </w:tc>
        <w:tc>
          <w:tcPr>
            <w:tcW w:w="615"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度量单位</w:t>
            </w:r>
          </w:p>
        </w:tc>
        <w:tc>
          <w:tcPr>
            <w:tcW w:w="401"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权重</w:t>
            </w:r>
          </w:p>
        </w:tc>
        <w:tc>
          <w:tcPr>
            <w:tcW w:w="797" w:type="dxa"/>
            <w:tcBorders>
              <w:top w:val="single" w:color="000000" w:sz="4" w:space="0"/>
              <w:left w:val="single" w:color="000000" w:sz="4" w:space="0"/>
              <w:bottom w:val="single" w:color="000000" w:sz="4" w:space="0"/>
              <w:right w:val="single" w:color="000000" w:sz="4" w:space="0"/>
            </w:tcBorders>
            <w:shd w:val="clear" w:color="EFF2F7"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649"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rPr>
              <w:t>机关养老保险财政补贴</w:t>
            </w:r>
          </w:p>
        </w:tc>
        <w:tc>
          <w:tcPr>
            <w:tcW w:w="735"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2817万元</w:t>
            </w:r>
          </w:p>
        </w:tc>
        <w:tc>
          <w:tcPr>
            <w:tcW w:w="1296"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机关退休养老保险财政补贴28170000元，发放机关养老保险人数1429人，确保全县机关养老人员待遇按时发放。</w:t>
            </w:r>
          </w:p>
        </w:tc>
        <w:tc>
          <w:tcPr>
            <w:tcW w:w="1074"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机关养老领取待遇人数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1428</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649"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待遇领取达标率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649"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每月发放机关养老率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649"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机关养老待遇领取对象满意度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49"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35"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4"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保障机关养老待遇领取人员工资</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pStyle w:val="2"/>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A00002BF" w:usb1="38CF7CFA" w:usb2="0008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FD0A63"/>
    <w:multiLevelType w:val="singleLevel"/>
    <w:tmpl w:val="E5FD0A6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JkOGE5Nzg0Njc0OTg4YjRiNWFmODUwZDdmMjVjMzYifQ=="/>
  </w:docVars>
  <w:rsids>
    <w:rsidRoot w:val="36F0070A"/>
    <w:rsid w:val="00232B17"/>
    <w:rsid w:val="00232D0D"/>
    <w:rsid w:val="0045407C"/>
    <w:rsid w:val="00A674AC"/>
    <w:rsid w:val="00D46D56"/>
    <w:rsid w:val="00E37C1E"/>
    <w:rsid w:val="00E407C5"/>
    <w:rsid w:val="048E7480"/>
    <w:rsid w:val="080633B3"/>
    <w:rsid w:val="08607AC6"/>
    <w:rsid w:val="0D65319A"/>
    <w:rsid w:val="11232FC8"/>
    <w:rsid w:val="13A94E34"/>
    <w:rsid w:val="183A4A17"/>
    <w:rsid w:val="18B56F14"/>
    <w:rsid w:val="225400D9"/>
    <w:rsid w:val="27FB3242"/>
    <w:rsid w:val="28AC2F9C"/>
    <w:rsid w:val="2A6D4DAB"/>
    <w:rsid w:val="308158FC"/>
    <w:rsid w:val="333B1175"/>
    <w:rsid w:val="36F0070A"/>
    <w:rsid w:val="3AF630AE"/>
    <w:rsid w:val="3DC2604C"/>
    <w:rsid w:val="3E6B5B61"/>
    <w:rsid w:val="43080CF1"/>
    <w:rsid w:val="43AF3737"/>
    <w:rsid w:val="43D21476"/>
    <w:rsid w:val="47E470EB"/>
    <w:rsid w:val="4887492C"/>
    <w:rsid w:val="50345C09"/>
    <w:rsid w:val="508B5BEF"/>
    <w:rsid w:val="50926F7D"/>
    <w:rsid w:val="52195BA8"/>
    <w:rsid w:val="580C04C4"/>
    <w:rsid w:val="5BA92D4B"/>
    <w:rsid w:val="67EC6580"/>
    <w:rsid w:val="6FF30A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paragraph" w:styleId="8">
    <w:name w:val="List Paragraph"/>
    <w:basedOn w:val="1"/>
    <w:unhideWhenUsed/>
    <w:qFormat/>
    <w:uiPriority w:val="99"/>
    <w:pPr>
      <w:ind w:firstLine="420" w:firstLineChars="200"/>
    </w:pPr>
  </w:style>
  <w:style w:type="character" w:customStyle="1" w:styleId="9">
    <w:name w:val="font11"/>
    <w:basedOn w:val="6"/>
    <w:qFormat/>
    <w:uiPriority w:val="0"/>
    <w:rPr>
      <w:rFonts w:hint="eastAsia" w:ascii="宋体" w:hAnsi="宋体" w:eastAsia="宋体" w:cs="宋体"/>
      <w:color w:val="000000"/>
      <w:sz w:val="18"/>
      <w:szCs w:val="18"/>
      <w:u w:val="none"/>
    </w:rPr>
  </w:style>
  <w:style w:type="character" w:customStyle="1" w:styleId="10">
    <w:name w:val="font31"/>
    <w:basedOn w:val="6"/>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2392</Words>
  <Characters>2717</Characters>
  <Lines>7</Lines>
  <Paragraphs>2</Paragraphs>
  <TotalTime>5</TotalTime>
  <ScaleCrop>false</ScaleCrop>
  <LinksUpToDate>false</LinksUpToDate>
  <CharactersWithSpaces>2723</CharactersWithSpaces>
  <Application>WPS Office_11.1.0.9329_F1E327BC-269C-435d-A152-05C5408002CA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Administrator</cp:lastModifiedBy>
  <dcterms:modified xsi:type="dcterms:W3CDTF">2023-02-21T03:27:14Z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2052-11.1.0.9329</vt:lpwstr>
  </property>
  <property fmtid="{D5CDD505-2E9C-101B-9397-08002B2CF9AE}" pid="3" name="ICV">
    <vt:lpwstr>5E74D2C40144434DBEA38D70478C0333</vt:lpwstr>
  </property>
</Properties>
</file>