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olor w:val="000000"/>
          <w:sz w:val="52"/>
          <w:szCs w:val="52"/>
        </w:rPr>
      </w:pPr>
    </w:p>
    <w:p>
      <w:pPr>
        <w:spacing w:line="600" w:lineRule="exact"/>
        <w:jc w:val="center"/>
        <w:rPr>
          <w:rFonts w:ascii="方正小标宋简体" w:hAnsi="宋体" w:eastAsia="方正小标宋简体"/>
          <w:color w:val="000000"/>
          <w:sz w:val="52"/>
          <w:szCs w:val="52"/>
        </w:rPr>
      </w:pPr>
    </w:p>
    <w:p>
      <w:pPr>
        <w:spacing w:line="600" w:lineRule="exact"/>
        <w:jc w:val="center"/>
        <w:rPr>
          <w:rFonts w:ascii="方正小标宋简体" w:hAnsi="宋体" w:eastAsia="方正小标宋简体"/>
          <w:color w:val="000000"/>
          <w:sz w:val="52"/>
          <w:szCs w:val="52"/>
        </w:rPr>
      </w:pPr>
    </w:p>
    <w:p>
      <w:pPr>
        <w:spacing w:line="600" w:lineRule="exact"/>
        <w:jc w:val="center"/>
        <w:rPr>
          <w:rFonts w:ascii="方正小标宋简体" w:hAnsi="宋体" w:eastAsia="方正小标宋简体"/>
          <w:color w:val="000000"/>
          <w:sz w:val="52"/>
          <w:szCs w:val="52"/>
        </w:rPr>
      </w:pPr>
    </w:p>
    <w:p>
      <w:pPr>
        <w:spacing w:line="600" w:lineRule="exact"/>
        <w:jc w:val="center"/>
        <w:rPr>
          <w:rFonts w:ascii="方正小标宋简体" w:hAnsi="宋体" w:eastAsia="方正小标宋简体"/>
          <w:color w:val="000000"/>
          <w:sz w:val="52"/>
          <w:szCs w:val="52"/>
        </w:rPr>
      </w:pPr>
    </w:p>
    <w:p>
      <w:pPr>
        <w:spacing w:line="600" w:lineRule="exact"/>
        <w:jc w:val="center"/>
        <w:rPr>
          <w:rFonts w:ascii="方正小标宋简体" w:hAnsi="宋体" w:eastAsia="方正小标宋简体"/>
          <w:color w:val="000000"/>
          <w:sz w:val="52"/>
          <w:szCs w:val="52"/>
        </w:rPr>
      </w:pPr>
    </w:p>
    <w:p>
      <w:pPr>
        <w:spacing w:line="600" w:lineRule="exact"/>
        <w:jc w:val="center"/>
        <w:rPr>
          <w:rFonts w:ascii="方正小标宋简体" w:hAnsi="宋体" w:eastAsia="方正小标宋简体"/>
          <w:color w:val="000000"/>
          <w:sz w:val="52"/>
          <w:szCs w:val="52"/>
        </w:rPr>
      </w:pPr>
    </w:p>
    <w:p>
      <w:pPr>
        <w:spacing w:line="600" w:lineRule="exact"/>
        <w:jc w:val="center"/>
        <w:rPr>
          <w:rFonts w:ascii="方正小标宋简体" w:hAnsi="宋体" w:eastAsia="方正小标宋简体"/>
          <w:color w:val="000000"/>
          <w:sz w:val="52"/>
          <w:szCs w:val="52"/>
        </w:rPr>
      </w:pPr>
    </w:p>
    <w:p>
      <w:pPr>
        <w:spacing w:line="600" w:lineRule="exact"/>
        <w:jc w:val="center"/>
        <w:rPr>
          <w:rFonts w:ascii="方正小标宋简体" w:hAnsi="宋体" w:eastAsia="方正小标宋简体"/>
          <w:color w:val="000000"/>
          <w:sz w:val="52"/>
          <w:szCs w:val="52"/>
        </w:rPr>
      </w:pPr>
    </w:p>
    <w:p>
      <w:pPr>
        <w:spacing w:line="600" w:lineRule="exact"/>
        <w:jc w:val="center"/>
        <w:rPr>
          <w:rFonts w:ascii="方正小标宋简体" w:hAnsi="宋体" w:eastAsia="方正小标宋简体"/>
          <w:color w:val="000000"/>
          <w:sz w:val="52"/>
          <w:szCs w:val="52"/>
        </w:rPr>
      </w:pPr>
      <w:r>
        <w:rPr>
          <w:rFonts w:hint="eastAsia" w:ascii="方正小标宋简体" w:hAnsi="宋体" w:eastAsia="方正小标宋简体"/>
          <w:color w:val="000000"/>
          <w:sz w:val="52"/>
          <w:szCs w:val="52"/>
        </w:rPr>
        <w:t>2021年度</w:t>
      </w:r>
    </w:p>
    <w:p>
      <w:pPr>
        <w:spacing w:line="600" w:lineRule="exact"/>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52"/>
          <w:szCs w:val="52"/>
        </w:rPr>
        <w:t>金川县社会保险事务中心</w:t>
      </w:r>
    </w:p>
    <w:p>
      <w:pPr>
        <w:spacing w:line="600" w:lineRule="exact"/>
        <w:jc w:val="center"/>
        <w:rPr>
          <w:rFonts w:ascii="宋体" w:hAnsi="宋体" w:eastAsia="方正小标宋简体"/>
          <w:b/>
          <w:bCs/>
          <w:sz w:val="40"/>
          <w:szCs w:val="48"/>
        </w:rPr>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r>
        <w:rPr>
          <w:rFonts w:hint="eastAsia" w:ascii="方正小标宋简体" w:hAnsi="宋体" w:eastAsia="方正小标宋简体"/>
          <w:color w:val="000000"/>
          <w:sz w:val="52"/>
          <w:szCs w:val="52"/>
        </w:rPr>
        <w:t>部门决算分析报告</w:t>
      </w:r>
    </w:p>
    <w:p>
      <w:pPr>
        <w:widowControl/>
        <w:jc w:val="center"/>
        <w:rPr>
          <w:rFonts w:hint="eastAsia" w:ascii="黑体" w:eastAsia="黑体"/>
          <w:color w:val="000000"/>
          <w:sz w:val="48"/>
          <w:szCs w:val="48"/>
        </w:rPr>
      </w:pPr>
      <w:r>
        <w:rPr>
          <w:rFonts w:hint="eastAsia" w:ascii="黑体" w:eastAsia="黑体"/>
          <w:color w:val="000000"/>
          <w:sz w:val="48"/>
          <w:szCs w:val="48"/>
        </w:rPr>
        <w:t>目录</w:t>
      </w:r>
    </w:p>
    <w:p>
      <w:pPr>
        <w:pStyle w:val="10"/>
        <w:tabs>
          <w:tab w:val="right" w:leader="dot" w:pos="8296"/>
        </w:tabs>
        <w:rPr>
          <w:rFonts w:hint="eastAsia" w:eastAsia="宋体"/>
          <w:b/>
          <w:bCs/>
          <w:sz w:val="21"/>
          <w:szCs w:val="21"/>
          <w:lang w:val="en-US" w:eastAsia="zh-CN"/>
        </w:rPr>
      </w:pPr>
      <w:r>
        <w:rPr>
          <w:b w:val="0"/>
          <w:bCs w:val="0"/>
        </w:rPr>
        <w:fldChar w:fldCharType="begin"/>
      </w:r>
      <w:r>
        <w:rPr>
          <w:b w:val="0"/>
          <w:bCs w:val="0"/>
        </w:rPr>
        <w:instrText xml:space="preserve"> TOC \o \u </w:instrText>
      </w:r>
      <w:r>
        <w:rPr>
          <w:b w:val="0"/>
          <w:bCs w:val="0"/>
        </w:rPr>
        <w:fldChar w:fldCharType="separate"/>
      </w:r>
      <w:r>
        <w:rPr>
          <w:rFonts w:hint="eastAsia" w:ascii="黑体" w:eastAsia="黑体"/>
          <w:b/>
          <w:bCs/>
          <w:sz w:val="21"/>
          <w:szCs w:val="21"/>
        </w:rPr>
        <w:t>第一部分 部门概况</w:t>
      </w:r>
      <w:r>
        <w:rPr>
          <w:b/>
          <w:bCs/>
          <w:sz w:val="21"/>
          <w:szCs w:val="21"/>
        </w:rPr>
        <w:tab/>
      </w:r>
      <w:r>
        <w:rPr>
          <w:rFonts w:hint="eastAsia"/>
          <w:b/>
          <w:bCs/>
          <w:sz w:val="21"/>
          <w:szCs w:val="21"/>
          <w:lang w:val="en-US" w:eastAsia="zh-CN"/>
        </w:rPr>
        <w:t>1</w:t>
      </w:r>
    </w:p>
    <w:p/>
    <w:p>
      <w:pPr>
        <w:pStyle w:val="11"/>
        <w:tabs>
          <w:tab w:val="right" w:leader="dot" w:pos="8296"/>
        </w:tabs>
        <w:rPr>
          <w:rFonts w:hint="eastAsia" w:eastAsia="宋体" w:cs="Arial"/>
          <w:b/>
          <w:bCs/>
          <w:sz w:val="21"/>
          <w:szCs w:val="21"/>
          <w:lang w:eastAsia="zh-CN" w:bidi="ar-SA"/>
        </w:rPr>
      </w:pPr>
      <w:r>
        <w:rPr>
          <w:rFonts w:hint="eastAsia" w:ascii="黑体" w:eastAsia="黑体"/>
          <w:b/>
          <w:bCs/>
          <w:color w:val="000000"/>
          <w:sz w:val="21"/>
          <w:szCs w:val="21"/>
        </w:rPr>
        <w:t>一、基</w:t>
      </w:r>
      <w:r>
        <w:rPr>
          <w:rFonts w:hint="eastAsia" w:ascii="黑体" w:eastAsia="黑体"/>
          <w:b/>
          <w:bCs/>
          <w:sz w:val="21"/>
          <w:szCs w:val="21"/>
        </w:rPr>
        <w:t>本职能及主要工作</w:t>
      </w:r>
      <w:r>
        <w:rPr>
          <w:b/>
          <w:bCs/>
          <w:sz w:val="21"/>
          <w:szCs w:val="21"/>
        </w:rPr>
        <w:tab/>
      </w:r>
      <w:r>
        <w:rPr>
          <w:rFonts w:hint="eastAsia"/>
          <w:b/>
          <w:bCs/>
          <w:sz w:val="21"/>
          <w:szCs w:val="21"/>
          <w:lang w:val="en-US" w:eastAsia="zh-CN"/>
        </w:rPr>
        <w:t>1</w:t>
      </w:r>
    </w:p>
    <w:p>
      <w:pPr>
        <w:pStyle w:val="5"/>
        <w:tabs>
          <w:tab w:val="right" w:leader="dot" w:pos="8296"/>
        </w:tabs>
        <w:rPr>
          <w:rFonts w:hint="eastAsia" w:eastAsia="宋体" w:cs="Arial"/>
          <w:b/>
          <w:bCs/>
          <w:i w:val="0"/>
          <w:iCs w:val="0"/>
          <w:sz w:val="21"/>
          <w:szCs w:val="21"/>
          <w:lang w:eastAsia="zh-CN" w:bidi="ar-SA"/>
        </w:rPr>
      </w:pPr>
      <w:r>
        <w:rPr>
          <w:rFonts w:hint="eastAsia" w:ascii="仿宋" w:eastAsia="仿宋"/>
          <w:b/>
          <w:bCs/>
          <w:i w:val="0"/>
          <w:iCs w:val="0"/>
          <w:color w:val="000000"/>
          <w:sz w:val="21"/>
          <w:szCs w:val="21"/>
        </w:rPr>
        <w:t>（一）主要职能。</w:t>
      </w:r>
      <w:r>
        <w:rPr>
          <w:b/>
          <w:bCs/>
          <w:i w:val="0"/>
          <w:iCs w:val="0"/>
          <w:sz w:val="21"/>
          <w:szCs w:val="21"/>
        </w:rPr>
        <w:tab/>
      </w:r>
      <w:r>
        <w:rPr>
          <w:rFonts w:hint="eastAsia" w:eastAsia="宋体"/>
          <w:b/>
          <w:bCs/>
          <w:i w:val="0"/>
          <w:iCs w:val="0"/>
          <w:sz w:val="21"/>
          <w:szCs w:val="21"/>
          <w:lang w:val="en-US" w:eastAsia="zh-CN"/>
        </w:rPr>
        <w:t>2</w:t>
      </w:r>
    </w:p>
    <w:p>
      <w:pPr>
        <w:pStyle w:val="5"/>
        <w:tabs>
          <w:tab w:val="right" w:leader="dot" w:pos="8296"/>
        </w:tabs>
        <w:rPr>
          <w:rFonts w:hint="eastAsia" w:eastAsia="宋体" w:cs="Arial"/>
          <w:b/>
          <w:bCs/>
          <w:i w:val="0"/>
          <w:iCs w:val="0"/>
          <w:sz w:val="21"/>
          <w:szCs w:val="21"/>
          <w:lang w:eastAsia="zh-CN" w:bidi="ar-SA"/>
        </w:rPr>
      </w:pPr>
      <w:r>
        <w:rPr>
          <w:rFonts w:hint="eastAsia" w:ascii="仿宋" w:eastAsia="仿宋"/>
          <w:b/>
          <w:bCs/>
          <w:i w:val="0"/>
          <w:iCs w:val="0"/>
          <w:color w:val="000000"/>
          <w:sz w:val="21"/>
          <w:szCs w:val="21"/>
        </w:rPr>
        <w:t>（二）202</w:t>
      </w:r>
      <w:r>
        <w:rPr>
          <w:rFonts w:hint="eastAsia" w:ascii="仿宋" w:eastAsia="仿宋"/>
          <w:b/>
          <w:bCs/>
          <w:i w:val="0"/>
          <w:iCs w:val="0"/>
          <w:color w:val="000000"/>
          <w:sz w:val="21"/>
          <w:szCs w:val="21"/>
          <w:lang w:val="en-US" w:eastAsia="zh-CN"/>
        </w:rPr>
        <w:t>1</w:t>
      </w:r>
      <w:r>
        <w:rPr>
          <w:rFonts w:hint="eastAsia" w:ascii="仿宋" w:eastAsia="仿宋"/>
          <w:b/>
          <w:bCs/>
          <w:i w:val="0"/>
          <w:iCs w:val="0"/>
          <w:color w:val="000000"/>
          <w:sz w:val="21"/>
          <w:szCs w:val="21"/>
        </w:rPr>
        <w:t>年重点工作完成情况。</w:t>
      </w:r>
      <w:r>
        <w:rPr>
          <w:b/>
          <w:bCs/>
          <w:i w:val="0"/>
          <w:iCs w:val="0"/>
          <w:sz w:val="21"/>
          <w:szCs w:val="21"/>
        </w:rPr>
        <w:tab/>
      </w:r>
      <w:r>
        <w:rPr>
          <w:rFonts w:hint="eastAsia" w:eastAsia="宋体"/>
          <w:b/>
          <w:bCs/>
          <w:i w:val="0"/>
          <w:iCs w:val="0"/>
          <w:sz w:val="21"/>
          <w:szCs w:val="21"/>
          <w:lang w:val="en-US" w:eastAsia="zh-CN"/>
        </w:rPr>
        <w:t>2</w:t>
      </w:r>
    </w:p>
    <w:p>
      <w:pPr>
        <w:pStyle w:val="11"/>
        <w:tabs>
          <w:tab w:val="right" w:leader="dot" w:pos="8296"/>
        </w:tabs>
        <w:rPr>
          <w:rFonts w:hint="eastAsia" w:eastAsia="宋体"/>
          <w:b/>
          <w:bCs/>
          <w:sz w:val="21"/>
          <w:szCs w:val="21"/>
          <w:lang w:eastAsia="zh-CN"/>
        </w:rPr>
      </w:pPr>
      <w:r>
        <w:rPr>
          <w:rFonts w:hint="eastAsia" w:ascii="黑体" w:eastAsia="黑体"/>
          <w:b/>
          <w:bCs/>
          <w:color w:val="000000"/>
          <w:sz w:val="21"/>
          <w:szCs w:val="21"/>
        </w:rPr>
        <w:t>二、机</w:t>
      </w:r>
      <w:r>
        <w:rPr>
          <w:rFonts w:hint="eastAsia" w:ascii="黑体" w:eastAsia="黑体"/>
          <w:b/>
          <w:bCs/>
          <w:sz w:val="21"/>
          <w:szCs w:val="21"/>
        </w:rPr>
        <w:t>构设置</w:t>
      </w:r>
      <w:r>
        <w:rPr>
          <w:b/>
          <w:bCs/>
          <w:sz w:val="21"/>
          <w:szCs w:val="21"/>
        </w:rPr>
        <w:tab/>
      </w:r>
      <w:r>
        <w:rPr>
          <w:rFonts w:hint="eastAsia"/>
          <w:b/>
          <w:bCs/>
          <w:sz w:val="21"/>
          <w:szCs w:val="21"/>
          <w:lang w:val="en-US" w:eastAsia="zh-CN"/>
        </w:rPr>
        <w:t>2</w:t>
      </w:r>
    </w:p>
    <w:p/>
    <w:p>
      <w:pPr>
        <w:pStyle w:val="10"/>
        <w:tabs>
          <w:tab w:val="right" w:leader="dot" w:pos="8296"/>
        </w:tabs>
        <w:rPr>
          <w:rFonts w:hint="eastAsia" w:eastAsia="宋体"/>
          <w:b/>
          <w:bCs/>
          <w:sz w:val="21"/>
          <w:szCs w:val="21"/>
          <w:lang w:eastAsia="zh-CN"/>
        </w:rPr>
      </w:pPr>
      <w:r>
        <w:rPr>
          <w:rFonts w:hint="eastAsia" w:ascii="黑体" w:eastAsia="黑体"/>
          <w:b/>
          <w:bCs/>
          <w:color w:val="000000"/>
          <w:sz w:val="21"/>
          <w:szCs w:val="21"/>
        </w:rPr>
        <w:t xml:space="preserve">第二部分 </w:t>
      </w:r>
      <w:r>
        <w:rPr>
          <w:rFonts w:hint="eastAsia" w:ascii="黑体" w:eastAsia="黑体"/>
          <w:b/>
          <w:bCs/>
          <w:sz w:val="21"/>
          <w:szCs w:val="21"/>
        </w:rPr>
        <w:t>202</w:t>
      </w:r>
      <w:r>
        <w:rPr>
          <w:rFonts w:hint="eastAsia" w:ascii="黑体" w:eastAsia="黑体"/>
          <w:b/>
          <w:bCs/>
          <w:sz w:val="21"/>
          <w:szCs w:val="21"/>
          <w:lang w:val="en-US" w:eastAsia="zh-CN"/>
        </w:rPr>
        <w:t>1</w:t>
      </w:r>
      <w:r>
        <w:rPr>
          <w:rFonts w:hint="eastAsia" w:ascii="黑体" w:eastAsia="黑体"/>
          <w:b/>
          <w:bCs/>
          <w:sz w:val="21"/>
          <w:szCs w:val="21"/>
        </w:rPr>
        <w:t>年度部门决算情况说明</w:t>
      </w:r>
      <w:r>
        <w:rPr>
          <w:b/>
          <w:bCs/>
          <w:sz w:val="21"/>
          <w:szCs w:val="21"/>
        </w:rPr>
        <w:tab/>
      </w:r>
      <w:r>
        <w:rPr>
          <w:rFonts w:hint="eastAsia"/>
          <w:b/>
          <w:bCs/>
          <w:sz w:val="21"/>
          <w:szCs w:val="21"/>
          <w:lang w:val="en-US" w:eastAsia="zh-CN"/>
        </w:rPr>
        <w:t>3</w:t>
      </w:r>
    </w:p>
    <w:p/>
    <w:p>
      <w:pPr>
        <w:pStyle w:val="11"/>
        <w:tabs>
          <w:tab w:val="left" w:pos="840"/>
          <w:tab w:val="right" w:leader="dot" w:pos="8296"/>
        </w:tabs>
        <w:rPr>
          <w:rFonts w:hint="eastAsia" w:eastAsia="宋体" w:cs="Arial"/>
          <w:b/>
          <w:bCs/>
          <w:sz w:val="21"/>
          <w:szCs w:val="21"/>
          <w:lang w:eastAsia="zh-CN" w:bidi="ar-SA"/>
        </w:rPr>
      </w:pPr>
      <w:r>
        <w:rPr>
          <w:rFonts w:hint="eastAsia" w:ascii="黑体" w:eastAsia="黑体"/>
          <w:b/>
          <w:bCs/>
          <w:sz w:val="21"/>
          <w:szCs w:val="21"/>
        </w:rPr>
        <w:t>一、</w:t>
      </w:r>
      <w:r>
        <w:rPr>
          <w:rFonts w:hint="eastAsia" w:ascii="黑体" w:eastAsia="黑体"/>
          <w:b/>
          <w:bCs/>
          <w:color w:val="000000"/>
          <w:sz w:val="21"/>
          <w:szCs w:val="21"/>
        </w:rPr>
        <w:t>收</w:t>
      </w:r>
      <w:r>
        <w:rPr>
          <w:rFonts w:hint="eastAsia" w:ascii="黑体" w:eastAsia="黑体"/>
          <w:b/>
          <w:bCs/>
          <w:sz w:val="21"/>
          <w:szCs w:val="21"/>
        </w:rPr>
        <w:t>入支出决算总体情况说明</w:t>
      </w:r>
      <w:r>
        <w:rPr>
          <w:b/>
          <w:bCs/>
          <w:sz w:val="21"/>
          <w:szCs w:val="21"/>
        </w:rPr>
        <w:tab/>
      </w:r>
      <w:r>
        <w:rPr>
          <w:rFonts w:hint="eastAsia"/>
          <w:b/>
          <w:bCs/>
          <w:sz w:val="21"/>
          <w:szCs w:val="21"/>
          <w:lang w:val="en-US" w:eastAsia="zh-CN"/>
        </w:rPr>
        <w:t>3</w:t>
      </w:r>
    </w:p>
    <w:p>
      <w:pPr>
        <w:pStyle w:val="11"/>
        <w:tabs>
          <w:tab w:val="left" w:pos="840"/>
          <w:tab w:val="right" w:leader="dot" w:pos="8296"/>
        </w:tabs>
        <w:rPr>
          <w:rFonts w:hint="eastAsia" w:eastAsia="宋体" w:cs="Arial"/>
          <w:b/>
          <w:bCs/>
          <w:sz w:val="21"/>
          <w:szCs w:val="21"/>
          <w:lang w:eastAsia="zh-CN" w:bidi="ar-SA"/>
        </w:rPr>
      </w:pPr>
      <w:r>
        <w:rPr>
          <w:rFonts w:hint="eastAsia" w:ascii="黑体" w:eastAsia="黑体"/>
          <w:b/>
          <w:bCs/>
          <w:sz w:val="21"/>
          <w:szCs w:val="21"/>
        </w:rPr>
        <w:t>二、</w:t>
      </w:r>
      <w:r>
        <w:rPr>
          <w:rFonts w:hint="eastAsia" w:ascii="黑体" w:eastAsia="黑体"/>
          <w:b/>
          <w:bCs/>
          <w:color w:val="000000"/>
          <w:sz w:val="21"/>
          <w:szCs w:val="21"/>
        </w:rPr>
        <w:t>收</w:t>
      </w:r>
      <w:r>
        <w:rPr>
          <w:rFonts w:hint="eastAsia" w:ascii="黑体" w:eastAsia="黑体"/>
          <w:b/>
          <w:bCs/>
          <w:sz w:val="21"/>
          <w:szCs w:val="21"/>
        </w:rPr>
        <w:t>入决算情况说明</w:t>
      </w:r>
      <w:r>
        <w:rPr>
          <w:b/>
          <w:bCs/>
          <w:sz w:val="21"/>
          <w:szCs w:val="21"/>
        </w:rPr>
        <w:tab/>
      </w:r>
      <w:r>
        <w:rPr>
          <w:rFonts w:hint="eastAsia"/>
          <w:b/>
          <w:bCs/>
          <w:sz w:val="21"/>
          <w:szCs w:val="21"/>
          <w:lang w:val="en-US" w:eastAsia="zh-CN"/>
        </w:rPr>
        <w:t>3</w:t>
      </w:r>
    </w:p>
    <w:p>
      <w:pPr>
        <w:pStyle w:val="11"/>
        <w:tabs>
          <w:tab w:val="left" w:pos="840"/>
          <w:tab w:val="right" w:leader="dot" w:pos="8296"/>
        </w:tabs>
        <w:rPr>
          <w:rFonts w:hint="eastAsia" w:eastAsia="宋体" w:cs="Arial"/>
          <w:b/>
          <w:bCs/>
          <w:sz w:val="21"/>
          <w:szCs w:val="21"/>
          <w:lang w:val="en-US" w:eastAsia="zh-CN" w:bidi="ar-SA"/>
        </w:rPr>
      </w:pPr>
      <w:r>
        <w:rPr>
          <w:rFonts w:hint="eastAsia" w:ascii="黑体" w:eastAsia="黑体"/>
          <w:b/>
          <w:bCs/>
          <w:sz w:val="21"/>
          <w:szCs w:val="21"/>
        </w:rPr>
        <w:t>三、</w:t>
      </w:r>
      <w:r>
        <w:rPr>
          <w:rFonts w:hint="eastAsia" w:ascii="黑体" w:eastAsia="黑体"/>
          <w:b/>
          <w:bCs/>
          <w:color w:val="000000"/>
          <w:sz w:val="21"/>
          <w:szCs w:val="21"/>
        </w:rPr>
        <w:t>支</w:t>
      </w:r>
      <w:r>
        <w:rPr>
          <w:rFonts w:hint="eastAsia" w:ascii="黑体" w:eastAsia="黑体"/>
          <w:b/>
          <w:bCs/>
          <w:sz w:val="21"/>
          <w:szCs w:val="21"/>
        </w:rPr>
        <w:t>出决算情况说明</w:t>
      </w:r>
      <w:r>
        <w:rPr>
          <w:b/>
          <w:bCs/>
          <w:sz w:val="21"/>
          <w:szCs w:val="21"/>
        </w:rPr>
        <w:tab/>
      </w:r>
      <w:r>
        <w:rPr>
          <w:rFonts w:hint="eastAsia"/>
          <w:b/>
          <w:bCs/>
          <w:sz w:val="21"/>
          <w:szCs w:val="21"/>
          <w:lang w:val="en-US" w:eastAsia="zh-CN"/>
        </w:rPr>
        <w:t>3</w:t>
      </w:r>
    </w:p>
    <w:p>
      <w:pPr>
        <w:pStyle w:val="11"/>
        <w:tabs>
          <w:tab w:val="right" w:leader="dot" w:pos="8296"/>
        </w:tabs>
        <w:rPr>
          <w:rFonts w:hint="eastAsia" w:eastAsia="宋体" w:cs="Arial"/>
          <w:b/>
          <w:bCs/>
          <w:sz w:val="21"/>
          <w:szCs w:val="21"/>
          <w:lang w:eastAsia="zh-CN" w:bidi="ar-SA"/>
        </w:rPr>
      </w:pPr>
      <w:r>
        <w:rPr>
          <w:rFonts w:hint="eastAsia" w:ascii="黑体" w:eastAsia="黑体"/>
          <w:b/>
          <w:bCs/>
          <w:color w:val="000000"/>
          <w:sz w:val="21"/>
          <w:szCs w:val="21"/>
        </w:rPr>
        <w:t>四、财</w:t>
      </w:r>
      <w:r>
        <w:rPr>
          <w:rFonts w:hint="eastAsia" w:ascii="黑体" w:eastAsia="黑体"/>
          <w:b/>
          <w:bCs/>
          <w:sz w:val="21"/>
          <w:szCs w:val="21"/>
        </w:rPr>
        <w:t>政拨款收入支出决算总体情况说明</w:t>
      </w:r>
      <w:r>
        <w:rPr>
          <w:b/>
          <w:bCs/>
          <w:sz w:val="21"/>
          <w:szCs w:val="21"/>
        </w:rPr>
        <w:tab/>
      </w:r>
      <w:r>
        <w:rPr>
          <w:rFonts w:hint="eastAsia"/>
          <w:b/>
          <w:bCs/>
          <w:sz w:val="21"/>
          <w:szCs w:val="21"/>
          <w:lang w:val="en-US" w:eastAsia="zh-CN"/>
        </w:rPr>
        <w:t>4</w:t>
      </w:r>
    </w:p>
    <w:p>
      <w:pPr>
        <w:pStyle w:val="11"/>
        <w:tabs>
          <w:tab w:val="right" w:leader="dot" w:pos="8296"/>
        </w:tabs>
        <w:rPr>
          <w:rFonts w:hint="eastAsia" w:eastAsia="宋体" w:cs="Arial"/>
          <w:b/>
          <w:bCs/>
          <w:sz w:val="21"/>
          <w:szCs w:val="21"/>
          <w:lang w:eastAsia="zh-CN" w:bidi="ar-SA"/>
        </w:rPr>
      </w:pPr>
      <w:r>
        <w:rPr>
          <w:rFonts w:hint="eastAsia" w:ascii="黑体" w:eastAsia="黑体"/>
          <w:b/>
          <w:bCs/>
          <w:color w:val="000000"/>
          <w:sz w:val="21"/>
          <w:szCs w:val="21"/>
        </w:rPr>
        <w:t>五、一</w:t>
      </w:r>
      <w:r>
        <w:rPr>
          <w:rFonts w:hint="eastAsia" w:ascii="黑体" w:eastAsia="黑体"/>
          <w:b/>
          <w:bCs/>
          <w:sz w:val="21"/>
          <w:szCs w:val="21"/>
        </w:rPr>
        <w:t>般公共预算财政拨款支出决算情况说明</w:t>
      </w:r>
      <w:r>
        <w:rPr>
          <w:b/>
          <w:bCs/>
          <w:sz w:val="21"/>
          <w:szCs w:val="21"/>
        </w:rPr>
        <w:tab/>
      </w:r>
      <w:r>
        <w:rPr>
          <w:rFonts w:hint="eastAsia"/>
          <w:b/>
          <w:bCs/>
          <w:sz w:val="21"/>
          <w:szCs w:val="21"/>
          <w:lang w:val="en-US" w:eastAsia="zh-CN"/>
        </w:rPr>
        <w:t>4</w:t>
      </w:r>
    </w:p>
    <w:p>
      <w:pPr>
        <w:pStyle w:val="5"/>
        <w:tabs>
          <w:tab w:val="right" w:leader="dot" w:pos="8296"/>
        </w:tabs>
        <w:rPr>
          <w:rFonts w:hint="eastAsia" w:eastAsia="宋体" w:cs="Arial"/>
          <w:b/>
          <w:bCs/>
          <w:i w:val="0"/>
          <w:iCs w:val="0"/>
          <w:sz w:val="21"/>
          <w:szCs w:val="21"/>
          <w:lang w:eastAsia="zh-CN" w:bidi="ar-SA"/>
        </w:rPr>
      </w:pPr>
      <w:r>
        <w:rPr>
          <w:rFonts w:hint="eastAsia" w:ascii="仿宋" w:eastAsia="仿宋"/>
          <w:b/>
          <w:bCs/>
          <w:i w:val="0"/>
          <w:iCs w:val="0"/>
          <w:color w:val="000000"/>
          <w:sz w:val="21"/>
          <w:szCs w:val="21"/>
        </w:rPr>
        <w:t>（一）一般公共预算财政拨款支出决算总体情况</w:t>
      </w:r>
      <w:r>
        <w:rPr>
          <w:b/>
          <w:bCs/>
          <w:i w:val="0"/>
          <w:iCs w:val="0"/>
          <w:sz w:val="21"/>
          <w:szCs w:val="21"/>
        </w:rPr>
        <w:tab/>
      </w:r>
      <w:r>
        <w:rPr>
          <w:rFonts w:hint="eastAsia" w:eastAsia="宋体"/>
          <w:b/>
          <w:bCs/>
          <w:i w:val="0"/>
          <w:iCs w:val="0"/>
          <w:sz w:val="21"/>
          <w:szCs w:val="21"/>
          <w:lang w:val="en-US" w:eastAsia="zh-CN"/>
        </w:rPr>
        <w:t>4</w:t>
      </w:r>
    </w:p>
    <w:p>
      <w:pPr>
        <w:pStyle w:val="5"/>
        <w:tabs>
          <w:tab w:val="right" w:leader="dot" w:pos="8296"/>
        </w:tabs>
        <w:rPr>
          <w:rFonts w:hint="eastAsia" w:eastAsia="宋体" w:cs="Arial"/>
          <w:b/>
          <w:bCs/>
          <w:i w:val="0"/>
          <w:iCs w:val="0"/>
          <w:sz w:val="21"/>
          <w:szCs w:val="21"/>
          <w:lang w:eastAsia="zh-CN" w:bidi="ar-SA"/>
        </w:rPr>
      </w:pPr>
      <w:r>
        <w:rPr>
          <w:rFonts w:hint="eastAsia" w:ascii="仿宋" w:eastAsia="仿宋"/>
          <w:b/>
          <w:bCs/>
          <w:i w:val="0"/>
          <w:iCs w:val="0"/>
          <w:color w:val="000000"/>
          <w:sz w:val="21"/>
          <w:szCs w:val="21"/>
        </w:rPr>
        <w:t>（二）一般公共预算财政拨款支出决算结构情况</w:t>
      </w:r>
      <w:r>
        <w:rPr>
          <w:b/>
          <w:bCs/>
          <w:i w:val="0"/>
          <w:iCs w:val="0"/>
          <w:sz w:val="21"/>
          <w:szCs w:val="21"/>
        </w:rPr>
        <w:tab/>
      </w:r>
      <w:r>
        <w:rPr>
          <w:rFonts w:hint="eastAsia" w:eastAsia="宋体"/>
          <w:b/>
          <w:bCs/>
          <w:i w:val="0"/>
          <w:iCs w:val="0"/>
          <w:sz w:val="21"/>
          <w:szCs w:val="21"/>
          <w:lang w:val="en-US" w:eastAsia="zh-CN"/>
        </w:rPr>
        <w:t>6</w:t>
      </w:r>
    </w:p>
    <w:p>
      <w:pPr>
        <w:pStyle w:val="5"/>
        <w:tabs>
          <w:tab w:val="right" w:leader="dot" w:pos="8296"/>
        </w:tabs>
        <w:rPr>
          <w:rFonts w:hint="eastAsia" w:eastAsia="宋体" w:cs="Arial"/>
          <w:b/>
          <w:bCs/>
          <w:i w:val="0"/>
          <w:iCs w:val="0"/>
          <w:sz w:val="21"/>
          <w:szCs w:val="21"/>
          <w:lang w:eastAsia="zh-CN" w:bidi="ar-SA"/>
        </w:rPr>
      </w:pPr>
      <w:r>
        <w:rPr>
          <w:rFonts w:hint="eastAsia" w:ascii="仿宋" w:eastAsia="仿宋"/>
          <w:b/>
          <w:bCs/>
          <w:i w:val="0"/>
          <w:iCs w:val="0"/>
          <w:color w:val="000000"/>
          <w:sz w:val="21"/>
          <w:szCs w:val="21"/>
        </w:rPr>
        <w:t>（三）一般公共预算财政拨款支出决算具体情况</w:t>
      </w:r>
      <w:r>
        <w:rPr>
          <w:b/>
          <w:bCs/>
          <w:i w:val="0"/>
          <w:iCs w:val="0"/>
          <w:sz w:val="21"/>
          <w:szCs w:val="21"/>
        </w:rPr>
        <w:tab/>
      </w:r>
      <w:r>
        <w:rPr>
          <w:rFonts w:hint="eastAsia" w:eastAsia="宋体"/>
          <w:b/>
          <w:bCs/>
          <w:i w:val="0"/>
          <w:iCs w:val="0"/>
          <w:sz w:val="21"/>
          <w:szCs w:val="21"/>
          <w:lang w:val="en-US" w:eastAsia="zh-CN"/>
        </w:rPr>
        <w:t>6</w:t>
      </w:r>
    </w:p>
    <w:p>
      <w:pPr>
        <w:pStyle w:val="11"/>
        <w:tabs>
          <w:tab w:val="right" w:leader="dot" w:pos="8296"/>
        </w:tabs>
        <w:rPr>
          <w:rFonts w:eastAsia="宋体" w:cs="Arial"/>
          <w:b/>
          <w:bCs/>
          <w:sz w:val="21"/>
          <w:szCs w:val="21"/>
          <w:lang w:bidi="ar-SA"/>
        </w:rPr>
      </w:pPr>
      <w:r>
        <w:rPr>
          <w:rFonts w:hint="eastAsia" w:ascii="黑体" w:eastAsia="黑体"/>
          <w:b/>
          <w:bCs/>
          <w:color w:val="000000"/>
          <w:sz w:val="21"/>
          <w:szCs w:val="21"/>
        </w:rPr>
        <w:t>六、一</w:t>
      </w:r>
      <w:r>
        <w:rPr>
          <w:rFonts w:hint="eastAsia" w:ascii="黑体" w:eastAsia="黑体"/>
          <w:b/>
          <w:bCs/>
          <w:sz w:val="21"/>
          <w:szCs w:val="21"/>
        </w:rPr>
        <w:t>般公共预算财政拨款基本支出决算情况说明</w:t>
      </w:r>
      <w:r>
        <w:rPr>
          <w:b/>
          <w:bCs/>
          <w:sz w:val="21"/>
          <w:szCs w:val="21"/>
        </w:rPr>
        <w:tab/>
      </w:r>
      <w:r>
        <w:rPr>
          <w:b/>
          <w:bCs/>
          <w:sz w:val="21"/>
          <w:szCs w:val="21"/>
        </w:rPr>
        <w:fldChar w:fldCharType="begin"/>
      </w:r>
      <w:r>
        <w:rPr>
          <w:b/>
          <w:bCs/>
          <w:sz w:val="21"/>
          <w:szCs w:val="21"/>
        </w:rPr>
        <w:instrText xml:space="preserve"> PAGEREF _Toc79163868 \h </w:instrText>
      </w:r>
      <w:r>
        <w:rPr>
          <w:b/>
          <w:bCs/>
          <w:sz w:val="21"/>
          <w:szCs w:val="21"/>
        </w:rPr>
        <w:fldChar w:fldCharType="separate"/>
      </w:r>
      <w:r>
        <w:rPr>
          <w:b/>
          <w:bCs/>
          <w:sz w:val="21"/>
          <w:szCs w:val="21"/>
        </w:rPr>
        <w:t>6</w:t>
      </w:r>
      <w:r>
        <w:rPr>
          <w:b/>
          <w:bCs/>
          <w:sz w:val="21"/>
          <w:szCs w:val="21"/>
        </w:rPr>
        <w:fldChar w:fldCharType="end"/>
      </w:r>
    </w:p>
    <w:p>
      <w:pPr>
        <w:pStyle w:val="11"/>
        <w:tabs>
          <w:tab w:val="right" w:leader="dot" w:pos="8296"/>
        </w:tabs>
        <w:rPr>
          <w:rFonts w:eastAsia="宋体" w:cs="Arial"/>
          <w:b/>
          <w:bCs/>
          <w:sz w:val="21"/>
          <w:szCs w:val="21"/>
          <w:lang w:bidi="ar-SA"/>
        </w:rPr>
      </w:pPr>
      <w:r>
        <w:rPr>
          <w:rFonts w:hint="eastAsia" w:ascii="黑体" w:eastAsia="黑体"/>
          <w:b/>
          <w:bCs/>
          <w:color w:val="000000"/>
          <w:sz w:val="21"/>
          <w:szCs w:val="21"/>
        </w:rPr>
        <w:t>七、</w:t>
      </w:r>
      <w:r>
        <w:rPr>
          <w:rFonts w:hint="eastAsia" w:ascii="黑体" w:eastAsia="黑体"/>
          <w:b/>
          <w:bCs/>
          <w:sz w:val="21"/>
          <w:szCs w:val="21"/>
        </w:rPr>
        <w:t>“三公”经费财政拨款支出决算情况说明</w:t>
      </w:r>
      <w:r>
        <w:rPr>
          <w:b/>
          <w:bCs/>
          <w:sz w:val="21"/>
          <w:szCs w:val="21"/>
        </w:rPr>
        <w:tab/>
      </w:r>
      <w:r>
        <w:rPr>
          <w:b/>
          <w:bCs/>
          <w:sz w:val="21"/>
          <w:szCs w:val="21"/>
        </w:rPr>
        <w:fldChar w:fldCharType="begin"/>
      </w:r>
      <w:r>
        <w:rPr>
          <w:b/>
          <w:bCs/>
          <w:sz w:val="21"/>
          <w:szCs w:val="21"/>
        </w:rPr>
        <w:instrText xml:space="preserve"> PAGEREF _Toc79163869 \h </w:instrText>
      </w:r>
      <w:r>
        <w:rPr>
          <w:b/>
          <w:bCs/>
          <w:sz w:val="21"/>
          <w:szCs w:val="21"/>
        </w:rPr>
        <w:fldChar w:fldCharType="separate"/>
      </w:r>
      <w:r>
        <w:rPr>
          <w:b/>
          <w:bCs/>
          <w:sz w:val="21"/>
          <w:szCs w:val="21"/>
        </w:rPr>
        <w:t>8</w:t>
      </w:r>
      <w:r>
        <w:rPr>
          <w:b/>
          <w:bCs/>
          <w:sz w:val="21"/>
          <w:szCs w:val="21"/>
        </w:rPr>
        <w:fldChar w:fldCharType="end"/>
      </w:r>
    </w:p>
    <w:p>
      <w:pPr>
        <w:pStyle w:val="5"/>
        <w:tabs>
          <w:tab w:val="right" w:leader="dot" w:pos="8296"/>
        </w:tabs>
        <w:rPr>
          <w:rFonts w:eastAsia="宋体" w:cs="Arial"/>
          <w:b/>
          <w:bCs/>
          <w:i w:val="0"/>
          <w:iCs w:val="0"/>
          <w:sz w:val="21"/>
          <w:szCs w:val="21"/>
          <w:lang w:bidi="ar-SA"/>
        </w:rPr>
      </w:pPr>
      <w:r>
        <w:rPr>
          <w:rFonts w:hint="eastAsia" w:ascii="仿宋" w:eastAsia="仿宋"/>
          <w:b/>
          <w:bCs/>
          <w:i w:val="0"/>
          <w:iCs w:val="0"/>
          <w:color w:val="000000"/>
          <w:sz w:val="21"/>
          <w:szCs w:val="21"/>
        </w:rPr>
        <w:t>（一）“三公”经费财政拨款支出决算总体情况说明</w:t>
      </w:r>
      <w:r>
        <w:rPr>
          <w:b/>
          <w:bCs/>
          <w:i w:val="0"/>
          <w:iCs w:val="0"/>
          <w:sz w:val="21"/>
          <w:szCs w:val="21"/>
        </w:rPr>
        <w:tab/>
      </w:r>
      <w:r>
        <w:rPr>
          <w:b/>
          <w:bCs/>
          <w:i w:val="0"/>
          <w:iCs w:val="0"/>
          <w:sz w:val="21"/>
          <w:szCs w:val="21"/>
        </w:rPr>
        <w:fldChar w:fldCharType="begin"/>
      </w:r>
      <w:r>
        <w:rPr>
          <w:b/>
          <w:bCs/>
          <w:i w:val="0"/>
          <w:iCs w:val="0"/>
          <w:sz w:val="21"/>
          <w:szCs w:val="21"/>
        </w:rPr>
        <w:instrText xml:space="preserve"> PAGEREF _Toc79163870 \h </w:instrText>
      </w:r>
      <w:r>
        <w:rPr>
          <w:b/>
          <w:bCs/>
          <w:i w:val="0"/>
          <w:iCs w:val="0"/>
          <w:sz w:val="21"/>
          <w:szCs w:val="21"/>
        </w:rPr>
        <w:fldChar w:fldCharType="separate"/>
      </w:r>
      <w:r>
        <w:rPr>
          <w:b/>
          <w:bCs/>
          <w:i w:val="0"/>
          <w:iCs w:val="0"/>
          <w:sz w:val="21"/>
          <w:szCs w:val="21"/>
        </w:rPr>
        <w:t>8</w:t>
      </w:r>
      <w:r>
        <w:rPr>
          <w:b/>
          <w:bCs/>
          <w:i w:val="0"/>
          <w:iCs w:val="0"/>
          <w:sz w:val="21"/>
          <w:szCs w:val="21"/>
        </w:rPr>
        <w:fldChar w:fldCharType="end"/>
      </w:r>
    </w:p>
    <w:p>
      <w:pPr>
        <w:pStyle w:val="5"/>
        <w:tabs>
          <w:tab w:val="right" w:leader="dot" w:pos="8296"/>
        </w:tabs>
        <w:rPr>
          <w:rFonts w:hint="eastAsia" w:eastAsia="宋体" w:cs="Arial"/>
          <w:b/>
          <w:bCs/>
          <w:i w:val="0"/>
          <w:iCs w:val="0"/>
          <w:sz w:val="21"/>
          <w:szCs w:val="21"/>
          <w:lang w:eastAsia="zh-CN" w:bidi="ar-SA"/>
        </w:rPr>
      </w:pPr>
      <w:r>
        <w:rPr>
          <w:rFonts w:hint="eastAsia" w:ascii="仿宋" w:eastAsia="仿宋"/>
          <w:b/>
          <w:bCs/>
          <w:i w:val="0"/>
          <w:iCs w:val="0"/>
          <w:color w:val="000000"/>
          <w:sz w:val="21"/>
          <w:szCs w:val="21"/>
        </w:rPr>
        <w:t>（二）“三公”经费财政拨款支出决算具体情况说明</w:t>
      </w:r>
      <w:r>
        <w:rPr>
          <w:b/>
          <w:bCs/>
          <w:i w:val="0"/>
          <w:iCs w:val="0"/>
          <w:sz w:val="21"/>
          <w:szCs w:val="21"/>
        </w:rPr>
        <w:tab/>
      </w:r>
      <w:r>
        <w:rPr>
          <w:rFonts w:hint="eastAsia" w:eastAsia="宋体"/>
          <w:b/>
          <w:bCs/>
          <w:i w:val="0"/>
          <w:iCs w:val="0"/>
          <w:sz w:val="21"/>
          <w:szCs w:val="21"/>
          <w:lang w:val="en-US" w:eastAsia="zh-CN"/>
        </w:rPr>
        <w:t>8</w:t>
      </w:r>
    </w:p>
    <w:p>
      <w:pPr>
        <w:pStyle w:val="11"/>
        <w:tabs>
          <w:tab w:val="right" w:leader="dot" w:pos="8296"/>
        </w:tabs>
        <w:rPr>
          <w:rFonts w:hint="default" w:eastAsia="宋体" w:cs="Arial"/>
          <w:b/>
          <w:bCs/>
          <w:sz w:val="21"/>
          <w:szCs w:val="21"/>
          <w:lang w:val="en-US" w:eastAsia="zh-CN" w:bidi="ar-SA"/>
        </w:rPr>
      </w:pPr>
      <w:r>
        <w:rPr>
          <w:rFonts w:hint="eastAsia" w:ascii="黑体" w:eastAsia="黑体"/>
          <w:b/>
          <w:bCs/>
          <w:color w:val="000000"/>
          <w:sz w:val="21"/>
          <w:szCs w:val="21"/>
        </w:rPr>
        <w:t>八、</w:t>
      </w:r>
      <w:r>
        <w:rPr>
          <w:rFonts w:hint="eastAsia" w:ascii="黑体" w:eastAsia="黑体"/>
          <w:b/>
          <w:bCs/>
          <w:sz w:val="21"/>
          <w:szCs w:val="21"/>
        </w:rPr>
        <w:t>政府性基金预算支出决算情况说明</w:t>
      </w:r>
      <w:r>
        <w:rPr>
          <w:b/>
          <w:bCs/>
          <w:sz w:val="21"/>
          <w:szCs w:val="21"/>
        </w:rPr>
        <w:tab/>
      </w:r>
      <w:r>
        <w:rPr>
          <w:rFonts w:hint="eastAsia"/>
          <w:b/>
          <w:bCs/>
          <w:sz w:val="21"/>
          <w:szCs w:val="21"/>
          <w:lang w:val="en-US" w:eastAsia="zh-CN"/>
        </w:rPr>
        <w:t>10</w:t>
      </w:r>
    </w:p>
    <w:p>
      <w:pPr>
        <w:pStyle w:val="11"/>
        <w:tabs>
          <w:tab w:val="right" w:leader="dot" w:pos="8296"/>
        </w:tabs>
        <w:rPr>
          <w:rFonts w:eastAsia="宋体" w:cs="Arial"/>
          <w:b/>
          <w:bCs/>
          <w:sz w:val="21"/>
          <w:szCs w:val="21"/>
          <w:lang w:bidi="ar-SA"/>
        </w:rPr>
      </w:pPr>
      <w:r>
        <w:rPr>
          <w:rFonts w:hint="eastAsia" w:ascii="黑体" w:eastAsia="黑体"/>
          <w:b/>
          <w:bCs/>
          <w:sz w:val="21"/>
          <w:szCs w:val="21"/>
        </w:rPr>
        <w:t>九、 国有资本经营预算支出决算情况说明</w:t>
      </w:r>
      <w:r>
        <w:rPr>
          <w:b/>
          <w:bCs/>
          <w:sz w:val="21"/>
          <w:szCs w:val="21"/>
        </w:rPr>
        <w:tab/>
      </w:r>
      <w:r>
        <w:rPr>
          <w:b/>
          <w:bCs/>
          <w:sz w:val="21"/>
          <w:szCs w:val="21"/>
        </w:rPr>
        <w:fldChar w:fldCharType="begin"/>
      </w:r>
      <w:r>
        <w:rPr>
          <w:b/>
          <w:bCs/>
          <w:sz w:val="21"/>
          <w:szCs w:val="21"/>
        </w:rPr>
        <w:instrText xml:space="preserve"> PAGEREF _Toc79163873 \h </w:instrText>
      </w:r>
      <w:r>
        <w:rPr>
          <w:b/>
          <w:bCs/>
          <w:sz w:val="21"/>
          <w:szCs w:val="21"/>
        </w:rPr>
        <w:fldChar w:fldCharType="separate"/>
      </w:r>
      <w:r>
        <w:rPr>
          <w:b/>
          <w:bCs/>
          <w:sz w:val="21"/>
          <w:szCs w:val="21"/>
        </w:rPr>
        <w:t>10</w:t>
      </w:r>
      <w:r>
        <w:rPr>
          <w:b/>
          <w:bCs/>
          <w:sz w:val="21"/>
          <w:szCs w:val="21"/>
        </w:rPr>
        <w:fldChar w:fldCharType="end"/>
      </w:r>
    </w:p>
    <w:p>
      <w:pPr>
        <w:pStyle w:val="11"/>
        <w:tabs>
          <w:tab w:val="right" w:leader="dot" w:pos="8296"/>
        </w:tabs>
        <w:rPr>
          <w:rFonts w:hint="default" w:eastAsia="宋体" w:cs="Arial"/>
          <w:b/>
          <w:bCs/>
          <w:sz w:val="21"/>
          <w:szCs w:val="21"/>
          <w:lang w:val="en-US" w:eastAsia="zh-CN" w:bidi="ar-SA"/>
        </w:rPr>
      </w:pPr>
      <w:r>
        <w:rPr>
          <w:rFonts w:hint="eastAsia" w:ascii="黑体" w:eastAsia="黑体"/>
          <w:b/>
          <w:bCs/>
          <w:color w:val="000000"/>
          <w:sz w:val="21"/>
          <w:szCs w:val="21"/>
        </w:rPr>
        <w:t>十</w:t>
      </w:r>
      <w:r>
        <w:rPr>
          <w:rFonts w:hint="eastAsia" w:ascii="黑体" w:eastAsia="黑体"/>
          <w:b/>
          <w:bCs/>
          <w:sz w:val="21"/>
          <w:szCs w:val="21"/>
        </w:rPr>
        <w:t>、其他重要事项的情况说明</w:t>
      </w:r>
      <w:r>
        <w:rPr>
          <w:b/>
          <w:bCs/>
          <w:sz w:val="21"/>
          <w:szCs w:val="21"/>
        </w:rPr>
        <w:tab/>
      </w:r>
      <w:r>
        <w:rPr>
          <w:rFonts w:hint="eastAsia"/>
          <w:b/>
          <w:bCs/>
          <w:sz w:val="21"/>
          <w:szCs w:val="21"/>
          <w:lang w:val="en-US" w:eastAsia="zh-CN"/>
        </w:rPr>
        <w:t>10</w:t>
      </w:r>
    </w:p>
    <w:p>
      <w:pPr>
        <w:pStyle w:val="5"/>
        <w:tabs>
          <w:tab w:val="right" w:leader="dot" w:pos="8296"/>
        </w:tabs>
        <w:rPr>
          <w:rFonts w:hint="default" w:ascii="仿宋" w:eastAsia="仿宋" w:cs="Times New Roman"/>
          <w:b/>
          <w:bCs/>
          <w:i w:val="0"/>
          <w:iCs w:val="0"/>
          <w:color w:val="000000"/>
          <w:sz w:val="21"/>
          <w:szCs w:val="21"/>
          <w:lang w:val="en-US" w:eastAsia="zh-CN" w:bidi="ar-SA"/>
        </w:rPr>
      </w:pPr>
      <w:r>
        <w:rPr>
          <w:rFonts w:hint="eastAsia" w:ascii="仿宋" w:eastAsia="仿宋" w:cs="Times New Roman"/>
          <w:b/>
          <w:bCs/>
          <w:i w:val="0"/>
          <w:iCs w:val="0"/>
          <w:color w:val="000000"/>
          <w:sz w:val="21"/>
          <w:szCs w:val="21"/>
          <w:lang w:bidi="ar-SA"/>
        </w:rPr>
        <w:t>（一）机关运行经费支出情况</w:t>
      </w:r>
      <w:r>
        <w:rPr>
          <w:rFonts w:hint="eastAsia" w:ascii="仿宋" w:eastAsia="仿宋" w:cs="Times New Roman"/>
          <w:b/>
          <w:bCs/>
          <w:i w:val="0"/>
          <w:iCs w:val="0"/>
          <w:color w:val="000000"/>
          <w:sz w:val="21"/>
          <w:szCs w:val="21"/>
          <w:lang w:bidi="ar-SA"/>
        </w:rPr>
        <w:tab/>
      </w:r>
      <w:r>
        <w:rPr>
          <w:rFonts w:hint="eastAsia" w:ascii="仿宋" w:eastAsia="仿宋" w:cs="Times New Roman"/>
          <w:b/>
          <w:bCs/>
          <w:i w:val="0"/>
          <w:iCs w:val="0"/>
          <w:color w:val="000000"/>
          <w:sz w:val="21"/>
          <w:szCs w:val="21"/>
          <w:lang w:val="en-US" w:eastAsia="zh-CN" w:bidi="ar-SA"/>
        </w:rPr>
        <w:t>10</w:t>
      </w:r>
    </w:p>
    <w:p>
      <w:pPr>
        <w:pStyle w:val="5"/>
        <w:tabs>
          <w:tab w:val="right" w:leader="dot" w:pos="8296"/>
        </w:tabs>
        <w:rPr>
          <w:rFonts w:hint="default" w:ascii="仿宋" w:eastAsia="仿宋" w:cs="Times New Roman"/>
          <w:b/>
          <w:bCs/>
          <w:i w:val="0"/>
          <w:iCs w:val="0"/>
          <w:color w:val="000000"/>
          <w:sz w:val="21"/>
          <w:szCs w:val="21"/>
          <w:lang w:val="en-US" w:bidi="ar-SA"/>
        </w:rPr>
      </w:pPr>
      <w:r>
        <w:rPr>
          <w:rFonts w:hint="eastAsia" w:ascii="仿宋" w:eastAsia="仿宋" w:cs="Times New Roman"/>
          <w:b/>
          <w:bCs/>
          <w:i w:val="0"/>
          <w:iCs w:val="0"/>
          <w:color w:val="000000"/>
          <w:sz w:val="21"/>
          <w:szCs w:val="21"/>
          <w:lang w:val="en-US" w:eastAsia="zh-CN" w:bidi="ar-SA"/>
        </w:rPr>
        <w:t xml:space="preserve">（二）政府采购支出情况  </w:t>
      </w:r>
      <w:r>
        <w:rPr>
          <w:rFonts w:hint="eastAsia" w:ascii="Calibri" w:hAnsi="Calibri" w:eastAsia="Calibri" w:cs="Times New Roman"/>
          <w:b/>
          <w:bCs/>
          <w:caps/>
          <w:kern w:val="2"/>
          <w:sz w:val="21"/>
          <w:szCs w:val="21"/>
          <w:lang w:val="en-US" w:eastAsia="zh-CN" w:bidi="ar-SA"/>
        </w:rPr>
        <w:t>...............................</w:t>
      </w:r>
      <w:r>
        <w:rPr>
          <w:rFonts w:hint="eastAsia" w:cs="Times New Roman"/>
          <w:b/>
          <w:bCs/>
          <w:caps/>
          <w:kern w:val="2"/>
          <w:sz w:val="21"/>
          <w:szCs w:val="21"/>
          <w:lang w:val="en-US" w:eastAsia="zh-CN" w:bidi="ar-SA"/>
        </w:rPr>
        <w:t>..........</w:t>
      </w:r>
      <w:r>
        <w:rPr>
          <w:rFonts w:hint="eastAsia" w:ascii="Calibri" w:hAnsi="Calibri" w:eastAsia="Calibri" w:cs="Times New Roman"/>
          <w:b/>
          <w:bCs/>
          <w:caps/>
          <w:kern w:val="2"/>
          <w:sz w:val="21"/>
          <w:szCs w:val="21"/>
          <w:lang w:val="en-US" w:eastAsia="zh-CN" w:bidi="ar-SA"/>
        </w:rPr>
        <w:t>.........................................</w:t>
      </w:r>
      <w:r>
        <w:rPr>
          <w:rFonts w:hint="eastAsia" w:cs="Times New Roman"/>
          <w:b/>
          <w:bCs/>
          <w:caps/>
          <w:kern w:val="2"/>
          <w:sz w:val="21"/>
          <w:szCs w:val="21"/>
          <w:lang w:val="en-US" w:eastAsia="zh-CN" w:bidi="ar-SA"/>
        </w:rPr>
        <w:t>.....</w:t>
      </w:r>
      <w:r>
        <w:rPr>
          <w:rFonts w:hint="eastAsia" w:ascii="Calibri" w:hAnsi="Calibri" w:eastAsia="Calibri" w:cs="Times New Roman"/>
          <w:b/>
          <w:bCs/>
          <w:caps/>
          <w:kern w:val="2"/>
          <w:sz w:val="21"/>
          <w:szCs w:val="21"/>
          <w:lang w:val="en-US" w:eastAsia="zh-CN" w:bidi="ar-SA"/>
        </w:rPr>
        <w:t>.</w:t>
      </w:r>
      <w:r>
        <w:rPr>
          <w:rFonts w:hint="eastAsia" w:cs="Times New Roman"/>
          <w:b/>
          <w:bCs/>
          <w:caps/>
          <w:kern w:val="2"/>
          <w:sz w:val="21"/>
          <w:szCs w:val="21"/>
          <w:lang w:val="en-US" w:eastAsia="zh-CN" w:bidi="ar-SA"/>
        </w:rPr>
        <w:t>.</w:t>
      </w:r>
      <w:r>
        <w:rPr>
          <w:rFonts w:hint="eastAsia" w:ascii="Calibri" w:hAnsi="Calibri" w:eastAsia="Calibri" w:cs="Times New Roman"/>
          <w:b/>
          <w:bCs/>
          <w:caps/>
          <w:kern w:val="2"/>
          <w:sz w:val="21"/>
          <w:szCs w:val="21"/>
          <w:lang w:val="en-US" w:eastAsia="zh-CN" w:bidi="ar-SA"/>
        </w:rPr>
        <w:t>...</w:t>
      </w:r>
      <w:r>
        <w:rPr>
          <w:rFonts w:hint="eastAsia" w:cs="Times New Roman"/>
          <w:b/>
          <w:bCs/>
          <w:caps/>
          <w:kern w:val="2"/>
          <w:sz w:val="21"/>
          <w:szCs w:val="21"/>
          <w:lang w:val="en-US" w:eastAsia="zh-CN" w:bidi="ar-SA"/>
        </w:rPr>
        <w:t>10</w:t>
      </w:r>
    </w:p>
    <w:p>
      <w:pPr>
        <w:pStyle w:val="5"/>
        <w:tabs>
          <w:tab w:val="right" w:leader="dot" w:pos="8296"/>
        </w:tabs>
        <w:ind w:left="630" w:leftChars="200" w:hanging="210" w:hangingChars="100"/>
        <w:rPr>
          <w:rFonts w:hint="default" w:ascii="仿宋" w:eastAsia="仿宋" w:cs="Times New Roman"/>
          <w:b/>
          <w:bCs/>
          <w:i w:val="0"/>
          <w:iCs w:val="0"/>
          <w:color w:val="000000"/>
          <w:sz w:val="21"/>
          <w:szCs w:val="21"/>
          <w:lang w:val="en-US" w:eastAsia="zh-CN" w:bidi="ar-SA"/>
        </w:rPr>
      </w:pPr>
      <w:r>
        <w:rPr>
          <w:rFonts w:hint="eastAsia" w:ascii="仿宋" w:eastAsia="仿宋" w:cs="Times New Roman"/>
          <w:b/>
          <w:bCs/>
          <w:i w:val="0"/>
          <w:iCs w:val="0"/>
          <w:color w:val="000000"/>
          <w:sz w:val="21"/>
          <w:szCs w:val="21"/>
          <w:lang w:bidi="ar-SA"/>
        </w:rPr>
        <w:t>（三）国有资产占有使用情况</w:t>
      </w:r>
      <w:r>
        <w:rPr>
          <w:rFonts w:hint="eastAsia" w:ascii="仿宋" w:eastAsia="仿宋" w:cs="Times New Roman"/>
          <w:b/>
          <w:bCs/>
          <w:i w:val="0"/>
          <w:iCs w:val="0"/>
          <w:color w:val="000000"/>
          <w:sz w:val="21"/>
          <w:szCs w:val="21"/>
          <w:lang w:bidi="ar-SA"/>
        </w:rPr>
        <w:tab/>
      </w:r>
      <w:r>
        <w:rPr>
          <w:rFonts w:hint="eastAsia" w:ascii="仿宋" w:eastAsia="仿宋" w:cs="Times New Roman"/>
          <w:b/>
          <w:bCs/>
          <w:i w:val="0"/>
          <w:iCs w:val="0"/>
          <w:color w:val="000000"/>
          <w:sz w:val="21"/>
          <w:szCs w:val="21"/>
          <w:lang w:val="en-US" w:eastAsia="zh-CN" w:bidi="ar-SA"/>
        </w:rPr>
        <w:t>10</w:t>
      </w:r>
    </w:p>
    <w:p>
      <w:pPr>
        <w:pStyle w:val="5"/>
        <w:tabs>
          <w:tab w:val="right" w:leader="dot" w:pos="8296"/>
        </w:tabs>
        <w:rPr>
          <w:rFonts w:hint="default" w:eastAsia="宋体"/>
          <w:b/>
          <w:bCs/>
          <w:i w:val="0"/>
          <w:iCs w:val="0"/>
          <w:sz w:val="21"/>
          <w:szCs w:val="21"/>
          <w:lang w:val="en-US" w:eastAsia="zh-CN"/>
        </w:rPr>
      </w:pPr>
      <w:r>
        <w:rPr>
          <w:rFonts w:hint="eastAsia" w:ascii="仿宋" w:eastAsia="仿宋" w:cs="Times New Roman"/>
          <w:b/>
          <w:bCs/>
          <w:i w:val="0"/>
          <w:iCs w:val="0"/>
          <w:color w:val="000000"/>
          <w:sz w:val="21"/>
          <w:szCs w:val="21"/>
          <w:lang w:bidi="ar-SA"/>
        </w:rPr>
        <w:t>（四）预算绩效管理情况。</w:t>
      </w:r>
      <w:r>
        <w:rPr>
          <w:b/>
          <w:bCs/>
          <w:i w:val="0"/>
          <w:iCs w:val="0"/>
          <w:sz w:val="21"/>
          <w:szCs w:val="21"/>
        </w:rPr>
        <w:tab/>
      </w:r>
      <w:r>
        <w:rPr>
          <w:rFonts w:hint="eastAsia" w:eastAsia="宋体"/>
          <w:b/>
          <w:bCs/>
          <w:i w:val="0"/>
          <w:iCs w:val="0"/>
          <w:sz w:val="21"/>
          <w:szCs w:val="21"/>
          <w:lang w:val="en-US" w:eastAsia="zh-CN"/>
        </w:rPr>
        <w:t>10</w:t>
      </w:r>
    </w:p>
    <w:p/>
    <w:p>
      <w:pPr>
        <w:pStyle w:val="10"/>
        <w:tabs>
          <w:tab w:val="right" w:leader="dot" w:pos="8296"/>
        </w:tabs>
        <w:rPr>
          <w:rFonts w:hint="default" w:eastAsia="宋体"/>
          <w:b/>
          <w:bCs/>
          <w:sz w:val="21"/>
          <w:szCs w:val="21"/>
          <w:lang w:val="en-US" w:eastAsia="zh-CN"/>
        </w:rPr>
      </w:pPr>
      <w:r>
        <w:rPr>
          <w:rFonts w:hint="eastAsia" w:ascii="黑体" w:eastAsia="黑体"/>
          <w:b/>
          <w:bCs/>
          <w:kern w:val="44"/>
          <w:sz w:val="21"/>
          <w:szCs w:val="21"/>
        </w:rPr>
        <w:t>第三部分</w:t>
      </w:r>
      <w:r>
        <w:rPr>
          <w:rFonts w:hint="eastAsia" w:ascii="黑体" w:eastAsia="黑体"/>
          <w:b/>
          <w:bCs/>
          <w:color w:val="000000"/>
          <w:sz w:val="21"/>
          <w:szCs w:val="21"/>
        </w:rPr>
        <w:t xml:space="preserve"> 名</w:t>
      </w:r>
      <w:r>
        <w:rPr>
          <w:rFonts w:hint="eastAsia" w:ascii="黑体" w:eastAsia="黑体"/>
          <w:b/>
          <w:bCs/>
          <w:kern w:val="44"/>
          <w:sz w:val="21"/>
          <w:szCs w:val="21"/>
        </w:rPr>
        <w:t>词解释</w:t>
      </w:r>
      <w:r>
        <w:rPr>
          <w:b/>
          <w:bCs/>
          <w:sz w:val="21"/>
          <w:szCs w:val="21"/>
        </w:rPr>
        <w:tab/>
      </w:r>
      <w:r>
        <w:rPr>
          <w:rFonts w:hint="eastAsia"/>
          <w:b/>
          <w:bCs/>
          <w:sz w:val="21"/>
          <w:szCs w:val="21"/>
          <w:lang w:val="en-US" w:eastAsia="zh-CN"/>
        </w:rPr>
        <w:t>11</w:t>
      </w:r>
    </w:p>
    <w:p/>
    <w:p>
      <w:pPr>
        <w:pStyle w:val="10"/>
        <w:tabs>
          <w:tab w:val="right" w:leader="dot" w:pos="8296"/>
        </w:tabs>
        <w:rPr>
          <w:rFonts w:hint="default" w:ascii="黑体" w:eastAsia="黑体"/>
          <w:b/>
          <w:bCs/>
          <w:color w:val="000000"/>
          <w:sz w:val="21"/>
          <w:szCs w:val="21"/>
          <w:lang w:val="en-US" w:eastAsia="zh-CN"/>
        </w:rPr>
      </w:pPr>
      <w:r>
        <w:rPr>
          <w:rFonts w:hint="eastAsia" w:ascii="黑体" w:eastAsia="黑体"/>
          <w:b/>
          <w:bCs/>
          <w:color w:val="000000"/>
          <w:sz w:val="21"/>
          <w:szCs w:val="21"/>
        </w:rPr>
        <w:t>第四部分 附件</w:t>
      </w:r>
      <w:r>
        <w:rPr>
          <w:rFonts w:hint="eastAsia" w:ascii="黑体" w:eastAsia="黑体"/>
          <w:b/>
          <w:bCs/>
          <w:color w:val="000000"/>
          <w:sz w:val="21"/>
          <w:szCs w:val="21"/>
        </w:rPr>
        <w:tab/>
      </w:r>
      <w:r>
        <w:rPr>
          <w:rFonts w:hint="eastAsia" w:ascii="黑体" w:eastAsia="黑体"/>
          <w:b/>
          <w:bCs/>
          <w:color w:val="000000"/>
          <w:sz w:val="21"/>
          <w:szCs w:val="21"/>
          <w:lang w:val="en-US" w:eastAsia="zh-CN"/>
        </w:rPr>
        <w:t>12</w:t>
      </w:r>
    </w:p>
    <w:p>
      <w:pPr>
        <w:rPr>
          <w:rFonts w:hint="eastAsia"/>
        </w:rPr>
      </w:pPr>
    </w:p>
    <w:p>
      <w:pPr>
        <w:pStyle w:val="10"/>
        <w:keepNext w:val="0"/>
        <w:keepLines w:val="0"/>
        <w:pageBreakBefore w:val="0"/>
        <w:widowControl w:val="0"/>
        <w:tabs>
          <w:tab w:val="right" w:leader="dot" w:pos="8296"/>
        </w:tabs>
        <w:kinsoku/>
        <w:wordWrap/>
        <w:overflowPunct/>
        <w:topLinePunct w:val="0"/>
        <w:autoSpaceDE/>
        <w:autoSpaceDN/>
        <w:bidi w:val="0"/>
        <w:spacing w:before="0" w:after="0" w:line="240" w:lineRule="auto"/>
        <w:ind w:left="0" w:firstLine="421" w:firstLineChars="200"/>
        <w:textAlignment w:val="auto"/>
        <w:rPr>
          <w:rFonts w:hint="eastAsia" w:eastAsia="宋体"/>
          <w:b/>
          <w:bCs/>
          <w:sz w:val="21"/>
          <w:szCs w:val="21"/>
          <w:lang w:val="en-US" w:eastAsia="zh-CN"/>
        </w:rPr>
      </w:pPr>
      <w:r>
        <w:rPr>
          <w:rFonts w:hint="eastAsia" w:ascii="仿宋_GB2312" w:eastAsia="仿宋_GB2312" w:cs="仿宋_GB2312"/>
          <w:b/>
          <w:bCs/>
          <w:color w:val="auto"/>
          <w:sz w:val="21"/>
          <w:szCs w:val="21"/>
          <w:lang w:val="en-US" w:eastAsia="zh-CN" w:bidi="ar-SA"/>
        </w:rPr>
        <w:t>金川县社会保险事务中心2021</w:t>
      </w:r>
      <w:r>
        <w:rPr>
          <w:rFonts w:hint="eastAsia" w:ascii="仿宋_GB2312" w:eastAsia="仿宋_GB2312" w:cs="仿宋_GB2312"/>
          <w:b/>
          <w:bCs/>
          <w:color w:val="auto"/>
          <w:sz w:val="21"/>
          <w:szCs w:val="21"/>
          <w:lang w:bidi="ar-SA"/>
        </w:rPr>
        <w:t>年部门整体支出绩效评价报告</w:t>
      </w:r>
      <w:r>
        <w:rPr>
          <w:rFonts w:hint="default" w:ascii="Arial" w:hAnsi="Arial" w:eastAsia="黑体" w:cs="Arial"/>
          <w:b/>
          <w:bCs/>
          <w:color w:val="auto"/>
          <w:sz w:val="21"/>
          <w:szCs w:val="21"/>
          <w:lang w:bidi="ar-SA"/>
        </w:rPr>
        <w:t>………………</w:t>
      </w:r>
      <w:r>
        <w:rPr>
          <w:rFonts w:hint="eastAsia" w:ascii="Arial" w:hAnsi="Arial" w:eastAsia="黑体" w:cs="Arial"/>
          <w:b/>
          <w:bCs/>
          <w:color w:val="auto"/>
          <w:sz w:val="21"/>
          <w:szCs w:val="21"/>
          <w:lang w:val="en-US" w:eastAsia="zh-CN" w:bidi="ar-SA"/>
        </w:rPr>
        <w:t>...</w:t>
      </w:r>
      <w:r>
        <w:rPr>
          <w:rFonts w:hint="default" w:ascii="Arial" w:hAnsi="Arial" w:eastAsia="黑体" w:cs="Arial"/>
          <w:b/>
          <w:bCs/>
          <w:color w:val="auto"/>
          <w:sz w:val="21"/>
          <w:szCs w:val="21"/>
          <w:lang w:bidi="ar-SA"/>
        </w:rPr>
        <w:t>………</w:t>
      </w:r>
      <w:r>
        <w:rPr>
          <w:rFonts w:hint="eastAsia" w:ascii="Arial" w:hAnsi="Arial" w:eastAsia="黑体" w:cs="Arial"/>
          <w:b/>
          <w:bCs/>
          <w:color w:val="auto"/>
          <w:sz w:val="21"/>
          <w:szCs w:val="21"/>
          <w:lang w:val="en-US" w:eastAsia="zh-CN" w:bidi="ar-SA"/>
        </w:rPr>
        <w:t>1</w:t>
      </w:r>
      <w:r>
        <w:rPr>
          <w:rFonts w:hint="eastAsia"/>
          <w:b/>
          <w:bCs/>
          <w:color w:val="auto"/>
          <w:sz w:val="21"/>
          <w:szCs w:val="21"/>
          <w:lang w:val="en-US" w:eastAsia="zh-CN"/>
        </w:rPr>
        <w:t>3</w:t>
      </w:r>
    </w:p>
    <w:p>
      <w:pPr>
        <w:pStyle w:val="11"/>
        <w:tabs>
          <w:tab w:val="right" w:leader="dot" w:pos="8296"/>
        </w:tabs>
        <w:rPr>
          <w:rFonts w:hint="eastAsia" w:ascii="仿宋" w:eastAsia="仿宋"/>
          <w:color w:val="FF0000"/>
          <w:sz w:val="24"/>
        </w:rPr>
      </w:pPr>
      <w:r>
        <w:rPr>
          <w:rFonts w:ascii="Calibri" w:hAnsi="Calibri" w:eastAsia="Calibri"/>
          <w:b/>
          <w:bCs/>
          <w:caps/>
          <w:sz w:val="20"/>
          <w:szCs w:val="20"/>
        </w:rPr>
        <w:fldChar w:fldCharType="end"/>
      </w:r>
    </w:p>
    <w:p>
      <w:pPr>
        <w:widowControl/>
        <w:spacing w:line="440" w:lineRule="exact"/>
        <w:jc w:val="left"/>
        <w:rPr>
          <w:rFonts w:hint="eastAsia" w:ascii="仿宋" w:eastAsia="仿宋"/>
          <w:bCs/>
          <w:kern w:val="44"/>
          <w:sz w:val="24"/>
        </w:rPr>
      </w:pPr>
      <w:r>
        <w:rPr>
          <w:rFonts w:hint="eastAsia" w:ascii="仿宋" w:eastAsia="仿宋"/>
          <w:b/>
          <w:sz w:val="24"/>
        </w:rPr>
        <w:br w:type="page"/>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宋体" w:hAnsi="宋体"/>
          <w:b/>
          <w:color w:val="000000"/>
          <w:sz w:val="44"/>
          <w:szCs w:val="44"/>
        </w:rPr>
        <w:sectPr>
          <w:footerReference r:id="rId5" w:type="default"/>
          <w:pgSz w:w="11906" w:h="16838"/>
          <w:pgMar w:top="1440" w:right="1800" w:bottom="1440" w:left="1800" w:header="851" w:footer="992" w:gutter="0"/>
          <w:pgNumType w:start="1"/>
          <w:cols w:space="720" w:num="1"/>
          <w:docGrid w:type="lines" w:linePitch="312" w:charSpace="0"/>
        </w:sectPr>
      </w:pPr>
      <w:bookmarkStart w:id="0" w:name="_Toc4886"/>
      <w:bookmarkStart w:id="1" w:name="_Toc14857"/>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b/>
          <w:color w:val="000000"/>
          <w:sz w:val="44"/>
          <w:szCs w:val="44"/>
          <w:lang w:eastAsia="zh-CN"/>
        </w:rPr>
      </w:pPr>
      <w:r>
        <w:rPr>
          <w:rFonts w:hint="eastAsia" w:ascii="黑体" w:eastAsia="黑体"/>
          <w:b w:val="0"/>
          <w:sz w:val="44"/>
          <w:szCs w:val="44"/>
        </w:rPr>
        <w:t xml:space="preserve">第一部分 </w:t>
      </w:r>
      <w:r>
        <w:rPr>
          <w:rStyle w:val="26"/>
          <w:rFonts w:hint="eastAsia" w:ascii="黑体" w:eastAsia="黑体"/>
          <w:b w:val="0"/>
          <w:bCs w:val="0"/>
          <w:sz w:val="44"/>
          <w:szCs w:val="44"/>
        </w:rPr>
        <w:t>部门概况</w:t>
      </w:r>
      <w:bookmarkEnd w:id="0"/>
      <w:bookmarkEnd w:id="1"/>
    </w:p>
    <w:p>
      <w:pPr>
        <w:spacing w:line="600" w:lineRule="exact"/>
        <w:ind w:firstLine="640" w:firstLineChars="200"/>
        <w:outlineLvl w:val="1"/>
        <w:rPr>
          <w:rFonts w:ascii="黑体" w:eastAsia="黑体"/>
          <w:color w:val="000000"/>
          <w:sz w:val="32"/>
          <w:szCs w:val="32"/>
        </w:rPr>
      </w:pPr>
      <w:bookmarkStart w:id="2" w:name="_Toc10302"/>
      <w:r>
        <w:rPr>
          <w:rFonts w:hint="eastAsia" w:ascii="黑体" w:eastAsia="黑体"/>
          <w:color w:val="000000"/>
          <w:sz w:val="32"/>
          <w:szCs w:val="32"/>
        </w:rPr>
        <w:t>一、基本职能及主要工作</w:t>
      </w:r>
      <w:bookmarkEnd w:id="2"/>
    </w:p>
    <w:p>
      <w:pPr>
        <w:pStyle w:val="4"/>
        <w:adjustRightInd w:val="0"/>
        <w:snapToGrid w:val="0"/>
        <w:spacing w:before="93" w:line="600" w:lineRule="exact"/>
        <w:ind w:firstLine="672" w:firstLineChars="210"/>
        <w:outlineLvl w:val="2"/>
        <w:rPr>
          <w:bCs/>
          <w:color w:val="000000"/>
          <w:sz w:val="32"/>
          <w:szCs w:val="32"/>
        </w:rPr>
      </w:pPr>
      <w:bookmarkStart w:id="3" w:name="_Toc4368"/>
      <w:r>
        <w:rPr>
          <w:rFonts w:hint="eastAsia"/>
          <w:bCs/>
          <w:color w:val="000000"/>
          <w:sz w:val="32"/>
          <w:szCs w:val="32"/>
        </w:rPr>
        <w:t>（一）主要职能。</w:t>
      </w:r>
      <w:bookmarkEnd w:id="3"/>
    </w:p>
    <w:p>
      <w:pPr>
        <w:widowControl/>
        <w:spacing w:line="560" w:lineRule="exact"/>
        <w:ind w:firstLine="640" w:firstLineChars="200"/>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1、根据有关法律、法规和规章，制定全县社会保险登记、申报、管理、使用、运营和待遇支付以及社会保险关系建立、中断、转移、接续和基金转移的办事程序与操作规范并组织实施；</w:t>
      </w:r>
    </w:p>
    <w:p>
      <w:pPr>
        <w:widowControl/>
        <w:spacing w:line="560" w:lineRule="exact"/>
        <w:ind w:firstLine="640" w:firstLineChars="200"/>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2、制定全县社会保险个人账户、缴费记录、档案管理等业务工作规范并组织实施；</w:t>
      </w:r>
    </w:p>
    <w:p>
      <w:pPr>
        <w:widowControl/>
        <w:spacing w:line="560" w:lineRule="exact"/>
        <w:ind w:firstLine="640" w:firstLineChars="200"/>
        <w:jc w:val="left"/>
        <w:rPr>
          <w:rFonts w:ascii="仿宋_GB2312" w:hAnsi="Albertus Extra Bold" w:eastAsia="仿宋_GB2312"/>
          <w:bCs/>
          <w:sz w:val="32"/>
          <w:szCs w:val="32"/>
          <w:shd w:val="clear" w:color="auto" w:fill="FFFFFF"/>
        </w:rPr>
      </w:pPr>
      <w:r>
        <w:rPr>
          <w:rFonts w:hint="eastAsia" w:ascii="仿宋_GB2312" w:hAnsi="Albertus Extra Bold" w:eastAsia="仿宋_GB2312"/>
          <w:bCs/>
          <w:sz w:val="32"/>
          <w:szCs w:val="32"/>
          <w:shd w:val="clear" w:color="auto" w:fill="FFFFFF"/>
        </w:rPr>
        <w:t>3、制定全县保险基金财务、会计制度的具体操作办法并组织实施，指导各单位财务按照社会保险基金财务、会计制度进行规范管理，编制汇总全县社会保险基金年度预决算报告，加强基金财务管理和会计核算；</w:t>
      </w:r>
    </w:p>
    <w:p>
      <w:pPr>
        <w:widowControl/>
        <w:spacing w:line="560" w:lineRule="exact"/>
        <w:ind w:firstLine="640" w:firstLineChars="200"/>
        <w:jc w:val="left"/>
        <w:rPr>
          <w:rFonts w:ascii="仿宋_GB2312" w:hAnsi="Albertus Extra Bold" w:eastAsia="仿宋_GB2312"/>
          <w:bCs/>
          <w:sz w:val="32"/>
          <w:szCs w:val="32"/>
          <w:shd w:val="clear" w:color="auto" w:fill="FFFFFF"/>
        </w:rPr>
      </w:pPr>
      <w:r>
        <w:rPr>
          <w:rFonts w:hint="eastAsia" w:ascii="仿宋_GB2312" w:hAnsi="Albertus Extra Bold" w:eastAsia="仿宋_GB2312"/>
          <w:bCs/>
          <w:sz w:val="32"/>
          <w:szCs w:val="32"/>
          <w:shd w:val="clear" w:color="auto" w:fill="FFFFFF"/>
        </w:rPr>
        <w:t>4、负责全县社会保险统筹规划，研究提出年度筹划和实施意见，负责全县社会保险调剂金的上解；</w:t>
      </w:r>
    </w:p>
    <w:p>
      <w:pPr>
        <w:widowControl/>
        <w:spacing w:line="560" w:lineRule="exact"/>
        <w:ind w:firstLine="640" w:firstLineChars="200"/>
        <w:jc w:val="left"/>
        <w:rPr>
          <w:rFonts w:ascii="仿宋_GB2312" w:hAnsi="Albertus Extra Bold" w:eastAsia="仿宋_GB2312"/>
          <w:bCs/>
          <w:sz w:val="32"/>
          <w:szCs w:val="32"/>
          <w:shd w:val="clear" w:color="auto" w:fill="FFFFFF"/>
        </w:rPr>
      </w:pPr>
      <w:r>
        <w:rPr>
          <w:rFonts w:hint="eastAsia" w:ascii="仿宋_GB2312" w:hAnsi="Albertus Extra Bold" w:eastAsia="仿宋_GB2312"/>
          <w:bCs/>
          <w:sz w:val="32"/>
          <w:szCs w:val="32"/>
          <w:shd w:val="clear" w:color="auto" w:fill="FFFFFF"/>
        </w:rPr>
        <w:t>5、督促检查全县参保单位离退休人员基本养老保险金按时足额发放和工伤待遇的落实，制定社会保险社会化管理规范，对全县机关单位和企事业退休人员开展社会化管理服务和推进、巩固完善和规范基本养老保险金社会化发放工作</w:t>
      </w:r>
    </w:p>
    <w:p>
      <w:pPr>
        <w:widowControl/>
        <w:spacing w:line="560" w:lineRule="exact"/>
        <w:ind w:firstLine="640" w:firstLineChars="200"/>
        <w:jc w:val="left"/>
        <w:rPr>
          <w:rFonts w:ascii="仿宋_GB2312" w:hAnsi="Albertus Extra Bold" w:eastAsia="仿宋_GB2312"/>
          <w:bCs/>
          <w:sz w:val="32"/>
          <w:szCs w:val="32"/>
          <w:shd w:val="clear" w:color="auto" w:fill="FFFFFF"/>
        </w:rPr>
      </w:pPr>
      <w:r>
        <w:rPr>
          <w:rFonts w:hint="eastAsia" w:ascii="仿宋_GB2312" w:hAnsi="Albertus Extra Bold" w:eastAsia="仿宋_GB2312"/>
          <w:bCs/>
          <w:sz w:val="32"/>
          <w:szCs w:val="32"/>
          <w:shd w:val="clear" w:color="auto" w:fill="FFFFFF"/>
        </w:rPr>
        <w:t>6、制定全县社会保险稽核工作规范，并开展社会保险稽核工作；</w:t>
      </w:r>
    </w:p>
    <w:p>
      <w:pPr>
        <w:widowControl/>
        <w:spacing w:line="560" w:lineRule="exact"/>
        <w:ind w:firstLine="640" w:firstLineChars="200"/>
        <w:jc w:val="left"/>
        <w:rPr>
          <w:rFonts w:hint="eastAsia" w:ascii="仿宋_GB2312" w:hAnsi="Albertus Extra Bold" w:eastAsia="仿宋_GB2312"/>
          <w:bCs/>
          <w:sz w:val="32"/>
          <w:szCs w:val="32"/>
          <w:shd w:val="clear" w:color="auto" w:fill="FFFFFF"/>
        </w:rPr>
      </w:pPr>
      <w:r>
        <w:rPr>
          <w:rFonts w:hint="eastAsia" w:ascii="仿宋_GB2312" w:hAnsi="Albertus Extra Bold" w:eastAsia="仿宋_GB2312"/>
          <w:bCs/>
          <w:sz w:val="32"/>
          <w:szCs w:val="32"/>
          <w:shd w:val="clear" w:color="auto" w:fill="FFFFFF"/>
        </w:rPr>
        <w:t>7、负责经办县属参保单位职工养老、工伤工作；</w:t>
      </w:r>
    </w:p>
    <w:p>
      <w:pPr>
        <w:widowControl/>
        <w:spacing w:line="560" w:lineRule="exact"/>
        <w:ind w:firstLine="640" w:firstLineChars="200"/>
        <w:jc w:val="left"/>
        <w:rPr>
          <w:rFonts w:ascii="仿宋_GB2312" w:hAnsi="Albertus Extra Bold" w:eastAsia="仿宋_GB2312"/>
          <w:bCs/>
          <w:sz w:val="32"/>
          <w:szCs w:val="32"/>
          <w:shd w:val="clear" w:color="auto" w:fill="FFFFFF"/>
        </w:rPr>
      </w:pPr>
      <w:r>
        <w:rPr>
          <w:rFonts w:hint="eastAsia" w:ascii="仿宋_GB2312" w:hAnsi="Albertus Extra Bold" w:eastAsia="仿宋_GB2312"/>
          <w:bCs/>
          <w:sz w:val="32"/>
          <w:szCs w:val="32"/>
          <w:shd w:val="clear" w:color="auto" w:fill="FFFFFF"/>
          <w:lang w:val="en-US" w:eastAsia="zh-CN"/>
        </w:rPr>
        <w:t>8、</w:t>
      </w:r>
      <w:r>
        <w:rPr>
          <w:rFonts w:hint="eastAsia" w:ascii="仿宋_GB2312" w:hAnsi="Albertus Extra Bold" w:eastAsia="仿宋_GB2312"/>
          <w:bCs/>
          <w:sz w:val="32"/>
          <w:szCs w:val="32"/>
          <w:shd w:val="clear" w:color="auto" w:fill="FFFFFF"/>
        </w:rPr>
        <w:t>承担全县社会保险信息、统计数据的采集、整理、分析及管理工作，负责全县社会保险信息管理系统的开发建设、运行管理和网络管理等工作。</w:t>
      </w:r>
    </w:p>
    <w:p>
      <w:pPr>
        <w:pStyle w:val="4"/>
        <w:adjustRightInd w:val="0"/>
        <w:snapToGrid w:val="0"/>
        <w:spacing w:before="93" w:line="600" w:lineRule="exact"/>
        <w:ind w:firstLine="672" w:firstLineChars="210"/>
        <w:outlineLvl w:val="2"/>
        <w:rPr>
          <w:bCs/>
          <w:color w:val="000000"/>
          <w:sz w:val="32"/>
          <w:szCs w:val="32"/>
        </w:rPr>
      </w:pPr>
      <w:bookmarkStart w:id="4" w:name="_Toc2795"/>
      <w:r>
        <w:rPr>
          <w:rFonts w:hint="eastAsia"/>
          <w:bCs/>
          <w:color w:val="000000"/>
          <w:sz w:val="32"/>
          <w:szCs w:val="32"/>
        </w:rPr>
        <w:t>（二）2021年重点工作完成情况。</w:t>
      </w:r>
      <w:bookmarkEnd w:id="4"/>
    </w:p>
    <w:p>
      <w:pPr>
        <w:ind w:firstLine="627" w:firstLineChars="196"/>
        <w:rPr>
          <w:rFonts w:hint="eastAsia" w:ascii="仿宋_GB2312" w:eastAsia="仿宋_GB2312"/>
          <w:sz w:val="32"/>
          <w:szCs w:val="32"/>
        </w:rPr>
      </w:pPr>
      <w:r>
        <w:rPr>
          <w:rFonts w:hint="eastAsia" w:ascii="仿宋_GB2312" w:eastAsia="仿宋_GB2312"/>
          <w:sz w:val="32"/>
          <w:szCs w:val="32"/>
        </w:rPr>
        <w:t>2021年我中心继续坚持积极稳妥，收入预算与经济发展相协调；坚持民生优先，继续加大民生投入；坚持厉行节约，努力降低行政成本；坚持改革创新，着力提高财政绩效。全面完成2021年各项工作，取得了实效。</w:t>
      </w:r>
    </w:p>
    <w:p>
      <w:pPr>
        <w:adjustRightInd w:val="0"/>
        <w:snapToGrid w:val="0"/>
        <w:spacing w:line="560" w:lineRule="exact"/>
        <w:ind w:firstLine="640" w:firstLineChars="200"/>
        <w:textAlignment w:val="baseline"/>
        <w:rPr>
          <w:rFonts w:hint="eastAsia" w:ascii="黑体" w:eastAsia="黑体"/>
          <w:bCs/>
          <w:color w:val="000000"/>
          <w:sz w:val="32"/>
          <w:szCs w:val="32"/>
        </w:rPr>
      </w:pPr>
      <w:r>
        <w:rPr>
          <w:rFonts w:hint="eastAsia" w:ascii="黑体" w:eastAsia="黑体"/>
          <w:bCs/>
          <w:color w:val="000000"/>
          <w:spacing w:val="0"/>
          <w:w w:val="100"/>
          <w:kern w:val="2"/>
          <w:sz w:val="32"/>
          <w:szCs w:val="32"/>
          <w:lang w:val="en-US" w:eastAsia="zh-CN" w:bidi="ar-SA"/>
        </w:rPr>
        <w:t>二、</w:t>
      </w:r>
      <w:r>
        <w:rPr>
          <w:rFonts w:hint="eastAsia" w:ascii="黑体" w:eastAsia="黑体"/>
          <w:color w:val="000000"/>
          <w:sz w:val="32"/>
          <w:szCs w:val="32"/>
        </w:rPr>
        <w:t xml:space="preserve"> 机</w:t>
      </w:r>
      <w:r>
        <w:rPr>
          <w:rStyle w:val="27"/>
          <w:rFonts w:hint="eastAsia" w:ascii="黑体" w:eastAsia="黑体"/>
          <w:b w:val="0"/>
          <w:bCs w:val="0"/>
        </w:rPr>
        <w:t>构设置</w:t>
      </w:r>
    </w:p>
    <w:p>
      <w:pPr>
        <w:spacing w:line="576" w:lineRule="exact"/>
        <w:ind w:firstLine="640" w:firstLineChars="200"/>
        <w:rPr>
          <w:rFonts w:ascii="仿宋_GB2312" w:hAnsi="仿宋_GB2312" w:eastAsia="仿宋_GB2312" w:cs="仿宋_GB2312"/>
          <w:sz w:val="32"/>
          <w:szCs w:val="32"/>
        </w:rPr>
      </w:pPr>
      <w:bookmarkStart w:id="5" w:name="_Toc14545"/>
      <w:r>
        <w:rPr>
          <w:rFonts w:hint="eastAsia" w:ascii="仿宋_GB2312" w:hAnsi="Albertus Extra Bold" w:eastAsia="仿宋_GB2312"/>
          <w:bCs/>
          <w:sz w:val="32"/>
          <w:szCs w:val="32"/>
          <w:shd w:val="clear" w:color="auto" w:fill="FFFFFF"/>
        </w:rPr>
        <w:t>1、机构情况：</w:t>
      </w:r>
      <w:r>
        <w:rPr>
          <w:rFonts w:hint="eastAsia" w:ascii="仿宋_GB2312" w:hAnsi="宋体" w:eastAsia="仿宋_GB2312"/>
          <w:bCs/>
          <w:sz w:val="32"/>
        </w:rPr>
        <w:t>金川县社会保险事务中心属独立编制机构和核算的参公事业单位</w:t>
      </w:r>
    </w:p>
    <w:p>
      <w:pPr>
        <w:spacing w:line="600" w:lineRule="exact"/>
        <w:ind w:firstLine="640" w:firstLineChars="200"/>
        <w:rPr>
          <w:rFonts w:hint="eastAsia" w:ascii="仿宋_GB2312" w:hAnsi="宋体" w:eastAsia="仿宋_GB2312"/>
          <w:bCs/>
          <w:sz w:val="32"/>
        </w:rPr>
      </w:pPr>
      <w:r>
        <w:rPr>
          <w:rFonts w:hint="eastAsia" w:ascii="仿宋_GB2312" w:hAnsi="宋体" w:eastAsia="仿宋_GB2312"/>
          <w:bCs/>
          <w:sz w:val="32"/>
        </w:rPr>
        <w:t>2、人员情况：人员编制数16人，其中：参公14人（工勤1人），事业2人。2021年末实有在职职工16人, 参公16人，事业2人，离休1人，无人员增减变动。</w:t>
      </w:r>
    </w:p>
    <w:p>
      <w:pPr>
        <w:spacing w:line="600" w:lineRule="exact"/>
        <w:ind w:firstLine="640" w:firstLineChars="200"/>
        <w:rPr>
          <w:rFonts w:hint="eastAsia" w:ascii="方正小标宋简体" w:eastAsia="方正小标宋简体"/>
          <w:b w:val="0"/>
          <w:color w:val="000000"/>
        </w:rPr>
      </w:pPr>
      <w:bookmarkStart w:id="6" w:name="_Toc15396602"/>
      <w:bookmarkStart w:id="7" w:name="_Toc15377204"/>
      <w:bookmarkStart w:id="8" w:name="_Toc79163609"/>
      <w:bookmarkStart w:id="9" w:name="_Toc79163859"/>
      <w:r>
        <w:rPr>
          <w:rFonts w:hint="eastAsia" w:ascii="仿宋_GB2312" w:hAnsi="宋体" w:eastAsia="仿宋_GB2312"/>
          <w:bCs/>
          <w:sz w:val="32"/>
        </w:rPr>
        <w:drawing>
          <wp:anchor distT="0" distB="0" distL="114300" distR="114300" simplePos="0" relativeHeight="251666432" behindDoc="1" locked="0" layoutInCell="1" allowOverlap="1">
            <wp:simplePos x="0" y="0"/>
            <wp:positionH relativeFrom="column">
              <wp:posOffset>600075</wp:posOffset>
            </wp:positionH>
            <wp:positionV relativeFrom="paragraph">
              <wp:posOffset>243205</wp:posOffset>
            </wp:positionV>
            <wp:extent cx="4076065" cy="2469515"/>
            <wp:effectExtent l="4445" t="5080" r="19050" b="9525"/>
            <wp:wrapTight wrapText="bothSides">
              <wp:wrapPolygon>
                <wp:start x="-24" y="-44"/>
                <wp:lineTo x="-24" y="21550"/>
                <wp:lineTo x="21539" y="21550"/>
                <wp:lineTo x="21539" y="-44"/>
                <wp:lineTo x="-24" y="-44"/>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rPr>
          <w:rFonts w:hint="eastAsia" w:ascii="方正小标宋简体" w:eastAsia="方正小标宋简体"/>
          <w:b w:val="0"/>
          <w:color w:val="000000"/>
        </w:rPr>
      </w:pPr>
    </w:p>
    <w:p>
      <w:pPr>
        <w:rPr>
          <w:rFonts w:hint="eastAsia" w:ascii="方正小标宋简体" w:eastAsia="方正小标宋简体"/>
          <w:b w:val="0"/>
          <w:color w:val="000000"/>
        </w:rPr>
      </w:pPr>
    </w:p>
    <w:p>
      <w:pPr>
        <w:rPr>
          <w:rFonts w:hint="eastAsia" w:ascii="方正小标宋简体" w:eastAsia="方正小标宋简体"/>
          <w:b w:val="0"/>
          <w:color w:val="000000"/>
        </w:rPr>
      </w:pPr>
    </w:p>
    <w:p>
      <w:pPr>
        <w:rPr>
          <w:rFonts w:hint="eastAsia" w:ascii="方正小标宋简体" w:eastAsia="方正小标宋简体"/>
          <w:b w:val="0"/>
          <w:color w:val="000000"/>
        </w:rPr>
      </w:pPr>
    </w:p>
    <w:p>
      <w:pPr>
        <w:rPr>
          <w:rFonts w:hint="eastAsia" w:ascii="方正小标宋简体" w:eastAsia="方正小标宋简体"/>
          <w:b w:val="0"/>
          <w:color w:val="000000"/>
        </w:rPr>
      </w:pPr>
    </w:p>
    <w:p>
      <w:pPr>
        <w:rPr>
          <w:rFonts w:hint="eastAsia" w:ascii="方正小标宋简体" w:eastAsia="方正小标宋简体"/>
          <w:b w:val="0"/>
          <w:color w:val="000000"/>
        </w:rPr>
      </w:pPr>
    </w:p>
    <w:p>
      <w:pPr>
        <w:rPr>
          <w:rFonts w:hint="eastAsia" w:ascii="方正小标宋简体" w:eastAsia="方正小标宋简体"/>
          <w:b w:val="0"/>
          <w:color w:val="000000"/>
        </w:rPr>
      </w:pPr>
    </w:p>
    <w:p>
      <w:pPr>
        <w:rPr>
          <w:rFonts w:hint="eastAsia" w:ascii="方正小标宋简体" w:eastAsia="方正小标宋简体"/>
          <w:b w:val="0"/>
          <w:color w:val="000000"/>
        </w:rPr>
      </w:pPr>
    </w:p>
    <w:p>
      <w:pPr>
        <w:rPr>
          <w:rFonts w:hint="eastAsia" w:ascii="方正小标宋简体" w:eastAsia="方正小标宋简体"/>
          <w:b w:val="0"/>
          <w:color w:val="000000"/>
        </w:rPr>
      </w:pPr>
    </w:p>
    <w:p>
      <w:pPr>
        <w:pStyle w:val="2"/>
        <w:numPr>
          <w:ilvl w:val="0"/>
          <w:numId w:val="1"/>
        </w:numPr>
        <w:spacing w:before="0" w:after="0" w:line="560" w:lineRule="exact"/>
        <w:ind w:left="0"/>
        <w:jc w:val="center"/>
        <w:rPr>
          <w:rFonts w:hint="eastAsia"/>
        </w:rPr>
      </w:pPr>
      <w:r>
        <w:rPr>
          <w:rStyle w:val="28"/>
          <w:rFonts w:hint="eastAsia" w:ascii="方正小标宋简体" w:eastAsia="方正小标宋简体"/>
          <w:b/>
          <w:bCs/>
        </w:rPr>
        <w:t>202</w:t>
      </w:r>
      <w:r>
        <w:rPr>
          <w:rStyle w:val="28"/>
          <w:rFonts w:hint="eastAsia" w:ascii="方正小标宋简体" w:eastAsia="方正小标宋简体"/>
          <w:b/>
          <w:bCs/>
          <w:lang w:val="en-US"/>
        </w:rPr>
        <w:t>1</w:t>
      </w:r>
      <w:r>
        <w:rPr>
          <w:rStyle w:val="28"/>
          <w:rFonts w:hint="eastAsia" w:ascii="方正小标宋简体" w:eastAsia="方正小标宋简体"/>
          <w:b/>
          <w:bCs/>
        </w:rPr>
        <w:t>年度部门决算情况说明</w:t>
      </w:r>
      <w:bookmarkEnd w:id="6"/>
      <w:bookmarkEnd w:id="7"/>
      <w:bookmarkEnd w:id="8"/>
      <w:bookmarkEnd w:id="9"/>
    </w:p>
    <w:bookmarkEnd w:id="5"/>
    <w:p>
      <w:pPr>
        <w:spacing w:line="600" w:lineRule="exact"/>
        <w:ind w:firstLine="640" w:firstLineChars="200"/>
        <w:outlineLvl w:val="1"/>
        <w:rPr>
          <w:rFonts w:hint="eastAsia" w:ascii="黑体" w:eastAsia="黑体"/>
          <w:color w:val="000000"/>
          <w:sz w:val="32"/>
          <w:szCs w:val="32"/>
          <w:lang w:eastAsia="zh-CN"/>
        </w:rPr>
      </w:pPr>
      <w:bookmarkStart w:id="10" w:name="_Toc29341"/>
    </w:p>
    <w:p>
      <w:pPr>
        <w:spacing w:line="600" w:lineRule="exact"/>
        <w:ind w:firstLine="640" w:firstLineChars="200"/>
        <w:outlineLvl w:val="1"/>
        <w:rPr>
          <w:rFonts w:ascii="黑体" w:eastAsia="黑体"/>
          <w:color w:val="000000"/>
          <w:sz w:val="32"/>
          <w:szCs w:val="32"/>
        </w:rPr>
      </w:pPr>
      <w:r>
        <w:rPr>
          <w:rFonts w:hint="eastAsia" w:ascii="黑体" w:eastAsia="黑体"/>
          <w:color w:val="000000"/>
          <w:sz w:val="32"/>
          <w:szCs w:val="32"/>
          <w:lang w:eastAsia="zh-CN"/>
        </w:rPr>
        <w:t>一</w:t>
      </w:r>
      <w:r>
        <w:rPr>
          <w:rFonts w:hint="eastAsia" w:ascii="黑体" w:eastAsia="黑体"/>
          <w:color w:val="000000"/>
          <w:sz w:val="32"/>
          <w:szCs w:val="32"/>
        </w:rPr>
        <w:t>、</w:t>
      </w:r>
      <w:bookmarkEnd w:id="10"/>
      <w:r>
        <w:rPr>
          <w:rFonts w:hint="eastAsia" w:ascii="黑体" w:eastAsia="黑体"/>
          <w:color w:val="000000"/>
          <w:sz w:val="32"/>
          <w:szCs w:val="32"/>
        </w:rPr>
        <w:t>收</w:t>
      </w:r>
      <w:r>
        <w:rPr>
          <w:rStyle w:val="27"/>
          <w:rFonts w:hint="eastAsia" w:ascii="黑体" w:eastAsia="黑体"/>
          <w:b w:val="0"/>
        </w:rPr>
        <w:t>入支出决算总体情况说明</w:t>
      </w:r>
    </w:p>
    <w:p>
      <w:pPr>
        <w:widowControl/>
        <w:shd w:val="clear" w:color="auto" w:fill="FFFFFF"/>
        <w:ind w:firstLine="640" w:firstLineChars="200"/>
        <w:jc w:val="left"/>
        <w:rPr>
          <w:rFonts w:ascii="仿宋_GB2312" w:hAnsi="宋体" w:eastAsia="仿宋_GB2312"/>
          <w:bCs/>
          <w:sz w:val="32"/>
        </w:rPr>
      </w:pPr>
      <w:r>
        <w:rPr>
          <w:rFonts w:hint="eastAsia" w:ascii="仿宋_GB2312" w:eastAsia="仿宋_GB2312"/>
          <w:sz w:val="32"/>
          <w:szCs w:val="32"/>
          <w:lang w:eastAsia="zh-CN"/>
        </w:rPr>
        <w:t>金川县</w:t>
      </w:r>
      <w:r>
        <w:rPr>
          <w:rFonts w:hint="eastAsia" w:ascii="仿宋_GB2312" w:eastAsia="仿宋_GB2312"/>
          <w:sz w:val="32"/>
          <w:szCs w:val="32"/>
        </w:rPr>
        <w:t>社会保险事务中心2021年度财政拨款收支总决算</w:t>
      </w:r>
      <w:r>
        <w:rPr>
          <w:rFonts w:hint="eastAsia" w:ascii="仿宋_GB2312" w:hAnsi="仿宋_GB2312" w:eastAsia="仿宋_GB2312" w:cs="仿宋_GB2312"/>
          <w:sz w:val="32"/>
          <w:szCs w:val="32"/>
        </w:rPr>
        <w:t>976.78</w:t>
      </w:r>
      <w:r>
        <w:rPr>
          <w:rFonts w:hint="eastAsia" w:ascii="仿宋_GB2312" w:eastAsia="仿宋_GB2312"/>
          <w:sz w:val="32"/>
          <w:szCs w:val="32"/>
        </w:rPr>
        <w:t>万元，与2020年度财政拨款收支总决算285.54万元相比，增加691.24万元，上升242.08%。</w:t>
      </w:r>
    </w:p>
    <w:p>
      <w:pPr>
        <w:spacing w:line="600" w:lineRule="exact"/>
        <w:ind w:firstLine="640" w:firstLineChars="200"/>
        <w:outlineLvl w:val="1"/>
        <w:rPr>
          <w:rFonts w:ascii="黑体" w:eastAsia="黑体"/>
          <w:color w:val="000000"/>
          <w:sz w:val="32"/>
          <w:szCs w:val="32"/>
        </w:rPr>
      </w:pPr>
      <w:bookmarkStart w:id="11" w:name="_Toc13358"/>
      <w:r>
        <w:rPr>
          <w:rFonts w:hint="eastAsia" w:ascii="黑体" w:eastAsia="黑体"/>
          <w:color w:val="000000"/>
          <w:sz w:val="32"/>
          <w:szCs w:val="32"/>
          <w:lang w:eastAsia="zh-CN"/>
        </w:rPr>
        <w:t>二</w:t>
      </w:r>
      <w:r>
        <w:rPr>
          <w:rFonts w:hint="eastAsia" w:ascii="黑体" w:eastAsia="黑体"/>
          <w:color w:val="000000"/>
          <w:sz w:val="32"/>
          <w:szCs w:val="32"/>
        </w:rPr>
        <w:t>、</w:t>
      </w:r>
      <w:bookmarkEnd w:id="11"/>
      <w:r>
        <w:rPr>
          <w:rFonts w:hint="eastAsia" w:ascii="黑体" w:eastAsia="黑体" w:cs="Times New Roman"/>
          <w:color w:val="000000"/>
          <w:kern w:val="2"/>
          <w:sz w:val="32"/>
          <w:szCs w:val="32"/>
          <w:lang w:val="en-US" w:eastAsia="zh-CN" w:bidi="ar-SA"/>
        </w:rPr>
        <w:t>收入决算情况说明</w:t>
      </w:r>
    </w:p>
    <w:p>
      <w:pPr>
        <w:ind w:firstLine="64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2021年社会保险事务中心本年收入合计976.78万元，其中：财政拨款收入976.78万元，占100%；事业收入0万元；经营收入0万元；附属单位上缴收入0万元；其他收入</w:t>
      </w:r>
    </w:p>
    <w:p>
      <w:pPr>
        <w:outlineLvl w:val="2"/>
        <w:rPr>
          <w:rFonts w:ascii="仿宋_GB2312" w:hAnsi="仿宋_GB2312" w:eastAsia="仿宋_GB2312" w:cs="仿宋_GB2312"/>
          <w:sz w:val="32"/>
          <w:szCs w:val="32"/>
        </w:rPr>
      </w:pPr>
      <w:r>
        <w:rPr>
          <w:rFonts w:hint="eastAsia" w:ascii="仿宋_GB2312" w:hAnsi="仿宋_GB2312" w:eastAsia="仿宋_GB2312" w:cs="仿宋_GB2312"/>
          <w:sz w:val="32"/>
          <w:szCs w:val="32"/>
        </w:rPr>
        <w:t>0万元。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111750" cy="2689860"/>
            <wp:effectExtent l="4445" t="4445" r="19685" b="1841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9"/>
        <w:spacing w:line="560" w:lineRule="exact"/>
        <w:ind w:left="0" w:firstLine="640" w:firstLineChars="200"/>
        <w:outlineLvl w:val="1"/>
        <w:rPr>
          <w:rFonts w:hint="eastAsia" w:ascii="仿宋_GB2312" w:hAnsi="仿宋_GB2312" w:eastAsia="仿宋_GB2312" w:cs="仿宋_GB2312"/>
          <w:sz w:val="32"/>
          <w:szCs w:val="32"/>
        </w:rPr>
      </w:pPr>
      <w:r>
        <w:rPr>
          <w:rFonts w:hint="eastAsia" w:ascii="黑体" w:eastAsia="黑体"/>
          <w:color w:val="000000"/>
          <w:sz w:val="32"/>
          <w:szCs w:val="32"/>
          <w:lang w:eastAsia="zh-CN"/>
        </w:rPr>
        <w:t>三、</w:t>
      </w:r>
      <w:r>
        <w:rPr>
          <w:rFonts w:hint="eastAsia" w:ascii="黑体" w:eastAsia="黑体"/>
          <w:color w:val="000000"/>
          <w:sz w:val="32"/>
          <w:szCs w:val="32"/>
        </w:rPr>
        <w:t>支</w:t>
      </w:r>
      <w:r>
        <w:rPr>
          <w:rStyle w:val="27"/>
          <w:rFonts w:hint="eastAsia" w:ascii="黑体" w:eastAsia="黑体"/>
          <w:b w:val="0"/>
        </w:rPr>
        <w:t>出决算情况说明</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2021年社会保险事务中心本年支出合计</w:t>
      </w:r>
      <w:r>
        <w:rPr>
          <w:rFonts w:hint="eastAsia" w:ascii="仿宋_GB2312" w:hAnsi="仿宋_GB2312" w:eastAsia="仿宋_GB2312" w:cs="仿宋_GB2312"/>
          <w:sz w:val="32"/>
          <w:szCs w:val="32"/>
        </w:rPr>
        <w:t>976.78</w:t>
      </w:r>
      <w:r>
        <w:rPr>
          <w:rFonts w:hint="eastAsia" w:ascii="仿宋_GB2312" w:eastAsia="仿宋_GB2312"/>
          <w:color w:val="000000"/>
          <w:sz w:val="32"/>
          <w:szCs w:val="32"/>
        </w:rPr>
        <w:t>万元，其中：基本支出353.64万元；占总支出的36%，项目支出623.14万元，占总支出的64%。</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drawing>
          <wp:inline distT="0" distB="0" distL="114300" distR="114300">
            <wp:extent cx="4660900" cy="2583815"/>
            <wp:effectExtent l="4445" t="4445" r="13335" b="1778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560" w:lineRule="exact"/>
        <w:ind w:firstLine="640" w:firstLineChars="200"/>
        <w:outlineLvl w:val="1"/>
        <w:rPr>
          <w:rStyle w:val="27"/>
          <w:rFonts w:hint="eastAsia" w:ascii="黑体" w:eastAsia="黑体"/>
          <w:b w:val="0"/>
        </w:rPr>
      </w:pPr>
      <w:bookmarkStart w:id="12" w:name="_Toc79163613"/>
      <w:bookmarkStart w:id="13" w:name="_Toc79163863"/>
      <w:bookmarkStart w:id="14" w:name="_Toc15377208"/>
      <w:bookmarkStart w:id="15" w:name="_Toc15396606"/>
      <w:r>
        <w:rPr>
          <w:rFonts w:hint="eastAsia" w:ascii="黑体" w:eastAsia="黑体"/>
          <w:color w:val="000000"/>
          <w:sz w:val="32"/>
          <w:szCs w:val="32"/>
        </w:rPr>
        <w:t>四、财</w:t>
      </w:r>
      <w:r>
        <w:rPr>
          <w:rStyle w:val="27"/>
          <w:rFonts w:hint="eastAsia" w:ascii="黑体" w:eastAsia="黑体"/>
          <w:b w:val="0"/>
        </w:rPr>
        <w:t>政拨款收入支出决算总体情况说明</w:t>
      </w:r>
      <w:bookmarkEnd w:id="12"/>
      <w:bookmarkEnd w:id="13"/>
      <w:bookmarkEnd w:id="14"/>
      <w:bookmarkEnd w:id="15"/>
    </w:p>
    <w:p>
      <w:pPr>
        <w:spacing w:line="560" w:lineRule="exact"/>
        <w:ind w:firstLine="640"/>
        <w:rPr>
          <w:rFonts w:hint="eastAsia" w:ascii="仿宋_GB2312" w:eastAsia="仿宋_GB2312"/>
          <w:color w:val="000000"/>
          <w:sz w:val="32"/>
          <w:szCs w:val="32"/>
        </w:rPr>
      </w:pPr>
      <w:r>
        <w:rPr>
          <w:rFonts w:hint="eastAsia" w:ascii="仿宋_GB2312" w:eastAsia="仿宋_GB2312"/>
          <w:sz w:val="32"/>
          <w:szCs w:val="32"/>
        </w:rPr>
        <w:t>社会保险事务中心2021年度财政拨款收支总决算</w:t>
      </w:r>
      <w:r>
        <w:rPr>
          <w:rFonts w:hint="eastAsia" w:ascii="仿宋_GB2312" w:hAnsi="仿宋_GB2312" w:eastAsia="仿宋_GB2312" w:cs="仿宋_GB2312"/>
          <w:sz w:val="32"/>
          <w:szCs w:val="32"/>
        </w:rPr>
        <w:t>976.78</w:t>
      </w:r>
      <w:r>
        <w:rPr>
          <w:rFonts w:hint="eastAsia" w:ascii="仿宋_GB2312" w:eastAsia="仿宋_GB2312"/>
          <w:sz w:val="32"/>
          <w:szCs w:val="32"/>
        </w:rPr>
        <w:t>万元，与2020年度财政拨款收支总决算285.54万元相比，增加691.24万元，上升242.08%。</w:t>
      </w:r>
      <w:r>
        <w:rPr>
          <w:rFonts w:hint="eastAsia" w:ascii="仿宋" w:eastAsia="仿宋"/>
          <w:color w:val="000000"/>
          <w:sz w:val="32"/>
          <w:szCs w:val="32"/>
        </w:rPr>
        <w:t>主要变动原因是</w:t>
      </w:r>
      <w:r>
        <w:rPr>
          <w:rFonts w:hint="eastAsia" w:ascii="仿宋" w:eastAsia="仿宋"/>
          <w:color w:val="000000"/>
          <w:sz w:val="32"/>
          <w:szCs w:val="32"/>
          <w:lang w:val="en-US" w:eastAsia="zh-CN"/>
        </w:rPr>
        <w:t>2021年职业年金实账贴息增加。</w:t>
      </w:r>
    </w:p>
    <w:p>
      <w:pPr>
        <w:spacing w:line="600" w:lineRule="exact"/>
        <w:ind w:firstLine="960" w:firstLineChars="300"/>
        <w:outlineLvl w:val="1"/>
        <w:rPr>
          <w:rFonts w:ascii="黑体" w:eastAsia="黑体"/>
          <w:color w:val="000000"/>
          <w:sz w:val="32"/>
          <w:szCs w:val="32"/>
        </w:rPr>
      </w:pPr>
      <w:bookmarkStart w:id="16" w:name="_Toc21750"/>
      <w:r>
        <w:rPr>
          <w:rFonts w:hint="eastAsia" w:ascii="黑体" w:eastAsia="黑体"/>
          <w:color w:val="000000"/>
          <w:sz w:val="32"/>
          <w:szCs w:val="32"/>
          <w:lang w:val="en-US" w:eastAsia="zh-CN"/>
        </w:rPr>
        <w:t>五</w:t>
      </w:r>
      <w:r>
        <w:rPr>
          <w:rFonts w:hint="eastAsia" w:ascii="黑体" w:eastAsia="黑体"/>
          <w:color w:val="000000"/>
          <w:sz w:val="32"/>
          <w:szCs w:val="32"/>
        </w:rPr>
        <w:t>、一般公共预算财政拨款支出决算情况</w:t>
      </w:r>
      <w:bookmarkEnd w:id="16"/>
    </w:p>
    <w:p>
      <w:pPr>
        <w:spacing w:line="600" w:lineRule="exact"/>
        <w:ind w:firstLine="640" w:firstLineChars="200"/>
        <w:outlineLvl w:val="2"/>
        <w:rPr>
          <w:rFonts w:ascii="仿宋_GB2312" w:eastAsia="仿宋_GB2312"/>
          <w:color w:val="000000"/>
          <w:sz w:val="32"/>
          <w:szCs w:val="32"/>
        </w:rPr>
      </w:pPr>
      <w:bookmarkStart w:id="17" w:name="_Toc15137"/>
      <w:r>
        <w:rPr>
          <w:rFonts w:hint="eastAsia" w:ascii="仿宋_GB2312" w:eastAsia="仿宋_GB2312"/>
          <w:color w:val="000000"/>
          <w:sz w:val="32"/>
          <w:szCs w:val="32"/>
        </w:rPr>
        <w:t>（一）一般公共预算财政拨款支出决算总体情况</w:t>
      </w:r>
      <w:bookmarkEnd w:id="17"/>
    </w:p>
    <w:p>
      <w:pPr>
        <w:spacing w:line="560" w:lineRule="exact"/>
        <w:ind w:firstLine="640"/>
        <w:rPr>
          <w:rFonts w:ascii="仿宋_GB2312" w:eastAsia="仿宋_GB2312"/>
          <w:color w:val="000000"/>
          <w:sz w:val="32"/>
          <w:szCs w:val="32"/>
          <w:highlight w:val="green"/>
        </w:rPr>
      </w:pPr>
      <w:r>
        <w:rPr>
          <w:rFonts w:hint="eastAsia" w:ascii="仿宋_GB2312" w:eastAsia="仿宋_GB2312"/>
          <w:color w:val="000000"/>
          <w:sz w:val="32"/>
          <w:szCs w:val="32"/>
        </w:rPr>
        <w:t>社会保险事务中心2021年度一般公共预算财政拨款支出976.78万元，占本年支出合计的100%。与20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年相比，</w:t>
      </w:r>
      <w:r>
        <w:rPr>
          <w:rFonts w:hint="eastAsia" w:ascii="仿宋_GB2312" w:eastAsia="仿宋_GB2312"/>
          <w:sz w:val="32"/>
          <w:szCs w:val="32"/>
        </w:rPr>
        <w:t>增加691.24万元，上升242.08%。</w:t>
      </w:r>
    </w:p>
    <w:p>
      <w:pPr>
        <w:spacing w:line="600" w:lineRule="exact"/>
        <w:ind w:firstLine="640" w:firstLineChars="200"/>
        <w:outlineLvl w:val="2"/>
        <w:rPr>
          <w:rFonts w:ascii="仿宋_GB2312" w:eastAsia="仿宋_GB2312"/>
          <w:color w:val="000000"/>
          <w:sz w:val="32"/>
          <w:szCs w:val="32"/>
        </w:rPr>
      </w:pPr>
      <w:bookmarkStart w:id="18" w:name="_Toc28296"/>
      <w:r>
        <w:rPr>
          <w:rFonts w:hint="eastAsia" w:ascii="仿宋_GB2312" w:eastAsia="仿宋_GB2312"/>
          <w:color w:val="000000"/>
          <w:sz w:val="32"/>
          <w:szCs w:val="32"/>
        </w:rPr>
        <w:t>（二）一般公共预算财政拨款支出决算结构情况</w:t>
      </w:r>
      <w:bookmarkEnd w:id="18"/>
    </w:p>
    <w:p>
      <w:pPr>
        <w:spacing w:line="600" w:lineRule="exact"/>
        <w:ind w:firstLine="640" w:firstLineChars="200"/>
        <w:rPr>
          <w:rFonts w:ascii="仿宋_GB2312" w:eastAsia="仿宋_GB2312"/>
          <w:sz w:val="32"/>
          <w:szCs w:val="32"/>
        </w:rPr>
      </w:pPr>
      <w:r>
        <w:rPr>
          <w:rFonts w:hint="eastAsia" w:ascii="仿宋_GB2312" w:eastAsia="仿宋_GB2312"/>
          <w:sz w:val="32"/>
          <w:szCs w:val="32"/>
        </w:rPr>
        <w:t>社会保险事务中心2021年一般公共预算财政拨款支出</w:t>
      </w:r>
      <w:r>
        <w:rPr>
          <w:rFonts w:hint="eastAsia" w:ascii="仿宋_GB2312" w:eastAsia="仿宋_GB2312"/>
          <w:color w:val="000000"/>
          <w:sz w:val="32"/>
          <w:szCs w:val="32"/>
        </w:rPr>
        <w:t>976.78</w:t>
      </w:r>
      <w:r>
        <w:rPr>
          <w:rFonts w:hint="eastAsia" w:ascii="仿宋_GB2312" w:eastAsia="仿宋_GB2312"/>
          <w:sz w:val="32"/>
          <w:szCs w:val="32"/>
        </w:rPr>
        <w:t>万元，主要用于以下方面:社会保障和就业支出337.07万元，占34.51%；医疗卫生与计划生育支出12.96万元，占1.33%；住房保障支出21.61万元，占2.21%；教育支出2.38万元，占0.24%；职业年金实账贴息602.76万元，占61.71%；其他支出0万元，占0%。</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column">
              <wp:posOffset>193040</wp:posOffset>
            </wp:positionH>
            <wp:positionV relativeFrom="paragraph">
              <wp:posOffset>139065</wp:posOffset>
            </wp:positionV>
            <wp:extent cx="4759960" cy="2614295"/>
            <wp:effectExtent l="4445" t="4445" r="5715" b="1778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outlineLvl w:val="2"/>
        <w:rPr>
          <w:rFonts w:ascii="仿宋_GB2312" w:eastAsia="仿宋_GB2312"/>
          <w:color w:val="000000"/>
          <w:sz w:val="32"/>
          <w:szCs w:val="32"/>
        </w:rPr>
      </w:pPr>
      <w:bookmarkStart w:id="19" w:name="_Toc4361"/>
      <w:r>
        <w:rPr>
          <w:rFonts w:hint="eastAsia" w:ascii="仿宋_GB2312" w:eastAsia="仿宋_GB2312"/>
          <w:color w:val="000000"/>
          <w:sz w:val="32"/>
          <w:szCs w:val="32"/>
        </w:rPr>
        <w:t>（三）一般公共预算财政拨款支出决算具体情况</w:t>
      </w:r>
      <w:bookmarkEnd w:id="19"/>
    </w:p>
    <w:p>
      <w:pPr>
        <w:spacing w:line="600" w:lineRule="exact"/>
        <w:ind w:firstLine="642" w:firstLineChars="200"/>
        <w:outlineLvl w:val="3"/>
        <w:rPr>
          <w:rStyle w:val="16"/>
          <w:rFonts w:ascii="仿宋_GB2312" w:eastAsia="仿宋_GB2312"/>
          <w:sz w:val="32"/>
          <w:szCs w:val="32"/>
        </w:rPr>
      </w:pPr>
      <w:r>
        <w:rPr>
          <w:rStyle w:val="16"/>
          <w:rFonts w:hint="eastAsia" w:ascii="仿宋_GB2312" w:eastAsia="仿宋_GB2312"/>
          <w:sz w:val="32"/>
          <w:szCs w:val="32"/>
        </w:rPr>
        <w:t>1.</w:t>
      </w:r>
      <w:r>
        <w:rPr>
          <w:rFonts w:hint="eastAsia" w:ascii="仿宋_GB2312" w:eastAsia="仿宋_GB2312"/>
          <w:sz w:val="32"/>
          <w:szCs w:val="32"/>
        </w:rPr>
        <w:t xml:space="preserve"> 社会保障和就业</w:t>
      </w:r>
      <w:r>
        <w:rPr>
          <w:rStyle w:val="16"/>
          <w:rFonts w:hint="eastAsia" w:ascii="仿宋_GB2312" w:eastAsia="仿宋_GB2312"/>
          <w:sz w:val="32"/>
          <w:szCs w:val="32"/>
        </w:rPr>
        <w:t>:</w:t>
      </w:r>
    </w:p>
    <w:p>
      <w:pPr>
        <w:spacing w:line="600" w:lineRule="exact"/>
        <w:ind w:firstLine="960" w:firstLineChars="300"/>
        <w:rPr>
          <w:rFonts w:ascii="仿宋_GB2312" w:eastAsia="仿宋_GB2312"/>
          <w:color w:val="FF0000"/>
          <w:sz w:val="32"/>
          <w:szCs w:val="32"/>
        </w:rPr>
      </w:pPr>
      <w:r>
        <w:rPr>
          <w:rFonts w:hint="eastAsia" w:ascii="仿宋_GB2312" w:eastAsia="仿宋_GB2312"/>
          <w:color w:val="000000"/>
          <w:sz w:val="32"/>
          <w:szCs w:val="32"/>
        </w:rPr>
        <w:t>社会保障和就业支出208（类）人力资源和社会保障管理事务01（款）社会保险经办机构09（项）</w:t>
      </w:r>
      <w:r>
        <w:rPr>
          <w:rFonts w:hint="eastAsia" w:ascii="仿宋_GB2312" w:eastAsia="仿宋_GB2312"/>
          <w:sz w:val="32"/>
          <w:szCs w:val="32"/>
        </w:rPr>
        <w:t>：2021年决算数为286.06万元，完成预算124.63%，决算数大于预算数的主要原因是：人员晋升，人员经费增加。</w:t>
      </w:r>
    </w:p>
    <w:p>
      <w:pPr>
        <w:spacing w:line="600" w:lineRule="exact"/>
        <w:ind w:firstLine="960" w:firstLineChars="300"/>
        <w:rPr>
          <w:rFonts w:ascii="仿宋_GB2312" w:eastAsia="仿宋_GB2312"/>
          <w:sz w:val="32"/>
          <w:szCs w:val="32"/>
        </w:rPr>
      </w:pPr>
      <w:r>
        <w:rPr>
          <w:rFonts w:hint="eastAsia" w:ascii="仿宋_GB2312" w:eastAsia="仿宋_GB2312"/>
          <w:color w:val="000000"/>
          <w:sz w:val="32"/>
          <w:szCs w:val="32"/>
        </w:rPr>
        <w:t>社会保障和就业支出208（类）人力资源和社会保障管理事务01（款）其他人力资源和社会保障管理事务支出99（项）</w:t>
      </w:r>
      <w:r>
        <w:rPr>
          <w:rFonts w:hint="eastAsia" w:ascii="仿宋_GB2312" w:eastAsia="仿宋_GB2312"/>
          <w:sz w:val="32"/>
          <w:szCs w:val="32"/>
        </w:rPr>
        <w:t>：2021年决算数为14万元，主要用于档案数字化管理。</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社会保障和就业支出208（类）行政事业单位离退休05（款）机关事业单位基本养老保险缴费05（项）</w:t>
      </w:r>
      <w:r>
        <w:rPr>
          <w:rFonts w:hint="eastAsia" w:ascii="仿宋_GB2312" w:eastAsia="仿宋_GB2312"/>
          <w:sz w:val="32"/>
          <w:szCs w:val="32"/>
        </w:rPr>
        <w:t>：2021年决算数22.01万元，完成预算99.46%，决算数小于预算数。</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社会保障和就业支出208（类）行政事业单位离退休05（款）机关事业单位职业年金缴费06（项）</w:t>
      </w:r>
      <w:r>
        <w:rPr>
          <w:rFonts w:hint="eastAsia" w:ascii="仿宋_GB2312" w:eastAsia="仿宋_GB2312"/>
          <w:sz w:val="32"/>
          <w:szCs w:val="32"/>
        </w:rPr>
        <w:t>：2021年决算数为11万元，完成预算99.46%，决算数小于预算数。</w:t>
      </w:r>
    </w:p>
    <w:p>
      <w:pPr>
        <w:spacing w:line="600" w:lineRule="exact"/>
        <w:ind w:firstLine="642" w:firstLineChars="200"/>
        <w:outlineLvl w:val="3"/>
        <w:rPr>
          <w:rStyle w:val="16"/>
          <w:rFonts w:ascii="仿宋_GB2312" w:eastAsia="仿宋_GB2312"/>
          <w:b w:val="0"/>
          <w:bCs w:val="0"/>
          <w:sz w:val="32"/>
          <w:szCs w:val="32"/>
        </w:rPr>
      </w:pPr>
      <w:r>
        <w:rPr>
          <w:rStyle w:val="16"/>
          <w:rFonts w:hint="eastAsia" w:ascii="仿宋_GB2312" w:eastAsia="仿宋_GB2312"/>
          <w:sz w:val="32"/>
          <w:szCs w:val="32"/>
        </w:rPr>
        <w:t>2.医疗卫生与计划生育:</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医疗卫生与计划生育支出210（类）医疗保障11（款）事业单位医疗02（项）：</w:t>
      </w:r>
      <w:r>
        <w:rPr>
          <w:rFonts w:hint="eastAsia" w:ascii="仿宋_GB2312" w:eastAsia="仿宋_GB2312"/>
          <w:sz w:val="32"/>
          <w:szCs w:val="32"/>
        </w:rPr>
        <w:t>2021年决算数为9.73万元，完成预算100.47%，决算数大于预算数。</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医疗卫生与计划生育支出210（类）医疗保障11（款）公务员医疗补助03（项）：</w:t>
      </w:r>
      <w:r>
        <w:rPr>
          <w:rFonts w:hint="eastAsia" w:ascii="仿宋_GB2312" w:eastAsia="仿宋_GB2312"/>
          <w:sz w:val="32"/>
          <w:szCs w:val="32"/>
        </w:rPr>
        <w:t xml:space="preserve"> 2021年决算数为3.23万元，完成预算93.96%，决算数小于预算数。</w:t>
      </w:r>
    </w:p>
    <w:p>
      <w:pPr>
        <w:spacing w:line="600" w:lineRule="exact"/>
        <w:ind w:firstLine="642" w:firstLineChars="200"/>
        <w:outlineLvl w:val="3"/>
        <w:rPr>
          <w:rStyle w:val="16"/>
          <w:rFonts w:ascii="仿宋_GB2312" w:eastAsia="仿宋_GB2312"/>
          <w:sz w:val="32"/>
          <w:szCs w:val="32"/>
        </w:rPr>
      </w:pPr>
      <w:r>
        <w:rPr>
          <w:rStyle w:val="16"/>
          <w:rFonts w:hint="eastAsia" w:ascii="仿宋_GB2312" w:eastAsia="仿宋_GB2312"/>
          <w:sz w:val="32"/>
          <w:szCs w:val="32"/>
        </w:rPr>
        <w:t>3.住房保障支出:</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住房保障支出221（类）住房改革支出02（款）住房公积金01（项）</w:t>
      </w:r>
      <w:r>
        <w:rPr>
          <w:rFonts w:hint="eastAsia" w:ascii="仿宋_GB2312" w:eastAsia="仿宋_GB2312"/>
          <w:sz w:val="32"/>
          <w:szCs w:val="32"/>
        </w:rPr>
        <w:t>： 2021年决算数为21.61万元，完成预算130.2%，决算数大于预算数。</w:t>
      </w:r>
    </w:p>
    <w:p>
      <w:pPr>
        <w:spacing w:line="600" w:lineRule="exact"/>
        <w:ind w:firstLine="642" w:firstLineChars="200"/>
        <w:outlineLvl w:val="3"/>
        <w:rPr>
          <w:rStyle w:val="16"/>
          <w:rFonts w:ascii="仿宋_GB2312" w:eastAsia="仿宋_GB2312"/>
          <w:sz w:val="32"/>
          <w:szCs w:val="32"/>
        </w:rPr>
      </w:pPr>
      <w:r>
        <w:rPr>
          <w:rStyle w:val="16"/>
          <w:rFonts w:hint="eastAsia" w:ascii="仿宋_GB2312" w:eastAsia="仿宋_GB2312"/>
          <w:sz w:val="32"/>
          <w:szCs w:val="32"/>
        </w:rPr>
        <w:t>4.生态保护支出</w:t>
      </w:r>
    </w:p>
    <w:p>
      <w:pPr>
        <w:spacing w:line="600" w:lineRule="exact"/>
        <w:ind w:firstLine="640" w:firstLineChars="200"/>
        <w:rPr>
          <w:rFonts w:hint="eastAsia" w:ascii="仿宋_GB2312" w:eastAsia="仿宋_GB2312"/>
          <w:color w:val="000000"/>
          <w:sz w:val="32"/>
          <w:szCs w:val="32"/>
        </w:rPr>
      </w:pPr>
      <w:r>
        <w:rPr>
          <w:rFonts w:ascii="仿宋_GB2312" w:eastAsia="仿宋_GB2312"/>
          <w:color w:val="000000"/>
          <w:sz w:val="32"/>
          <w:szCs w:val="32"/>
        </w:rPr>
        <w:t>节能环保支出211</w:t>
      </w:r>
      <w:r>
        <w:rPr>
          <w:rFonts w:hint="eastAsia" w:ascii="仿宋_GB2312" w:eastAsia="仿宋_GB2312"/>
          <w:color w:val="000000"/>
          <w:sz w:val="32"/>
          <w:szCs w:val="32"/>
        </w:rPr>
        <w:t>（类）</w:t>
      </w:r>
      <w:r>
        <w:rPr>
          <w:rFonts w:ascii="仿宋_GB2312" w:eastAsia="仿宋_GB2312"/>
          <w:color w:val="000000"/>
          <w:sz w:val="32"/>
          <w:szCs w:val="32"/>
        </w:rPr>
        <w:t>自然生态保护04</w:t>
      </w:r>
      <w:r>
        <w:rPr>
          <w:rFonts w:hint="eastAsia" w:ascii="仿宋_GB2312" w:eastAsia="仿宋_GB2312"/>
          <w:color w:val="000000"/>
          <w:sz w:val="32"/>
          <w:szCs w:val="32"/>
        </w:rPr>
        <w:t>（款）</w:t>
      </w:r>
      <w:r>
        <w:rPr>
          <w:rFonts w:ascii="仿宋_GB2312" w:eastAsia="仿宋_GB2312"/>
          <w:color w:val="000000"/>
          <w:sz w:val="32"/>
          <w:szCs w:val="32"/>
        </w:rPr>
        <w:t>生态保护01</w:t>
      </w:r>
      <w:r>
        <w:rPr>
          <w:rFonts w:hint="eastAsia" w:ascii="仿宋_GB2312" w:eastAsia="仿宋_GB2312"/>
          <w:color w:val="000000"/>
          <w:sz w:val="32"/>
          <w:szCs w:val="32"/>
        </w:rPr>
        <w:t>（项）：2021年决算数为602.76万元，为职业年金实账贴息。</w:t>
      </w:r>
    </w:p>
    <w:p>
      <w:pPr>
        <w:tabs>
          <w:tab w:val="right" w:pos="8306"/>
        </w:tabs>
        <w:spacing w:line="560" w:lineRule="exact"/>
        <w:ind w:firstLine="640" w:firstLineChars="200"/>
        <w:outlineLvl w:val="1"/>
        <w:rPr>
          <w:rStyle w:val="27"/>
        </w:rPr>
      </w:pPr>
      <w:bookmarkStart w:id="20" w:name="_Toc79163868"/>
      <w:bookmarkStart w:id="21" w:name="_Toc79163618"/>
      <w:bookmarkStart w:id="22" w:name="_Toc15377214"/>
      <w:bookmarkStart w:id="23" w:name="_Toc15396608"/>
      <w:r>
        <w:rPr>
          <w:rFonts w:hint="eastAsia" w:ascii="黑体" w:eastAsia="黑体"/>
          <w:color w:val="000000"/>
          <w:sz w:val="32"/>
          <w:szCs w:val="32"/>
        </w:rPr>
        <w:t>六</w:t>
      </w:r>
      <w:r>
        <w:rPr>
          <w:rFonts w:hint="eastAsia" w:ascii="黑体" w:eastAsia="黑体"/>
          <w:b/>
          <w:color w:val="000000"/>
          <w:sz w:val="32"/>
          <w:szCs w:val="32"/>
        </w:rPr>
        <w:t>、一</w:t>
      </w:r>
      <w:r>
        <w:rPr>
          <w:rStyle w:val="27"/>
          <w:rFonts w:hint="eastAsia" w:ascii="黑体" w:eastAsia="黑体"/>
          <w:b w:val="0"/>
        </w:rPr>
        <w:t>般公共预算财政拨款基本支出决算情况说明</w:t>
      </w:r>
      <w:bookmarkEnd w:id="20"/>
      <w:bookmarkEnd w:id="21"/>
      <w:bookmarkEnd w:id="22"/>
      <w:bookmarkEnd w:id="23"/>
      <w:r>
        <w:rPr>
          <w:rStyle w:val="27"/>
          <w:rFonts w:hint="eastAsia" w:ascii="黑体" w:eastAsia="黑体"/>
          <w:b w:val="0"/>
        </w:rPr>
        <w:tab/>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社会保险事务中心2021年一般公共预算财政拨款基本支出353.64万元，其中：人员经费336.37万元，主要包括：基本工资59.63万元、津贴补贴69.62万元、奖金4.97万元、绩效工资6.21万元、机关事业单位基本养老保险缴费22.01万元、职业年金缴费11万元、职工基本医疗保险缴费：9.23、公务员医疗补助缴费3.23万元、其他社会保障缴费1.77万元、离休费9.2万元、生活补助37.76万元、住房公积金21.61万元、奖励金79.63万元。</w:t>
      </w:r>
    </w:p>
    <w:p>
      <w:pPr>
        <w:spacing w:line="600" w:lineRule="exact"/>
        <w:ind w:firstLine="645"/>
        <w:rPr>
          <w:rFonts w:ascii="仿宋_GB2312" w:eastAsia="仿宋_GB2312"/>
          <w:color w:val="000000"/>
          <w:sz w:val="32"/>
          <w:szCs w:val="32"/>
        </w:rPr>
      </w:pPr>
      <w:r>
        <w:rPr>
          <w:rFonts w:hint="eastAsia" w:ascii="仿宋_GB2312" w:eastAsia="仿宋_GB2312"/>
          <w:color w:val="000000"/>
          <w:sz w:val="32"/>
          <w:szCs w:val="32"/>
        </w:rPr>
        <w:drawing>
          <wp:anchor distT="0" distB="0" distL="114300" distR="114300" simplePos="0" relativeHeight="251660288" behindDoc="0" locked="0" layoutInCell="1" allowOverlap="1">
            <wp:simplePos x="0" y="0"/>
            <wp:positionH relativeFrom="column">
              <wp:posOffset>291465</wp:posOffset>
            </wp:positionH>
            <wp:positionV relativeFrom="paragraph">
              <wp:posOffset>35560</wp:posOffset>
            </wp:positionV>
            <wp:extent cx="4608195" cy="2102485"/>
            <wp:effectExtent l="4445" t="4445" r="5080" b="11430"/>
            <wp:wrapSquare wrapText="bothSides"/>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5"/>
        <w:rPr>
          <w:rFonts w:ascii="仿宋_GB2312" w:eastAsia="仿宋_GB2312"/>
          <w:color w:val="000000"/>
          <w:sz w:val="32"/>
          <w:szCs w:val="32"/>
        </w:rPr>
      </w:pPr>
    </w:p>
    <w:p>
      <w:pPr>
        <w:spacing w:line="600" w:lineRule="exact"/>
        <w:ind w:firstLine="645"/>
        <w:rPr>
          <w:rFonts w:ascii="仿宋_GB2312" w:eastAsia="仿宋_GB2312"/>
          <w:color w:val="000000"/>
          <w:sz w:val="32"/>
          <w:szCs w:val="32"/>
        </w:rPr>
      </w:pPr>
    </w:p>
    <w:p>
      <w:pPr>
        <w:spacing w:line="600" w:lineRule="exact"/>
        <w:ind w:firstLine="645"/>
        <w:rPr>
          <w:rFonts w:ascii="仿宋_GB2312" w:eastAsia="仿宋_GB2312"/>
          <w:color w:val="000000"/>
          <w:sz w:val="32"/>
          <w:szCs w:val="32"/>
        </w:rPr>
      </w:pPr>
    </w:p>
    <w:p>
      <w:pPr>
        <w:spacing w:line="600" w:lineRule="exact"/>
        <w:ind w:firstLine="645"/>
        <w:rPr>
          <w:rFonts w:ascii="仿宋_GB2312" w:eastAsia="仿宋_GB2312"/>
          <w:color w:val="000000"/>
          <w:sz w:val="32"/>
          <w:szCs w:val="32"/>
        </w:rPr>
      </w:pPr>
    </w:p>
    <w:p>
      <w:pPr>
        <w:spacing w:line="600" w:lineRule="exact"/>
        <w:ind w:firstLine="645"/>
        <w:rPr>
          <w:rFonts w:ascii="仿宋_GB2312" w:eastAsia="仿宋_GB2312"/>
          <w:color w:val="000000"/>
          <w:sz w:val="32"/>
          <w:szCs w:val="32"/>
        </w:rPr>
      </w:pPr>
    </w:p>
    <w:p>
      <w:pPr>
        <w:spacing w:line="600" w:lineRule="exact"/>
        <w:ind w:firstLine="645"/>
        <w:rPr>
          <w:rFonts w:ascii="仿宋_GB2312" w:eastAsia="仿宋_GB2312"/>
          <w:color w:val="000000"/>
          <w:sz w:val="32"/>
          <w:szCs w:val="32"/>
        </w:rPr>
      </w:pPr>
    </w:p>
    <w:p>
      <w:pPr>
        <w:spacing w:line="600" w:lineRule="exact"/>
        <w:ind w:firstLine="645"/>
        <w:rPr>
          <w:rFonts w:ascii="仿宋_GB2312" w:eastAsia="仿宋_GB2312"/>
          <w:color w:val="000000"/>
          <w:sz w:val="32"/>
          <w:szCs w:val="32"/>
        </w:rPr>
      </w:pPr>
      <w:r>
        <w:rPr>
          <w:rFonts w:hint="eastAsia" w:ascii="仿宋_GB2312" w:eastAsia="仿宋_GB2312"/>
          <w:color w:val="000000"/>
          <w:sz w:val="32"/>
          <w:szCs w:val="32"/>
        </w:rPr>
        <w:t>公用经费17.27万元，主要包括：办公费6.84万元、水费0.08万元、电费0.9万元、邮电费0.9万元、差旅费4.01万元、维修（护）费0.5万元、公务用车运行维护费3.94万元、公务接待费0.1万元。</w:t>
      </w:r>
    </w:p>
    <w:p>
      <w:pPr>
        <w:spacing w:line="600" w:lineRule="exact"/>
        <w:rPr>
          <w:rFonts w:ascii="仿宋_GB2312" w:eastAsia="仿宋_GB2312"/>
          <w:color w:val="000000"/>
          <w:sz w:val="32"/>
          <w:szCs w:val="32"/>
        </w:rPr>
      </w:pPr>
      <w:r>
        <w:rPr>
          <w:rFonts w:hint="eastAsia" w:ascii="仿宋_GB2312" w:eastAsia="仿宋_GB2312"/>
          <w:color w:val="000000"/>
          <w:sz w:val="32"/>
          <w:szCs w:val="32"/>
        </w:rPr>
        <w:drawing>
          <wp:anchor distT="0" distB="0" distL="114300" distR="114300" simplePos="0" relativeHeight="251661312" behindDoc="0" locked="0" layoutInCell="1" allowOverlap="1">
            <wp:simplePos x="0" y="0"/>
            <wp:positionH relativeFrom="column">
              <wp:posOffset>177165</wp:posOffset>
            </wp:positionH>
            <wp:positionV relativeFrom="paragraph">
              <wp:posOffset>156845</wp:posOffset>
            </wp:positionV>
            <wp:extent cx="4821555" cy="2514600"/>
            <wp:effectExtent l="4445" t="5080" r="5080" b="10160"/>
            <wp:wrapSquare wrapText="bothSides"/>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2021年一般公共预算财政拨款项目支出623.14万元，主要包括培训支出2.38万元，社会保障和就业支出14万元，生态保护支出602.76万元。</w:t>
      </w:r>
    </w:p>
    <w:p>
      <w:pPr>
        <w:spacing w:line="560" w:lineRule="exact"/>
        <w:ind w:firstLine="640"/>
        <w:outlineLvl w:val="1"/>
        <w:rPr>
          <w:rFonts w:ascii="黑体" w:eastAsia="黑体"/>
          <w:color w:val="000000"/>
          <w:sz w:val="32"/>
          <w:szCs w:val="32"/>
        </w:rPr>
      </w:pPr>
      <w:bookmarkStart w:id="24" w:name="_Toc79163869"/>
      <w:bookmarkStart w:id="25" w:name="_Toc15396609"/>
      <w:bookmarkStart w:id="26" w:name="_Toc79163619"/>
      <w:bookmarkStart w:id="27" w:name="_Toc15377215"/>
      <w:r>
        <w:rPr>
          <w:rFonts w:hint="eastAsia" w:ascii="黑体" w:eastAsia="黑体"/>
          <w:color w:val="000000"/>
          <w:sz w:val="32"/>
          <w:szCs w:val="32"/>
        </w:rPr>
        <w:t>七、</w:t>
      </w:r>
      <w:r>
        <w:rPr>
          <w:rStyle w:val="27"/>
          <w:rFonts w:hint="eastAsia" w:ascii="黑体" w:eastAsia="黑体"/>
        </w:rPr>
        <w:t>“</w:t>
      </w:r>
      <w:r>
        <w:rPr>
          <w:rStyle w:val="27"/>
          <w:rFonts w:hint="eastAsia" w:ascii="黑体" w:eastAsia="黑体"/>
          <w:b w:val="0"/>
        </w:rPr>
        <w:t>三公”经费财政拨款支出决算情况说明</w:t>
      </w:r>
      <w:bookmarkEnd w:id="24"/>
      <w:bookmarkEnd w:id="25"/>
      <w:bookmarkEnd w:id="26"/>
      <w:bookmarkEnd w:id="27"/>
    </w:p>
    <w:p>
      <w:pPr>
        <w:spacing w:line="560" w:lineRule="exact"/>
        <w:ind w:firstLine="640"/>
        <w:rPr>
          <w:rFonts w:hint="eastAsia" w:ascii="仿宋" w:eastAsia="仿宋"/>
          <w:b/>
          <w:color w:val="000000"/>
          <w:sz w:val="32"/>
          <w:szCs w:val="32"/>
        </w:rPr>
      </w:pPr>
      <w:bookmarkStart w:id="28" w:name="_Toc79163620"/>
      <w:bookmarkStart w:id="29" w:name="_Toc15377216"/>
      <w:bookmarkStart w:id="30" w:name="_Toc79163870"/>
      <w:r>
        <w:rPr>
          <w:rFonts w:hint="eastAsia" w:ascii="仿宋" w:eastAsia="仿宋"/>
          <w:b/>
          <w:color w:val="000000"/>
          <w:sz w:val="32"/>
          <w:szCs w:val="32"/>
        </w:rPr>
        <w:t>（一）“三公”经费财政拨款支出决算总体情况说明</w:t>
      </w:r>
      <w:bookmarkEnd w:id="28"/>
      <w:bookmarkEnd w:id="29"/>
      <w:bookmarkEnd w:id="30"/>
    </w:p>
    <w:p>
      <w:pPr>
        <w:spacing w:line="600" w:lineRule="exact"/>
        <w:ind w:firstLine="640"/>
        <w:rPr>
          <w:rFonts w:ascii="仿宋_GB2312" w:eastAsia="仿宋_GB2312"/>
          <w:color w:val="333333"/>
          <w:sz w:val="32"/>
          <w:szCs w:val="32"/>
        </w:rPr>
      </w:pPr>
      <w:r>
        <w:rPr>
          <w:rFonts w:hint="eastAsia" w:ascii="仿宋_GB2312" w:eastAsia="仿宋_GB2312"/>
          <w:color w:val="333333"/>
          <w:sz w:val="32"/>
          <w:szCs w:val="32"/>
        </w:rPr>
        <w:t>社会保险事务中心2021年度“三公”经费财政拨款支出决算为4.04万元，</w:t>
      </w:r>
      <w:r>
        <w:rPr>
          <w:rFonts w:hint="default" w:ascii="仿宋_GB2312" w:eastAsia="仿宋_GB2312"/>
          <w:color w:val="333333"/>
          <w:sz w:val="32"/>
          <w:szCs w:val="32"/>
        </w:rPr>
        <w:t>预算费4.04万元。</w:t>
      </w:r>
      <w:r>
        <w:rPr>
          <w:rFonts w:hint="eastAsia" w:ascii="仿宋_GB2312" w:eastAsia="仿宋_GB2312"/>
          <w:color w:val="333333"/>
          <w:sz w:val="32"/>
          <w:szCs w:val="32"/>
        </w:rPr>
        <w:t>完成预算</w:t>
      </w:r>
      <w:r>
        <w:rPr>
          <w:rFonts w:hint="default" w:ascii="仿宋_GB2312" w:eastAsia="仿宋_GB2312"/>
          <w:color w:val="333333"/>
          <w:sz w:val="32"/>
          <w:szCs w:val="32"/>
        </w:rPr>
        <w:t>100</w:t>
      </w:r>
      <w:r>
        <w:rPr>
          <w:rFonts w:hint="eastAsia" w:ascii="仿宋_GB2312" w:eastAsia="仿宋_GB2312"/>
          <w:color w:val="333333"/>
          <w:sz w:val="32"/>
          <w:szCs w:val="32"/>
        </w:rPr>
        <w:t>%，其中：无因公出国（境）费支出；公务接待费支出决算0.1万元，完成预算1</w:t>
      </w:r>
      <w:bookmarkStart w:id="49" w:name="_GoBack"/>
      <w:r>
        <w:rPr>
          <w:rFonts w:hint="eastAsia" w:ascii="仿宋_GB2312" w:eastAsia="仿宋_GB2312"/>
          <w:color w:val="333333"/>
          <w:sz w:val="32"/>
          <w:szCs w:val="32"/>
        </w:rPr>
        <w:t>00</w:t>
      </w:r>
      <w:bookmarkEnd w:id="49"/>
      <w:r>
        <w:rPr>
          <w:rFonts w:hint="eastAsia" w:ascii="仿宋_GB2312" w:eastAsia="仿宋_GB2312"/>
          <w:color w:val="333333"/>
          <w:sz w:val="32"/>
          <w:szCs w:val="32"/>
        </w:rPr>
        <w:t>%；公务用车购置及运行维护费支出决算为3.94万元，完成预算98.5%。</w:t>
      </w:r>
    </w:p>
    <w:p>
      <w:pPr>
        <w:spacing w:line="600" w:lineRule="exact"/>
        <w:ind w:firstLine="640"/>
        <w:rPr>
          <w:rFonts w:ascii="仿宋_GB2312" w:eastAsia="仿宋_GB2312"/>
          <w:color w:val="333333"/>
          <w:sz w:val="32"/>
          <w:szCs w:val="32"/>
        </w:rPr>
      </w:pPr>
      <w:r>
        <w:rPr>
          <w:rFonts w:hint="eastAsia" w:ascii="仿宋_GB2312" w:eastAsia="仿宋_GB2312"/>
          <w:color w:val="333333"/>
          <w:sz w:val="32"/>
          <w:szCs w:val="32"/>
        </w:rPr>
        <w:t>2021年度“三公”经费财政拨款支出决算数比2020年</w:t>
      </w:r>
      <w:r>
        <w:rPr>
          <w:rFonts w:hint="eastAsia" w:ascii="仿宋_GB2312" w:eastAsia="仿宋_GB2312"/>
          <w:color w:val="000000"/>
          <w:sz w:val="32"/>
          <w:szCs w:val="32"/>
        </w:rPr>
        <w:t>增加2.44</w:t>
      </w:r>
      <w:r>
        <w:rPr>
          <w:rFonts w:hint="eastAsia" w:ascii="仿宋_GB2312" w:eastAsia="仿宋_GB2312"/>
          <w:color w:val="333333"/>
          <w:sz w:val="32"/>
          <w:szCs w:val="32"/>
        </w:rPr>
        <w:t>万元，</w:t>
      </w:r>
      <w:r>
        <w:rPr>
          <w:rFonts w:hint="eastAsia" w:ascii="仿宋_GB2312" w:eastAsia="仿宋_GB2312"/>
          <w:color w:val="000000"/>
          <w:sz w:val="32"/>
          <w:szCs w:val="32"/>
        </w:rPr>
        <w:t>增加</w:t>
      </w:r>
      <w:r>
        <w:rPr>
          <w:rFonts w:hint="eastAsia" w:ascii="仿宋_GB2312" w:eastAsia="仿宋_GB2312"/>
          <w:sz w:val="32"/>
          <w:szCs w:val="32"/>
        </w:rPr>
        <w:t>152.5</w:t>
      </w:r>
      <w:r>
        <w:rPr>
          <w:rFonts w:hint="eastAsia" w:ascii="仿宋_GB2312" w:eastAsia="仿宋_GB2312"/>
          <w:color w:val="000000"/>
          <w:sz w:val="32"/>
          <w:szCs w:val="32"/>
        </w:rPr>
        <w:t>%，其中：无</w:t>
      </w:r>
      <w:r>
        <w:rPr>
          <w:rFonts w:hint="eastAsia" w:ascii="仿宋_GB2312" w:eastAsia="仿宋_GB2312"/>
          <w:color w:val="333333"/>
          <w:sz w:val="32"/>
          <w:szCs w:val="32"/>
        </w:rPr>
        <w:t>因公出国（境）费支出；公务接待费用增加0.1万元，原因是今年产生公务接待费支出；公务用车购置及运行维护费支出决算增加2.34万元，</w:t>
      </w:r>
      <w:r>
        <w:rPr>
          <w:rFonts w:hint="eastAsia" w:ascii="仿宋_GB2312" w:eastAsia="仿宋_GB2312"/>
          <w:color w:val="000000"/>
          <w:sz w:val="32"/>
          <w:szCs w:val="32"/>
        </w:rPr>
        <w:t>增加146.25%</w:t>
      </w:r>
      <w:r>
        <w:rPr>
          <w:rFonts w:hint="eastAsia" w:ascii="仿宋_GB2312" w:eastAsia="仿宋_GB2312"/>
          <w:color w:val="333333"/>
          <w:sz w:val="32"/>
          <w:szCs w:val="32"/>
        </w:rPr>
        <w:t>；原因在于单位车辆老旧，维修费用增加。</w:t>
      </w:r>
    </w:p>
    <w:p>
      <w:pPr>
        <w:spacing w:line="600" w:lineRule="exact"/>
        <w:ind w:firstLine="640"/>
        <w:rPr>
          <w:rFonts w:ascii="仿宋_GB2312" w:eastAsia="仿宋_GB2312"/>
          <w:b/>
          <w:color w:val="333333"/>
          <w:sz w:val="32"/>
          <w:szCs w:val="32"/>
        </w:rPr>
      </w:pPr>
      <w:r>
        <w:rPr>
          <w:rFonts w:hint="eastAsia" w:ascii="仿宋_GB2312" w:eastAsia="仿宋_GB2312"/>
          <w:color w:val="333333"/>
          <w:sz w:val="32"/>
          <w:szCs w:val="32"/>
        </w:rPr>
        <w:drawing>
          <wp:anchor distT="0" distB="0" distL="114300" distR="114300" simplePos="0" relativeHeight="251662336" behindDoc="0" locked="0" layoutInCell="1" allowOverlap="1">
            <wp:simplePos x="0" y="0"/>
            <wp:positionH relativeFrom="column">
              <wp:posOffset>128905</wp:posOffset>
            </wp:positionH>
            <wp:positionV relativeFrom="paragraph">
              <wp:posOffset>248285</wp:posOffset>
            </wp:positionV>
            <wp:extent cx="5080000" cy="2400935"/>
            <wp:effectExtent l="4445" t="4445" r="5715" b="17780"/>
            <wp:wrapSquare wrapText="bothSides"/>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bookmarkStart w:id="31" w:name="_Toc31744"/>
      <w:r>
        <w:rPr>
          <w:rFonts w:hint="eastAsia" w:ascii="仿宋_GB2312" w:eastAsia="仿宋_GB2312"/>
          <w:color w:val="333333"/>
          <w:sz w:val="32"/>
          <w:szCs w:val="32"/>
          <w:lang w:val="en-US" w:eastAsia="zh-CN"/>
        </w:rPr>
        <w:t xml:space="preserve"> </w:t>
      </w:r>
      <w:r>
        <w:rPr>
          <w:rFonts w:hint="eastAsia" w:ascii="仿宋_GB2312" w:eastAsia="仿宋_GB2312"/>
          <w:b/>
          <w:color w:val="333333"/>
          <w:sz w:val="32"/>
          <w:szCs w:val="32"/>
        </w:rPr>
        <w:t>（二）“三公”经费财政拨款支出决算具体情况说明</w:t>
      </w:r>
      <w:bookmarkEnd w:id="31"/>
    </w:p>
    <w:p>
      <w:pPr>
        <w:spacing w:line="600" w:lineRule="exact"/>
        <w:ind w:firstLine="640"/>
        <w:rPr>
          <w:rFonts w:ascii="仿宋_GB2312" w:eastAsia="仿宋_GB2312"/>
          <w:color w:val="000000"/>
          <w:sz w:val="32"/>
          <w:szCs w:val="32"/>
        </w:rPr>
      </w:pPr>
      <w:r>
        <w:rPr>
          <w:rFonts w:hint="eastAsia" w:ascii="仿宋_GB2312" w:eastAsia="仿宋_GB2312"/>
          <w:color w:val="333333"/>
          <w:sz w:val="32"/>
          <w:szCs w:val="32"/>
        </w:rPr>
        <w:t>2021年度“三公”经费财政拨款支出决算中，无因公出国（境）费支出；公务接待费支出决算0.1万元，完成预算100%；公务用车购置及运行维护费支出决算为3.94万元，完成预算98.5%。；</w:t>
      </w:r>
      <w:r>
        <w:rPr>
          <w:rFonts w:hint="eastAsia" w:ascii="仿宋_GB2312" w:eastAsia="仿宋_GB2312"/>
          <w:color w:val="000000"/>
          <w:sz w:val="32"/>
          <w:szCs w:val="32"/>
        </w:rPr>
        <w:t>具体情况如下：</w:t>
      </w:r>
    </w:p>
    <w:p>
      <w:pPr>
        <w:spacing w:line="600" w:lineRule="exact"/>
        <w:ind w:firstLine="640"/>
        <w:rPr>
          <w:rFonts w:hint="eastAsia" w:ascii="仿宋_GB2312" w:eastAsia="仿宋_GB2312"/>
          <w:b/>
          <w:color w:val="auto"/>
          <w:sz w:val="32"/>
          <w:szCs w:val="32"/>
        </w:rPr>
      </w:pPr>
      <w:r>
        <w:rPr>
          <w:rFonts w:hint="eastAsia" w:ascii="仿宋_GB2312" w:eastAsia="仿宋_GB2312"/>
          <w:b/>
          <w:color w:val="000000"/>
          <w:sz w:val="32"/>
          <w:szCs w:val="32"/>
        </w:rPr>
        <w:t>公务用车购置及运行维护费</w:t>
      </w:r>
      <w:r>
        <w:rPr>
          <w:rFonts w:hint="eastAsia" w:ascii="仿宋_GB2312" w:eastAsia="仿宋_GB2312"/>
          <w:color w:val="000000"/>
          <w:sz w:val="32"/>
          <w:szCs w:val="32"/>
          <w:lang w:val="en-US" w:eastAsia="zh-CN"/>
        </w:rPr>
        <w:t>3.94</w:t>
      </w:r>
      <w:r>
        <w:rPr>
          <w:rFonts w:hint="eastAsia" w:ascii="仿宋_GB2312" w:eastAsia="仿宋_GB2312"/>
          <w:color w:val="000000"/>
          <w:sz w:val="32"/>
          <w:szCs w:val="32"/>
        </w:rPr>
        <w:t>万元,</w:t>
      </w:r>
      <w:r>
        <w:rPr>
          <w:rStyle w:val="16"/>
          <w:rFonts w:hint="eastAsia" w:ascii="仿宋" w:eastAsia="仿宋"/>
          <w:b w:val="0"/>
          <w:bCs/>
          <w:color w:val="000000"/>
          <w:sz w:val="32"/>
          <w:szCs w:val="32"/>
        </w:rPr>
        <w:t>完成预算</w:t>
      </w:r>
      <w:r>
        <w:rPr>
          <w:rStyle w:val="16"/>
          <w:rFonts w:hint="eastAsia" w:ascii="仿宋" w:eastAsia="仿宋"/>
          <w:b w:val="0"/>
          <w:bCs/>
          <w:color w:val="auto"/>
          <w:sz w:val="32"/>
          <w:szCs w:val="32"/>
          <w:lang w:val="en-US" w:eastAsia="zh-CN"/>
        </w:rPr>
        <w:t>98.5</w:t>
      </w:r>
      <w:r>
        <w:rPr>
          <w:rStyle w:val="16"/>
          <w:rFonts w:hint="eastAsia" w:ascii="仿宋" w:eastAsia="仿宋"/>
          <w:b w:val="0"/>
          <w:bCs/>
          <w:color w:val="auto"/>
          <w:sz w:val="32"/>
          <w:szCs w:val="32"/>
        </w:rPr>
        <w:t>%。</w:t>
      </w:r>
      <w:r>
        <w:rPr>
          <w:rFonts w:hint="eastAsia" w:ascii="仿宋_GB2312" w:eastAsia="仿宋_GB2312"/>
          <w:color w:val="auto"/>
          <w:sz w:val="32"/>
          <w:szCs w:val="32"/>
        </w:rPr>
        <w:t>公务用车购置及运行维护费支出决算比</w:t>
      </w:r>
      <w:r>
        <w:rPr>
          <w:rFonts w:hint="eastAsia" w:ascii="仿宋_GB2312" w:eastAsia="仿宋_GB2312"/>
          <w:color w:val="auto"/>
          <w:sz w:val="32"/>
          <w:szCs w:val="32"/>
          <w:lang w:val="en-US" w:eastAsia="zh-CN"/>
        </w:rPr>
        <w:t>2020</w:t>
      </w:r>
      <w:r>
        <w:rPr>
          <w:rFonts w:hint="eastAsia" w:ascii="仿宋_GB2312" w:eastAsia="仿宋_GB2312"/>
          <w:color w:val="auto"/>
          <w:sz w:val="32"/>
          <w:szCs w:val="32"/>
        </w:rPr>
        <w:t>年</w:t>
      </w:r>
      <w:r>
        <w:rPr>
          <w:rFonts w:hint="eastAsia" w:ascii="仿宋_GB2312" w:eastAsia="仿宋_GB2312"/>
          <w:color w:val="auto"/>
          <w:sz w:val="32"/>
          <w:szCs w:val="32"/>
          <w:lang w:eastAsia="zh-CN"/>
        </w:rPr>
        <w:t>增加</w:t>
      </w:r>
      <w:r>
        <w:rPr>
          <w:rFonts w:hint="eastAsia" w:ascii="仿宋_GB2312" w:eastAsia="仿宋_GB2312"/>
          <w:color w:val="auto"/>
          <w:sz w:val="32"/>
          <w:szCs w:val="32"/>
          <w:lang w:val="en-US" w:eastAsia="zh-CN"/>
        </w:rPr>
        <w:t>2.34</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eastAsia" w:ascii="仿宋_GB2312" w:eastAsia="仿宋_GB2312"/>
          <w:color w:val="000000"/>
          <w:sz w:val="32"/>
          <w:szCs w:val="32"/>
        </w:rPr>
        <w:t>增加146.25%</w:t>
      </w:r>
      <w:r>
        <w:rPr>
          <w:rFonts w:hint="eastAsia" w:ascii="仿宋_GB2312" w:eastAsia="仿宋_GB2312"/>
          <w:color w:val="auto"/>
          <w:sz w:val="32"/>
          <w:szCs w:val="32"/>
        </w:rPr>
        <w:t>。</w:t>
      </w:r>
      <w:r>
        <w:rPr>
          <w:rFonts w:hint="eastAsia" w:ascii="仿宋_GB2312" w:eastAsia="仿宋_GB2312"/>
          <w:color w:val="333333"/>
          <w:sz w:val="32"/>
          <w:szCs w:val="32"/>
        </w:rPr>
        <w:t>原因在于单位车辆老旧，维修费用增加</w:t>
      </w:r>
      <w:r>
        <w:rPr>
          <w:rFonts w:hint="eastAsia" w:ascii="仿宋_GB2312" w:eastAsia="仿宋_GB2312"/>
          <w:color w:val="auto"/>
          <w:sz w:val="32"/>
          <w:szCs w:val="32"/>
          <w:lang w:eastAsia="zh-CN"/>
        </w:rPr>
        <w:t>。</w:t>
      </w:r>
    </w:p>
    <w:p>
      <w:pPr>
        <w:numPr>
          <w:ilvl w:val="0"/>
          <w:numId w:val="0"/>
        </w:numPr>
        <w:spacing w:line="600" w:lineRule="exact"/>
        <w:ind w:firstLine="640" w:firstLineChars="200"/>
        <w:outlineLvl w:val="3"/>
        <w:rPr>
          <w:rFonts w:hint="eastAsia"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3.94</w:t>
      </w:r>
      <w:r>
        <w:rPr>
          <w:rFonts w:hint="eastAsia" w:ascii="仿宋_GB2312" w:eastAsia="仿宋_GB2312"/>
          <w:color w:val="000000"/>
          <w:sz w:val="32"/>
          <w:szCs w:val="32"/>
        </w:rPr>
        <w:t>万元。主主要用于开展各项财政工作所需的公务用车燃料费、维修费、过路过桥费、保险费等支出。</w:t>
      </w:r>
    </w:p>
    <w:p>
      <w:pPr>
        <w:spacing w:line="560" w:lineRule="exact"/>
        <w:ind w:firstLine="640"/>
        <w:rPr>
          <w:rFonts w:hint="eastAsia" w:ascii="仿宋_GB2312" w:eastAsia="仿宋_GB2312"/>
          <w:color w:val="auto"/>
          <w:sz w:val="32"/>
          <w:szCs w:val="32"/>
        </w:rPr>
      </w:pPr>
      <w:r>
        <w:rPr>
          <w:rFonts w:hint="eastAsia" w:ascii="仿宋_GB2312" w:eastAsia="仿宋_GB2312"/>
          <w:b/>
          <w:color w:val="000000"/>
          <w:sz w:val="32"/>
          <w:szCs w:val="32"/>
          <w:lang w:val="en-US" w:eastAsia="zh-CN"/>
        </w:rPr>
        <w:t>2</w:t>
      </w:r>
      <w:r>
        <w:rPr>
          <w:rFonts w:hint="eastAsia" w:ascii="仿宋_GB2312" w:eastAsia="仿宋_GB2312"/>
          <w:b/>
          <w:color w:val="000000"/>
          <w:sz w:val="32"/>
          <w:szCs w:val="32"/>
        </w:rPr>
        <w:t>.公务接待费</w:t>
      </w:r>
      <w:r>
        <w:rPr>
          <w:rFonts w:hint="eastAsia" w:ascii="仿宋_GB2312" w:eastAsia="仿宋_GB2312"/>
          <w:color w:val="auto"/>
          <w:sz w:val="32"/>
          <w:szCs w:val="32"/>
          <w:lang w:val="en-US" w:eastAsia="zh-CN"/>
        </w:rPr>
        <w:t>0.1</w:t>
      </w:r>
      <w:r>
        <w:rPr>
          <w:rFonts w:hint="eastAsia" w:ascii="仿宋_GB2312" w:eastAsia="仿宋_GB2312"/>
          <w:color w:val="auto"/>
          <w:sz w:val="32"/>
          <w:szCs w:val="32"/>
        </w:rPr>
        <w:t>万元，</w:t>
      </w:r>
      <w:r>
        <w:rPr>
          <w:rStyle w:val="16"/>
          <w:rFonts w:hint="eastAsia" w:ascii="仿宋" w:eastAsia="仿宋"/>
          <w:b w:val="0"/>
          <w:bCs/>
          <w:color w:val="auto"/>
          <w:sz w:val="32"/>
          <w:szCs w:val="32"/>
        </w:rPr>
        <w:t>完成预算</w:t>
      </w:r>
      <w:r>
        <w:rPr>
          <w:rStyle w:val="16"/>
          <w:rFonts w:hint="eastAsia" w:ascii="仿宋" w:eastAsia="仿宋"/>
          <w:b w:val="0"/>
          <w:bCs/>
          <w:color w:val="auto"/>
          <w:sz w:val="32"/>
          <w:szCs w:val="32"/>
          <w:lang w:val="en-US" w:eastAsia="zh-CN"/>
        </w:rPr>
        <w:t>100</w:t>
      </w:r>
      <w:r>
        <w:rPr>
          <w:rStyle w:val="16"/>
          <w:rFonts w:hint="eastAsia" w:ascii="仿宋" w:eastAsia="仿宋"/>
          <w:b w:val="0"/>
          <w:bCs/>
          <w:color w:val="auto"/>
          <w:sz w:val="32"/>
          <w:szCs w:val="32"/>
        </w:rPr>
        <w:t>%。</w:t>
      </w:r>
      <w:r>
        <w:rPr>
          <w:rFonts w:hint="eastAsia" w:ascii="仿宋_GB2312" w:eastAsia="仿宋_GB2312"/>
          <w:color w:val="auto"/>
          <w:sz w:val="32"/>
          <w:szCs w:val="32"/>
        </w:rPr>
        <w:t>公务接待费支出决算比20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w:t>
      </w:r>
      <w:r>
        <w:rPr>
          <w:rFonts w:hint="eastAsia" w:ascii="仿宋_GB2312" w:eastAsia="仿宋_GB2312"/>
          <w:color w:val="auto"/>
          <w:sz w:val="32"/>
          <w:szCs w:val="32"/>
          <w:lang w:eastAsia="zh-CN"/>
        </w:rPr>
        <w:t>增加</w:t>
      </w:r>
      <w:r>
        <w:rPr>
          <w:rFonts w:hint="eastAsia" w:ascii="仿宋_GB2312" w:eastAsia="仿宋_GB2312"/>
          <w:color w:val="auto"/>
          <w:sz w:val="32"/>
          <w:szCs w:val="32"/>
          <w:lang w:val="en-US" w:eastAsia="zh-CN"/>
        </w:rPr>
        <w:t>0.1</w:t>
      </w:r>
      <w:r>
        <w:rPr>
          <w:rFonts w:hint="eastAsia" w:ascii="仿宋_GB2312" w:eastAsia="仿宋_GB2312"/>
          <w:color w:val="auto"/>
          <w:sz w:val="32"/>
          <w:szCs w:val="32"/>
        </w:rPr>
        <w:t>万元。主要原因</w:t>
      </w:r>
      <w:r>
        <w:rPr>
          <w:rFonts w:hint="eastAsia" w:ascii="仿宋_GB2312" w:eastAsia="仿宋_GB2312"/>
          <w:color w:val="auto"/>
          <w:sz w:val="32"/>
          <w:szCs w:val="32"/>
          <w:lang w:eastAsia="zh-CN"/>
        </w:rPr>
        <w:t>是</w:t>
      </w:r>
      <w:r>
        <w:rPr>
          <w:rFonts w:hint="eastAsia" w:ascii="仿宋_GB2312" w:eastAsia="仿宋_GB2312" w:cs="仿宋"/>
          <w:color w:val="auto"/>
          <w:sz w:val="32"/>
          <w:szCs w:val="32"/>
          <w:lang w:val="en-US" w:eastAsia="zh-CN" w:bidi="ar-SA"/>
        </w:rPr>
        <w:t>严格执行有关规定，实行“先审批，后接待”制度，严格控制接待标准和陪餐人数，降低接待费用。</w:t>
      </w:r>
      <w:r>
        <w:rPr>
          <w:rFonts w:hint="eastAsia" w:ascii="仿宋_GB2312" w:eastAsia="仿宋_GB2312"/>
          <w:color w:val="auto"/>
          <w:sz w:val="32"/>
          <w:szCs w:val="32"/>
        </w:rPr>
        <w:t>其中：</w:t>
      </w:r>
    </w:p>
    <w:p>
      <w:pPr>
        <w:spacing w:line="560" w:lineRule="exact"/>
        <w:ind w:firstLine="640"/>
        <w:rPr>
          <w:rFonts w:hint="eastAsia" w:ascii="仿宋_GB2312" w:eastAsia="仿宋_GB2312"/>
          <w:color w:val="auto"/>
          <w:sz w:val="32"/>
          <w:szCs w:val="32"/>
          <w:lang w:eastAsia="zh-CN"/>
        </w:rPr>
      </w:pPr>
      <w:r>
        <w:rPr>
          <w:rFonts w:hint="eastAsia" w:ascii="仿宋" w:eastAsia="仿宋"/>
          <w:b/>
          <w:color w:val="auto"/>
          <w:sz w:val="32"/>
          <w:szCs w:val="32"/>
        </w:rPr>
        <w:t>国内公务接待支出</w:t>
      </w:r>
      <w:r>
        <w:rPr>
          <w:rFonts w:hint="eastAsia" w:ascii="仿宋" w:eastAsia="仿宋"/>
          <w:color w:val="auto"/>
          <w:sz w:val="32"/>
          <w:szCs w:val="32"/>
          <w:lang w:val="en-US" w:eastAsia="zh-CN"/>
        </w:rPr>
        <w:t>0.1</w:t>
      </w:r>
      <w:r>
        <w:rPr>
          <w:rFonts w:hint="eastAsia" w:ascii="仿宋_GB2312" w:eastAsia="仿宋_GB2312"/>
          <w:color w:val="auto"/>
          <w:sz w:val="32"/>
          <w:szCs w:val="32"/>
        </w:rPr>
        <w:t>万元，主要用于执行公务、开展业务活动开支的用餐费。国内公务接待</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人次</w:t>
      </w:r>
      <w:r>
        <w:rPr>
          <w:rFonts w:hint="eastAsia" w:ascii="仿宋_GB2312" w:eastAsia="仿宋_GB2312"/>
          <w:color w:val="auto"/>
          <w:sz w:val="32"/>
          <w:szCs w:val="32"/>
          <w:lang w:eastAsia="zh-CN"/>
        </w:rPr>
        <w:t>，</w:t>
      </w:r>
      <w:r>
        <w:rPr>
          <w:rFonts w:hint="eastAsia" w:ascii="仿宋_GB2312" w:eastAsia="仿宋_GB2312"/>
          <w:color w:val="auto"/>
          <w:sz w:val="32"/>
          <w:szCs w:val="32"/>
        </w:rPr>
        <w:t>共计支出</w:t>
      </w:r>
      <w:r>
        <w:rPr>
          <w:rFonts w:hint="eastAsia" w:ascii="仿宋_GB2312" w:eastAsia="仿宋_GB2312"/>
          <w:color w:val="auto"/>
          <w:sz w:val="32"/>
          <w:szCs w:val="32"/>
          <w:lang w:val="en-US" w:eastAsia="zh-CN"/>
        </w:rPr>
        <w:t>0.1</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p>
    <w:p>
      <w:pPr>
        <w:spacing w:line="560" w:lineRule="exact"/>
        <w:ind w:firstLine="642" w:firstLineChars="200"/>
        <w:rPr>
          <w:rFonts w:hint="eastAsia" w:ascii="仿宋_GB2312" w:eastAsia="仿宋_GB2312"/>
          <w:color w:val="000000"/>
          <w:sz w:val="32"/>
          <w:szCs w:val="32"/>
          <w:lang w:eastAsia="zh-CN"/>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outlineLvl w:val="3"/>
        <w:rPr>
          <w:rFonts w:ascii="仿宋_GB2312" w:eastAsia="仿宋_GB2312"/>
          <w:b/>
          <w:color w:val="000000"/>
          <w:sz w:val="32"/>
          <w:szCs w:val="32"/>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.因公出国（境）经费</w:t>
      </w:r>
    </w:p>
    <w:p>
      <w:pPr>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2021年因公出国（境）费</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p>
    <w:p>
      <w:pPr>
        <w:numPr>
          <w:ilvl w:val="0"/>
          <w:numId w:val="2"/>
        </w:numPr>
        <w:spacing w:line="600" w:lineRule="exact"/>
        <w:ind w:firstLine="640"/>
        <w:outlineLvl w:val="2"/>
        <w:rPr>
          <w:rFonts w:ascii="仿宋_GB2312" w:eastAsia="仿宋_GB2312"/>
          <w:b/>
          <w:color w:val="333333"/>
          <w:sz w:val="32"/>
          <w:szCs w:val="32"/>
        </w:rPr>
      </w:pPr>
      <w:bookmarkStart w:id="32" w:name="_Toc27202"/>
      <w:r>
        <w:rPr>
          <w:rFonts w:hint="eastAsia" w:ascii="仿宋_GB2312" w:eastAsia="仿宋_GB2312"/>
          <w:b/>
          <w:color w:val="333333"/>
          <w:sz w:val="32"/>
          <w:szCs w:val="32"/>
        </w:rPr>
        <w:t>会议费支出情况</w:t>
      </w:r>
      <w:bookmarkEnd w:id="32"/>
    </w:p>
    <w:p>
      <w:pPr>
        <w:spacing w:line="600" w:lineRule="exact"/>
        <w:ind w:firstLine="640"/>
        <w:rPr>
          <w:rFonts w:hint="default" w:ascii="仿宋_GB2312" w:eastAsia="仿宋_GB2312"/>
          <w:color w:val="000000"/>
          <w:sz w:val="32"/>
          <w:szCs w:val="32"/>
          <w:lang w:val="en-US" w:eastAsia="zh-CN"/>
        </w:rPr>
      </w:pPr>
      <w:r>
        <w:rPr>
          <w:rFonts w:hint="eastAsia" w:ascii="仿宋_GB2312" w:eastAsia="仿宋_GB2312"/>
          <w:color w:val="000000"/>
          <w:sz w:val="32"/>
          <w:szCs w:val="32"/>
        </w:rPr>
        <w:t>本单位本年度会议费支出</w:t>
      </w:r>
      <w:r>
        <w:rPr>
          <w:rFonts w:hint="eastAsia" w:ascii="仿宋_GB2312" w:eastAsia="仿宋_GB2312"/>
          <w:color w:val="000000"/>
          <w:sz w:val="32"/>
          <w:szCs w:val="32"/>
          <w:lang w:val="en-US" w:eastAsia="zh-CN"/>
        </w:rPr>
        <w:t>0万元 。</w:t>
      </w:r>
    </w:p>
    <w:p>
      <w:pPr>
        <w:numPr>
          <w:ilvl w:val="0"/>
          <w:numId w:val="2"/>
        </w:numPr>
        <w:spacing w:line="600" w:lineRule="exact"/>
        <w:ind w:firstLine="640"/>
        <w:outlineLvl w:val="2"/>
        <w:rPr>
          <w:rFonts w:ascii="仿宋_GB2312" w:eastAsia="仿宋_GB2312"/>
          <w:b/>
          <w:color w:val="333333"/>
          <w:sz w:val="32"/>
          <w:szCs w:val="32"/>
        </w:rPr>
      </w:pPr>
      <w:bookmarkStart w:id="33" w:name="_Toc11707"/>
      <w:r>
        <w:rPr>
          <w:rFonts w:hint="eastAsia" w:ascii="仿宋_GB2312" w:eastAsia="仿宋_GB2312"/>
          <w:b/>
          <w:color w:val="333333"/>
          <w:sz w:val="32"/>
          <w:szCs w:val="32"/>
        </w:rPr>
        <w:t>培训费支出情况</w:t>
      </w:r>
      <w:bookmarkEnd w:id="33"/>
    </w:p>
    <w:p>
      <w:pPr>
        <w:spacing w:line="600" w:lineRule="exact"/>
        <w:ind w:firstLine="640"/>
        <w:rPr>
          <w:rFonts w:hint="eastAsia" w:ascii="仿宋_GB2312" w:eastAsia="仿宋_GB2312"/>
          <w:color w:val="auto"/>
          <w:sz w:val="32"/>
          <w:szCs w:val="32"/>
          <w:lang w:eastAsia="zh-CN"/>
        </w:rPr>
      </w:pPr>
      <w:r>
        <w:rPr>
          <w:rFonts w:hint="eastAsia" w:ascii="仿宋_GB2312" w:eastAsia="仿宋_GB2312"/>
          <w:color w:val="auto"/>
          <w:sz w:val="32"/>
          <w:szCs w:val="32"/>
        </w:rPr>
        <w:t>本单位本年度培训费支出2.34万元。</w:t>
      </w:r>
    </w:p>
    <w:p>
      <w:pPr>
        <w:spacing w:line="600" w:lineRule="exact"/>
        <w:ind w:firstLine="640"/>
        <w:outlineLvl w:val="1"/>
        <w:rPr>
          <w:rFonts w:ascii="黑体" w:eastAsia="黑体"/>
          <w:color w:val="000000"/>
          <w:sz w:val="32"/>
          <w:szCs w:val="32"/>
        </w:rPr>
      </w:pPr>
      <w:bookmarkStart w:id="34" w:name="_Toc447"/>
      <w:r>
        <w:rPr>
          <w:rFonts w:hint="eastAsia" w:ascii="黑体" w:eastAsia="黑体"/>
          <w:color w:val="000000"/>
          <w:sz w:val="32"/>
          <w:szCs w:val="32"/>
          <w:lang w:eastAsia="zh-CN"/>
        </w:rPr>
        <w:t>八</w:t>
      </w:r>
      <w:r>
        <w:rPr>
          <w:rFonts w:hint="eastAsia" w:ascii="黑体" w:eastAsia="黑体"/>
          <w:color w:val="000000"/>
          <w:sz w:val="32"/>
          <w:szCs w:val="32"/>
        </w:rPr>
        <w:t>、政府性基金预算财政拨款支出决算情况</w:t>
      </w:r>
      <w:bookmarkEnd w:id="34"/>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社会保险事务中心2021年政府性基金预算财政拨款支出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bookmarkStart w:id="35" w:name="_Toc79163623"/>
      <w:bookmarkStart w:id="36" w:name="_Toc79163873"/>
      <w:bookmarkStart w:id="37" w:name="_Toc15396611"/>
      <w:bookmarkStart w:id="38" w:name="_Toc15377219"/>
    </w:p>
    <w:p>
      <w:pPr>
        <w:spacing w:line="600" w:lineRule="exact"/>
        <w:ind w:firstLine="640"/>
        <w:rPr>
          <w:rStyle w:val="27"/>
          <w:rFonts w:hint="eastAsia" w:ascii="黑体" w:eastAsia="黑体"/>
          <w:b w:val="0"/>
        </w:rPr>
      </w:pPr>
      <w:r>
        <w:rPr>
          <w:rFonts w:hint="eastAsia" w:ascii="黑体" w:hAnsi="黑体" w:eastAsia="黑体" w:cs="黑体"/>
          <w:color w:val="000000"/>
          <w:sz w:val="32"/>
          <w:szCs w:val="32"/>
          <w:lang w:eastAsia="zh-CN"/>
        </w:rPr>
        <w:t>九、</w:t>
      </w:r>
      <w:r>
        <w:rPr>
          <w:rStyle w:val="27"/>
          <w:rFonts w:hint="eastAsia" w:ascii="黑体" w:eastAsia="黑体"/>
          <w:b w:val="0"/>
        </w:rPr>
        <w:t>国有资本经营预算支出决算情况说明</w:t>
      </w:r>
      <w:bookmarkEnd w:id="35"/>
      <w:bookmarkEnd w:id="36"/>
      <w:bookmarkEnd w:id="37"/>
      <w:bookmarkEnd w:id="38"/>
    </w:p>
    <w:p>
      <w:pPr>
        <w:spacing w:line="56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Fonts w:ascii="黑体" w:eastAsia="黑体"/>
          <w:sz w:val="32"/>
          <w:szCs w:val="32"/>
        </w:rPr>
      </w:pPr>
      <w:bookmarkStart w:id="39" w:name="_Toc3799"/>
      <w:r>
        <w:rPr>
          <w:rFonts w:hint="eastAsia" w:ascii="黑体" w:eastAsia="黑体"/>
          <w:sz w:val="32"/>
          <w:szCs w:val="32"/>
          <w:lang w:eastAsia="zh-CN"/>
        </w:rPr>
        <w:t>十</w:t>
      </w:r>
      <w:r>
        <w:rPr>
          <w:rFonts w:hint="eastAsia" w:ascii="黑体" w:eastAsia="黑体"/>
          <w:sz w:val="32"/>
          <w:szCs w:val="32"/>
        </w:rPr>
        <w:t>、其他重要事项的情况说明</w:t>
      </w:r>
      <w:bookmarkEnd w:id="39"/>
    </w:p>
    <w:p>
      <w:pPr>
        <w:spacing w:line="600" w:lineRule="exact"/>
        <w:ind w:firstLine="642" w:firstLineChars="200"/>
        <w:outlineLvl w:val="2"/>
        <w:rPr>
          <w:rFonts w:ascii="仿宋_GB2312" w:eastAsia="仿宋_GB2312"/>
          <w:color w:val="000000"/>
          <w:sz w:val="32"/>
          <w:szCs w:val="32"/>
        </w:rPr>
      </w:pPr>
      <w:bookmarkStart w:id="40" w:name="_Toc24273"/>
      <w:r>
        <w:rPr>
          <w:rFonts w:hint="eastAsia" w:ascii="仿宋_GB2312" w:eastAsia="仿宋_GB2312"/>
          <w:b/>
          <w:color w:val="000000"/>
          <w:sz w:val="32"/>
          <w:szCs w:val="32"/>
        </w:rPr>
        <w:t>（一）机关运行经费支出情况</w:t>
      </w:r>
      <w:bookmarkEnd w:id="40"/>
    </w:p>
    <w:p>
      <w:pPr>
        <w:spacing w:line="560" w:lineRule="exact"/>
        <w:ind w:firstLine="640" w:firstLineChars="200"/>
        <w:rPr>
          <w:rFonts w:ascii="仿宋_GB2312" w:eastAsia="仿宋_GB2312"/>
          <w:color w:val="000000"/>
          <w:sz w:val="32"/>
          <w:szCs w:val="32"/>
        </w:rPr>
      </w:pPr>
      <w:r>
        <w:rPr>
          <w:rFonts w:hint="eastAsia" w:ascii="仿宋_GB2312" w:eastAsia="仿宋_GB2312"/>
          <w:sz w:val="32"/>
          <w:szCs w:val="32"/>
        </w:rPr>
        <w:t>2021年度，我中心机关运行经费支出17.27万元，比2020年增加4.23万元</w:t>
      </w:r>
      <w:r>
        <w:rPr>
          <w:rFonts w:hint="eastAsia" w:ascii="仿宋_GB2312" w:eastAsia="仿宋_GB2312"/>
          <w:color w:val="000000"/>
          <w:sz w:val="32"/>
          <w:szCs w:val="32"/>
        </w:rPr>
        <w:t>，</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1.32</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_GB2312" w:eastAsia="仿宋_GB2312"/>
          <w:b/>
          <w:color w:val="000000"/>
          <w:sz w:val="32"/>
          <w:szCs w:val="32"/>
        </w:rPr>
      </w:pPr>
      <w:bookmarkStart w:id="41" w:name="_Toc4369"/>
      <w:r>
        <w:rPr>
          <w:rFonts w:hint="eastAsia" w:ascii="仿宋_GB2312" w:eastAsia="仿宋_GB2312"/>
          <w:b/>
          <w:color w:val="000000"/>
          <w:sz w:val="32"/>
          <w:szCs w:val="32"/>
        </w:rPr>
        <w:t>（二）政府采购支出情况</w:t>
      </w:r>
      <w:bookmarkEnd w:id="41"/>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2021年度，我中心采购支出总额0万元，其中：政府采购货物支出0万元。主要用于采购办公设备。</w:t>
      </w:r>
    </w:p>
    <w:p>
      <w:pPr>
        <w:autoSpaceDE w:val="0"/>
        <w:autoSpaceDN w:val="0"/>
        <w:adjustRightInd w:val="0"/>
        <w:spacing w:line="600" w:lineRule="exact"/>
        <w:ind w:firstLine="642" w:firstLineChars="200"/>
        <w:jc w:val="left"/>
        <w:outlineLvl w:val="2"/>
        <w:rPr>
          <w:rFonts w:ascii="仿宋_GB2312" w:eastAsia="仿宋_GB2312"/>
          <w:b/>
          <w:color w:val="000000"/>
          <w:sz w:val="32"/>
          <w:szCs w:val="32"/>
        </w:rPr>
      </w:pPr>
      <w:bookmarkStart w:id="42" w:name="_Toc15354"/>
      <w:r>
        <w:rPr>
          <w:rFonts w:hint="eastAsia" w:ascii="仿宋_GB2312" w:eastAsia="仿宋_GB2312"/>
          <w:b/>
          <w:color w:val="000000"/>
          <w:sz w:val="32"/>
          <w:szCs w:val="32"/>
        </w:rPr>
        <w:t>（三）国有资产占有使用情况</w:t>
      </w:r>
      <w:bookmarkEnd w:id="42"/>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截至2021年12月31日，我中心有公有车辆1辆，均为一般公务用车；无单价50万元以上通用设备，无单价100万元以上专用设备。</w:t>
      </w:r>
    </w:p>
    <w:p>
      <w:pPr>
        <w:numPr>
          <w:ilvl w:val="0"/>
          <w:numId w:val="0"/>
        </w:numPr>
        <w:autoSpaceDE w:val="0"/>
        <w:autoSpaceDN w:val="0"/>
        <w:adjustRightInd w:val="0"/>
        <w:spacing w:line="600" w:lineRule="exact"/>
        <w:ind w:firstLine="642" w:firstLineChars="200"/>
        <w:jc w:val="left"/>
        <w:outlineLvl w:val="2"/>
        <w:rPr>
          <w:rFonts w:ascii="仿宋_GB2312" w:eastAsia="仿宋_GB2312"/>
          <w:b/>
          <w:color w:val="000000"/>
          <w:sz w:val="32"/>
          <w:szCs w:val="32"/>
        </w:rPr>
      </w:pPr>
      <w:bookmarkStart w:id="43" w:name="_Toc15791"/>
      <w:r>
        <w:rPr>
          <w:rFonts w:hint="eastAsia" w:ascii="仿宋_GB2312" w:eastAsia="仿宋_GB2312"/>
          <w:b/>
          <w:color w:val="000000"/>
          <w:sz w:val="32"/>
          <w:szCs w:val="32"/>
          <w:lang w:eastAsia="zh-CN"/>
        </w:rPr>
        <w:t>（四）</w:t>
      </w:r>
      <w:r>
        <w:rPr>
          <w:rFonts w:hint="eastAsia" w:ascii="仿宋_GB2312" w:eastAsia="仿宋_GB2312"/>
          <w:b/>
          <w:color w:val="000000"/>
          <w:sz w:val="32"/>
          <w:szCs w:val="32"/>
        </w:rPr>
        <w:t>预算绩效情况</w:t>
      </w:r>
      <w:bookmarkEnd w:id="43"/>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按照预算绩效管理要求，本部门对2021年一般公共预算项目支出开展了绩效目标管理，共编制整体绩效目标1个，涉及财政资金3433.72万元。</w:t>
      </w:r>
    </w:p>
    <w:p>
      <w:pPr>
        <w:spacing w:line="600" w:lineRule="atLeast"/>
        <w:ind w:firstLine="640" w:firstLineChars="200"/>
        <w:outlineLvl w:val="3"/>
        <w:rPr>
          <w:rFonts w:ascii="仿宋_GB2312" w:eastAsia="仿宋_GB2312"/>
          <w:sz w:val="32"/>
          <w:szCs w:val="32"/>
        </w:rPr>
      </w:pPr>
      <w:r>
        <w:rPr>
          <w:rFonts w:hint="eastAsia" w:ascii="仿宋_GB2312" w:eastAsia="仿宋_GB2312"/>
          <w:sz w:val="32"/>
          <w:szCs w:val="32"/>
        </w:rPr>
        <w:t>1、评价结论</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部门预算执行情况良好，无不良记录及违规违纪行为，预算支出和决算支出情况相符。</w:t>
      </w:r>
    </w:p>
    <w:p>
      <w:pPr>
        <w:spacing w:line="600" w:lineRule="atLeast"/>
        <w:ind w:firstLine="640" w:firstLineChars="200"/>
        <w:outlineLvl w:val="3"/>
        <w:rPr>
          <w:rFonts w:ascii="仿宋_GB2312" w:eastAsia="仿宋_GB2312"/>
          <w:sz w:val="32"/>
          <w:szCs w:val="32"/>
        </w:rPr>
      </w:pPr>
      <w:r>
        <w:rPr>
          <w:rFonts w:hint="eastAsia" w:ascii="仿宋_GB2312" w:eastAsia="仿宋_GB2312"/>
          <w:sz w:val="32"/>
          <w:szCs w:val="32"/>
        </w:rPr>
        <w:t>2、存在问题</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一是预算经费支出进度较缓；二是部门决算上报处理效率还需继续提升。</w:t>
      </w:r>
    </w:p>
    <w:p>
      <w:pPr>
        <w:spacing w:line="600" w:lineRule="atLeast"/>
        <w:ind w:firstLine="640" w:firstLineChars="200"/>
        <w:outlineLvl w:val="3"/>
        <w:rPr>
          <w:rFonts w:ascii="仿宋_GB2312" w:eastAsia="仿宋_GB2312"/>
          <w:sz w:val="32"/>
          <w:szCs w:val="32"/>
        </w:rPr>
      </w:pPr>
      <w:r>
        <w:rPr>
          <w:rFonts w:hint="eastAsia" w:ascii="仿宋_GB2312" w:eastAsia="仿宋_GB2312"/>
          <w:sz w:val="32"/>
          <w:szCs w:val="32"/>
        </w:rPr>
        <w:t>3、改进建议</w:t>
      </w:r>
    </w:p>
    <w:p>
      <w:pPr>
        <w:spacing w:line="600" w:lineRule="atLeast"/>
        <w:ind w:firstLine="640" w:firstLineChars="200"/>
        <w:rPr>
          <w:rFonts w:hint="eastAsia" w:ascii="仿宋_GB2312" w:eastAsia="仿宋_GB2312"/>
          <w:sz w:val="32"/>
          <w:szCs w:val="32"/>
        </w:rPr>
      </w:pPr>
      <w:r>
        <w:rPr>
          <w:rFonts w:hint="eastAsia" w:ascii="仿宋_GB2312" w:eastAsia="仿宋_GB2312"/>
          <w:sz w:val="32"/>
          <w:szCs w:val="32"/>
        </w:rPr>
        <w:t>加快完成机关财务管理规章制度建设、加强会计核算和财务管理能力，及时与财政局相关科室对接工作，提升工作效率。</w:t>
      </w:r>
    </w:p>
    <w:p>
      <w:pPr>
        <w:spacing w:line="600" w:lineRule="atLeast"/>
        <w:ind w:firstLine="640" w:firstLineChars="200"/>
        <w:rPr>
          <w:rFonts w:hint="eastAsia" w:ascii="仿宋_GB2312" w:eastAsia="仿宋_GB2312"/>
          <w:sz w:val="32"/>
          <w:szCs w:val="32"/>
        </w:rPr>
      </w:pPr>
    </w:p>
    <w:p>
      <w:pPr>
        <w:numPr>
          <w:ilvl w:val="0"/>
          <w:numId w:val="3"/>
        </w:numPr>
        <w:spacing w:line="600" w:lineRule="exact"/>
        <w:ind w:left="0" w:firstLine="662" w:firstLineChars="150"/>
        <w:jc w:val="center"/>
        <w:outlineLvl w:val="0"/>
        <w:rPr>
          <w:rStyle w:val="26"/>
          <w:rFonts w:ascii="黑体" w:eastAsia="黑体"/>
          <w:b w:val="0"/>
        </w:rPr>
      </w:pPr>
      <w:bookmarkStart w:id="44" w:name="_Toc24297"/>
      <w:bookmarkStart w:id="45" w:name="_Toc30041"/>
      <w:bookmarkStart w:id="46" w:name="_Toc15377225"/>
      <w:bookmarkStart w:id="47" w:name="_Toc15396613"/>
      <w:r>
        <w:rPr>
          <w:rFonts w:hint="eastAsia" w:ascii="黑体" w:eastAsia="黑体"/>
          <w:b/>
          <w:color w:val="000000"/>
          <w:sz w:val="44"/>
          <w:szCs w:val="44"/>
        </w:rPr>
        <w:t>名</w:t>
      </w:r>
      <w:r>
        <w:rPr>
          <w:rStyle w:val="26"/>
          <w:rFonts w:hint="eastAsia" w:ascii="黑体" w:eastAsia="黑体"/>
          <w:b w:val="0"/>
        </w:rPr>
        <w:t>词解释</w:t>
      </w:r>
      <w:bookmarkEnd w:id="44"/>
      <w:bookmarkEnd w:id="45"/>
      <w:bookmarkEnd w:id="46"/>
      <w:bookmarkEnd w:id="47"/>
    </w:p>
    <w:p>
      <w:pPr>
        <w:numPr>
          <w:ilvl w:val="0"/>
          <w:numId w:val="0"/>
        </w:numPr>
        <w:tabs>
          <w:tab w:val="left" w:pos="0"/>
        </w:tabs>
        <w:spacing w:line="600" w:lineRule="exact"/>
        <w:ind w:leftChars="150"/>
        <w:jc w:val="both"/>
        <w:outlineLvl w:val="0"/>
        <w:rPr>
          <w:rStyle w:val="26"/>
          <w:rFonts w:ascii="黑体" w:eastAsia="黑体"/>
          <w:b w:val="0"/>
        </w:rPr>
      </w:pPr>
    </w:p>
    <w:p>
      <w:pPr>
        <w:pStyle w:val="22"/>
        <w:spacing w:line="560" w:lineRule="exact"/>
        <w:ind w:firstLine="640" w:firstLineChars="200"/>
        <w:outlineLvl w:val="1"/>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2.年初结转和结余：指以前年度尚未完成、结转到本年按有关规定继续使用的资金。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3、社会保障和就业208人力资源和社会保障管理事务01社会保险经办机构09：指社会保险经办机构开展业务工作的支出。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4.社会保障和就业208行政事业单位离退休05机关事业单位基本养老保险缴费支出05：指机关事业单位实施养老保险制度由单位缴纳的基本养老保险费支出。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5.社会保障和就业208行政事业单位离退休05机关事业单位职业年金缴费支出06：指机关事业单位实施养老保险制度由单位缴纳的职业年金支出。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6、 医疗卫生与计划生育支出210医疗保障11事业单位医疗02：指反映财政部门集中安排的事业单位基本医疗保险缴费经费。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7. 住房保障支出221住房改革支出02住房公积金01：指反映行政事业单位按人力资源和社会保障部、财政部规定的基本工资和津贴补贴以及规定比例为职工缴纳的住房公积金。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8.年末结转和结余：指本年度或以前年度预算安排、因客观条件发生变化无法按原计划实施，需延迟到以后年度按有关规定继续使用的资金。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9.基本支出：指为保障机构正常运转、完成日常工作任务而发生的人员支出和公用支出。</w:t>
      </w:r>
    </w:p>
    <w:p>
      <w:pPr>
        <w:numPr>
          <w:ilvl w:val="0"/>
          <w:numId w:val="3"/>
        </w:numPr>
        <w:spacing w:line="600" w:lineRule="exact"/>
        <w:ind w:left="0" w:firstLine="480" w:firstLineChars="150"/>
        <w:jc w:val="both"/>
        <w:outlineLvl w:val="0"/>
        <w:rPr>
          <w:rFonts w:hint="eastAsia" w:ascii="仿宋_GB2312" w:eastAsia="仿宋_GB2312"/>
          <w:sz w:val="32"/>
          <w:szCs w:val="32"/>
        </w:rPr>
      </w:pPr>
      <w:r>
        <w:rPr>
          <w:rFonts w:hint="eastAsia" w:ascii="仿宋_GB2312" w:eastAsia="仿宋_GB2312"/>
          <w:sz w:val="32"/>
          <w:szCs w:val="32"/>
        </w:rPr>
        <w:t>10.“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2"/>
        <w:spacing w:line="560" w:lineRule="exact"/>
        <w:ind w:firstLine="640" w:firstLineChars="200"/>
        <w:rPr>
          <w:rFonts w:hint="eastAsia" w:ascii="仿宋_GB2312" w:eastAsia="仿宋_GB2312"/>
          <w:sz w:val="32"/>
          <w:szCs w:val="32"/>
        </w:rPr>
      </w:pPr>
    </w:p>
    <w:p>
      <w:pPr>
        <w:pStyle w:val="22"/>
        <w:spacing w:line="560" w:lineRule="exact"/>
        <w:ind w:firstLine="2200" w:firstLineChars="500"/>
        <w:rPr>
          <w:rStyle w:val="26"/>
          <w:rFonts w:hint="eastAsia" w:ascii="黑体" w:eastAsia="黑体"/>
          <w:b w:val="0"/>
        </w:rPr>
      </w:pPr>
      <w:r>
        <w:rPr>
          <w:rFonts w:hint="eastAsia" w:ascii="黑体" w:hAnsi="黑体" w:eastAsia="黑体" w:cs="黑体"/>
          <w:sz w:val="44"/>
          <w:szCs w:val="44"/>
          <w:lang w:eastAsia="zh-CN"/>
        </w:rPr>
        <w:t>第四部分</w:t>
      </w:r>
      <w:r>
        <w:rPr>
          <w:rFonts w:hint="eastAsia" w:ascii="黑体" w:hAnsi="黑体" w:eastAsia="黑体" w:cs="黑体"/>
          <w:sz w:val="44"/>
          <w:szCs w:val="44"/>
          <w:lang w:val="en-US" w:eastAsia="zh-CN"/>
        </w:rPr>
        <w:t xml:space="preserve">  </w:t>
      </w:r>
      <w:r>
        <w:rPr>
          <w:rStyle w:val="26"/>
          <w:rFonts w:hint="eastAsia" w:ascii="黑体" w:hAnsi="黑体" w:eastAsia="黑体" w:cs="黑体"/>
          <w:b w:val="0"/>
          <w:sz w:val="44"/>
          <w:szCs w:val="44"/>
        </w:rPr>
        <w:t>附件</w:t>
      </w:r>
    </w:p>
    <w:p>
      <w:pPr>
        <w:widowControl/>
        <w:spacing w:line="480" w:lineRule="exact"/>
        <w:jc w:val="center"/>
        <w:outlineLvl w:val="1"/>
        <w:rPr>
          <w:rFonts w:hint="eastAsia" w:ascii="方正小标宋简体" w:hAnsi="宋体" w:eastAsia="方正小标宋简体" w:cs="方正小标宋简体"/>
          <w:sz w:val="44"/>
          <w:szCs w:val="44"/>
        </w:rPr>
      </w:pPr>
    </w:p>
    <w:p>
      <w:pPr>
        <w:widowControl/>
        <w:spacing w:line="480" w:lineRule="exact"/>
        <w:jc w:val="center"/>
        <w:outlineLvl w:val="1"/>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金川县社会保险事务中心</w:t>
      </w:r>
    </w:p>
    <w:p>
      <w:pPr>
        <w:widowControl/>
        <w:spacing w:line="480" w:lineRule="exact"/>
        <w:jc w:val="center"/>
        <w:rPr>
          <w:rFonts w:ascii="方正小标宋简体" w:hAnsi="宋体" w:eastAsia="方正小标宋简体" w:cs="方正小标宋简体"/>
          <w:sz w:val="44"/>
          <w:szCs w:val="44"/>
        </w:rPr>
      </w:pPr>
      <w:r>
        <w:rPr>
          <w:rFonts w:ascii="方正小标宋简体" w:hAnsi="宋体" w:eastAsia="方正小标宋简体" w:cs="方正小标宋简体"/>
          <w:sz w:val="44"/>
          <w:szCs w:val="44"/>
        </w:rPr>
        <w:t>202</w:t>
      </w:r>
      <w:r>
        <w:rPr>
          <w:rFonts w:hint="eastAsia" w:ascii="方正小标宋简体" w:hAnsi="宋体" w:eastAsia="方正小标宋简体" w:cs="方正小标宋简体"/>
          <w:sz w:val="44"/>
          <w:szCs w:val="44"/>
          <w:lang w:val="en-US" w:eastAsia="zh-CN"/>
        </w:rPr>
        <w:t>1</w:t>
      </w:r>
      <w:r>
        <w:rPr>
          <w:rFonts w:hint="eastAsia" w:ascii="方正小标宋简体" w:hAnsi="宋体" w:eastAsia="方正小标宋简体" w:cs="方正小标宋简体"/>
          <w:sz w:val="44"/>
          <w:szCs w:val="44"/>
        </w:rPr>
        <w:t>部门整体支出绩效报告</w:t>
      </w:r>
    </w:p>
    <w:p>
      <w:pPr>
        <w:widowControl/>
        <w:spacing w:line="480" w:lineRule="exact"/>
        <w:jc w:val="center"/>
        <w:rPr>
          <w:rFonts w:ascii="方正小标宋简体" w:hAnsi="宋体" w:eastAsia="方正小标宋简体" w:cs="方正小标宋简体"/>
          <w:sz w:val="44"/>
          <w:szCs w:val="44"/>
        </w:rPr>
      </w:pP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ascii="方正小标宋简体" w:hAnsi="宋体" w:eastAsia="方正小标宋简体" w:cs="方正小标宋简体"/>
          <w:sz w:val="44"/>
          <w:szCs w:val="44"/>
        </w:rPr>
      </w:pPr>
      <w:r>
        <w:rPr>
          <w:rFonts w:hint="eastAsia" w:ascii="仿宋_GB2312" w:eastAsia="仿宋_GB2312" w:cs="Times New Roman"/>
          <w:kern w:val="2"/>
          <w:sz w:val="32"/>
          <w:szCs w:val="32"/>
          <w:lang w:bidi="ar-SA"/>
        </w:rPr>
        <w:t>根据《</w:t>
      </w:r>
      <w:r>
        <w:rPr>
          <w:rFonts w:hint="eastAsia" w:ascii="仿宋_GB2312" w:eastAsia="仿宋_GB2312" w:cs="Times New Roman"/>
          <w:kern w:val="2"/>
          <w:sz w:val="32"/>
          <w:szCs w:val="32"/>
          <w:lang w:eastAsia="zh-CN" w:bidi="ar-SA"/>
        </w:rPr>
        <w:t>金川县</w:t>
      </w:r>
      <w:r>
        <w:rPr>
          <w:rFonts w:hint="eastAsia" w:ascii="仿宋_GB2312" w:eastAsia="仿宋_GB2312" w:cs="Times New Roman"/>
          <w:kern w:val="2"/>
          <w:sz w:val="32"/>
          <w:szCs w:val="32"/>
          <w:lang w:bidi="ar-SA"/>
        </w:rPr>
        <w:t>财政局关于开展202</w:t>
      </w:r>
      <w:r>
        <w:rPr>
          <w:rFonts w:hint="eastAsia" w:ascii="仿宋_GB2312" w:eastAsia="仿宋_GB2312" w:cs="Times New Roman"/>
          <w:kern w:val="2"/>
          <w:sz w:val="32"/>
          <w:szCs w:val="32"/>
          <w:lang w:val="en-US" w:eastAsia="zh-CN" w:bidi="ar-SA"/>
        </w:rPr>
        <w:t>2</w:t>
      </w:r>
      <w:r>
        <w:rPr>
          <w:rFonts w:hint="eastAsia" w:ascii="仿宋_GB2312" w:eastAsia="仿宋_GB2312" w:cs="Times New Roman"/>
          <w:kern w:val="2"/>
          <w:sz w:val="32"/>
          <w:szCs w:val="32"/>
          <w:lang w:bidi="ar-SA"/>
        </w:rPr>
        <w:t>年部门、政策和项目支出绩效评价工作的通知》（</w:t>
      </w:r>
      <w:r>
        <w:rPr>
          <w:rFonts w:hint="eastAsia" w:ascii="仿宋_GB2312" w:eastAsia="仿宋_GB2312" w:cs="Times New Roman"/>
          <w:kern w:val="2"/>
          <w:sz w:val="32"/>
          <w:szCs w:val="32"/>
          <w:lang w:eastAsia="zh-CN" w:bidi="ar-SA"/>
        </w:rPr>
        <w:t>金</w:t>
      </w:r>
      <w:r>
        <w:rPr>
          <w:rFonts w:hint="eastAsia" w:ascii="仿宋_GB2312" w:eastAsia="仿宋_GB2312" w:cs="Times New Roman"/>
          <w:kern w:val="2"/>
          <w:sz w:val="32"/>
          <w:szCs w:val="32"/>
          <w:lang w:bidi="ar-SA"/>
        </w:rPr>
        <w:t>财监绩〔202</w:t>
      </w:r>
      <w:r>
        <w:rPr>
          <w:rFonts w:hint="eastAsia" w:ascii="仿宋_GB2312" w:eastAsia="仿宋_GB2312" w:cs="Times New Roman"/>
          <w:kern w:val="2"/>
          <w:sz w:val="32"/>
          <w:szCs w:val="32"/>
          <w:lang w:val="en-US" w:eastAsia="zh-CN" w:bidi="ar-SA"/>
        </w:rPr>
        <w:t>2</w:t>
      </w:r>
      <w:r>
        <w:rPr>
          <w:rFonts w:hint="eastAsia" w:ascii="仿宋_GB2312" w:eastAsia="仿宋_GB2312" w:cs="Times New Roman"/>
          <w:kern w:val="2"/>
          <w:sz w:val="32"/>
          <w:szCs w:val="32"/>
          <w:lang w:bidi="ar-SA"/>
        </w:rPr>
        <w:t>〕</w:t>
      </w:r>
      <w:r>
        <w:rPr>
          <w:rFonts w:hint="eastAsia" w:ascii="仿宋_GB2312" w:eastAsia="仿宋_GB2312" w:cs="Times New Roman"/>
          <w:kern w:val="2"/>
          <w:sz w:val="32"/>
          <w:szCs w:val="32"/>
          <w:lang w:val="en-US" w:eastAsia="zh-CN" w:bidi="ar-SA"/>
        </w:rPr>
        <w:t>23</w:t>
      </w:r>
      <w:r>
        <w:rPr>
          <w:rFonts w:hint="eastAsia" w:ascii="仿宋_GB2312" w:eastAsia="仿宋_GB2312" w:cs="Times New Roman"/>
          <w:kern w:val="2"/>
          <w:sz w:val="32"/>
          <w:szCs w:val="32"/>
          <w:lang w:bidi="ar-SA"/>
        </w:rPr>
        <w:t>号）文件精神，</w:t>
      </w:r>
      <w:r>
        <w:rPr>
          <w:rFonts w:hint="eastAsia" w:ascii="仿宋_GB2312" w:eastAsia="仿宋_GB2312" w:cs="Times New Roman"/>
          <w:kern w:val="2"/>
          <w:sz w:val="32"/>
          <w:szCs w:val="32"/>
          <w:lang w:eastAsia="zh-CN" w:bidi="ar-SA"/>
        </w:rPr>
        <w:t>我中心</w:t>
      </w:r>
      <w:r>
        <w:rPr>
          <w:rFonts w:hint="eastAsia" w:ascii="仿宋_GB2312" w:eastAsia="仿宋_GB2312" w:cs="Times New Roman"/>
          <w:kern w:val="2"/>
          <w:sz w:val="32"/>
          <w:szCs w:val="32"/>
          <w:lang w:bidi="ar-SA"/>
        </w:rPr>
        <w:t>对202</w:t>
      </w:r>
      <w:r>
        <w:rPr>
          <w:rFonts w:hint="eastAsia" w:ascii="仿宋_GB2312" w:eastAsia="仿宋_GB2312" w:cs="Times New Roman"/>
          <w:kern w:val="2"/>
          <w:sz w:val="32"/>
          <w:szCs w:val="32"/>
          <w:lang w:val="en-US" w:eastAsia="zh-CN" w:bidi="ar-SA"/>
        </w:rPr>
        <w:t>1</w:t>
      </w:r>
      <w:r>
        <w:rPr>
          <w:rFonts w:hint="eastAsia" w:ascii="仿宋_GB2312" w:eastAsia="仿宋_GB2312" w:cs="Times New Roman"/>
          <w:kern w:val="2"/>
          <w:sz w:val="32"/>
          <w:szCs w:val="32"/>
          <w:lang w:bidi="ar-SA"/>
        </w:rPr>
        <w:t>年部门整体支出绩效进行了全面综合评价。现将有关情况报告如下：</w:t>
      </w:r>
    </w:p>
    <w:p>
      <w:pPr>
        <w:widowControl/>
        <w:adjustRightInd w:val="0"/>
        <w:snapToGrid w:val="0"/>
        <w:spacing w:line="480" w:lineRule="exact"/>
        <w:ind w:firstLine="640" w:firstLineChars="200"/>
        <w:jc w:val="left"/>
        <w:outlineLvl w:val="1"/>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spacing w:line="576" w:lineRule="exact"/>
        <w:ind w:firstLine="640" w:firstLineChars="200"/>
        <w:outlineLvl w:val="2"/>
        <w:rPr>
          <w:rFonts w:hint="eastAsia" w:ascii="仿宋_GB2312" w:hAnsi="宋体" w:eastAsia="仿宋_GB2312"/>
          <w:bCs/>
          <w:sz w:val="32"/>
          <w:lang w:val="zh-CN"/>
        </w:rPr>
      </w:pPr>
      <w:r>
        <w:rPr>
          <w:rFonts w:hint="eastAsia" w:ascii="仿宋_GB2312" w:hAnsi="宋体" w:eastAsia="仿宋_GB2312"/>
          <w:bCs/>
          <w:sz w:val="32"/>
          <w:lang w:val="zh-CN"/>
        </w:rPr>
        <w:t>（一）机构组成</w:t>
      </w:r>
    </w:p>
    <w:p>
      <w:pPr>
        <w:spacing w:line="576" w:lineRule="exact"/>
        <w:ind w:firstLine="640" w:firstLineChars="200"/>
        <w:rPr>
          <w:rFonts w:hint="eastAsia" w:ascii="仿宋_GB2312" w:hAnsi="宋体" w:eastAsia="仿宋_GB2312"/>
          <w:bCs/>
          <w:sz w:val="32"/>
          <w:lang w:val="zh-CN"/>
        </w:rPr>
      </w:pPr>
      <w:r>
        <w:rPr>
          <w:rFonts w:hint="eastAsia" w:ascii="仿宋_GB2312" w:hAnsi="宋体" w:eastAsia="仿宋_GB2312"/>
          <w:bCs/>
          <w:sz w:val="32"/>
        </w:rPr>
        <w:t>金川县社会保险事务中心属独立编制机构和独立核算的参公事业单位。</w:t>
      </w:r>
    </w:p>
    <w:p>
      <w:pPr>
        <w:spacing w:line="576" w:lineRule="exact"/>
        <w:ind w:firstLine="640" w:firstLineChars="200"/>
        <w:rPr>
          <w:rFonts w:hint="eastAsia" w:ascii="仿宋_GB2312" w:hAnsi="宋体" w:eastAsia="仿宋_GB2312"/>
          <w:bCs/>
          <w:sz w:val="32"/>
          <w:lang w:val="zh-CN"/>
        </w:rPr>
      </w:pPr>
      <w:r>
        <w:rPr>
          <w:rFonts w:hint="eastAsia" w:ascii="仿宋_GB2312" w:hAnsi="宋体" w:eastAsia="仿宋_GB2312"/>
          <w:bCs/>
          <w:sz w:val="32"/>
          <w:lang w:val="zh-CN"/>
        </w:rPr>
        <w:t>（二）机构职能</w:t>
      </w:r>
    </w:p>
    <w:p>
      <w:pPr>
        <w:spacing w:line="576" w:lineRule="exact"/>
        <w:ind w:firstLine="640" w:firstLineChars="200"/>
        <w:rPr>
          <w:rFonts w:hint="eastAsia" w:ascii="仿宋_GB2312" w:hAnsi="宋体" w:eastAsia="仿宋_GB2312"/>
          <w:bCs/>
          <w:sz w:val="32"/>
        </w:rPr>
      </w:pPr>
      <w:r>
        <w:rPr>
          <w:rFonts w:hint="eastAsia" w:ascii="仿宋_GB2312" w:hAnsi="宋体" w:eastAsia="仿宋_GB2312"/>
          <w:bCs/>
          <w:sz w:val="32"/>
        </w:rPr>
        <w:t>1、根据有关法律、法规和规章，制定全县社会保险登记、申报、征缴、管理、使用、运营和待遇支付以及社会保险关系建立、中断、转移、接续和基金转移的办事程序与操作规范并组织实施；</w:t>
      </w:r>
    </w:p>
    <w:p>
      <w:pPr>
        <w:spacing w:line="576" w:lineRule="exact"/>
        <w:ind w:firstLine="640" w:firstLineChars="200"/>
        <w:rPr>
          <w:rFonts w:hint="eastAsia" w:ascii="仿宋_GB2312" w:hAnsi="宋体" w:eastAsia="仿宋_GB2312"/>
          <w:bCs/>
          <w:sz w:val="32"/>
        </w:rPr>
      </w:pPr>
      <w:r>
        <w:rPr>
          <w:rFonts w:hint="eastAsia" w:ascii="仿宋_GB2312" w:hAnsi="宋体" w:eastAsia="仿宋_GB2312"/>
          <w:bCs/>
          <w:sz w:val="32"/>
        </w:rPr>
        <w:t>2、制定全县社会保险个人账户、缴费记录、档案管理等业务工作规范并组织实施；</w:t>
      </w:r>
    </w:p>
    <w:p>
      <w:pPr>
        <w:spacing w:line="576" w:lineRule="exact"/>
        <w:ind w:firstLine="640" w:firstLineChars="200"/>
        <w:rPr>
          <w:rFonts w:hint="eastAsia" w:ascii="仿宋_GB2312" w:hAnsi="宋体" w:eastAsia="仿宋_GB2312"/>
          <w:bCs/>
          <w:sz w:val="32"/>
        </w:rPr>
      </w:pPr>
      <w:r>
        <w:rPr>
          <w:rFonts w:hint="eastAsia" w:ascii="仿宋_GB2312" w:hAnsi="宋体" w:eastAsia="仿宋_GB2312"/>
          <w:bCs/>
          <w:sz w:val="32"/>
        </w:rPr>
        <w:t>3、制定全县保险基金财务、会计制度的具体操作办法并组织实施，指导各单位财务按照社会保险基金财务、会计制度进行规范管理，编制汇总全县社会保险基金年度预决算报告，加强基金财务管理和会计核算；</w:t>
      </w:r>
    </w:p>
    <w:p>
      <w:pPr>
        <w:spacing w:line="576" w:lineRule="exact"/>
        <w:ind w:firstLine="640" w:firstLineChars="200"/>
        <w:rPr>
          <w:rFonts w:hint="eastAsia" w:ascii="仿宋_GB2312" w:hAnsi="宋体" w:eastAsia="仿宋_GB2312"/>
          <w:bCs/>
          <w:sz w:val="32"/>
        </w:rPr>
      </w:pPr>
      <w:r>
        <w:rPr>
          <w:rFonts w:hint="eastAsia" w:ascii="仿宋_GB2312" w:hAnsi="宋体" w:eastAsia="仿宋_GB2312"/>
          <w:bCs/>
          <w:sz w:val="32"/>
        </w:rPr>
        <w:t>4、负责全县社会保险统筹规划，研究提出年度筹划和实施意见，负责全县社会保险调剂金的上解；</w:t>
      </w:r>
    </w:p>
    <w:p>
      <w:pPr>
        <w:spacing w:line="576" w:lineRule="exact"/>
        <w:ind w:firstLine="640" w:firstLineChars="200"/>
        <w:rPr>
          <w:rFonts w:hint="eastAsia" w:ascii="仿宋_GB2312" w:hAnsi="宋体" w:eastAsia="仿宋_GB2312"/>
          <w:bCs/>
          <w:sz w:val="32"/>
        </w:rPr>
      </w:pPr>
      <w:r>
        <w:rPr>
          <w:rFonts w:hint="eastAsia" w:ascii="仿宋_GB2312" w:hAnsi="宋体" w:eastAsia="仿宋_GB2312"/>
          <w:bCs/>
          <w:sz w:val="32"/>
        </w:rPr>
        <w:t>5、督促检查全县参保单位离退休人员基本养老保险金按时足额发放和工伤待遇的落实，制定社会保险社会化管理规范，对全县机关单位和企事业退休人员开展社会化管理服务和推进、巩固完善和规范基本养老保险金社会化发放工作</w:t>
      </w:r>
    </w:p>
    <w:p>
      <w:pPr>
        <w:spacing w:line="576" w:lineRule="exact"/>
        <w:ind w:firstLine="640" w:firstLineChars="200"/>
        <w:rPr>
          <w:rFonts w:hint="eastAsia" w:ascii="仿宋_GB2312" w:hAnsi="宋体" w:eastAsia="仿宋_GB2312"/>
          <w:bCs/>
          <w:sz w:val="32"/>
        </w:rPr>
      </w:pPr>
      <w:r>
        <w:rPr>
          <w:rFonts w:hint="eastAsia" w:ascii="仿宋_GB2312" w:hAnsi="宋体" w:eastAsia="仿宋_GB2312"/>
          <w:bCs/>
          <w:sz w:val="32"/>
        </w:rPr>
        <w:t>6、制定全县社会保险稽核工作规范，并开展社会保险稽核工作；</w:t>
      </w:r>
    </w:p>
    <w:p>
      <w:pPr>
        <w:spacing w:line="576" w:lineRule="exact"/>
        <w:ind w:firstLine="640" w:firstLineChars="200"/>
        <w:rPr>
          <w:rFonts w:hint="eastAsia" w:ascii="仿宋_GB2312" w:hAnsi="宋体" w:eastAsia="仿宋_GB2312"/>
          <w:bCs/>
          <w:sz w:val="32"/>
        </w:rPr>
      </w:pPr>
      <w:r>
        <w:rPr>
          <w:rFonts w:hint="eastAsia" w:ascii="仿宋_GB2312" w:hAnsi="宋体" w:eastAsia="仿宋_GB2312"/>
          <w:bCs/>
          <w:sz w:val="32"/>
        </w:rPr>
        <w:t>7、负责经办县属参保单位职工养老、工伤工作；</w:t>
      </w:r>
    </w:p>
    <w:p>
      <w:pPr>
        <w:spacing w:line="576" w:lineRule="exact"/>
        <w:ind w:firstLine="640" w:firstLineChars="200"/>
        <w:rPr>
          <w:rFonts w:hint="eastAsia" w:ascii="仿宋_GB2312" w:hAnsi="宋体" w:eastAsia="仿宋_GB2312"/>
          <w:bCs/>
          <w:sz w:val="32"/>
          <w:lang w:val="zh-CN"/>
        </w:rPr>
      </w:pPr>
      <w:r>
        <w:rPr>
          <w:rFonts w:hint="eastAsia" w:ascii="仿宋_GB2312" w:hAnsi="宋体" w:eastAsia="仿宋_GB2312"/>
          <w:bCs/>
          <w:sz w:val="32"/>
        </w:rPr>
        <w:t>8、承担全县社会保险信息、统计数据的采集、整理、分析及管理工作，负责全县社会保险信息管理系统的开发建设、运行管理和网络管理等工作。</w:t>
      </w:r>
    </w:p>
    <w:p>
      <w:pPr>
        <w:spacing w:line="576" w:lineRule="exact"/>
        <w:ind w:firstLine="640" w:firstLineChars="200"/>
        <w:outlineLvl w:val="2"/>
        <w:rPr>
          <w:rFonts w:hint="eastAsia" w:ascii="仿宋_GB2312" w:hAnsi="宋体" w:eastAsia="仿宋_GB2312"/>
          <w:bCs/>
          <w:sz w:val="32"/>
          <w:lang w:val="zh-CN"/>
        </w:rPr>
      </w:pPr>
      <w:r>
        <w:rPr>
          <w:rFonts w:hint="eastAsia" w:ascii="仿宋_GB2312" w:hAnsi="宋体" w:eastAsia="仿宋_GB2312"/>
          <w:bCs/>
          <w:sz w:val="32"/>
          <w:lang w:val="zh-CN"/>
        </w:rPr>
        <w:t>（三）人员概况</w:t>
      </w:r>
    </w:p>
    <w:p>
      <w:pPr>
        <w:spacing w:line="576" w:lineRule="exact"/>
        <w:ind w:firstLine="640" w:firstLineChars="200"/>
        <w:rPr>
          <w:rFonts w:hint="eastAsia" w:ascii="仿宋_GB2312" w:hAnsi="宋体" w:eastAsia="仿宋_GB2312"/>
          <w:bCs/>
          <w:sz w:val="32"/>
          <w:lang w:val="zh-CN"/>
        </w:rPr>
      </w:pPr>
      <w:r>
        <w:rPr>
          <w:rFonts w:hint="eastAsia" w:ascii="仿宋_GB2312" w:hAnsi="宋体" w:eastAsia="仿宋_GB2312"/>
          <w:bCs/>
          <w:sz w:val="32"/>
        </w:rPr>
        <w:t>人员编制数16人，其中：参公14人（工勤1人），事业2人。202</w:t>
      </w:r>
      <w:r>
        <w:rPr>
          <w:rFonts w:hint="eastAsia" w:ascii="仿宋_GB2312" w:hAnsi="宋体" w:eastAsia="仿宋_GB2312"/>
          <w:bCs/>
          <w:sz w:val="32"/>
          <w:lang w:val="en-US" w:eastAsia="zh-CN"/>
        </w:rPr>
        <w:t>1</w:t>
      </w:r>
      <w:r>
        <w:rPr>
          <w:rFonts w:hint="eastAsia" w:ascii="仿宋_GB2312" w:hAnsi="宋体" w:eastAsia="仿宋_GB2312"/>
          <w:bCs/>
          <w:sz w:val="32"/>
        </w:rPr>
        <w:t>年末实有在职职工16人, 参公14人，事业2人，离休1人。</w:t>
      </w:r>
    </w:p>
    <w:p>
      <w:pPr>
        <w:widowControl/>
        <w:adjustRightInd w:val="0"/>
        <w:snapToGrid w:val="0"/>
        <w:spacing w:line="480" w:lineRule="exact"/>
        <w:ind w:firstLine="720"/>
        <w:jc w:val="left"/>
        <w:outlineLvl w:val="1"/>
        <w:rPr>
          <w:rFonts w:ascii="黑体" w:hAnsi="宋体" w:eastAsia="黑体" w:cs="宋体"/>
          <w:color w:val="000000"/>
          <w:kern w:val="0"/>
        </w:rPr>
      </w:pPr>
      <w:r>
        <w:rPr>
          <w:rFonts w:hint="eastAsia" w:ascii="黑体" w:hAnsi="宋体" w:eastAsia="黑体" w:cs="宋体"/>
          <w:color w:val="000000"/>
          <w:kern w:val="0"/>
          <w:sz w:val="32"/>
        </w:rPr>
        <w:t>二、部门财政资金收支情况</w:t>
      </w:r>
    </w:p>
    <w:p>
      <w:pPr>
        <w:spacing w:line="576" w:lineRule="exact"/>
        <w:ind w:firstLine="640" w:firstLineChars="200"/>
        <w:rPr>
          <w:rFonts w:hint="eastAsia" w:ascii="仿宋_GB2312" w:hAnsi="宋体" w:eastAsia="仿宋_GB2312"/>
          <w:bCs/>
          <w:sz w:val="32"/>
          <w:lang w:val="zh-CN"/>
        </w:rPr>
      </w:pPr>
      <w:r>
        <w:rPr>
          <w:rFonts w:hint="eastAsia" w:ascii="仿宋_GB2312" w:hAnsi="宋体" w:eastAsia="仿宋_GB2312"/>
          <w:bCs/>
          <w:sz w:val="32"/>
          <w:lang w:val="zh-CN"/>
        </w:rPr>
        <w:pict>
          <v:shape id="_x0000_s1026" o:spid="_x0000_s1026" o:spt="75" type="#_x0000_t75" style="position:absolute;left:0pt;margin-left:30.6pt;margin-top:40.1pt;height:160.35pt;width:279.65pt;mso-wrap-distance-bottom:0pt;mso-wrap-distance-top:0pt;z-index:251663360;mso-width-relative:page;mso-height-relative:page;" o:ole="t" filled="f" o:preferrelative="t" stroked="f" coordsize="21600,21600">
            <v:path/>
            <v:fill on="f" focussize="0,0"/>
            <v:stroke on="f" joinstyle="miter"/>
            <v:imagedata r:id="rId16" o:title=""/>
            <o:lock v:ext="edit" aspectratio="t"/>
            <w10:wrap type="topAndBottom"/>
          </v:shape>
          <o:OLEObject Type="Embed" ProgID="MSGraph.Chart.8" ShapeID="_x0000_s1026" DrawAspect="Content" ObjectID="_1468075725" r:id="rId15">
            <o:LockedField>false</o:LockedField>
          </o:OLEObject>
        </w:pict>
      </w:r>
      <w:r>
        <w:rPr>
          <w:rFonts w:hint="eastAsia" w:ascii="仿宋_GB2312" w:hAnsi="宋体" w:eastAsia="仿宋_GB2312"/>
          <w:bCs/>
          <w:sz w:val="32"/>
          <w:lang w:val="zh-CN"/>
        </w:rPr>
        <w:t>（一）部门财政资金收入情况</w:t>
      </w:r>
    </w:p>
    <w:p>
      <w:pPr>
        <w:spacing w:line="576" w:lineRule="exact"/>
        <w:ind w:firstLine="640" w:firstLineChars="200"/>
        <w:rPr>
          <w:rFonts w:hint="eastAsia" w:ascii="仿宋_GB2312" w:hAnsi="宋体" w:eastAsia="仿宋_GB2312"/>
          <w:bCs/>
          <w:sz w:val="32"/>
          <w:lang w:val="zh-CN"/>
        </w:rPr>
      </w:pPr>
      <w:r>
        <w:rPr>
          <w:rFonts w:hint="eastAsia" w:ascii="仿宋_GB2312" w:hAnsi="宋体" w:eastAsia="仿宋_GB2312"/>
          <w:bCs/>
          <w:sz w:val="32"/>
          <w:lang w:val="zh-CN"/>
        </w:rPr>
        <w:t>202</w:t>
      </w:r>
      <w:r>
        <w:rPr>
          <w:rFonts w:hint="eastAsia" w:ascii="仿宋_GB2312" w:hAnsi="宋体" w:eastAsia="仿宋_GB2312"/>
          <w:bCs/>
          <w:sz w:val="32"/>
          <w:lang w:val="en-US" w:eastAsia="zh-CN"/>
        </w:rPr>
        <w:t>1</w:t>
      </w:r>
      <w:r>
        <w:rPr>
          <w:rFonts w:hint="eastAsia" w:ascii="仿宋_GB2312" w:hAnsi="宋体" w:eastAsia="仿宋_GB2312"/>
          <w:bCs/>
          <w:sz w:val="32"/>
          <w:lang w:val="zh-CN"/>
        </w:rPr>
        <w:t>年社会保险事务中心本年收入合计</w:t>
      </w:r>
      <w:r>
        <w:rPr>
          <w:rFonts w:hint="eastAsia" w:ascii="仿宋_GB2312" w:hAnsi="宋体" w:eastAsia="仿宋_GB2312"/>
          <w:bCs/>
          <w:sz w:val="32"/>
          <w:lang w:val="en-US" w:eastAsia="zh-CN"/>
        </w:rPr>
        <w:t>976.78</w:t>
      </w:r>
      <w:r>
        <w:rPr>
          <w:rFonts w:hint="eastAsia" w:ascii="仿宋_GB2312" w:hAnsi="宋体" w:eastAsia="仿宋_GB2312"/>
          <w:bCs/>
          <w:sz w:val="32"/>
          <w:lang w:val="zh-CN"/>
        </w:rPr>
        <w:t>万元，其中：一般公共预算财政拨款收入</w:t>
      </w:r>
      <w:r>
        <w:rPr>
          <w:rFonts w:hint="eastAsia" w:ascii="仿宋_GB2312" w:hAnsi="宋体" w:eastAsia="仿宋_GB2312"/>
          <w:bCs/>
          <w:sz w:val="32"/>
          <w:lang w:val="en-US" w:eastAsia="zh-CN"/>
        </w:rPr>
        <w:t>976.78</w:t>
      </w:r>
      <w:r>
        <w:rPr>
          <w:rFonts w:hint="eastAsia" w:ascii="仿宋_GB2312" w:hAnsi="宋体" w:eastAsia="仿宋_GB2312"/>
          <w:bCs/>
          <w:sz w:val="32"/>
          <w:lang w:val="zh-CN"/>
        </w:rPr>
        <w:t>万元，占100%；事业收入0万元；经营收入0万元；附属单位上缴收入0万元；其他收入0万元。上年结转和结余0元。</w:t>
      </w:r>
    </w:p>
    <w:p>
      <w:pPr>
        <w:spacing w:line="576" w:lineRule="exact"/>
        <w:ind w:firstLine="640" w:firstLineChars="200"/>
        <w:rPr>
          <w:rFonts w:hint="eastAsia" w:ascii="仿宋_GB2312" w:hAnsi="宋体" w:eastAsia="仿宋_GB2312"/>
          <w:bCs/>
          <w:sz w:val="32"/>
          <w:lang w:val="zh-CN"/>
        </w:rPr>
      </w:pPr>
      <w:r>
        <w:rPr>
          <w:rFonts w:hint="eastAsia" w:ascii="仿宋_GB2312" w:hAnsi="宋体" w:eastAsia="仿宋_GB2312"/>
          <w:bCs/>
          <w:sz w:val="32"/>
          <w:lang w:val="zh-CN"/>
        </w:rPr>
        <w:t>（二）部门财政资金支出情况</w:t>
      </w:r>
    </w:p>
    <w:p>
      <w:pPr>
        <w:spacing w:line="576" w:lineRule="exact"/>
        <w:ind w:firstLine="640" w:firstLineChars="200"/>
        <w:rPr>
          <w:rFonts w:hint="eastAsia" w:ascii="仿宋_GB2312" w:hAnsi="宋体" w:eastAsia="仿宋_GB2312"/>
          <w:bCs/>
          <w:sz w:val="32"/>
          <w:lang w:val="zh-CN"/>
        </w:rPr>
      </w:pPr>
      <w:r>
        <w:rPr>
          <w:rFonts w:hint="eastAsia" w:ascii="仿宋_GB2312" w:hAnsi="宋体" w:eastAsia="仿宋_GB2312"/>
          <w:bCs/>
          <w:sz w:val="32"/>
          <w:lang w:val="zh-CN"/>
        </w:rPr>
        <w:t>202</w:t>
      </w:r>
      <w:r>
        <w:rPr>
          <w:rFonts w:hint="eastAsia" w:ascii="仿宋_GB2312" w:hAnsi="宋体" w:eastAsia="仿宋_GB2312"/>
          <w:bCs/>
          <w:sz w:val="32"/>
          <w:lang w:val="en-US" w:eastAsia="zh-CN"/>
        </w:rPr>
        <w:t>1</w:t>
      </w:r>
      <w:r>
        <w:rPr>
          <w:rFonts w:hint="eastAsia" w:ascii="仿宋_GB2312" w:hAnsi="宋体" w:eastAsia="仿宋_GB2312"/>
          <w:bCs/>
          <w:sz w:val="32"/>
          <w:lang w:val="zh-CN"/>
        </w:rPr>
        <w:t>年社会保险事务中心本年支出合计</w:t>
      </w:r>
      <w:r>
        <w:rPr>
          <w:rFonts w:hint="eastAsia" w:ascii="仿宋_GB2312" w:hAnsi="宋体" w:eastAsia="仿宋_GB2312"/>
          <w:bCs/>
          <w:sz w:val="32"/>
          <w:lang w:val="en-US" w:eastAsia="zh-CN"/>
        </w:rPr>
        <w:t>976.78</w:t>
      </w:r>
      <w:r>
        <w:rPr>
          <w:rFonts w:hint="eastAsia" w:ascii="仿宋_GB2312" w:hAnsi="宋体" w:eastAsia="仿宋_GB2312"/>
          <w:bCs/>
          <w:sz w:val="32"/>
          <w:lang w:val="zh-CN"/>
        </w:rPr>
        <w:t>万元，其中：基本支出</w:t>
      </w:r>
      <w:r>
        <w:rPr>
          <w:rFonts w:hint="eastAsia" w:ascii="仿宋_GB2312" w:hAnsi="宋体" w:eastAsia="仿宋_GB2312"/>
          <w:bCs/>
          <w:sz w:val="32"/>
          <w:lang w:val="en-US" w:eastAsia="zh-CN"/>
        </w:rPr>
        <w:t>353.64</w:t>
      </w:r>
      <w:r>
        <w:rPr>
          <w:rFonts w:hint="eastAsia" w:ascii="仿宋_GB2312" w:hAnsi="宋体" w:eastAsia="仿宋_GB2312"/>
          <w:bCs/>
          <w:sz w:val="32"/>
          <w:lang w:val="zh-CN"/>
        </w:rPr>
        <w:t>万元；</w:t>
      </w:r>
      <w:r>
        <w:rPr>
          <w:rFonts w:hint="eastAsia" w:ascii="仿宋_GB2312" w:hAnsi="宋体" w:eastAsia="仿宋_GB2312"/>
          <w:bCs/>
          <w:sz w:val="32"/>
          <w:lang w:val="en-US" w:eastAsia="zh-CN"/>
        </w:rPr>
        <w:t>占总支出36%，</w:t>
      </w:r>
      <w:r>
        <w:rPr>
          <w:rFonts w:hint="eastAsia" w:ascii="仿宋_GB2312" w:hAnsi="宋体" w:eastAsia="仿宋_GB2312"/>
          <w:bCs/>
          <w:sz w:val="32"/>
          <w:lang w:val="zh-CN"/>
        </w:rPr>
        <w:t>项目支出</w:t>
      </w:r>
      <w:r>
        <w:rPr>
          <w:rFonts w:hint="eastAsia" w:ascii="仿宋_GB2312" w:hAnsi="宋体" w:eastAsia="仿宋_GB2312"/>
          <w:bCs/>
          <w:sz w:val="32"/>
          <w:lang w:val="en-US" w:eastAsia="zh-CN"/>
        </w:rPr>
        <w:t>623.14</w:t>
      </w:r>
      <w:r>
        <w:rPr>
          <w:rFonts w:hint="eastAsia" w:ascii="仿宋_GB2312" w:hAnsi="宋体" w:eastAsia="仿宋_GB2312"/>
          <w:bCs/>
          <w:sz w:val="32"/>
          <w:lang w:val="zh-CN"/>
        </w:rPr>
        <w:t>万元</w:t>
      </w:r>
      <w:r>
        <w:rPr>
          <w:rFonts w:hint="eastAsia" w:ascii="仿宋_GB2312" w:hAnsi="宋体" w:eastAsia="仿宋_GB2312"/>
          <w:bCs/>
          <w:sz w:val="32"/>
          <w:lang w:val="zh-CN" w:eastAsia="zh-CN"/>
        </w:rPr>
        <w:t>，</w:t>
      </w:r>
      <w:r>
        <w:rPr>
          <w:rFonts w:hint="eastAsia" w:ascii="仿宋_GB2312" w:hAnsi="宋体" w:eastAsia="仿宋_GB2312"/>
          <w:bCs/>
          <w:sz w:val="32"/>
          <w:lang w:val="en-US" w:eastAsia="zh-CN"/>
        </w:rPr>
        <w:t>占总支出,64%</w:t>
      </w:r>
      <w:r>
        <w:rPr>
          <w:rFonts w:hint="eastAsia" w:ascii="仿宋_GB2312" w:hAnsi="宋体" w:eastAsia="仿宋_GB2312"/>
          <w:bCs/>
          <w:sz w:val="32"/>
          <w:lang w:val="zh-CN"/>
        </w:rPr>
        <w:t>。</w:t>
      </w:r>
    </w:p>
    <w:p>
      <w:pPr>
        <w:ind w:firstLine="640" w:firstLineChars="200"/>
        <w:rPr>
          <w:rFonts w:ascii="??_GB2312" w:eastAsia="Times New Roman"/>
          <w:color w:val="000000"/>
          <w:sz w:val="32"/>
          <w:szCs w:val="32"/>
        </w:rPr>
      </w:pPr>
      <w:r>
        <w:rPr>
          <w:rFonts w:hint="eastAsia" w:ascii="仿宋_GB2312" w:eastAsia="仿宋_GB2312"/>
          <w:color w:val="000000"/>
          <w:sz w:val="32"/>
          <w:szCs w:val="32"/>
          <w:lang w:eastAsia="zh-CN"/>
        </w:rPr>
        <w:object>
          <v:shape id="_x0000_i1025" o:spt="75" type="#_x0000_t75" style="height:120.65pt;width:310.2pt;" o:ole="t" filled="f" o:preferrelative="t" stroked="f" coordsize="21600,21600" o:gfxdata="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">
            <v:path/>
            <v:fill on="f" focussize="0,0"/>
            <v:stroke on="f"/>
            <v:imagedata r:id="rId18" o:title=""/>
            <o:lock v:ext="edit" aspectratio="f"/>
            <w10:wrap type="none"/>
            <w10:anchorlock/>
          </v:shape>
          <o:OLEObject Type="Embed" ProgID="excel.sheet.8" ShapeID="_x0000_i1025" DrawAspect="Content" ObjectID="_1468075726" r:id="rId17">
            <o:LockedField>false</o:LockedField>
          </o:OLEObject>
        </w:object>
      </w:r>
    </w:p>
    <w:p>
      <w:pPr>
        <w:spacing w:line="600" w:lineRule="exact"/>
        <w:ind w:firstLine="640" w:firstLineChars="200"/>
        <w:rPr>
          <w:rFonts w:hint="eastAsia" w:ascii="仿宋_GB2312" w:hAnsi="宋体" w:eastAsia="仿宋_GB2312"/>
          <w:bCs/>
          <w:sz w:val="32"/>
          <w:lang w:val="zh-CN"/>
        </w:rPr>
      </w:pPr>
      <w:r>
        <w:rPr>
          <w:rFonts w:hint="eastAsia" w:ascii="仿宋_GB2312" w:eastAsia="仿宋_GB2312"/>
          <w:sz w:val="32"/>
          <w:szCs w:val="32"/>
          <w:lang w:eastAsia="zh-CN"/>
        </w:rPr>
        <w:pict>
          <v:shape id="Object 6" o:spid="_x0000_s1027" o:spt="75" type="#_x0000_t75" style="position:absolute;left:0pt;margin-left:-8.2pt;margin-top:188.4pt;height:136.35pt;width:358.2pt;mso-wrap-distance-bottom:0pt;mso-wrap-distance-left:9pt;mso-wrap-distance-right:9pt;mso-wrap-distance-top:0pt;z-index:251664384;mso-width-relative:page;mso-height-relative:page;" o:ole="t" filled="f" o:preferrelative="t" stroked="f" coordsize="21600,21600" o:gfxdata="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">
            <v:path/>
            <v:fill on="f" focussize="0,0"/>
            <v:stroke on="f"/>
            <v:imagedata r:id="rId20" o:title=""/>
            <o:lock v:ext="edit" aspectratio="f"/>
            <w10:wrap type="square"/>
          </v:shape>
          <o:OLEObject Type="Embed" ProgID="excel.sheet.8" ShapeID="Object 6" DrawAspect="Content" ObjectID="_1468075727" r:id="rId19">
            <o:LockedField>false</o:LockedField>
          </o:OLEObject>
        </w:pict>
      </w:r>
      <w:r>
        <w:rPr>
          <w:rFonts w:hint="eastAsia" w:ascii="仿宋_GB2312" w:hAnsi="宋体" w:eastAsia="仿宋_GB2312"/>
          <w:bCs/>
          <w:sz w:val="32"/>
          <w:lang w:val="zh-CN"/>
        </w:rPr>
        <w:t>20</w:t>
      </w:r>
      <w:r>
        <w:rPr>
          <w:rFonts w:hint="eastAsia" w:ascii="仿宋_GB2312" w:hAnsi="宋体" w:eastAsia="仿宋_GB2312"/>
          <w:bCs/>
          <w:sz w:val="32"/>
          <w:lang w:val="en-US" w:eastAsia="zh-CN"/>
        </w:rPr>
        <w:t>21</w:t>
      </w:r>
      <w:r>
        <w:rPr>
          <w:rFonts w:hint="eastAsia" w:ascii="仿宋_GB2312" w:hAnsi="宋体" w:eastAsia="仿宋_GB2312"/>
          <w:bCs/>
          <w:sz w:val="32"/>
          <w:lang w:val="zh-CN"/>
        </w:rPr>
        <w:t>年一般公共预算财政拨款支出</w:t>
      </w:r>
      <w:r>
        <w:rPr>
          <w:rFonts w:hint="eastAsia" w:ascii="仿宋_GB2312" w:hAnsi="宋体" w:eastAsia="仿宋_GB2312"/>
          <w:bCs/>
          <w:sz w:val="32"/>
          <w:lang w:val="en-US" w:eastAsia="zh-CN"/>
        </w:rPr>
        <w:t>976.78</w:t>
      </w:r>
      <w:r>
        <w:rPr>
          <w:rFonts w:hint="eastAsia" w:ascii="仿宋_GB2312" w:hAnsi="宋体" w:eastAsia="仿宋_GB2312"/>
          <w:bCs/>
          <w:sz w:val="32"/>
          <w:lang w:val="zh-CN"/>
        </w:rPr>
        <w:t>万元，主要用于以下方面:社会保障和就业支出</w:t>
      </w:r>
      <w:r>
        <w:rPr>
          <w:rFonts w:hint="eastAsia" w:ascii="仿宋_GB2312" w:hAnsi="宋体" w:eastAsia="仿宋_GB2312"/>
          <w:bCs/>
          <w:sz w:val="32"/>
          <w:lang w:val="en-US" w:eastAsia="zh-CN"/>
        </w:rPr>
        <w:t>337.07</w:t>
      </w:r>
      <w:r>
        <w:rPr>
          <w:rFonts w:hint="eastAsia" w:ascii="仿宋_GB2312" w:hAnsi="宋体" w:eastAsia="仿宋_GB2312"/>
          <w:bCs/>
          <w:sz w:val="32"/>
          <w:lang w:val="zh-CN"/>
        </w:rPr>
        <w:t>万元，占</w:t>
      </w:r>
      <w:r>
        <w:rPr>
          <w:rFonts w:hint="eastAsia" w:ascii="仿宋_GB2312" w:hAnsi="宋体" w:eastAsia="仿宋_GB2312"/>
          <w:bCs/>
          <w:sz w:val="32"/>
          <w:lang w:val="en-US" w:eastAsia="zh-CN"/>
        </w:rPr>
        <w:t>34.51</w:t>
      </w:r>
      <w:r>
        <w:rPr>
          <w:rFonts w:hint="eastAsia" w:ascii="仿宋_GB2312" w:hAnsi="宋体" w:eastAsia="仿宋_GB2312"/>
          <w:bCs/>
          <w:sz w:val="32"/>
          <w:lang w:val="zh-CN"/>
        </w:rPr>
        <w:t>%；</w:t>
      </w:r>
      <w:bookmarkStart w:id="48" w:name="OLE_LINK1"/>
      <w:r>
        <w:rPr>
          <w:rFonts w:hint="eastAsia" w:ascii="仿宋_GB2312" w:hAnsi="宋体" w:eastAsia="仿宋_GB2312"/>
          <w:bCs/>
          <w:sz w:val="32"/>
          <w:lang w:val="zh-CN"/>
        </w:rPr>
        <w:t>医疗卫生与计划生育支出</w:t>
      </w:r>
      <w:bookmarkEnd w:id="48"/>
      <w:r>
        <w:rPr>
          <w:rFonts w:hint="eastAsia" w:ascii="仿宋_GB2312" w:hAnsi="宋体" w:eastAsia="仿宋_GB2312"/>
          <w:bCs/>
          <w:sz w:val="32"/>
          <w:lang w:val="en-US" w:eastAsia="zh-CN"/>
        </w:rPr>
        <w:t>12.96</w:t>
      </w:r>
      <w:r>
        <w:rPr>
          <w:rFonts w:hint="eastAsia" w:ascii="仿宋_GB2312" w:hAnsi="宋体" w:eastAsia="仿宋_GB2312"/>
          <w:bCs/>
          <w:sz w:val="32"/>
          <w:lang w:val="zh-CN"/>
        </w:rPr>
        <w:t>万元，占</w:t>
      </w:r>
      <w:r>
        <w:rPr>
          <w:rFonts w:hint="eastAsia" w:ascii="仿宋_GB2312" w:hAnsi="宋体" w:eastAsia="仿宋_GB2312"/>
          <w:bCs/>
          <w:sz w:val="32"/>
          <w:lang w:val="en-US" w:eastAsia="zh-CN"/>
        </w:rPr>
        <w:t>1.33</w:t>
      </w:r>
      <w:r>
        <w:rPr>
          <w:rFonts w:hint="eastAsia" w:ascii="仿宋_GB2312" w:hAnsi="宋体" w:eastAsia="仿宋_GB2312"/>
          <w:bCs/>
          <w:sz w:val="32"/>
          <w:lang w:val="zh-CN"/>
        </w:rPr>
        <w:t>%；住房保障支出</w:t>
      </w:r>
      <w:r>
        <w:rPr>
          <w:rFonts w:hint="eastAsia" w:ascii="仿宋_GB2312" w:hAnsi="宋体" w:eastAsia="仿宋_GB2312"/>
          <w:bCs/>
          <w:sz w:val="32"/>
          <w:lang w:val="en-US" w:eastAsia="zh-CN"/>
        </w:rPr>
        <w:t>21.61</w:t>
      </w:r>
      <w:r>
        <w:rPr>
          <w:rFonts w:hint="eastAsia" w:ascii="仿宋_GB2312" w:hAnsi="宋体" w:eastAsia="仿宋_GB2312"/>
          <w:bCs/>
          <w:sz w:val="32"/>
          <w:lang w:val="zh-CN"/>
        </w:rPr>
        <w:t>万元，占</w:t>
      </w:r>
      <w:r>
        <w:rPr>
          <w:rFonts w:hint="eastAsia" w:ascii="仿宋_GB2312" w:hAnsi="宋体" w:eastAsia="仿宋_GB2312"/>
          <w:bCs/>
          <w:sz w:val="32"/>
          <w:lang w:val="en-US" w:eastAsia="zh-CN"/>
        </w:rPr>
        <w:t>2.21</w:t>
      </w:r>
      <w:r>
        <w:rPr>
          <w:rFonts w:hint="eastAsia" w:ascii="仿宋_GB2312" w:hAnsi="宋体" w:eastAsia="仿宋_GB2312"/>
          <w:bCs/>
          <w:sz w:val="32"/>
          <w:lang w:val="zh-CN"/>
        </w:rPr>
        <w:t>%；</w:t>
      </w:r>
      <w:r>
        <w:rPr>
          <w:rFonts w:hint="eastAsia" w:ascii="仿宋_GB2312" w:hAnsi="宋体" w:eastAsia="仿宋_GB2312"/>
          <w:bCs/>
          <w:sz w:val="32"/>
          <w:lang w:val="zh-CN" w:eastAsia="zh-CN"/>
        </w:rPr>
        <w:t>教育支出</w:t>
      </w:r>
      <w:r>
        <w:rPr>
          <w:rFonts w:hint="eastAsia" w:ascii="仿宋_GB2312" w:hAnsi="宋体" w:eastAsia="仿宋_GB2312"/>
          <w:bCs/>
          <w:sz w:val="32"/>
          <w:lang w:val="en-US" w:eastAsia="zh-CN"/>
        </w:rPr>
        <w:t>2.38万元，占0.24%;职业年金实账贴息602.76万元，占61.71%；</w:t>
      </w:r>
      <w:r>
        <w:rPr>
          <w:rFonts w:hint="eastAsia" w:ascii="仿宋_GB2312" w:hAnsi="宋体" w:eastAsia="仿宋_GB2312"/>
          <w:bCs/>
          <w:sz w:val="32"/>
          <w:lang w:val="zh-CN"/>
        </w:rPr>
        <w:t>其他支出0万元，占0%。</w:t>
      </w:r>
    </w:p>
    <w:p>
      <w:pPr>
        <w:spacing w:line="600" w:lineRule="exact"/>
        <w:rPr>
          <w:rFonts w:ascii="??_GB2312"/>
          <w:sz w:val="32"/>
          <w:szCs w:val="32"/>
        </w:rPr>
      </w:pPr>
    </w:p>
    <w:p>
      <w:pPr>
        <w:spacing w:line="600" w:lineRule="exact"/>
        <w:ind w:firstLine="640" w:firstLineChars="200"/>
        <w:rPr>
          <w:rFonts w:ascii="??_GB2312" w:eastAsia="Times New Roman"/>
          <w:sz w:val="32"/>
          <w:szCs w:val="32"/>
        </w:rPr>
      </w:pPr>
    </w:p>
    <w:p>
      <w:pPr>
        <w:spacing w:line="600" w:lineRule="exact"/>
        <w:ind w:firstLine="640" w:firstLineChars="200"/>
        <w:rPr>
          <w:rFonts w:ascii="??_GB2312" w:eastAsia="Times New Roman"/>
          <w:sz w:val="32"/>
          <w:szCs w:val="32"/>
        </w:rPr>
      </w:pPr>
    </w:p>
    <w:p>
      <w:pPr>
        <w:widowControl/>
        <w:adjustRightInd w:val="0"/>
        <w:snapToGrid w:val="0"/>
        <w:spacing w:line="480" w:lineRule="exact"/>
        <w:jc w:val="left"/>
        <w:rPr>
          <w:rFonts w:ascii="黑体" w:hAnsi="宋体" w:eastAsia="黑体" w:cs="宋体"/>
          <w:color w:val="000000"/>
          <w:kern w:val="0"/>
          <w:sz w:val="32"/>
        </w:rPr>
      </w:pPr>
    </w:p>
    <w:p>
      <w:pPr>
        <w:widowControl/>
        <w:adjustRightInd w:val="0"/>
        <w:snapToGrid w:val="0"/>
        <w:spacing w:line="480" w:lineRule="exact"/>
        <w:jc w:val="left"/>
        <w:rPr>
          <w:rFonts w:ascii="黑体" w:hAnsi="宋体" w:eastAsia="黑体" w:cs="宋体"/>
          <w:color w:val="000000"/>
          <w:kern w:val="0"/>
          <w:sz w:val="32"/>
        </w:rPr>
      </w:pPr>
    </w:p>
    <w:p>
      <w:pPr>
        <w:widowControl/>
        <w:numPr>
          <w:ilvl w:val="0"/>
          <w:numId w:val="0"/>
        </w:numPr>
        <w:adjustRightInd w:val="0"/>
        <w:snapToGrid w:val="0"/>
        <w:spacing w:line="480" w:lineRule="exact"/>
        <w:jc w:val="left"/>
        <w:outlineLvl w:val="1"/>
        <w:rPr>
          <w:rFonts w:hint="eastAsia" w:ascii="黑体" w:hAnsi="宋体" w:eastAsia="黑体" w:cs="宋体"/>
          <w:color w:val="000000"/>
          <w:kern w:val="0"/>
          <w:sz w:val="32"/>
        </w:rPr>
      </w:pPr>
    </w:p>
    <w:p>
      <w:pPr>
        <w:widowControl/>
        <w:numPr>
          <w:ilvl w:val="0"/>
          <w:numId w:val="4"/>
        </w:numPr>
        <w:adjustRightInd w:val="0"/>
        <w:snapToGrid w:val="0"/>
        <w:spacing w:line="480" w:lineRule="exact"/>
        <w:jc w:val="left"/>
        <w:outlineLvl w:val="1"/>
        <w:rPr>
          <w:rFonts w:hint="eastAsia" w:ascii="黑体" w:hAnsi="宋体" w:eastAsia="黑体" w:cs="宋体"/>
          <w:color w:val="000000"/>
          <w:kern w:val="0"/>
          <w:sz w:val="32"/>
        </w:rPr>
      </w:pPr>
      <w:r>
        <w:rPr>
          <w:rFonts w:hint="eastAsia" w:ascii="黑体" w:hAnsi="宋体" w:eastAsia="黑体" w:cs="宋体"/>
          <w:color w:val="000000"/>
          <w:kern w:val="0"/>
          <w:sz w:val="32"/>
        </w:rPr>
        <w:t>部门财政支出管理情况</w:t>
      </w:r>
    </w:p>
    <w:p>
      <w:pPr>
        <w:widowControl/>
        <w:numPr>
          <w:ilvl w:val="0"/>
          <w:numId w:val="0"/>
        </w:numPr>
        <w:adjustRightInd w:val="0"/>
        <w:snapToGrid w:val="0"/>
        <w:spacing w:line="480" w:lineRule="exact"/>
        <w:ind w:firstLine="320" w:firstLineChars="100"/>
        <w:jc w:val="left"/>
        <w:outlineLvl w:val="1"/>
        <w:rPr>
          <w:rFonts w:hint="eastAsia" w:ascii="仿宋_GB2312" w:hAnsi="仿宋_GB2312"/>
          <w:kern w:val="2"/>
          <w:sz w:val="32"/>
          <w:szCs w:val="32"/>
          <w:lang w:val="en-US" w:eastAsia="zh-CN"/>
        </w:rPr>
      </w:pPr>
      <w:r>
        <w:rPr>
          <w:rFonts w:hint="eastAsia" w:ascii="楷体" w:eastAsia="楷体"/>
          <w:color w:val="auto"/>
          <w:kern w:val="0"/>
          <w:sz w:val="32"/>
          <w:szCs w:val="32"/>
          <w:shd w:val="clear" w:color="auto" w:fill="FFFFFF"/>
        </w:rPr>
        <w:t>（一）部门预算管理。</w:t>
      </w:r>
    </w:p>
    <w:p>
      <w:pPr>
        <w:widowControl/>
        <w:adjustRightInd w:val="0"/>
        <w:snapToGrid w:val="0"/>
        <w:spacing w:line="480" w:lineRule="exact"/>
        <w:ind w:firstLine="640" w:firstLineChars="200"/>
        <w:jc w:val="left"/>
        <w:outlineLvl w:val="1"/>
        <w:rPr>
          <w:rFonts w:hint="eastAsia" w:ascii="仿宋_GB2312" w:hAnsi="宋体" w:eastAsia="仿宋_GB2312"/>
          <w:bCs/>
          <w:sz w:val="32"/>
          <w:lang w:val="zh-CN" w:eastAsia="zh-CN"/>
        </w:rPr>
      </w:pPr>
      <w:r>
        <w:rPr>
          <w:rFonts w:hint="eastAsia" w:ascii="仿宋_GB2312" w:hAnsi="仿宋_GB2312"/>
          <w:kern w:val="2"/>
          <w:sz w:val="32"/>
          <w:szCs w:val="32"/>
          <w:lang w:val="en-US" w:eastAsia="zh-CN"/>
        </w:rPr>
        <w:t>1</w:t>
      </w:r>
      <w:r>
        <w:rPr>
          <w:rFonts w:hint="eastAsia" w:ascii="仿宋_GB2312" w:eastAsia="仿宋_GB2312"/>
          <w:kern w:val="2"/>
          <w:sz w:val="32"/>
          <w:szCs w:val="32"/>
        </w:rPr>
        <w:t>.预算编制情况</w:t>
      </w:r>
    </w:p>
    <w:p>
      <w:pPr>
        <w:spacing w:line="600" w:lineRule="exact"/>
        <w:ind w:firstLine="640" w:firstLineChars="200"/>
        <w:rPr>
          <w:rFonts w:hint="eastAsia" w:ascii="仿宋_GB2312" w:hAnsi="宋体" w:eastAsia="仿宋_GB2312"/>
          <w:bCs/>
          <w:sz w:val="32"/>
          <w:lang w:val="en-US" w:eastAsia="zh-CN"/>
        </w:rPr>
      </w:pPr>
      <w:r>
        <w:rPr>
          <w:rFonts w:hint="eastAsia" w:ascii="仿宋_GB2312" w:hAnsi="宋体" w:eastAsia="仿宋_GB2312"/>
          <w:bCs/>
          <w:sz w:val="32"/>
          <w:lang w:val="en-US" w:eastAsia="zh-CN"/>
        </w:rPr>
        <w:t>金川县社会保险事务中心按照县财政的要求及时组织财务人员进行预决的编制，对本年度相应用款进行及时清理和处理，做到账账相符、账实相符、账证相符,先有预算再有支出的原则，及时处理相关事务；对绩效目标进行季度梳理和年度分析，及时上报相关报表；对专项预算提前细化，分科目上报，做到收支平衡；结合本部门实际工作情况：</w:t>
      </w:r>
    </w:p>
    <w:p>
      <w:pPr>
        <w:spacing w:line="600" w:lineRule="exact"/>
        <w:ind w:firstLine="640" w:firstLineChars="200"/>
        <w:rPr>
          <w:rFonts w:hint="eastAsia" w:ascii="仿宋_GB2312" w:hAnsi="宋体" w:eastAsia="仿宋_GB2312"/>
          <w:bCs/>
          <w:sz w:val="32"/>
          <w:lang w:val="en-US" w:eastAsia="zh-CN"/>
        </w:rPr>
      </w:pPr>
      <w:r>
        <w:rPr>
          <w:rFonts w:hint="eastAsia" w:ascii="仿宋_GB2312" w:hAnsi="宋体" w:eastAsia="仿宋_GB2312"/>
          <w:bCs/>
          <w:sz w:val="32"/>
          <w:lang w:val="en-US" w:eastAsia="zh-CN"/>
        </w:rPr>
        <w:t>按照预算绩效管理要求，本部门对2021年一般公共预算项目支出开展了绩效目标管理，共编制项目支出绩效目标0个，涉及财政资金0万元；共编制部门整体支出绩效目标1个，涉及财政资金976.78万元。</w:t>
      </w:r>
    </w:p>
    <w:p>
      <w:pPr>
        <w:spacing w:line="600" w:lineRule="exact"/>
        <w:ind w:firstLine="640" w:firstLineChars="200"/>
        <w:rPr>
          <w:rFonts w:hint="eastAsia" w:ascii="仿宋_GB2312" w:hAnsi="宋体" w:eastAsia="仿宋_GB2312"/>
          <w:bCs/>
          <w:sz w:val="32"/>
          <w:lang w:val="en-US" w:eastAsia="zh-CN"/>
        </w:rPr>
      </w:pPr>
      <w:r>
        <w:rPr>
          <w:rFonts w:hint="eastAsia" w:ascii="仿宋_GB2312" w:hAnsi="宋体" w:eastAsia="仿宋_GB2312"/>
          <w:bCs/>
          <w:sz w:val="32"/>
          <w:lang w:val="en-US" w:eastAsia="zh-CN"/>
        </w:rPr>
        <w:t>本年度收入的年初预算数为3433.72万元，上年度收入的年初预算数为222.38万元，较上年增加3211.34万元；主要原因为运转类项目机关事业养老保险2810万元，职业年金贴息35.69万元。</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2</w:t>
      </w:r>
      <w:r>
        <w:rPr>
          <w:rFonts w:hint="eastAsia" w:ascii="仿宋_GB2312" w:eastAsia="仿宋_GB2312"/>
          <w:kern w:val="2"/>
          <w:sz w:val="32"/>
          <w:szCs w:val="32"/>
        </w:rPr>
        <w:t>.支出控制</w:t>
      </w:r>
    </w:p>
    <w:p>
      <w:pPr>
        <w:keepNext w:val="0"/>
        <w:keepLines w:val="0"/>
        <w:pageBreakBefore w:val="0"/>
        <w:widowControl w:val="0"/>
        <w:suppressLineNumbers w:val="0"/>
        <w:suppressAutoHyphens w:val="0"/>
        <w:kinsoku/>
        <w:wordWrap/>
        <w:overflowPunct/>
        <w:topLinePunct w:val="0"/>
        <w:autoSpaceDE/>
        <w:autoSpaceDN/>
        <w:bidi w:val="0"/>
        <w:spacing w:line="560" w:lineRule="exact"/>
        <w:rPr>
          <w:rFonts w:hint="eastAsia" w:ascii="仿宋_GB2312" w:hAnsi="宋体" w:eastAsia="仿宋_GB2312"/>
          <w:bCs/>
          <w:sz w:val="32"/>
          <w:lang w:val="en-US" w:eastAsia="zh-CN"/>
        </w:rPr>
      </w:pPr>
      <w:r>
        <w:rPr>
          <w:rFonts w:hint="eastAsia" w:ascii="仿宋_GB2312" w:eastAsia="仿宋_GB2312"/>
          <w:kern w:val="2"/>
          <w:sz w:val="32"/>
          <w:szCs w:val="32"/>
        </w:rPr>
        <w:t xml:space="preserve">    支出总额控制在预算内。</w:t>
      </w:r>
    </w:p>
    <w:p>
      <w:pPr>
        <w:spacing w:line="600" w:lineRule="exact"/>
        <w:ind w:firstLine="640" w:firstLineChars="200"/>
        <w:outlineLvl w:val="2"/>
        <w:rPr>
          <w:rFonts w:hint="eastAsia" w:ascii="仿宋_GB2312" w:hAnsi="宋体" w:eastAsia="仿宋_GB2312"/>
          <w:bCs/>
          <w:sz w:val="32"/>
          <w:lang w:val="zh-CN" w:eastAsia="zh-CN"/>
        </w:rPr>
      </w:pPr>
      <w:r>
        <w:rPr>
          <w:rFonts w:hint="eastAsia" w:ascii="仿宋_GB2312" w:hAnsi="宋体" w:eastAsia="仿宋_GB2312"/>
          <w:bCs/>
          <w:sz w:val="32"/>
          <w:lang w:val="en-US" w:eastAsia="zh-CN"/>
        </w:rPr>
        <w:t>3.</w:t>
      </w:r>
      <w:r>
        <w:rPr>
          <w:rFonts w:hint="eastAsia" w:ascii="仿宋_GB2312" w:hAnsi="宋体" w:eastAsia="仿宋_GB2312"/>
          <w:bCs/>
          <w:sz w:val="32"/>
          <w:lang w:val="zh-CN" w:eastAsia="zh-CN"/>
        </w:rPr>
        <w:t>预算执行完成情况</w:t>
      </w:r>
    </w:p>
    <w:p>
      <w:pPr>
        <w:spacing w:line="600" w:lineRule="exact"/>
        <w:ind w:firstLine="640" w:firstLineChars="200"/>
        <w:rPr>
          <w:rFonts w:hint="eastAsia" w:ascii="仿宋_GB2312" w:hAnsi="宋体" w:eastAsia="仿宋_GB2312"/>
          <w:bCs/>
          <w:sz w:val="32"/>
          <w:lang w:val="en-US" w:eastAsia="zh-CN"/>
        </w:rPr>
      </w:pPr>
      <w:r>
        <w:rPr>
          <w:rFonts w:hint="eastAsia" w:ascii="仿宋_GB2312" w:hAnsi="宋体" w:eastAsia="仿宋_GB2312"/>
          <w:bCs/>
          <w:sz w:val="32"/>
          <w:lang w:val="en-US" w:eastAsia="zh-CN"/>
        </w:rPr>
        <w:t>我中心绩效管理严格按照上级部门要求，开展自评工作，对评价结果及时总结上报。并按照县财政的要求，认真总结经验，及时上报相关的用款计划；分月、分季度上报相应计划，待财政审核通过后，严格按计划执行，各季度执行情况良好。</w:t>
      </w:r>
    </w:p>
    <w:p>
      <w:pPr>
        <w:spacing w:line="600" w:lineRule="exact"/>
        <w:ind w:firstLine="640" w:firstLineChars="200"/>
        <w:rPr>
          <w:rFonts w:hint="eastAsia" w:ascii="仿宋_GB2312" w:hAnsi="宋体" w:eastAsia="仿宋_GB2312"/>
          <w:bCs/>
          <w:sz w:val="32"/>
          <w:lang w:val="zh-CN" w:eastAsia="zh-CN"/>
        </w:rPr>
      </w:pPr>
      <w:r>
        <w:rPr>
          <w:rFonts w:hint="eastAsia" w:ascii="仿宋_GB2312" w:hAnsi="宋体" w:eastAsia="仿宋_GB2312"/>
          <w:bCs/>
          <w:sz w:val="32"/>
          <w:lang w:val="en-US" w:eastAsia="zh-CN"/>
        </w:rPr>
        <w:t>本单位2021年“三公”经费财政拨款预算数4.04万元，其中：因公出国（境）经费0万元，公务接待费0.1万元，公务用车购置及运行维护费3.94万元。2021年度“三公”经费财政拨款支出决算中，无因公出国（境）费支出；公务接待费支出0.1万元；公务用车购置及运行维护费支出决算3.94万元。今年我中心将会继续严格控制“三公”经费，按照上级的要求，继续深化部门预算改革，强化制度建设，完善预算分配机制，进一步加强“三公”经费预算的编制和执行管理，大力推进建立和完善厉行节约的长效机制。</w:t>
      </w:r>
    </w:p>
    <w:p>
      <w:pPr>
        <w:spacing w:line="600" w:lineRule="exact"/>
        <w:ind w:firstLine="640" w:firstLineChars="200"/>
        <w:outlineLvl w:val="2"/>
        <w:rPr>
          <w:rFonts w:hint="eastAsia" w:ascii="仿宋_GB2312" w:hAnsi="宋体" w:eastAsia="仿宋_GB2312"/>
          <w:bCs/>
          <w:sz w:val="32"/>
          <w:lang w:val="zh-CN" w:eastAsia="zh-CN"/>
        </w:rPr>
      </w:pPr>
      <w:r>
        <w:rPr>
          <w:rFonts w:hint="eastAsia" w:ascii="仿宋_GB2312" w:hAnsi="宋体" w:eastAsia="仿宋_GB2312"/>
          <w:bCs/>
          <w:sz w:val="32"/>
          <w:lang w:val="en-US" w:eastAsia="zh-CN"/>
        </w:rPr>
        <w:t>4.</w:t>
      </w:r>
      <w:r>
        <w:rPr>
          <w:rFonts w:hint="eastAsia" w:ascii="仿宋_GB2312" w:hAnsi="宋体" w:eastAsia="仿宋_GB2312"/>
          <w:bCs/>
          <w:sz w:val="32"/>
          <w:lang w:val="zh-CN" w:eastAsia="zh-CN"/>
        </w:rPr>
        <w:t>综合管理情况</w:t>
      </w:r>
    </w:p>
    <w:p>
      <w:pPr>
        <w:spacing w:line="600" w:lineRule="exact"/>
        <w:ind w:firstLine="640" w:firstLineChars="200"/>
        <w:rPr>
          <w:rFonts w:hint="eastAsia" w:ascii="仿宋_GB2312" w:hAnsi="宋体" w:eastAsia="仿宋_GB2312"/>
          <w:bCs/>
          <w:sz w:val="32"/>
          <w:lang w:val="zh-CN" w:eastAsia="zh-CN"/>
        </w:rPr>
      </w:pPr>
      <w:r>
        <w:rPr>
          <w:rFonts w:hint="eastAsia" w:ascii="仿宋_GB2312" w:hAnsi="宋体" w:eastAsia="仿宋_GB2312"/>
          <w:bCs/>
          <w:sz w:val="32"/>
          <w:lang w:val="en-US" w:eastAsia="zh-CN"/>
        </w:rPr>
        <w:t>我中心执行事业单位会计管理制度，按照公共财政管理的基本要求，继续深化预决算编制改革，严格政策标准，优化支出结构提高预决算编制的科学化、精细化水平。严格执行内控制度管理办法，实行会计核算和账务管理制度公开；政府采购制度公开公示，预决算在规定时限内在政府门户网站公开接受群众的监督；资产管理做到账实相符、实时入账资产管理系统；我局绩效管理严格按照上级部门要求，并接受财政局监察股的动态管理，开展自评工作，对评价结果及时总结上报，</w:t>
      </w:r>
      <w:r>
        <w:rPr>
          <w:rFonts w:hint="eastAsia" w:ascii="仿宋_GB2312" w:hAnsi="宋体" w:eastAsia="仿宋_GB2312"/>
          <w:bCs/>
          <w:sz w:val="32"/>
          <w:lang w:val="zh-CN" w:eastAsia="zh-CN"/>
        </w:rPr>
        <w:t>依法接受财政监督。</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楷体" w:eastAsia="楷体"/>
          <w:color w:val="auto"/>
          <w:kern w:val="0"/>
          <w:sz w:val="32"/>
          <w:szCs w:val="32"/>
          <w:shd w:val="clear" w:color="auto" w:fill="FFFFFF"/>
        </w:rPr>
      </w:pPr>
      <w:r>
        <w:rPr>
          <w:rFonts w:hint="eastAsia" w:ascii="楷体" w:eastAsia="楷体"/>
          <w:color w:val="auto"/>
          <w:kern w:val="0"/>
          <w:sz w:val="32"/>
          <w:szCs w:val="32"/>
          <w:shd w:val="clear" w:color="auto" w:fill="FFFFFF"/>
        </w:rPr>
        <w:t>（二）结果应用情况。</w:t>
      </w:r>
    </w:p>
    <w:p>
      <w:pPr>
        <w:spacing w:line="600" w:lineRule="exact"/>
        <w:ind w:firstLine="640" w:firstLineChars="200"/>
        <w:rPr>
          <w:rFonts w:hint="eastAsia" w:ascii="仿宋_GB2312" w:hAnsi="宋体" w:eastAsia="仿宋_GB2312"/>
          <w:bCs/>
          <w:sz w:val="32"/>
          <w:lang w:val="en-US" w:eastAsia="zh-CN"/>
        </w:rPr>
      </w:pPr>
      <w:r>
        <w:rPr>
          <w:rFonts w:hint="eastAsia" w:ascii="仿宋_GB2312" w:hAnsi="宋体" w:eastAsia="仿宋_GB2312"/>
          <w:bCs/>
          <w:sz w:val="32"/>
          <w:lang w:val="en-US" w:eastAsia="zh-CN"/>
        </w:rPr>
        <w:t>2021年根据年初工作规划和重点性工作，积极履职，强化管理，较好的完成了工作目标。通过加强预算收支管理，不断建立健全内部管理制度，梳理内部管理流程，部门整体支出管理情况得到提升。根据2021年年度部门整体支出状况的概述和分析，单位整体支出绩效情况如下：</w:t>
      </w:r>
    </w:p>
    <w:p>
      <w:pPr>
        <w:spacing w:line="600" w:lineRule="exact"/>
        <w:ind w:firstLine="640" w:firstLineChars="200"/>
        <w:rPr>
          <w:rFonts w:hint="eastAsia" w:ascii="仿宋_GB2312" w:hAnsi="宋体" w:eastAsia="仿宋_GB2312"/>
          <w:bCs/>
          <w:sz w:val="32"/>
          <w:lang w:val="en-US" w:eastAsia="zh-CN"/>
        </w:rPr>
      </w:pPr>
      <w:r>
        <w:rPr>
          <w:rFonts w:hint="eastAsia" w:ascii="仿宋_GB2312" w:hAnsi="宋体" w:eastAsia="仿宋_GB2312"/>
          <w:bCs/>
          <w:sz w:val="32"/>
          <w:lang w:val="en-US" w:eastAsia="zh-CN"/>
        </w:rPr>
        <w:t>（1）经济效益评价</w:t>
      </w:r>
    </w:p>
    <w:p>
      <w:pPr>
        <w:spacing w:line="600" w:lineRule="exact"/>
        <w:ind w:firstLine="640" w:firstLineChars="200"/>
        <w:rPr>
          <w:rFonts w:hint="eastAsia" w:ascii="仿宋_GB2312" w:hAnsi="宋体" w:eastAsia="仿宋_GB2312"/>
          <w:bCs/>
          <w:sz w:val="32"/>
          <w:lang w:val="en-US" w:eastAsia="zh-CN"/>
        </w:rPr>
      </w:pPr>
      <w:r>
        <w:rPr>
          <w:rFonts w:hint="eastAsia" w:ascii="仿宋_GB2312" w:hAnsi="宋体" w:eastAsia="仿宋_GB2312"/>
          <w:bCs/>
          <w:sz w:val="32"/>
          <w:lang w:val="en-US" w:eastAsia="zh-CN"/>
        </w:rPr>
        <w:t>本年预算控制较好，2021年“三公”经费控制良好。</w:t>
      </w:r>
    </w:p>
    <w:p>
      <w:pPr>
        <w:spacing w:line="600" w:lineRule="exact"/>
        <w:ind w:firstLine="640" w:firstLineChars="200"/>
        <w:rPr>
          <w:rFonts w:hint="eastAsia" w:ascii="仿宋_GB2312" w:hAnsi="宋体" w:eastAsia="仿宋_GB2312"/>
          <w:bCs/>
          <w:sz w:val="32"/>
          <w:lang w:val="en-US" w:eastAsia="zh-CN"/>
        </w:rPr>
      </w:pPr>
      <w:r>
        <w:rPr>
          <w:rFonts w:hint="eastAsia" w:ascii="仿宋_GB2312" w:hAnsi="宋体" w:eastAsia="仿宋_GB2312"/>
          <w:bCs/>
          <w:sz w:val="32"/>
          <w:lang w:val="en-US" w:eastAsia="zh-CN"/>
        </w:rPr>
        <w:t>预算执行方面。支出总额控制在预算总额以内，本年部门预算未进行预算相关事项的调整；2021年“三公”经费预算总额控制良好。</w:t>
      </w:r>
    </w:p>
    <w:p>
      <w:pPr>
        <w:spacing w:line="600" w:lineRule="exact"/>
        <w:ind w:firstLine="640" w:firstLineChars="200"/>
        <w:rPr>
          <w:rFonts w:hint="eastAsia" w:ascii="仿宋_GB2312" w:hAnsi="宋体" w:eastAsia="仿宋_GB2312"/>
          <w:bCs/>
          <w:sz w:val="32"/>
          <w:lang w:val="en-US" w:eastAsia="zh-CN"/>
        </w:rPr>
      </w:pPr>
      <w:r>
        <w:rPr>
          <w:rFonts w:hint="eastAsia" w:ascii="仿宋_GB2312" w:hAnsi="宋体" w:eastAsia="仿宋_GB2312"/>
          <w:bCs/>
          <w:sz w:val="32"/>
          <w:lang w:val="en-US" w:eastAsia="zh-CN"/>
        </w:rPr>
        <w:t>预算管理方面，制度执行总体较为有效，仍需进一步强化；资金使用管理需进一步加强。</w:t>
      </w:r>
    </w:p>
    <w:p>
      <w:pPr>
        <w:spacing w:line="600" w:lineRule="exact"/>
        <w:ind w:firstLine="640" w:firstLineChars="200"/>
        <w:rPr>
          <w:rFonts w:hint="eastAsia" w:ascii="仿宋_GB2312" w:hAnsi="宋体" w:eastAsia="仿宋_GB2312"/>
          <w:bCs/>
          <w:sz w:val="32"/>
          <w:lang w:val="en-US" w:eastAsia="zh-CN"/>
        </w:rPr>
      </w:pPr>
      <w:r>
        <w:rPr>
          <w:rFonts w:hint="eastAsia" w:ascii="仿宋_GB2312" w:hAnsi="宋体" w:eastAsia="仿宋_GB2312"/>
          <w:bCs/>
          <w:sz w:val="32"/>
          <w:lang w:val="en-US" w:eastAsia="zh-CN"/>
        </w:rPr>
        <w:t>资产管理方面，建立了资产管理制度，定期进行了盘点和资产清理，总体执行较好。</w:t>
      </w:r>
    </w:p>
    <w:p>
      <w:pPr>
        <w:spacing w:line="600" w:lineRule="exact"/>
        <w:ind w:firstLine="640" w:firstLineChars="200"/>
        <w:rPr>
          <w:rFonts w:hint="eastAsia" w:ascii="仿宋_GB2312" w:hAnsi="宋体" w:eastAsia="仿宋_GB2312"/>
          <w:bCs/>
          <w:sz w:val="32"/>
          <w:lang w:val="en-US" w:eastAsia="zh-CN"/>
        </w:rPr>
      </w:pPr>
      <w:r>
        <w:rPr>
          <w:rFonts w:hint="eastAsia" w:ascii="仿宋_GB2312" w:hAnsi="宋体" w:eastAsia="仿宋_GB2312"/>
          <w:bCs/>
          <w:sz w:val="32"/>
          <w:lang w:val="en-US" w:eastAsia="zh-CN"/>
        </w:rPr>
        <w:t>（2）效率性评价和有效性评价</w:t>
      </w:r>
    </w:p>
    <w:p>
      <w:pPr>
        <w:spacing w:line="600" w:lineRule="exact"/>
        <w:ind w:firstLine="640" w:firstLineChars="200"/>
        <w:rPr>
          <w:rFonts w:hint="eastAsia" w:ascii="仿宋_GB2312" w:hAnsi="宋体" w:eastAsia="仿宋_GB2312"/>
          <w:bCs/>
          <w:sz w:val="32"/>
          <w:lang w:val="en-US" w:eastAsia="zh-CN"/>
        </w:rPr>
      </w:pPr>
      <w:r>
        <w:rPr>
          <w:rFonts w:hint="eastAsia" w:ascii="仿宋_GB2312" w:hAnsi="宋体" w:eastAsia="仿宋_GB2312"/>
          <w:bCs/>
          <w:sz w:val="32"/>
          <w:lang w:val="en-US" w:eastAsia="zh-CN"/>
        </w:rPr>
        <w:t>预算安排的基本支出保障了正常的工作运转，预算安排的项目支出是非常必要的，在执行上是严格遵守各项财经纪律的，在项目资金的使用上也是放的心的，严守法律底线、纪律底线、道德底线。</w:t>
      </w:r>
    </w:p>
    <w:p>
      <w:pPr>
        <w:spacing w:line="600" w:lineRule="exact"/>
        <w:ind w:firstLine="640" w:firstLineChars="200"/>
        <w:rPr>
          <w:rFonts w:hint="eastAsia" w:ascii="仿宋_GB2312" w:hAnsi="宋体" w:eastAsia="仿宋_GB2312"/>
          <w:bCs/>
          <w:sz w:val="32"/>
          <w:lang w:val="en-US" w:eastAsia="zh-CN"/>
        </w:rPr>
      </w:pPr>
      <w:r>
        <w:rPr>
          <w:rFonts w:hint="eastAsia" w:ascii="仿宋_GB2312" w:hAnsi="宋体" w:eastAsia="仿宋_GB2312"/>
          <w:bCs/>
          <w:sz w:val="32"/>
          <w:lang w:val="en-US" w:eastAsia="zh-CN"/>
        </w:rPr>
        <w:t>（3）社会公众满意度评价</w:t>
      </w:r>
    </w:p>
    <w:p>
      <w:pPr>
        <w:spacing w:line="600" w:lineRule="exact"/>
        <w:ind w:firstLine="640" w:firstLineChars="200"/>
        <w:rPr>
          <w:rFonts w:hint="eastAsia" w:ascii="仿宋_GB2312" w:hAnsi="宋体" w:eastAsia="仿宋_GB2312"/>
          <w:bCs/>
          <w:sz w:val="32"/>
          <w:lang w:val="en-US" w:eastAsia="zh-CN"/>
        </w:rPr>
      </w:pPr>
      <w:r>
        <w:rPr>
          <w:rFonts w:hint="eastAsia" w:ascii="仿宋_GB2312" w:hAnsi="宋体" w:eastAsia="仿宋_GB2312"/>
          <w:bCs/>
          <w:sz w:val="32"/>
          <w:lang w:val="en-US" w:eastAsia="zh-CN"/>
        </w:rPr>
        <w:t>社保中心全体职工，在县委、县政府决策部署下，勤奋工作，2021年服务对象满意度为100%。</w:t>
      </w:r>
    </w:p>
    <w:p>
      <w:pPr>
        <w:widowControl/>
        <w:adjustRightInd w:val="0"/>
        <w:snapToGrid w:val="0"/>
        <w:spacing w:line="480" w:lineRule="exact"/>
        <w:ind w:firstLine="720"/>
        <w:jc w:val="left"/>
        <w:outlineLvl w:val="1"/>
        <w:rPr>
          <w:rFonts w:ascii="黑体" w:hAnsi="宋体" w:eastAsia="黑体" w:cs="宋体"/>
          <w:color w:val="000000"/>
          <w:kern w:val="0"/>
        </w:rPr>
      </w:pPr>
      <w:r>
        <w:rPr>
          <w:rFonts w:hint="eastAsia" w:ascii="黑体" w:hAnsi="宋体" w:eastAsia="黑体" w:cs="宋体"/>
          <w:color w:val="000000"/>
          <w:kern w:val="0"/>
          <w:sz w:val="32"/>
        </w:rPr>
        <w:t>四、评价结论及建议</w:t>
      </w:r>
    </w:p>
    <w:p>
      <w:pPr>
        <w:spacing w:line="600" w:lineRule="exact"/>
        <w:ind w:firstLine="640" w:firstLineChars="200"/>
        <w:rPr>
          <w:rFonts w:hint="eastAsia" w:ascii="仿宋_GB2312" w:hAnsi="宋体" w:eastAsia="仿宋_GB2312"/>
          <w:bCs/>
          <w:sz w:val="32"/>
          <w:lang w:val="zh-CN" w:eastAsia="zh-CN"/>
        </w:rPr>
      </w:pPr>
      <w:r>
        <w:rPr>
          <w:rFonts w:hint="eastAsia" w:ascii="仿宋_GB2312" w:hAnsi="宋体" w:eastAsia="仿宋_GB2312"/>
          <w:bCs/>
          <w:sz w:val="32"/>
          <w:lang w:val="zh-CN" w:eastAsia="zh-CN"/>
        </w:rPr>
        <w:t>1、评价结论。部门预算执行情况良好，无不良记录及违规违纪行为，预算支出和决算支出情况相符。</w:t>
      </w:r>
    </w:p>
    <w:p>
      <w:pPr>
        <w:spacing w:line="600" w:lineRule="exact"/>
        <w:ind w:firstLine="640" w:firstLineChars="200"/>
        <w:rPr>
          <w:rFonts w:hint="eastAsia" w:ascii="仿宋_GB2312" w:hAnsi="宋体" w:eastAsia="仿宋_GB2312"/>
          <w:bCs/>
          <w:sz w:val="32"/>
          <w:lang w:val="zh-CN" w:eastAsia="zh-CN"/>
        </w:rPr>
      </w:pPr>
      <w:r>
        <w:rPr>
          <w:rFonts w:hint="eastAsia" w:ascii="仿宋_GB2312" w:hAnsi="宋体" w:eastAsia="仿宋_GB2312"/>
          <w:bCs/>
          <w:sz w:val="32"/>
          <w:lang w:val="zh-CN" w:eastAsia="zh-CN"/>
        </w:rPr>
        <w:t>2、存在问题。一是预算经费支出进度较缓；二是部门决算上报处理效率还需继续提升。</w:t>
      </w:r>
    </w:p>
    <w:p>
      <w:pPr>
        <w:spacing w:line="600" w:lineRule="exact"/>
        <w:ind w:firstLine="640" w:firstLineChars="200"/>
        <w:rPr>
          <w:rFonts w:hint="eastAsia" w:ascii="仿宋_GB2312" w:hAnsi="宋体" w:eastAsia="仿宋_GB2312"/>
          <w:bCs/>
          <w:sz w:val="32"/>
          <w:lang w:val="zh-CN" w:eastAsia="zh-CN"/>
        </w:rPr>
      </w:pPr>
      <w:r>
        <w:rPr>
          <w:rFonts w:hint="eastAsia" w:ascii="仿宋_GB2312" w:hAnsi="宋体" w:eastAsia="仿宋_GB2312"/>
          <w:bCs/>
          <w:sz w:val="32"/>
          <w:lang w:val="zh-CN" w:eastAsia="zh-CN"/>
        </w:rPr>
        <w:t>3、改进建议。加快完成机关财务管理规章制度建设、加强会计核算和财务管理能力，及时与财政局相关科室对接工作，提升工作效率。</w:t>
      </w:r>
    </w:p>
    <w:p>
      <w:pPr>
        <w:spacing w:line="600" w:lineRule="exact"/>
        <w:jc w:val="center"/>
        <w:outlineLvl w:val="0"/>
        <w:rPr>
          <w:rFonts w:hint="eastAsia" w:ascii="方正小标宋简体" w:eastAsia="方正小标宋简体"/>
          <w:color w:val="000000"/>
          <w:sz w:val="44"/>
          <w:szCs w:val="44"/>
        </w:rPr>
      </w:pPr>
    </w:p>
    <w:p>
      <w:pPr>
        <w:rPr>
          <w:rFonts w:hint="eastAsia"/>
          <w:lang w:val="zh-CN" w:eastAsia="zh-CN"/>
        </w:rPr>
      </w:pPr>
    </w:p>
    <w:sectPr>
      <w:footerReference r:id="rId6"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auto"/>
    <w:pitch w:val="default"/>
    <w:sig w:usb0="00000000" w:usb1="00000000"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altName w:val="方正小标宋_GBK"/>
    <w:panose1 w:val="00000000000000000000"/>
    <w:charset w:val="86"/>
    <w:family w:val="script"/>
    <w:pitch w:val="default"/>
    <w:sig w:usb0="00000000" w:usb1="00000000" w:usb2="00000010" w:usb3="00000000" w:csb0="00040000" w:csb1="00000000"/>
  </w:font>
  <w:font w:name="Albertus Extra Bold">
    <w:altName w:val="DejaVu Math TeX Gyre"/>
    <w:panose1 w:val="00000000000000000000"/>
    <w:charset w:val="00"/>
    <w:family w:val="auto"/>
    <w:pitch w:val="default"/>
    <w:sig w:usb0="00000000" w:usb1="00000000" w:usb2="00000000" w:usb3="00000000" w:csb0="00000093" w:csb1="00000000"/>
  </w:font>
  <w:font w:name="??_GB2312">
    <w:altName w:val="DejaVu Math TeX Gyre"/>
    <w:panose1 w:val="00000000000000000000"/>
    <w:charset w:val="00"/>
    <w:family w:val="auto"/>
    <w:pitch w:val="default"/>
    <w:sig w:usb0="00000000" w:usb1="00000000" w:usb2="00000000" w:usb3="00000000" w:csb0="00000001"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DejaVu Math TeX Gyre">
    <w:panose1 w:val="02000503000000000000"/>
    <w:charset w:val="00"/>
    <w:family w:val="auto"/>
    <w:pitch w:val="default"/>
    <w:sig w:usb0="A10000EF" w:usb1="4201F9EE" w:usb2="02000000" w:usb3="00000000" w:csb0="60000193" w:csb1="0DD4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pict>
        <v:shape id="文本框 3" o:spid="_x0000_s2049"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w0+Gd4BAAC+AwAADgAAAGRycy9lMm9Eb2MueG1srVPBjtMwEL0j8Q+W&#10;7zTZroS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ovOXPC0sDP37+df/w6//zK&#10;rp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rDT4Z3gEAAL4DAAAOAAAAAAAA&#10;AAEAIAAAAB4BAABkcnMvZTJvRG9jLnhtbFBLBQYAAAAABgAGAFkBAABuBQAAAAA=&#10;">
          <v:path/>
          <v:fill on="f" focussize="0,0"/>
          <v:stroke on="f" joinstyle="miter"/>
          <v:imagedata o:title=""/>
          <o:lock v:ext="edit"/>
          <v:textbox inset="0mm,0mm,0mm,0mm" style="mso-fit-shape-to-text:t;">
            <w:txbxContent>
              <w:p>
                <w:pPr>
                  <w:pStyle w:val="7"/>
                  <w:jc w:val="center"/>
                </w:pPr>
                <w:r>
                  <w:fldChar w:fldCharType="begin"/>
                </w:r>
                <w:r>
                  <w:instrText xml:space="preserve"> PAGE   \* MERGEFORMAT </w:instrText>
                </w:r>
                <w:r>
                  <w:fldChar w:fldCharType="separate"/>
                </w:r>
                <w:r>
                  <w:rPr>
                    <w:lang w:val="zh-CN"/>
                  </w:rPr>
                  <w:t>2</w:t>
                </w:r>
                <w:r>
                  <w:fldChar w:fldCharType="end"/>
                </w:r>
              </w:p>
            </w:txbxContent>
          </v:textbox>
        </v:shape>
      </w:pict>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REUCndAQAAvgMAAA4AAAAAAAAA&#10;AQAgAAAAHgEAAGRycy9lMm9Eb2MueG1sUEsFBgAAAAAGAAYAWQEAAG0FAAAAAA==&#10;">
          <v:path/>
          <v:fill on="f" focussize="0,0"/>
          <v:stroke on="f" joinstyle="miter"/>
          <v:imagedata o:title=""/>
          <o:lock v:ext="edit"/>
          <v:textbox inset="0mm,0mm,0mm,0mm" style="mso-fit-shape-to-text:t;">
            <w:txbxContent>
              <w:p>
                <w:pPr>
                  <w:pStyle w:val="7"/>
                  <w:jc w:val="center"/>
                </w:pPr>
                <w:r>
                  <w:fldChar w:fldCharType="begin"/>
                </w:r>
                <w:r>
                  <w:instrText xml:space="preserve"> PAGE   \* MERGEFORMAT </w:instrText>
                </w:r>
                <w:r>
                  <w:fldChar w:fldCharType="separate"/>
                </w:r>
                <w:r>
                  <w:rPr>
                    <w:lang w:val="zh-CN"/>
                  </w:rPr>
                  <w:t>5</w:t>
                </w:r>
                <w:r>
                  <w:fldChar w:fldCharType="end"/>
                </w:r>
              </w:p>
            </w:txbxContent>
          </v:textbox>
        </v:shape>
      </w:pict>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left"/>
      <w:rPr>
        <w:rFonts w:ascii="仿宋" w:hAnsi="仿宋" w:eastAsia="仿宋" w:cs="仿宋"/>
        <w:sz w:val="11"/>
        <w:szCs w:val="1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8F1723"/>
    <w:multiLevelType w:val="singleLevel"/>
    <w:tmpl w:val="AC8F1723"/>
    <w:lvl w:ilvl="0" w:tentative="0">
      <w:start w:val="3"/>
      <w:numFmt w:val="chineseCounting"/>
      <w:suff w:val="nothing"/>
      <w:lvlText w:val="%1、"/>
      <w:lvlJc w:val="left"/>
      <w:rPr>
        <w:rFonts w:hint="eastAsia"/>
      </w:rPr>
    </w:lvl>
  </w:abstractNum>
  <w:abstractNum w:abstractNumId="1">
    <w:nsid w:val="D7BDC64D"/>
    <w:multiLevelType w:val="singleLevel"/>
    <w:tmpl w:val="D7BDC64D"/>
    <w:lvl w:ilvl="0" w:tentative="0">
      <w:start w:val="3"/>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23964921"/>
    <w:multiLevelType w:val="singleLevel"/>
    <w:tmpl w:val="23964921"/>
    <w:lvl w:ilvl="0" w:tentative="0">
      <w:start w:val="2"/>
      <w:numFmt w:val="chineseCounting"/>
      <w:suff w:val="space"/>
      <w:lvlText w:val="第%1部分"/>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WE4NGViZjU0MzVjNDA1ZWUyM2EwMDQ1ZWE5YThiMzYifQ=="/>
  </w:docVars>
  <w:rsids>
    <w:rsidRoot w:val="00172A27"/>
    <w:rsid w:val="000350EB"/>
    <w:rsid w:val="00073FCB"/>
    <w:rsid w:val="00081E64"/>
    <w:rsid w:val="000B047F"/>
    <w:rsid w:val="000B0672"/>
    <w:rsid w:val="000B5A48"/>
    <w:rsid w:val="000C3CA6"/>
    <w:rsid w:val="000C73BC"/>
    <w:rsid w:val="000D5782"/>
    <w:rsid w:val="00130F42"/>
    <w:rsid w:val="00130F8C"/>
    <w:rsid w:val="00131FF9"/>
    <w:rsid w:val="00142AB7"/>
    <w:rsid w:val="0014729F"/>
    <w:rsid w:val="00171AA2"/>
    <w:rsid w:val="00191536"/>
    <w:rsid w:val="001B1462"/>
    <w:rsid w:val="001D31BC"/>
    <w:rsid w:val="001F0A88"/>
    <w:rsid w:val="001F157A"/>
    <w:rsid w:val="00235688"/>
    <w:rsid w:val="00251D22"/>
    <w:rsid w:val="00252028"/>
    <w:rsid w:val="00260C38"/>
    <w:rsid w:val="00282C58"/>
    <w:rsid w:val="002D42B8"/>
    <w:rsid w:val="002F6B10"/>
    <w:rsid w:val="003250BB"/>
    <w:rsid w:val="00334A18"/>
    <w:rsid w:val="003528AE"/>
    <w:rsid w:val="00355750"/>
    <w:rsid w:val="0037013F"/>
    <w:rsid w:val="003A484F"/>
    <w:rsid w:val="003B0C1B"/>
    <w:rsid w:val="003D6075"/>
    <w:rsid w:val="003E203C"/>
    <w:rsid w:val="00401648"/>
    <w:rsid w:val="004157CB"/>
    <w:rsid w:val="00446A16"/>
    <w:rsid w:val="00482E3F"/>
    <w:rsid w:val="004B6F9D"/>
    <w:rsid w:val="0050018A"/>
    <w:rsid w:val="00535494"/>
    <w:rsid w:val="0055590C"/>
    <w:rsid w:val="00563B1E"/>
    <w:rsid w:val="00582D4E"/>
    <w:rsid w:val="0058486E"/>
    <w:rsid w:val="00594DD7"/>
    <w:rsid w:val="00597930"/>
    <w:rsid w:val="005B120C"/>
    <w:rsid w:val="005B4624"/>
    <w:rsid w:val="005D5CED"/>
    <w:rsid w:val="006063A3"/>
    <w:rsid w:val="00607E6C"/>
    <w:rsid w:val="00622248"/>
    <w:rsid w:val="00643A30"/>
    <w:rsid w:val="0066343B"/>
    <w:rsid w:val="0068457C"/>
    <w:rsid w:val="006A7477"/>
    <w:rsid w:val="006E066D"/>
    <w:rsid w:val="006E4D8D"/>
    <w:rsid w:val="00760F0E"/>
    <w:rsid w:val="0076182A"/>
    <w:rsid w:val="00767B7E"/>
    <w:rsid w:val="00771636"/>
    <w:rsid w:val="00776B71"/>
    <w:rsid w:val="007770C3"/>
    <w:rsid w:val="007A1484"/>
    <w:rsid w:val="007B0F8A"/>
    <w:rsid w:val="007C1F18"/>
    <w:rsid w:val="00800112"/>
    <w:rsid w:val="008031E6"/>
    <w:rsid w:val="008322A9"/>
    <w:rsid w:val="00871F71"/>
    <w:rsid w:val="008B4310"/>
    <w:rsid w:val="00904BA3"/>
    <w:rsid w:val="00912B4E"/>
    <w:rsid w:val="00913F05"/>
    <w:rsid w:val="00915E87"/>
    <w:rsid w:val="00951248"/>
    <w:rsid w:val="0095152F"/>
    <w:rsid w:val="009518E9"/>
    <w:rsid w:val="0095236D"/>
    <w:rsid w:val="00971200"/>
    <w:rsid w:val="00971FFC"/>
    <w:rsid w:val="009832D8"/>
    <w:rsid w:val="009A2199"/>
    <w:rsid w:val="009B4EAE"/>
    <w:rsid w:val="009B7573"/>
    <w:rsid w:val="009D1708"/>
    <w:rsid w:val="009D3447"/>
    <w:rsid w:val="00A142EF"/>
    <w:rsid w:val="00A307CD"/>
    <w:rsid w:val="00A47398"/>
    <w:rsid w:val="00A721A1"/>
    <w:rsid w:val="00A820BE"/>
    <w:rsid w:val="00A91CAA"/>
    <w:rsid w:val="00AC5F28"/>
    <w:rsid w:val="00AE70BC"/>
    <w:rsid w:val="00AE7747"/>
    <w:rsid w:val="00AF2347"/>
    <w:rsid w:val="00B03C9D"/>
    <w:rsid w:val="00B10517"/>
    <w:rsid w:val="00B16718"/>
    <w:rsid w:val="00B310B9"/>
    <w:rsid w:val="00BA4555"/>
    <w:rsid w:val="00BC7BAA"/>
    <w:rsid w:val="00BD1F19"/>
    <w:rsid w:val="00BE6730"/>
    <w:rsid w:val="00C03E31"/>
    <w:rsid w:val="00C04CA4"/>
    <w:rsid w:val="00C05F28"/>
    <w:rsid w:val="00C26384"/>
    <w:rsid w:val="00C35554"/>
    <w:rsid w:val="00C4780F"/>
    <w:rsid w:val="00C515F4"/>
    <w:rsid w:val="00C533CC"/>
    <w:rsid w:val="00C62B85"/>
    <w:rsid w:val="00C63DE2"/>
    <w:rsid w:val="00C8038B"/>
    <w:rsid w:val="00CC09B6"/>
    <w:rsid w:val="00CD5B36"/>
    <w:rsid w:val="00CE7B61"/>
    <w:rsid w:val="00CF1341"/>
    <w:rsid w:val="00D01506"/>
    <w:rsid w:val="00D076B2"/>
    <w:rsid w:val="00D45206"/>
    <w:rsid w:val="00D502E7"/>
    <w:rsid w:val="00D562B4"/>
    <w:rsid w:val="00D76918"/>
    <w:rsid w:val="00D849E1"/>
    <w:rsid w:val="00DB6B6F"/>
    <w:rsid w:val="00DC410D"/>
    <w:rsid w:val="00DD4710"/>
    <w:rsid w:val="00DE0476"/>
    <w:rsid w:val="00E10BA1"/>
    <w:rsid w:val="00E20A05"/>
    <w:rsid w:val="00E34066"/>
    <w:rsid w:val="00E62CC8"/>
    <w:rsid w:val="00E82267"/>
    <w:rsid w:val="00EA23FA"/>
    <w:rsid w:val="00EA6388"/>
    <w:rsid w:val="00ED1B63"/>
    <w:rsid w:val="00EF4C34"/>
    <w:rsid w:val="00F00D2A"/>
    <w:rsid w:val="00F1361C"/>
    <w:rsid w:val="00F160C7"/>
    <w:rsid w:val="00F17955"/>
    <w:rsid w:val="00F43379"/>
    <w:rsid w:val="00F65C54"/>
    <w:rsid w:val="00FB34CF"/>
    <w:rsid w:val="00FF1E02"/>
    <w:rsid w:val="0168324C"/>
    <w:rsid w:val="016D6F62"/>
    <w:rsid w:val="01967DCC"/>
    <w:rsid w:val="025C7E91"/>
    <w:rsid w:val="02DD7E83"/>
    <w:rsid w:val="030D5322"/>
    <w:rsid w:val="03383076"/>
    <w:rsid w:val="03914CEF"/>
    <w:rsid w:val="062956B3"/>
    <w:rsid w:val="06AE3D43"/>
    <w:rsid w:val="074E3888"/>
    <w:rsid w:val="08A94A43"/>
    <w:rsid w:val="0AE0030A"/>
    <w:rsid w:val="0B043FF8"/>
    <w:rsid w:val="0E5D717C"/>
    <w:rsid w:val="0E7525BA"/>
    <w:rsid w:val="0FE64614"/>
    <w:rsid w:val="10DA792F"/>
    <w:rsid w:val="111A2D88"/>
    <w:rsid w:val="11295CD8"/>
    <w:rsid w:val="1209094A"/>
    <w:rsid w:val="12AC36BC"/>
    <w:rsid w:val="12C013F0"/>
    <w:rsid w:val="12C329EB"/>
    <w:rsid w:val="139B688D"/>
    <w:rsid w:val="13FA0089"/>
    <w:rsid w:val="16753FFC"/>
    <w:rsid w:val="1723614E"/>
    <w:rsid w:val="17C715F6"/>
    <w:rsid w:val="18106A97"/>
    <w:rsid w:val="187A0E4D"/>
    <w:rsid w:val="189270E7"/>
    <w:rsid w:val="197467ED"/>
    <w:rsid w:val="1C323704"/>
    <w:rsid w:val="1C940F54"/>
    <w:rsid w:val="1C9B1AA4"/>
    <w:rsid w:val="1CF244BF"/>
    <w:rsid w:val="1E8D7277"/>
    <w:rsid w:val="1F2E404A"/>
    <w:rsid w:val="1FB30FBD"/>
    <w:rsid w:val="1FE37294"/>
    <w:rsid w:val="206A7CD4"/>
    <w:rsid w:val="209B46D7"/>
    <w:rsid w:val="21F726B1"/>
    <w:rsid w:val="227212BF"/>
    <w:rsid w:val="22D45FC6"/>
    <w:rsid w:val="23A45B3E"/>
    <w:rsid w:val="249F5B1A"/>
    <w:rsid w:val="25DA4676"/>
    <w:rsid w:val="2694227D"/>
    <w:rsid w:val="26F32BD7"/>
    <w:rsid w:val="2721686C"/>
    <w:rsid w:val="276F6846"/>
    <w:rsid w:val="29345E48"/>
    <w:rsid w:val="2A9E1303"/>
    <w:rsid w:val="2B7168E7"/>
    <w:rsid w:val="2BC058C2"/>
    <w:rsid w:val="2BDB7EB1"/>
    <w:rsid w:val="2BF13CCD"/>
    <w:rsid w:val="2C1C3440"/>
    <w:rsid w:val="2C202B2E"/>
    <w:rsid w:val="2C4E4485"/>
    <w:rsid w:val="2CC436B4"/>
    <w:rsid w:val="2CF50168"/>
    <w:rsid w:val="2E6612AA"/>
    <w:rsid w:val="2E9D1EEA"/>
    <w:rsid w:val="2EEE2746"/>
    <w:rsid w:val="2F7A50F2"/>
    <w:rsid w:val="30071D11"/>
    <w:rsid w:val="31185880"/>
    <w:rsid w:val="32FA542B"/>
    <w:rsid w:val="33B4424F"/>
    <w:rsid w:val="36E232FF"/>
    <w:rsid w:val="37672711"/>
    <w:rsid w:val="37C4499E"/>
    <w:rsid w:val="385816A8"/>
    <w:rsid w:val="38B465B8"/>
    <w:rsid w:val="39ED2084"/>
    <w:rsid w:val="39F63A08"/>
    <w:rsid w:val="3A780864"/>
    <w:rsid w:val="3A8521B0"/>
    <w:rsid w:val="3B42115E"/>
    <w:rsid w:val="3B871F3E"/>
    <w:rsid w:val="3BD51560"/>
    <w:rsid w:val="3BDC22A4"/>
    <w:rsid w:val="3C686CC3"/>
    <w:rsid w:val="3D207117"/>
    <w:rsid w:val="3D614D46"/>
    <w:rsid w:val="3E237AA0"/>
    <w:rsid w:val="3E477E9B"/>
    <w:rsid w:val="3EB10809"/>
    <w:rsid w:val="3EE8697B"/>
    <w:rsid w:val="3F427CD1"/>
    <w:rsid w:val="3F604515"/>
    <w:rsid w:val="3F8B246D"/>
    <w:rsid w:val="3FA02B9B"/>
    <w:rsid w:val="3FBC2A57"/>
    <w:rsid w:val="3FEE6A48"/>
    <w:rsid w:val="40063D93"/>
    <w:rsid w:val="40EB11DB"/>
    <w:rsid w:val="41452699"/>
    <w:rsid w:val="420946BA"/>
    <w:rsid w:val="424A1586"/>
    <w:rsid w:val="42554766"/>
    <w:rsid w:val="42655C2D"/>
    <w:rsid w:val="42A87384"/>
    <w:rsid w:val="42C13A57"/>
    <w:rsid w:val="430420E0"/>
    <w:rsid w:val="43A13E24"/>
    <w:rsid w:val="43EE358F"/>
    <w:rsid w:val="447B7530"/>
    <w:rsid w:val="448F4F53"/>
    <w:rsid w:val="469D4D26"/>
    <w:rsid w:val="47121802"/>
    <w:rsid w:val="47D05FA1"/>
    <w:rsid w:val="47E54182"/>
    <w:rsid w:val="488B4920"/>
    <w:rsid w:val="48960A8F"/>
    <w:rsid w:val="4AEF3676"/>
    <w:rsid w:val="4B6202EC"/>
    <w:rsid w:val="4C1468DE"/>
    <w:rsid w:val="4CE36A3F"/>
    <w:rsid w:val="4D21431B"/>
    <w:rsid w:val="4D497541"/>
    <w:rsid w:val="4F2E0C11"/>
    <w:rsid w:val="4F56098E"/>
    <w:rsid w:val="508164E7"/>
    <w:rsid w:val="51C47ACD"/>
    <w:rsid w:val="528F73B8"/>
    <w:rsid w:val="537700C9"/>
    <w:rsid w:val="55081F04"/>
    <w:rsid w:val="550E3A0B"/>
    <w:rsid w:val="55114C53"/>
    <w:rsid w:val="55AE175D"/>
    <w:rsid w:val="56DE011E"/>
    <w:rsid w:val="570566FB"/>
    <w:rsid w:val="57C24E19"/>
    <w:rsid w:val="57FD73D2"/>
    <w:rsid w:val="59155350"/>
    <w:rsid w:val="59284923"/>
    <w:rsid w:val="594B23BF"/>
    <w:rsid w:val="59B368E2"/>
    <w:rsid w:val="5AAE70AA"/>
    <w:rsid w:val="5B435A44"/>
    <w:rsid w:val="5B7927E7"/>
    <w:rsid w:val="5BE25396"/>
    <w:rsid w:val="5D8D2FA6"/>
    <w:rsid w:val="5DB139E8"/>
    <w:rsid w:val="5DD92690"/>
    <w:rsid w:val="5E253121"/>
    <w:rsid w:val="5E997DCB"/>
    <w:rsid w:val="5EB427B5"/>
    <w:rsid w:val="5F03707F"/>
    <w:rsid w:val="5FFA68EF"/>
    <w:rsid w:val="60C95A4A"/>
    <w:rsid w:val="61412A26"/>
    <w:rsid w:val="631448DA"/>
    <w:rsid w:val="63E0182D"/>
    <w:rsid w:val="64DB76E4"/>
    <w:rsid w:val="653667BB"/>
    <w:rsid w:val="65BD2897"/>
    <w:rsid w:val="66BF1B98"/>
    <w:rsid w:val="679903FC"/>
    <w:rsid w:val="680A6137"/>
    <w:rsid w:val="68340177"/>
    <w:rsid w:val="68B76F01"/>
    <w:rsid w:val="6A1B3FC3"/>
    <w:rsid w:val="6ADE3A5D"/>
    <w:rsid w:val="6B2B552C"/>
    <w:rsid w:val="6B511AB7"/>
    <w:rsid w:val="6DA852E7"/>
    <w:rsid w:val="6EBF4F8A"/>
    <w:rsid w:val="6FC43F90"/>
    <w:rsid w:val="708C320B"/>
    <w:rsid w:val="713C4FB8"/>
    <w:rsid w:val="71771B4C"/>
    <w:rsid w:val="72695938"/>
    <w:rsid w:val="73D74B24"/>
    <w:rsid w:val="743A54AB"/>
    <w:rsid w:val="74C97A4B"/>
    <w:rsid w:val="755440E9"/>
    <w:rsid w:val="762D3121"/>
    <w:rsid w:val="766F54E7"/>
    <w:rsid w:val="76FD9BF7"/>
    <w:rsid w:val="770A2DD2"/>
    <w:rsid w:val="77822215"/>
    <w:rsid w:val="784E38FA"/>
    <w:rsid w:val="786170B2"/>
    <w:rsid w:val="78AC47D1"/>
    <w:rsid w:val="78BB4A91"/>
    <w:rsid w:val="78ED5B4D"/>
    <w:rsid w:val="78EF2485"/>
    <w:rsid w:val="795A247F"/>
    <w:rsid w:val="799139C7"/>
    <w:rsid w:val="7A7B470F"/>
    <w:rsid w:val="7AFF66CD"/>
    <w:rsid w:val="7B294C06"/>
    <w:rsid w:val="7BA43E85"/>
    <w:rsid w:val="7BAD0A1B"/>
    <w:rsid w:val="7C9426F4"/>
    <w:rsid w:val="7CC86A46"/>
    <w:rsid w:val="7CE706AC"/>
    <w:rsid w:val="7D4D0FEF"/>
    <w:rsid w:val="7DBA173E"/>
    <w:rsid w:val="7DC47D0A"/>
    <w:rsid w:val="7DD6268B"/>
    <w:rsid w:val="7E3037AE"/>
    <w:rsid w:val="7EAB552B"/>
    <w:rsid w:val="7FC1607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0"/>
    <w:pPr>
      <w:keepNext/>
      <w:keepLines/>
      <w:widowControl w:val="0"/>
      <w:spacing w:before="340" w:after="330" w:line="578" w:lineRule="auto"/>
      <w:outlineLvl w:val="0"/>
    </w:pPr>
    <w:rPr>
      <w:b/>
      <w:bCs/>
      <w:kern w:val="44"/>
      <w:sz w:val="44"/>
      <w:szCs w:val="44"/>
    </w:rPr>
  </w:style>
  <w:style w:type="paragraph" w:styleId="3">
    <w:name w:val="heading 2"/>
    <w:next w:val="1"/>
    <w:link w:val="27"/>
    <w:qFormat/>
    <w:uiPriority w:val="0"/>
    <w:pPr>
      <w:keepNext/>
      <w:keepLines/>
      <w:widowControl w:val="0"/>
      <w:spacing w:before="260" w:after="260" w:line="415" w:lineRule="auto"/>
      <w:jc w:val="both"/>
      <w:outlineLvl w:val="1"/>
    </w:pPr>
    <w:rPr>
      <w:rFonts w:ascii="Cambria" w:hAnsi="Cambria" w:eastAsia="宋体" w:cs="Times New Roman"/>
      <w:b/>
      <w:bCs/>
      <w:kern w:val="2"/>
      <w:sz w:val="32"/>
      <w:szCs w:val="32"/>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8"/>
    <w:qFormat/>
    <w:uiPriority w:val="0"/>
    <w:pPr>
      <w:spacing w:beforeLines="30"/>
    </w:pPr>
    <w:rPr>
      <w:rFonts w:ascii="仿宋_GB2312" w:eastAsia="仿宋_GB2312"/>
      <w:kern w:val="0"/>
      <w:sz w:val="30"/>
    </w:rPr>
  </w:style>
  <w:style w:type="paragraph" w:styleId="5">
    <w:name w:val="toc 3"/>
    <w:next w:val="1"/>
    <w:qFormat/>
    <w:uiPriority w:val="0"/>
    <w:pPr>
      <w:widowControl w:val="0"/>
      <w:ind w:left="420"/>
      <w:jc w:val="left"/>
    </w:pPr>
    <w:rPr>
      <w:rFonts w:ascii="Calibri" w:hAnsi="Calibri" w:eastAsia="Calibri" w:cs="Times New Roman"/>
      <w:i/>
      <w:iCs/>
      <w:kern w:val="2"/>
      <w:sz w:val="20"/>
      <w:szCs w:val="20"/>
      <w:lang w:val="en-US" w:eastAsia="zh-CN" w:bidi="ar-SA"/>
    </w:rPr>
  </w:style>
  <w:style w:type="paragraph" w:styleId="6">
    <w:name w:val="Balloon Text"/>
    <w:basedOn w:val="1"/>
    <w:link w:val="25"/>
    <w:semiHidden/>
    <w:unhideWhenUsed/>
    <w:qFormat/>
    <w:uiPriority w:val="99"/>
    <w:rPr>
      <w:sz w:val="18"/>
      <w:szCs w:val="18"/>
    </w:rPr>
  </w:style>
  <w:style w:type="paragraph" w:styleId="7">
    <w:name w:val="footer"/>
    <w:basedOn w:val="1"/>
    <w:next w:val="5"/>
    <w:link w:val="19"/>
    <w:unhideWhenUsed/>
    <w:qFormat/>
    <w:uiPriority w:val="99"/>
    <w:pPr>
      <w:tabs>
        <w:tab w:val="center" w:pos="4153"/>
        <w:tab w:val="right" w:pos="8306"/>
      </w:tabs>
      <w:snapToGrid w:val="0"/>
      <w:jc w:val="left"/>
    </w:pPr>
    <w:rPr>
      <w:rFonts w:ascii="Calibri" w:hAnsi="Calibri"/>
      <w:kern w:val="0"/>
      <w:sz w:val="18"/>
      <w:szCs w:val="18"/>
    </w:rPr>
  </w:style>
  <w:style w:type="paragraph" w:styleId="8">
    <w:name w:val="header"/>
    <w:basedOn w:val="1"/>
    <w:next w:val="9"/>
    <w:link w:val="20"/>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9">
    <w:name w:val="toc 4"/>
    <w:basedOn w:val="1"/>
    <w:next w:val="1"/>
    <w:qFormat/>
    <w:uiPriority w:val="0"/>
    <w:pPr>
      <w:ind w:left="1260"/>
    </w:p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Normal (Web)"/>
    <w:basedOn w:val="1"/>
    <w:link w:val="21"/>
    <w:qFormat/>
    <w:uiPriority w:val="0"/>
    <w:pPr>
      <w:widowControl/>
      <w:spacing w:before="100" w:beforeAutospacing="1" w:after="100" w:afterAutospacing="1"/>
      <w:jc w:val="left"/>
    </w:pPr>
    <w:rPr>
      <w:rFonts w:ascii="宋体" w:hAnsi="宋体" w:cs="宋体"/>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qFormat/>
    <w:uiPriority w:val="22"/>
    <w:rPr>
      <w:b/>
      <w:bCs/>
    </w:rPr>
  </w:style>
  <w:style w:type="character" w:styleId="17">
    <w:name w:val="page number"/>
    <w:qFormat/>
    <w:uiPriority w:val="0"/>
  </w:style>
  <w:style w:type="character" w:customStyle="1" w:styleId="18">
    <w:name w:val="正文文本 Char"/>
    <w:link w:val="4"/>
    <w:qFormat/>
    <w:uiPriority w:val="0"/>
    <w:rPr>
      <w:rFonts w:ascii="仿宋_GB2312" w:hAnsi="Times New Roman" w:eastAsia="仿宋_GB2312" w:cs="Times New Roman"/>
      <w:sz w:val="30"/>
      <w:szCs w:val="24"/>
    </w:rPr>
  </w:style>
  <w:style w:type="character" w:customStyle="1" w:styleId="19">
    <w:name w:val="页脚 Char"/>
    <w:link w:val="7"/>
    <w:qFormat/>
    <w:uiPriority w:val="99"/>
    <w:rPr>
      <w:sz w:val="18"/>
      <w:szCs w:val="18"/>
    </w:rPr>
  </w:style>
  <w:style w:type="character" w:customStyle="1" w:styleId="20">
    <w:name w:val="页眉 Char"/>
    <w:link w:val="8"/>
    <w:semiHidden/>
    <w:qFormat/>
    <w:uiPriority w:val="99"/>
    <w:rPr>
      <w:sz w:val="18"/>
      <w:szCs w:val="18"/>
    </w:rPr>
  </w:style>
  <w:style w:type="character" w:customStyle="1" w:styleId="21">
    <w:name w:val="普通(网站) Char"/>
    <w:link w:val="12"/>
    <w:qFormat/>
    <w:uiPriority w:val="0"/>
    <w:rPr>
      <w:rFonts w:ascii="宋体" w:hAnsi="宋体" w:eastAsia="宋体" w:cs="宋体"/>
      <w:sz w:val="24"/>
      <w:szCs w:val="24"/>
      <w:lang w:val="en-US" w:eastAsia="zh-CN" w:bidi="ar-SA"/>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4">
    <w:name w:val="WPSOffice手动目录 1"/>
    <w:qFormat/>
    <w:uiPriority w:val="0"/>
    <w:rPr>
      <w:rFonts w:ascii="Times New Roman" w:hAnsi="Times New Roman" w:eastAsia="宋体" w:cs="Times New Roman"/>
      <w:lang w:val="en-US" w:eastAsia="zh-CN" w:bidi="ar-SA"/>
    </w:rPr>
  </w:style>
  <w:style w:type="character" w:customStyle="1" w:styleId="25">
    <w:name w:val="批注框文本 Char"/>
    <w:basedOn w:val="15"/>
    <w:link w:val="6"/>
    <w:semiHidden/>
    <w:qFormat/>
    <w:uiPriority w:val="99"/>
    <w:rPr>
      <w:kern w:val="2"/>
      <w:sz w:val="18"/>
      <w:szCs w:val="18"/>
    </w:rPr>
  </w:style>
  <w:style w:type="character" w:customStyle="1" w:styleId="26">
    <w:name w:val="heading 1 Char"/>
    <w:basedOn w:val="15"/>
    <w:link w:val="2"/>
    <w:qFormat/>
    <w:uiPriority w:val="0"/>
    <w:rPr>
      <w:b/>
      <w:bCs/>
      <w:kern w:val="44"/>
      <w:sz w:val="44"/>
      <w:szCs w:val="44"/>
    </w:rPr>
  </w:style>
  <w:style w:type="character" w:customStyle="1" w:styleId="27">
    <w:name w:val="标题 2 Char"/>
    <w:basedOn w:val="15"/>
    <w:link w:val="3"/>
    <w:qFormat/>
    <w:uiPriority w:val="0"/>
    <w:rPr>
      <w:rFonts w:ascii="Cambria" w:hAnsi="Cambria" w:eastAsia="宋体" w:cs="Times New Roman"/>
      <w:b/>
      <w:bCs/>
      <w:kern w:val="2"/>
      <w:sz w:val="32"/>
      <w:szCs w:val="32"/>
      <w:lang w:val="en-US" w:eastAsia="zh-CN" w:bidi="ar-SA"/>
    </w:rPr>
  </w:style>
  <w:style w:type="character" w:customStyle="1" w:styleId="28">
    <w:name w:val="标题 1 Char"/>
    <w:basedOn w:val="15"/>
    <w:link w:val="2"/>
    <w:qFormat/>
    <w:uiPriority w:val="0"/>
    <w:rPr>
      <w:rFonts w:ascii="Times New Roman" w:hAnsi="Times New Roman" w:eastAsia="宋体" w:cs="Times New Roman"/>
      <w:b/>
      <w:bCs/>
      <w:kern w:val="44"/>
      <w:sz w:val="44"/>
      <w:szCs w:val="44"/>
      <w:lang w:val="en-US" w:eastAsia="zh-CN" w:bidi="ar-SA"/>
    </w:rPr>
  </w:style>
  <w:style w:type="paragraph" w:customStyle="1" w:styleId="29">
    <w:name w:val="列表段落1"/>
    <w:next w:val="9"/>
    <w:qFormat/>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2.png"/><Relationship Id="rId17" Type="http://schemas.openxmlformats.org/officeDocument/2006/relationships/oleObject" Target="embeddings/oleObject2.bin"/><Relationship Id="rId16" Type="http://schemas.openxmlformats.org/officeDocument/2006/relationships/image" Target="media/image1.emf"/><Relationship Id="rId15" Type="http://schemas.openxmlformats.org/officeDocument/2006/relationships/oleObject" Target="embeddings/oleObject1.bin"/><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人数</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参公</c:v>
                </c:pt>
                <c:pt idx="1">
                  <c:v>事业</c:v>
                </c:pt>
              </c:strCache>
            </c:strRef>
          </c:cat>
          <c:val>
            <c:numRef>
              <c:f>Sheet1!$B$2:$B$3</c:f>
              <c:numCache>
                <c:formatCode>General</c:formatCode>
                <c:ptCount val="2"/>
                <c:pt idx="0">
                  <c:v>14</c:v>
                </c:pt>
                <c:pt idx="1">
                  <c:v>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金额</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Lbls>
            <c:delete val="1"/>
          </c:dLbls>
          <c:cat>
            <c:strRef>
              <c:f>Sheet1!$A$2:$A$5</c:f>
              <c:strCache>
                <c:ptCount val="4"/>
                <c:pt idx="0">
                  <c:v>财政拨款收入</c:v>
                </c:pt>
                <c:pt idx="1">
                  <c:v>事业收入</c:v>
                </c:pt>
                <c:pt idx="2">
                  <c:v>经营收入</c:v>
                </c:pt>
                <c:pt idx="3">
                  <c:v>其他收入</c:v>
                </c:pt>
              </c:strCache>
            </c:strRef>
          </c:cat>
          <c:val>
            <c:numRef>
              <c:f>Sheet1!$B$2:$B$5</c:f>
              <c:numCache>
                <c:formatCode>General</c:formatCode>
                <c:ptCount val="4"/>
                <c:pt idx="0">
                  <c:v>976.78</c:v>
                </c:pt>
                <c:pt idx="1">
                  <c:v>0</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金额</c:v>
                </c:pt>
              </c:strCache>
            </c:strRef>
          </c:tx>
          <c:spPr>
            <a:scene3d>
              <a:camera prst="orthographicFront"/>
              <a:lightRig rig="threePt" dir="t"/>
            </a:scene3d>
            <a:sp3d contourW="9525"/>
          </c:spPr>
          <c:explosion val="0"/>
          <c:dPt>
            <c:idx val="0"/>
            <c:bubble3D val="0"/>
            <c:spPr>
              <a:solidFill>
                <a:schemeClr val="accent1"/>
              </a:solidFill>
              <a:ln>
                <a:noFill/>
              </a:ln>
              <a:effectLst>
                <a:outerShdw blurRad="88900" sx="102000" sy="102000" algn="ctr" rotWithShape="0">
                  <a:prstClr val="black">
                    <a:alpha val="10000"/>
                  </a:prstClr>
                </a:outerShdw>
              </a:effectLst>
            </c:spPr>
          </c:dPt>
          <c:dPt>
            <c:idx val="1"/>
            <c:bubble3D val="0"/>
            <c:spPr>
              <a:solidFill>
                <a:schemeClr val="accent2"/>
              </a:solidFill>
              <a:ln>
                <a:noFill/>
              </a:ln>
              <a:effectLst>
                <a:outerShdw blurRad="88900" sx="102000" sy="102000" algn="ctr" rotWithShape="0">
                  <a:prstClr val="black">
                    <a:alpha val="10000"/>
                  </a:prstClr>
                </a:outerShdw>
              </a:effectLst>
            </c:spPr>
          </c:dPt>
          <c:dLbls>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353.64</c:v>
                </c:pt>
                <c:pt idx="1">
                  <c:v>623.14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金额</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Pt>
            <c:idx val="4"/>
            <c:bubble3D val="0"/>
            <c:spPr>
              <a:solidFill>
                <a:schemeClr val="accent5"/>
              </a:solidFill>
              <a:ln w="25400">
                <a:solidFill>
                  <a:schemeClr val="lt1"/>
                </a:solidFill>
              </a:ln>
              <a:effectLst/>
              <a:scene3d>
                <a:camera prst="orthographicFront"/>
                <a:lightRig rig="threePt" dir="t"/>
              </a:scene3d>
              <a:sp3d contourW="25400"/>
            </c:spPr>
          </c:dPt>
          <c:dLbls>
            <c:dLbl>
              <c:idx val="0"/>
              <c:layout>
                <c:manualLayout>
                  <c:x val="0.0075"/>
                  <c:y val="-0.08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66"/>
                  <c:y val="-0.0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75"/>
                  <c:y val="0.04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33"/>
                  <c:y val="0.05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12"/>
                  <c:y val="-0.08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社会保障和就业支出</c:v>
                </c:pt>
                <c:pt idx="1">
                  <c:v>医疗卫生与计划生育支</c:v>
                </c:pt>
                <c:pt idx="2">
                  <c:v>住房保障支出</c:v>
                </c:pt>
                <c:pt idx="3">
                  <c:v>教育支出</c:v>
                </c:pt>
                <c:pt idx="4">
                  <c:v>职业年金实账贴息</c:v>
                </c:pt>
              </c:strCache>
            </c:strRef>
          </c:cat>
          <c:val>
            <c:numRef>
              <c:f>Sheet1!$B$2:$B$6</c:f>
              <c:numCache>
                <c:formatCode>General</c:formatCode>
                <c:ptCount val="5"/>
                <c:pt idx="0">
                  <c:v>337.07</c:v>
                </c:pt>
                <c:pt idx="1">
                  <c:v>12.96</c:v>
                </c:pt>
                <c:pt idx="2">
                  <c:v>21.61</c:v>
                </c:pt>
                <c:pt idx="3">
                  <c:v>2.38</c:v>
                </c:pt>
                <c:pt idx="4">
                  <c:v>602.76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金额</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Pt>
            <c:idx val="4"/>
            <c:bubble3D val="0"/>
            <c:spPr>
              <a:solidFill>
                <a:schemeClr val="accent5"/>
              </a:solidFill>
              <a:ln w="25400">
                <a:solidFill>
                  <a:schemeClr val="lt1"/>
                </a:solidFill>
              </a:ln>
              <a:effectLst/>
              <a:scene3d>
                <a:camera prst="orthographicFront"/>
                <a:lightRig rig="threePt" dir="t"/>
              </a:scene3d>
              <a:sp3d contourW="25400"/>
            </c:spPr>
          </c:dPt>
          <c:dPt>
            <c:idx val="5"/>
            <c:bubble3D val="0"/>
            <c:spPr>
              <a:solidFill>
                <a:schemeClr val="accent6"/>
              </a:solidFill>
              <a:ln w="25400">
                <a:solidFill>
                  <a:schemeClr val="lt1"/>
                </a:solidFill>
              </a:ln>
              <a:effectLst/>
              <a:scene3d>
                <a:camera prst="orthographicFront"/>
                <a:lightRig rig="threePt" dir="t"/>
              </a:scene3d>
              <a:sp3d contourW="25400"/>
            </c:spPr>
          </c:dPt>
          <c:dPt>
            <c:idx val="6"/>
            <c:bubble3D val="0"/>
            <c:spPr>
              <a:solidFill>
                <a:schemeClr val="accent1">
                  <a:lumMod val="60000"/>
                </a:schemeClr>
              </a:solidFill>
              <a:ln w="25400">
                <a:solidFill>
                  <a:schemeClr val="lt1"/>
                </a:solidFill>
              </a:ln>
              <a:effectLst/>
              <a:scene3d>
                <a:camera prst="orthographicFront"/>
                <a:lightRig rig="threePt" dir="t"/>
              </a:scene3d>
              <a:sp3d contourW="25400"/>
            </c:spPr>
          </c:dPt>
          <c:dPt>
            <c:idx val="7"/>
            <c:bubble3D val="0"/>
            <c:spPr>
              <a:solidFill>
                <a:schemeClr val="accent2">
                  <a:lumMod val="60000"/>
                </a:schemeClr>
              </a:solidFill>
              <a:ln w="25400">
                <a:solidFill>
                  <a:schemeClr val="lt1"/>
                </a:solidFill>
              </a:ln>
              <a:effectLst/>
              <a:scene3d>
                <a:camera prst="orthographicFront"/>
                <a:lightRig rig="threePt" dir="t"/>
              </a:scene3d>
              <a:sp3d contourW="25400"/>
            </c:spPr>
          </c:dPt>
          <c:dPt>
            <c:idx val="8"/>
            <c:bubble3D val="0"/>
            <c:spPr>
              <a:solidFill>
                <a:schemeClr val="accent3">
                  <a:lumMod val="60000"/>
                </a:schemeClr>
              </a:solidFill>
              <a:ln w="25400">
                <a:solidFill>
                  <a:schemeClr val="lt1"/>
                </a:solidFill>
              </a:ln>
              <a:effectLst/>
              <a:scene3d>
                <a:camera prst="orthographicFront"/>
                <a:lightRig rig="threePt" dir="t"/>
              </a:scene3d>
              <a:sp3d contourW="25400"/>
            </c:spPr>
          </c:dPt>
          <c:dPt>
            <c:idx val="9"/>
            <c:bubble3D val="0"/>
            <c:spPr>
              <a:solidFill>
                <a:schemeClr val="accent4">
                  <a:lumMod val="60000"/>
                </a:schemeClr>
              </a:solidFill>
              <a:ln w="25400">
                <a:solidFill>
                  <a:schemeClr val="lt1"/>
                </a:solidFill>
              </a:ln>
              <a:effectLst/>
              <a:scene3d>
                <a:camera prst="orthographicFront"/>
                <a:lightRig rig="threePt" dir="t"/>
              </a:scene3d>
              <a:sp3d contourW="25400"/>
            </c:spPr>
          </c:dPt>
          <c:dPt>
            <c:idx val="10"/>
            <c:bubble3D val="0"/>
            <c:spPr>
              <a:solidFill>
                <a:schemeClr val="accent5">
                  <a:lumMod val="60000"/>
                </a:schemeClr>
              </a:solidFill>
              <a:ln w="25400">
                <a:solidFill>
                  <a:schemeClr val="lt1"/>
                </a:solidFill>
              </a:ln>
              <a:effectLst/>
              <a:scene3d>
                <a:camera prst="orthographicFront"/>
                <a:lightRig rig="threePt" dir="t"/>
              </a:scene3d>
              <a:sp3d contourW="25400"/>
            </c:spPr>
          </c:dPt>
          <c:dPt>
            <c:idx val="11"/>
            <c:bubble3D val="0"/>
            <c:spPr>
              <a:solidFill>
                <a:schemeClr val="accent6">
                  <a:lumMod val="60000"/>
                </a:schemeClr>
              </a:solidFill>
              <a:ln w="25400">
                <a:solidFill>
                  <a:schemeClr val="lt1"/>
                </a:solidFill>
              </a:ln>
              <a:effectLst/>
              <a:scene3d>
                <a:camera prst="orthographicFront"/>
                <a:lightRig rig="threePt" dir="t"/>
              </a:scene3d>
              <a:sp3d contourW="25400"/>
            </c:spPr>
          </c:dPt>
          <c:dLbls>
            <c:dLbl>
              <c:idx val="0"/>
              <c:layout>
                <c:manualLayout>
                  <c:x val="-0.0154750984851136"/>
                  <c:y val="-0.0416818944533596"/>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0486189850794754"/>
                  <c:y val="-0.0196009394691604"/>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0227984420792357"/>
                  <c:y val="0.0011569557712491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0694371383482378"/>
                  <c:y val="0.058134426241998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0.0315623356128353"/>
                  <c:y val="0.016835016835016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6"/>
              <c:layout>
                <c:manualLayout>
                  <c:x val="0.0094687006838506"/>
                  <c:y val="0.061017063365237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7"/>
              <c:layout>
                <c:manualLayout>
                  <c:x val="-0.0520778537611783"/>
                  <c:y val="0.047138047138047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0"/>
              <c:layout>
                <c:manualLayout>
                  <c:x val="0.0370128777087656"/>
                  <c:y val="-0.0524232597034836"/>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1"/>
              <c:layout>
                <c:manualLayout>
                  <c:x val="0"/>
                  <c:y val="-0.0336700336700337"/>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Sheet1!$A$2:$A$13</c:f>
              <c:strCache>
                <c:ptCount val="12"/>
                <c:pt idx="0">
                  <c:v>基本工资</c:v>
                </c:pt>
                <c:pt idx="1">
                  <c:v>津贴补贴</c:v>
                </c:pt>
                <c:pt idx="2">
                  <c:v>绩效工资</c:v>
                </c:pt>
                <c:pt idx="3">
                  <c:v>机关事业单位基本养老保险缴费</c:v>
                </c:pt>
                <c:pt idx="4">
                  <c:v>职业年金缴费</c:v>
                </c:pt>
                <c:pt idx="5">
                  <c:v>公务员医疗补助缴费</c:v>
                </c:pt>
                <c:pt idx="6">
                  <c:v>其他社会保障缴费</c:v>
                </c:pt>
                <c:pt idx="7">
                  <c:v>离休费</c:v>
                </c:pt>
                <c:pt idx="8">
                  <c:v>生活补助</c:v>
                </c:pt>
                <c:pt idx="9">
                  <c:v>住房公积金</c:v>
                </c:pt>
                <c:pt idx="10">
                  <c:v>奖励金</c:v>
                </c:pt>
                <c:pt idx="11">
                  <c:v>职工基本医疗保险缴费</c:v>
                </c:pt>
              </c:strCache>
            </c:strRef>
          </c:cat>
          <c:val>
            <c:numRef>
              <c:f>Sheet1!$B$2:$B$13</c:f>
              <c:numCache>
                <c:formatCode>General</c:formatCode>
                <c:ptCount val="12"/>
                <c:pt idx="0">
                  <c:v>59.63</c:v>
                </c:pt>
                <c:pt idx="1">
                  <c:v>69.62</c:v>
                </c:pt>
                <c:pt idx="2">
                  <c:v>6.21</c:v>
                </c:pt>
                <c:pt idx="3">
                  <c:v>22.01</c:v>
                </c:pt>
                <c:pt idx="4">
                  <c:v>11</c:v>
                </c:pt>
                <c:pt idx="5">
                  <c:v>3.23</c:v>
                </c:pt>
                <c:pt idx="6">
                  <c:v>1.77</c:v>
                </c:pt>
                <c:pt idx="7">
                  <c:v>9.2</c:v>
                </c:pt>
                <c:pt idx="8">
                  <c:v>37.76</c:v>
                </c:pt>
                <c:pt idx="9">
                  <c:v>21.61</c:v>
                </c:pt>
                <c:pt idx="10">
                  <c:v>79.63</c:v>
                </c:pt>
                <c:pt idx="11">
                  <c:v>9.23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61493950552341"/>
          <c:y val="0.075196408529741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金额</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Pt>
            <c:idx val="4"/>
            <c:bubble3D val="0"/>
            <c:spPr>
              <a:solidFill>
                <a:schemeClr val="accent5"/>
              </a:solidFill>
              <a:ln w="25400">
                <a:solidFill>
                  <a:schemeClr val="lt1"/>
                </a:solidFill>
              </a:ln>
              <a:effectLst/>
              <a:scene3d>
                <a:camera prst="orthographicFront"/>
                <a:lightRig rig="threePt" dir="t"/>
              </a:scene3d>
              <a:sp3d contourW="25400"/>
            </c:spPr>
          </c:dPt>
          <c:dPt>
            <c:idx val="5"/>
            <c:bubble3D val="0"/>
            <c:spPr>
              <a:solidFill>
                <a:schemeClr val="accent6"/>
              </a:solidFill>
              <a:ln w="25400">
                <a:solidFill>
                  <a:schemeClr val="lt1"/>
                </a:solidFill>
              </a:ln>
              <a:effectLst/>
              <a:scene3d>
                <a:camera prst="orthographicFront"/>
                <a:lightRig rig="threePt" dir="t"/>
              </a:scene3d>
              <a:sp3d contourW="25400"/>
            </c:spPr>
          </c:dPt>
          <c:dPt>
            <c:idx val="6"/>
            <c:bubble3D val="0"/>
            <c:spPr>
              <a:solidFill>
                <a:schemeClr val="accent1">
                  <a:lumMod val="60000"/>
                </a:schemeClr>
              </a:solidFill>
              <a:ln w="25400">
                <a:solidFill>
                  <a:schemeClr val="lt1"/>
                </a:solidFill>
              </a:ln>
              <a:effectLst/>
              <a:scene3d>
                <a:camera prst="orthographicFront"/>
                <a:lightRig rig="threePt" dir="t"/>
              </a:scene3d>
              <a:sp3d contourW="25400"/>
            </c:spPr>
          </c:dPt>
          <c:dPt>
            <c:idx val="7"/>
            <c:bubble3D val="0"/>
            <c:spPr>
              <a:solidFill>
                <a:schemeClr val="accent2">
                  <a:lumMod val="60000"/>
                </a:schemeClr>
              </a:solidFill>
              <a:ln w="25400">
                <a:solidFill>
                  <a:schemeClr val="lt1"/>
                </a:solidFill>
              </a:ln>
              <a:effectLst/>
              <a:scene3d>
                <a:camera prst="orthographicFront"/>
                <a:lightRig rig="threePt" dir="t"/>
              </a:scene3d>
              <a:sp3d contourW="25400"/>
            </c:spPr>
          </c:dPt>
          <c:dLbls>
            <c:delete val="1"/>
          </c:dLbls>
          <c:cat>
            <c:strRef>
              <c:f>Sheet1!$A$2:$A$9</c:f>
              <c:strCache>
                <c:ptCount val="8"/>
                <c:pt idx="0">
                  <c:v>办公费</c:v>
                </c:pt>
                <c:pt idx="1">
                  <c:v>水费</c:v>
                </c:pt>
                <c:pt idx="2">
                  <c:v>电费</c:v>
                </c:pt>
                <c:pt idx="3">
                  <c:v>邮电费</c:v>
                </c:pt>
                <c:pt idx="4">
                  <c:v>差旅费</c:v>
                </c:pt>
                <c:pt idx="5">
                  <c:v>维修（护）费</c:v>
                </c:pt>
                <c:pt idx="6">
                  <c:v>公务用车运行维护费</c:v>
                </c:pt>
                <c:pt idx="7">
                  <c:v>公务接待费</c:v>
                </c:pt>
              </c:strCache>
            </c:strRef>
          </c:cat>
          <c:val>
            <c:numRef>
              <c:f>Sheet1!$B$2:$B$9</c:f>
              <c:numCache>
                <c:formatCode>General</c:formatCode>
                <c:ptCount val="8"/>
                <c:pt idx="0">
                  <c:v>6.84</c:v>
                </c:pt>
                <c:pt idx="1">
                  <c:v>0.08</c:v>
                </c:pt>
                <c:pt idx="2">
                  <c:v>0.9</c:v>
                </c:pt>
                <c:pt idx="3">
                  <c:v>0.9</c:v>
                </c:pt>
                <c:pt idx="4">
                  <c:v>4.01</c:v>
                </c:pt>
                <c:pt idx="5">
                  <c:v>0.5</c:v>
                </c:pt>
                <c:pt idx="6">
                  <c:v>3.94</c:v>
                </c:pt>
                <c:pt idx="7">
                  <c:v>0.1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2020</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公务接待费用</c:v>
                </c:pt>
                <c:pt idx="1">
                  <c:v>公务接待费用</c:v>
                </c:pt>
              </c:strCache>
            </c:strRef>
          </c:cat>
          <c:val>
            <c:numRef>
              <c:f>Sheet1!$B$2:$B$3</c:f>
              <c:numCache>
                <c:formatCode>General</c:formatCode>
                <c:ptCount val="2"/>
                <c:pt idx="0">
                  <c:v>0</c:v>
                </c:pt>
                <c:pt idx="1">
                  <c:v>1.6</c:v>
                </c:pt>
              </c:numCache>
            </c:numRef>
          </c:val>
        </c:ser>
        <c:ser>
          <c:idx val="1"/>
          <c:order val="1"/>
          <c:tx>
            <c:strRef>
              <c:f>Sheet1!$C$1</c:f>
              <c:strCache>
                <c:ptCount val="1"/>
                <c:pt idx="0">
                  <c:v>2021</c:v>
                </c:pt>
              </c:strCache>
            </c:strRef>
          </c:tx>
          <c:spPr>
            <a:solidFill>
              <a:schemeClr val="accent2">
                <a:lumMod val="60000"/>
                <a:lumOff val="4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公务接待费用</c:v>
                </c:pt>
                <c:pt idx="1">
                  <c:v>公务接待费用</c:v>
                </c:pt>
              </c:strCache>
            </c:strRef>
          </c:cat>
          <c:val>
            <c:numRef>
              <c:f>Sheet1!$C$2:$C$3</c:f>
              <c:numCache>
                <c:formatCode>General</c:formatCode>
                <c:ptCount val="2"/>
                <c:pt idx="0">
                  <c:v>0.1</c:v>
                </c:pt>
                <c:pt idx="1">
                  <c:v>3.94</c:v>
                </c:pt>
              </c:numCache>
            </c:numRef>
          </c:val>
        </c:ser>
        <c:dLbls>
          <c:showLegendKey val="0"/>
          <c:showVal val="1"/>
          <c:showCatName val="0"/>
          <c:showSerName val="0"/>
          <c:showPercent val="0"/>
          <c:showBubbleSize val="0"/>
        </c:dLbls>
        <c:gapWidth val="75"/>
        <c:axId val="181261440"/>
        <c:axId val="181263360"/>
      </c:barChart>
      <c:catAx>
        <c:axId val="181261440"/>
        <c:scaling>
          <c:orientation val="minMax"/>
        </c:scaling>
        <c:delete val="0"/>
        <c:axPos val="b"/>
        <c:title>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1263360"/>
        <c:crosses val="autoZero"/>
        <c:auto val="1"/>
        <c:lblAlgn val="ctr"/>
        <c:lblOffset val="100"/>
        <c:noMultiLvlLbl val="0"/>
      </c:catAx>
      <c:valAx>
        <c:axId val="181263360"/>
        <c:scaling>
          <c:orientation val="minMax"/>
          <c:max val="4"/>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p>
            </c:rich>
          </c:tx>
          <c:layout>
            <c:manualLayout>
              <c:xMode val="edge"/>
              <c:yMode val="edge"/>
              <c:x val="0.011"/>
              <c:y val="0.005"/>
            </c:manualLayout>
          </c:layout>
          <c:overlay val="0"/>
          <c:spPr>
            <a:noFill/>
            <a:ln>
              <a:noFill/>
            </a:ln>
            <a:effectLst/>
          </c:spPr>
        </c:title>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1261440"/>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2050"/>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21</Pages>
  <Words>7301</Words>
  <Characters>8195</Characters>
  <Lines>1</Lines>
  <Paragraphs>1</Paragraphs>
  <TotalTime>13</TotalTime>
  <ScaleCrop>false</ScaleCrop>
  <LinksUpToDate>false</LinksUpToDate>
  <CharactersWithSpaces>9657</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2022-08-22T10:58:00Z</dcterms:created>
  <dc:creator>xbany</dc:creator>
  <cp:lastModifiedBy>user</cp:lastModifiedBy>
  <cp:lastPrinted>2022-08-30T11:13:00Z</cp:lastPrinted>
  <dcterms:modified xsi:type="dcterms:W3CDTF">2022-08-30T15:48:40Z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E916E431AA57413193A1690AF56CAD83</vt:lpwstr>
  </property>
</Properties>
</file>