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p>
    <w:p>
      <w:pPr>
        <w:spacing w:line="600" w:lineRule="exact"/>
        <w:jc w:val="center"/>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2020年度</w:t>
      </w:r>
    </w:p>
    <w:p>
      <w:pPr>
        <w:spacing w:line="600" w:lineRule="exact"/>
        <w:jc w:val="center"/>
        <w:rPr>
          <w:rFonts w:ascii="宋体" w:hAnsi="宋体"/>
          <w:b/>
          <w:bCs/>
          <w:sz w:val="40"/>
          <w:szCs w:val="48"/>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方正小标宋简体" w:hAnsi="宋体" w:eastAsia="方正小标宋简体"/>
          <w:color w:val="000000"/>
          <w:sz w:val="52"/>
          <w:szCs w:val="52"/>
        </w:rPr>
        <w:t>金川县社会保险事务中心部门决算</w:t>
      </w:r>
    </w:p>
    <w:p>
      <w:pPr>
        <w:spacing w:line="600" w:lineRule="exact"/>
        <w:jc w:val="center"/>
        <w:rPr>
          <w:rFonts w:ascii="宋体" w:hAnsi="宋体"/>
          <w:sz w:val="32"/>
          <w:szCs w:val="40"/>
        </w:rPr>
      </w:pPr>
      <w:r>
        <w:rPr>
          <w:rFonts w:ascii="宋体" w:hAnsi="宋体"/>
          <w:b/>
          <w:bCs/>
          <w:sz w:val="40"/>
          <w:szCs w:val="48"/>
        </w:rPr>
        <w:t>目录</w:t>
      </w:r>
    </w:p>
    <w:p>
      <w:pPr>
        <w:spacing w:line="360" w:lineRule="auto"/>
        <w:jc w:val="center"/>
        <w:rPr>
          <w:rFonts w:ascii="仿宋" w:hAnsi="仿宋" w:eastAsia="仿宋" w:cs="仿宋"/>
          <w:sz w:val="30"/>
          <w:szCs w:val="30"/>
        </w:rPr>
      </w:pPr>
      <w:r>
        <w:rPr>
          <w:rFonts w:hint="eastAsia" w:ascii="仿宋" w:hAnsi="仿宋" w:eastAsia="仿宋" w:cs="仿宋"/>
          <w:sz w:val="30"/>
          <w:szCs w:val="30"/>
        </w:rPr>
        <w:t>公开时间：2021年8月3日</w:t>
      </w:r>
    </w:p>
    <w:p>
      <w:pPr>
        <w:pStyle w:val="7"/>
        <w:tabs>
          <w:tab w:val="right" w:leader="dot" w:pos="8306"/>
        </w:tabs>
        <w:spacing w:line="360" w:lineRule="auto"/>
        <w:rPr>
          <w:rFonts w:ascii="仿宋" w:hAnsi="仿宋" w:eastAsia="仿宋" w:cs="仿宋"/>
          <w:sz w:val="32"/>
          <w:szCs w:val="32"/>
        </w:rPr>
      </w:pPr>
      <w:r>
        <w:rPr>
          <w:rFonts w:hint="eastAsia" w:ascii="仿宋" w:hAnsi="仿宋" w:eastAsia="仿宋" w:cs="仿宋"/>
          <w:b/>
          <w:color w:val="000000"/>
          <w:sz w:val="32"/>
          <w:szCs w:val="32"/>
        </w:rPr>
        <w:fldChar w:fldCharType="begin"/>
      </w:r>
      <w:r>
        <w:rPr>
          <w:rFonts w:hint="eastAsia" w:ascii="仿宋" w:hAnsi="仿宋" w:eastAsia="仿宋" w:cs="仿宋"/>
          <w:b/>
          <w:color w:val="000000"/>
          <w:sz w:val="32"/>
          <w:szCs w:val="32"/>
        </w:rPr>
        <w:instrText xml:space="preserve">TOC \o "1-2" \h \u </w:instrText>
      </w:r>
      <w:r>
        <w:rPr>
          <w:rFonts w:hint="eastAsia" w:ascii="仿宋" w:hAnsi="仿宋" w:eastAsia="仿宋" w:cs="仿宋"/>
          <w:b/>
          <w:color w:val="000000"/>
          <w:sz w:val="32"/>
          <w:szCs w:val="32"/>
        </w:rPr>
        <w:fldChar w:fldCharType="separate"/>
      </w:r>
      <w:r>
        <w:fldChar w:fldCharType="begin"/>
      </w:r>
      <w:r>
        <w:instrText xml:space="preserve"> HYPERLINK \l "_Toc14857" </w:instrText>
      </w:r>
      <w:r>
        <w:fldChar w:fldCharType="separate"/>
      </w:r>
      <w:r>
        <w:rPr>
          <w:rFonts w:hint="eastAsia" w:ascii="仿宋" w:hAnsi="仿宋" w:eastAsia="仿宋" w:cs="仿宋"/>
          <w:sz w:val="32"/>
          <w:szCs w:val="32"/>
        </w:rPr>
        <w:t>第一部分 部门概况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_Toc14857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"_Toc30738" </w:instrText>
      </w:r>
      <w:r>
        <w:fldChar w:fldCharType="separate"/>
      </w:r>
      <w:r>
        <w:rPr>
          <w:rFonts w:hint="eastAsia" w:ascii="仿宋" w:hAnsi="仿宋" w:eastAsia="仿宋" w:cs="仿宋"/>
          <w:sz w:val="32"/>
          <w:szCs w:val="32"/>
        </w:rPr>
        <w:t>一、基本职能及主要工作</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_Toc30738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"_Toc20357" </w:instrText>
      </w:r>
      <w:r>
        <w:fldChar w:fldCharType="separate"/>
      </w:r>
      <w:r>
        <w:rPr>
          <w:rFonts w:hint="eastAsia" w:ascii="仿宋" w:hAnsi="仿宋" w:eastAsia="仿宋" w:cs="仿宋"/>
          <w:bCs/>
          <w:sz w:val="32"/>
          <w:szCs w:val="32"/>
        </w:rPr>
        <w:t>（一）主要职能。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_Toc20357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"_Toc20917" </w:instrText>
      </w:r>
      <w:r>
        <w:fldChar w:fldCharType="separate"/>
      </w:r>
      <w:r>
        <w:rPr>
          <w:rFonts w:hint="eastAsia" w:ascii="仿宋" w:hAnsi="仿宋" w:eastAsia="仿宋" w:cs="仿宋"/>
          <w:bCs/>
          <w:sz w:val="32"/>
          <w:szCs w:val="32"/>
        </w:rPr>
        <w:t>（二）2020年重点工作完成情况。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_Toc20917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"_Toc14846" </w:instrText>
      </w:r>
      <w:r>
        <w:fldChar w:fldCharType="separate"/>
      </w:r>
      <w:r>
        <w:rPr>
          <w:rFonts w:hint="eastAsia" w:ascii="仿宋" w:hAnsi="仿宋" w:eastAsia="仿宋" w:cs="仿宋"/>
          <w:sz w:val="32"/>
          <w:szCs w:val="32"/>
        </w:rPr>
        <w:t>二、部门概况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_Toc14846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"_Toc23365" </w:instrText>
      </w:r>
      <w:r>
        <w:fldChar w:fldCharType="separate"/>
      </w:r>
      <w:r>
        <w:rPr>
          <w:rFonts w:hint="eastAsia" w:ascii="仿宋" w:hAnsi="仿宋" w:eastAsia="仿宋" w:cs="仿宋"/>
          <w:sz w:val="32"/>
          <w:szCs w:val="32"/>
        </w:rPr>
        <w:t>第二部分 2019年度部门决算情况说明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_Toc23365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"_Toc13563" </w:instrText>
      </w:r>
      <w:r>
        <w:fldChar w:fldCharType="separate"/>
      </w:r>
      <w:r>
        <w:rPr>
          <w:rFonts w:hint="eastAsia" w:ascii="仿宋" w:hAnsi="仿宋" w:eastAsia="仿宋" w:cs="仿宋"/>
          <w:sz w:val="32"/>
          <w:szCs w:val="32"/>
        </w:rPr>
        <w:t>一、收入支出预算安排情况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_Toc13563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"_Toc19308" </w:instrText>
      </w:r>
      <w:r>
        <w:fldChar w:fldCharType="separate"/>
      </w:r>
      <w:r>
        <w:rPr>
          <w:rFonts w:hint="eastAsia" w:ascii="仿宋" w:hAnsi="仿宋" w:eastAsia="仿宋" w:cs="仿宋"/>
          <w:sz w:val="32"/>
          <w:szCs w:val="32"/>
        </w:rPr>
        <w:t>二、收入支出预算执行情况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_Toc19308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"_Toc18636" </w:instrText>
      </w:r>
      <w:r>
        <w:fldChar w:fldCharType="separate"/>
      </w:r>
      <w:r>
        <w:rPr>
          <w:rFonts w:hint="eastAsia" w:ascii="仿宋" w:hAnsi="仿宋" w:eastAsia="仿宋" w:cs="仿宋"/>
          <w:sz w:val="32"/>
          <w:szCs w:val="32"/>
        </w:rPr>
        <w:t>三、财政拨款收支决算分析</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_Toc18636 \h </w:instrText>
      </w:r>
      <w:r>
        <w:rPr>
          <w:rFonts w:hint="eastAsia" w:ascii="仿宋" w:hAnsi="仿宋" w:eastAsia="仿宋" w:cs="仿宋"/>
          <w:sz w:val="32"/>
          <w:szCs w:val="32"/>
        </w:rPr>
        <w:fldChar w:fldCharType="separate"/>
      </w:r>
      <w:r>
        <w:rPr>
          <w:rFonts w:hint="eastAsia" w:ascii="仿宋" w:hAnsi="仿宋" w:eastAsia="仿宋" w:cs="仿宋"/>
          <w:sz w:val="32"/>
          <w:szCs w:val="32"/>
        </w:rPr>
        <w:t>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"_Toc19522" </w:instrText>
      </w:r>
      <w:r>
        <w:fldChar w:fldCharType="separate"/>
      </w:r>
      <w:r>
        <w:rPr>
          <w:rFonts w:hint="eastAsia" w:ascii="仿宋" w:hAnsi="仿宋" w:eastAsia="仿宋" w:cs="仿宋"/>
          <w:sz w:val="32"/>
          <w:szCs w:val="32"/>
        </w:rPr>
        <w:t>四、一般公共预算财政拨款支出决算情况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_Toc19522 \h </w:instrText>
      </w:r>
      <w:r>
        <w:rPr>
          <w:rFonts w:hint="eastAsia" w:ascii="仿宋" w:hAnsi="仿宋" w:eastAsia="仿宋" w:cs="仿宋"/>
          <w:sz w:val="32"/>
          <w:szCs w:val="32"/>
        </w:rPr>
        <w:fldChar w:fldCharType="separate"/>
      </w:r>
      <w:r>
        <w:rPr>
          <w:rFonts w:hint="eastAsia" w:ascii="仿宋" w:hAnsi="仿宋" w:eastAsia="仿宋" w:cs="仿宋"/>
          <w:sz w:val="32"/>
          <w:szCs w:val="32"/>
        </w:rPr>
        <w:t>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"_Toc22032" </w:instrText>
      </w:r>
      <w:r>
        <w:fldChar w:fldCharType="separate"/>
      </w:r>
      <w:r>
        <w:rPr>
          <w:rFonts w:hint="eastAsia" w:ascii="仿宋" w:hAnsi="仿宋" w:eastAsia="仿宋" w:cs="仿宋"/>
          <w:sz w:val="32"/>
          <w:szCs w:val="32"/>
        </w:rPr>
        <w:t>（一）一般公共预算财政拨款支出决算总体情况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_Toc22032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"_Toc10051" </w:instrText>
      </w:r>
      <w:r>
        <w:fldChar w:fldCharType="separate"/>
      </w:r>
      <w:r>
        <w:rPr>
          <w:rFonts w:hint="eastAsia" w:ascii="仿宋" w:hAnsi="仿宋" w:eastAsia="仿宋" w:cs="仿宋"/>
          <w:sz w:val="32"/>
          <w:szCs w:val="32"/>
        </w:rPr>
        <w:t>（二）一般公共预算财政拨款支出决算结构情况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_Toc10051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"_Toc9795" </w:instrText>
      </w:r>
      <w:r>
        <w:fldChar w:fldCharType="separate"/>
      </w:r>
      <w:r>
        <w:rPr>
          <w:rFonts w:hint="eastAsia" w:ascii="仿宋" w:hAnsi="仿宋" w:eastAsia="仿宋" w:cs="仿宋"/>
          <w:sz w:val="32"/>
          <w:szCs w:val="32"/>
        </w:rPr>
        <w:t>（三）一般公共预算财政拨款支出决算具体情况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_Toc9795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"_Toc22055" </w:instrText>
      </w:r>
      <w:r>
        <w:fldChar w:fldCharType="separate"/>
      </w:r>
      <w:r>
        <w:rPr>
          <w:rFonts w:hint="eastAsia" w:ascii="仿宋" w:hAnsi="仿宋" w:eastAsia="仿宋" w:cs="仿宋"/>
          <w:sz w:val="32"/>
          <w:szCs w:val="32"/>
        </w:rPr>
        <w:t>五、财政拨款收入、支出分析</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_Toc22055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"_Toc29121" </w:instrText>
      </w:r>
      <w:r>
        <w:fldChar w:fldCharType="separate"/>
      </w:r>
      <w:r>
        <w:rPr>
          <w:rFonts w:hint="eastAsia" w:ascii="仿宋" w:hAnsi="仿宋" w:eastAsia="仿宋" w:cs="仿宋"/>
          <w:sz w:val="32"/>
          <w:szCs w:val="32"/>
        </w:rPr>
        <w:t>六、支出按经济分类科目分析</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_Toc29121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"_Toc18260" </w:instrText>
      </w:r>
      <w:r>
        <w:fldChar w:fldCharType="separate"/>
      </w:r>
      <w:r>
        <w:rPr>
          <w:rFonts w:hint="eastAsia" w:ascii="仿宋" w:hAnsi="仿宋" w:eastAsia="仿宋" w:cs="仿宋"/>
          <w:sz w:val="32"/>
          <w:szCs w:val="32"/>
        </w:rPr>
        <w:t>（一）“三公”经费财政拨款支出决算总体情况说明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_Toc18260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"_Toc3813" </w:instrText>
      </w:r>
      <w:r>
        <w:fldChar w:fldCharType="separate"/>
      </w:r>
      <w:r>
        <w:rPr>
          <w:rFonts w:hint="eastAsia" w:ascii="仿宋" w:hAnsi="仿宋" w:eastAsia="仿宋" w:cs="仿宋"/>
          <w:sz w:val="32"/>
          <w:szCs w:val="32"/>
        </w:rPr>
        <w:t>（二）“三公”经费财政拨款支出决算具体情况说明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_Toc3813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"_Toc23297" </w:instrText>
      </w:r>
      <w:r>
        <w:fldChar w:fldCharType="separate"/>
      </w:r>
      <w:r>
        <w:rPr>
          <w:rFonts w:hint="eastAsia" w:ascii="仿宋" w:hAnsi="仿宋" w:eastAsia="仿宋" w:cs="仿宋"/>
          <w:sz w:val="32"/>
          <w:szCs w:val="32"/>
        </w:rPr>
        <w:t>（三） 会议费支出情况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_Toc23297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"_Toc23347" </w:instrText>
      </w:r>
      <w:r>
        <w:fldChar w:fldCharType="separate"/>
      </w:r>
      <w:r>
        <w:rPr>
          <w:rFonts w:hint="eastAsia" w:ascii="仿宋" w:hAnsi="仿宋" w:eastAsia="仿宋" w:cs="仿宋"/>
          <w:sz w:val="32"/>
          <w:szCs w:val="32"/>
        </w:rPr>
        <w:t>（四） 培训费支出情况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_Toc23347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"_Toc1598" </w:instrText>
      </w:r>
      <w:r>
        <w:fldChar w:fldCharType="separate"/>
      </w:r>
      <w:r>
        <w:rPr>
          <w:rFonts w:hint="eastAsia" w:ascii="仿宋" w:hAnsi="仿宋" w:eastAsia="仿宋" w:cs="仿宋"/>
          <w:sz w:val="32"/>
          <w:szCs w:val="32"/>
        </w:rPr>
        <w:t>七、政府性基金预算财政拨款支出决算情况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_Toc1598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"_Toc13990" </w:instrText>
      </w:r>
      <w:r>
        <w:fldChar w:fldCharType="separate"/>
      </w:r>
      <w:r>
        <w:rPr>
          <w:rFonts w:hint="eastAsia" w:ascii="仿宋" w:hAnsi="仿宋" w:eastAsia="仿宋" w:cs="仿宋"/>
          <w:sz w:val="32"/>
          <w:szCs w:val="32"/>
        </w:rPr>
        <w:t>八、其他重要事项的情况说明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_Toc13990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"_Toc13188" </w:instrText>
      </w:r>
      <w:r>
        <w:fldChar w:fldCharType="separate"/>
      </w:r>
      <w:r>
        <w:rPr>
          <w:rFonts w:hint="eastAsia" w:ascii="仿宋" w:hAnsi="仿宋" w:eastAsia="仿宋" w:cs="仿宋"/>
          <w:sz w:val="32"/>
          <w:szCs w:val="32"/>
        </w:rPr>
        <w:t>（一）机关运行经费支出情况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_Toc13188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"_Toc27290" </w:instrText>
      </w:r>
      <w:r>
        <w:fldChar w:fldCharType="separate"/>
      </w:r>
      <w:r>
        <w:rPr>
          <w:rFonts w:hint="eastAsia" w:ascii="仿宋" w:hAnsi="仿宋" w:eastAsia="仿宋" w:cs="仿宋"/>
          <w:sz w:val="32"/>
          <w:szCs w:val="32"/>
        </w:rPr>
        <w:t>（二）政府采购支出情况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_Toc27290 \h </w:instrText>
      </w:r>
      <w:r>
        <w:rPr>
          <w:rFonts w:hint="eastAsia" w:ascii="仿宋" w:hAnsi="仿宋" w:eastAsia="仿宋" w:cs="仿宋"/>
          <w:sz w:val="32"/>
          <w:szCs w:val="32"/>
        </w:rPr>
        <w:fldChar w:fldCharType="separate"/>
      </w:r>
      <w:r>
        <w:rPr>
          <w:rFonts w:hint="eastAsia" w:ascii="仿宋" w:hAnsi="仿宋" w:eastAsia="仿宋" w:cs="仿宋"/>
          <w:sz w:val="32"/>
          <w:szCs w:val="32"/>
        </w:rPr>
        <w:t>10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"_Toc29816" </w:instrText>
      </w:r>
      <w:r>
        <w:fldChar w:fldCharType="separate"/>
      </w:r>
      <w:r>
        <w:rPr>
          <w:rFonts w:hint="eastAsia" w:ascii="仿宋" w:hAnsi="仿宋" w:eastAsia="仿宋" w:cs="仿宋"/>
          <w:sz w:val="32"/>
          <w:szCs w:val="32"/>
        </w:rPr>
        <w:t>（三）国有资产占有使用情况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_Toc29816 \h </w:instrText>
      </w:r>
      <w:r>
        <w:rPr>
          <w:rFonts w:hint="eastAsia" w:ascii="仿宋" w:hAnsi="仿宋" w:eastAsia="仿宋" w:cs="仿宋"/>
          <w:sz w:val="32"/>
          <w:szCs w:val="32"/>
        </w:rPr>
        <w:fldChar w:fldCharType="separate"/>
      </w:r>
      <w:r>
        <w:rPr>
          <w:rFonts w:hint="eastAsia" w:ascii="仿宋" w:hAnsi="仿宋" w:eastAsia="仿宋" w:cs="仿宋"/>
          <w:sz w:val="32"/>
          <w:szCs w:val="32"/>
        </w:rPr>
        <w:t>10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8"/>
        <w:tabs>
          <w:tab w:val="right" w:leader="dot" w:pos="8306"/>
        </w:tabs>
        <w:spacing w:line="360" w:lineRule="auto"/>
        <w:rPr>
          <w:rFonts w:ascii="仿宋" w:hAnsi="仿宋" w:eastAsia="仿宋" w:cs="仿宋"/>
          <w:sz w:val="32"/>
          <w:szCs w:val="32"/>
        </w:rPr>
      </w:pPr>
      <w:r>
        <w:fldChar w:fldCharType="begin"/>
      </w:r>
      <w:r>
        <w:instrText xml:space="preserve"> HYPERLINK \l "_Toc24816" </w:instrText>
      </w:r>
      <w:r>
        <w:fldChar w:fldCharType="separate"/>
      </w:r>
      <w:r>
        <w:rPr>
          <w:rFonts w:hint="eastAsia" w:ascii="仿宋" w:hAnsi="仿宋" w:eastAsia="仿宋" w:cs="仿宋"/>
          <w:sz w:val="32"/>
          <w:szCs w:val="32"/>
        </w:rPr>
        <w:t>（四）预算绩效情况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_Toc24816 \h </w:instrText>
      </w:r>
      <w:r>
        <w:rPr>
          <w:rFonts w:hint="eastAsia" w:ascii="仿宋" w:hAnsi="仿宋" w:eastAsia="仿宋" w:cs="仿宋"/>
          <w:sz w:val="32"/>
          <w:szCs w:val="32"/>
        </w:rPr>
        <w:fldChar w:fldCharType="separate"/>
      </w:r>
      <w:r>
        <w:rPr>
          <w:rFonts w:hint="eastAsia" w:ascii="仿宋" w:hAnsi="仿宋" w:eastAsia="仿宋" w:cs="仿宋"/>
          <w:sz w:val="32"/>
          <w:szCs w:val="32"/>
        </w:rPr>
        <w:t>10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"_Toc30464" </w:instrText>
      </w:r>
      <w:r>
        <w:fldChar w:fldCharType="separate"/>
      </w:r>
      <w:r>
        <w:rPr>
          <w:rFonts w:hint="eastAsia" w:ascii="仿宋" w:hAnsi="仿宋" w:eastAsia="仿宋" w:cs="仿宋"/>
          <w:sz w:val="32"/>
          <w:szCs w:val="32"/>
        </w:rPr>
        <w:t>九、行政事业单位财务分析指标</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_Toc30464 \h </w:instrText>
      </w:r>
      <w:r>
        <w:rPr>
          <w:rFonts w:hint="eastAsia" w:ascii="仿宋" w:hAnsi="仿宋" w:eastAsia="仿宋" w:cs="仿宋"/>
          <w:sz w:val="32"/>
          <w:szCs w:val="32"/>
        </w:rPr>
        <w:fldChar w:fldCharType="separate"/>
      </w:r>
      <w:r>
        <w:rPr>
          <w:rFonts w:hint="eastAsia" w:ascii="仿宋" w:hAnsi="仿宋" w:eastAsia="仿宋" w:cs="仿宋"/>
          <w:sz w:val="32"/>
          <w:szCs w:val="32"/>
        </w:rPr>
        <w:t>10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"_Toc30041" </w:instrText>
      </w:r>
      <w:r>
        <w:fldChar w:fldCharType="separate"/>
      </w:r>
      <w:r>
        <w:rPr>
          <w:rFonts w:hint="eastAsia" w:ascii="仿宋" w:hAnsi="仿宋" w:eastAsia="仿宋" w:cs="仿宋"/>
          <w:sz w:val="32"/>
          <w:szCs w:val="32"/>
        </w:rPr>
        <w:t>第三部分 名词解释</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_Toc30041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7"/>
        <w:tabs>
          <w:tab w:val="right" w:leader="dot" w:pos="8306"/>
        </w:tabs>
        <w:spacing w:line="360" w:lineRule="auto"/>
        <w:rPr>
          <w:rFonts w:ascii="仿宋" w:hAnsi="仿宋" w:eastAsia="仿宋" w:cs="仿宋"/>
          <w:sz w:val="32"/>
          <w:szCs w:val="32"/>
        </w:rPr>
      </w:pPr>
      <w:r>
        <w:fldChar w:fldCharType="begin"/>
      </w:r>
      <w:r>
        <w:instrText xml:space="preserve"> HYPERLINK \l "_Toc32741" </w:instrText>
      </w:r>
      <w:r>
        <w:fldChar w:fldCharType="separate"/>
      </w:r>
      <w:r>
        <w:rPr>
          <w:rFonts w:hint="eastAsia" w:ascii="仿宋" w:hAnsi="仿宋" w:eastAsia="仿宋" w:cs="仿宋"/>
          <w:sz w:val="32"/>
          <w:szCs w:val="32"/>
        </w:rPr>
        <w:t>第四部分 附件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_Toc32741 \h </w:instrText>
      </w:r>
      <w:r>
        <w:rPr>
          <w:rFonts w:hint="eastAsia" w:ascii="仿宋" w:hAnsi="仿宋" w:eastAsia="仿宋" w:cs="仿宋"/>
          <w:sz w:val="32"/>
          <w:szCs w:val="32"/>
        </w:rPr>
        <w:fldChar w:fldCharType="separate"/>
      </w:r>
      <w:r>
        <w:rPr>
          <w:rFonts w:hint="eastAsia" w:ascii="仿宋" w:hAnsi="仿宋" w:eastAsia="仿宋" w:cs="仿宋"/>
          <w:sz w:val="32"/>
          <w:szCs w:val="32"/>
        </w:rPr>
        <w:t>16</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spacing w:beforeLines="50" w:afterLines="50" w:line="360" w:lineRule="auto"/>
        <w:jc w:val="center"/>
        <w:rPr>
          <w:rFonts w:ascii="宋体" w:hAnsi="宋体"/>
          <w:b/>
          <w:color w:val="000000"/>
          <w:sz w:val="44"/>
          <w:szCs w:val="44"/>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color w:val="000000"/>
          <w:sz w:val="32"/>
          <w:szCs w:val="32"/>
        </w:rPr>
        <w:fldChar w:fldCharType="end"/>
      </w:r>
    </w:p>
    <w:p>
      <w:pPr>
        <w:pStyle w:val="2"/>
        <w:jc w:val="center"/>
        <w:rPr>
          <w:rFonts w:ascii="宋体" w:hAnsi="宋体"/>
          <w:color w:val="000000"/>
        </w:rPr>
      </w:pPr>
      <w:bookmarkStart w:id="0" w:name="_Toc14857"/>
      <w:r>
        <w:rPr>
          <w:rFonts w:hint="eastAsia" w:ascii="黑体" w:eastAsia="黑体"/>
          <w:b w:val="0"/>
        </w:rPr>
        <w:t xml:space="preserve">第一部分 </w:t>
      </w:r>
      <w:r>
        <w:rPr>
          <w:rStyle w:val="21"/>
          <w:rFonts w:hint="eastAsia" w:ascii="黑体" w:eastAsia="黑体"/>
          <w:b w:val="0"/>
          <w:bCs w:val="0"/>
        </w:rPr>
        <w:t>部门概况</w:t>
      </w:r>
      <w:bookmarkEnd w:id="0"/>
    </w:p>
    <w:p>
      <w:pPr>
        <w:spacing w:line="600" w:lineRule="exact"/>
        <w:ind w:firstLine="640" w:firstLineChars="200"/>
        <w:outlineLvl w:val="0"/>
        <w:rPr>
          <w:rFonts w:ascii="黑体" w:eastAsia="黑体"/>
          <w:color w:val="000000"/>
          <w:sz w:val="32"/>
          <w:szCs w:val="32"/>
        </w:rPr>
      </w:pPr>
      <w:bookmarkStart w:id="1" w:name="_Toc30738"/>
      <w:r>
        <w:rPr>
          <w:rFonts w:hint="eastAsia" w:ascii="黑体" w:eastAsia="黑体"/>
          <w:color w:val="000000"/>
          <w:sz w:val="32"/>
          <w:szCs w:val="32"/>
        </w:rPr>
        <w:t>一、基本职能及主要工作</w:t>
      </w:r>
      <w:bookmarkEnd w:id="1"/>
    </w:p>
    <w:p>
      <w:pPr>
        <w:pStyle w:val="3"/>
        <w:adjustRightInd w:val="0"/>
        <w:snapToGrid w:val="0"/>
        <w:spacing w:before="93" w:line="600" w:lineRule="exact"/>
        <w:ind w:firstLine="672" w:firstLineChars="210"/>
        <w:outlineLvl w:val="1"/>
        <w:rPr>
          <w:bCs/>
          <w:color w:val="000000"/>
          <w:sz w:val="32"/>
          <w:szCs w:val="32"/>
        </w:rPr>
      </w:pPr>
      <w:bookmarkStart w:id="2" w:name="_Toc20357"/>
      <w:r>
        <w:rPr>
          <w:rFonts w:hint="eastAsia"/>
          <w:bCs/>
          <w:color w:val="000000"/>
          <w:sz w:val="32"/>
          <w:szCs w:val="32"/>
        </w:rPr>
        <w:t>（一）主要职能。</w:t>
      </w:r>
      <w:bookmarkEnd w:id="2"/>
    </w:p>
    <w:p>
      <w:pPr>
        <w:widowControl/>
        <w:spacing w:line="560" w:lineRule="exact"/>
        <w:ind w:firstLine="640" w:firstLineChars="200"/>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1、根据有关法律、法规和规章，制定全县社会保险登记、申报、管理、使用、运营和待遇支付以及社会保险关系建立、中断、转移、接续和基金转移的办事程序与操作规范并组织实施；</w:t>
      </w:r>
    </w:p>
    <w:p>
      <w:pPr>
        <w:widowControl/>
        <w:spacing w:line="560" w:lineRule="exact"/>
        <w:ind w:firstLine="640" w:firstLineChars="200"/>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2、制定全县社会保险个人账户、缴费记录、档案管理等业务工作规范并组织实施；</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3、制定全县保险基金财务、会计制度的具体操作办法并组织实施，指导各单位财务按照社会保险基金财务、会计制度进行规范管理，编制汇总全县社会保险基金年度预决算报告，加强基金财务管理和会计核算；</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4、负责全县社会保险统筹规划，研究提出年度筹划和实施意见，负责全县社会保险调剂金的上解；</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5、督促检查全县参保单位离退休人员基本养老保险金按时足额发放和工伤待遇的落实，制定社会保险社会化管理规范，对全县机关单位和企事业退休人员开展社会化管理服务和推进、巩固完善和规范基本养老保险金社会化发放工作</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6、制定全县社会保险稽核工作规范，并开展社会保险稽核工作；</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7、负责经办县属参保单位职工养老、工伤工作；</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8、承担全县社会保险信息、统计数据的采集、整理、分析及管理工作，负责全县社会保险信息管理系统的开发建设、运行管理和网络管理等工作。</w:t>
      </w:r>
    </w:p>
    <w:p>
      <w:pPr>
        <w:pStyle w:val="3"/>
        <w:adjustRightInd w:val="0"/>
        <w:snapToGrid w:val="0"/>
        <w:spacing w:before="93" w:line="600" w:lineRule="exact"/>
        <w:ind w:firstLine="672" w:firstLineChars="210"/>
        <w:outlineLvl w:val="1"/>
        <w:rPr>
          <w:bCs/>
          <w:color w:val="000000"/>
          <w:sz w:val="32"/>
          <w:szCs w:val="32"/>
        </w:rPr>
      </w:pPr>
      <w:bookmarkStart w:id="3" w:name="_Toc20917"/>
      <w:r>
        <w:rPr>
          <w:rFonts w:hint="eastAsia"/>
          <w:bCs/>
          <w:color w:val="000000"/>
          <w:sz w:val="32"/>
          <w:szCs w:val="32"/>
        </w:rPr>
        <w:t>（二）2020年重点工作完成情况。</w:t>
      </w:r>
      <w:bookmarkEnd w:id="3"/>
    </w:p>
    <w:p>
      <w:pPr>
        <w:ind w:firstLine="627" w:firstLineChars="196"/>
        <w:rPr>
          <w:bCs/>
          <w:color w:val="000000"/>
          <w:sz w:val="32"/>
          <w:szCs w:val="32"/>
        </w:rPr>
      </w:pPr>
      <w:r>
        <w:rPr>
          <w:rFonts w:hint="eastAsia" w:ascii="仿宋_GB2312" w:eastAsia="仿宋_GB2312"/>
          <w:sz w:val="32"/>
          <w:szCs w:val="32"/>
        </w:rPr>
        <w:t>2020年我中心继续坚持积极稳妥，收入预算与经济发展相协调；坚持民生优先，继续加大民生投入；坚持厉行节约，努力降低行政成本；坚持改革创新，着力提高财政绩效。全面完成2020年各项工作，取得了实效。</w:t>
      </w:r>
    </w:p>
    <w:p>
      <w:pPr>
        <w:spacing w:line="600" w:lineRule="exact"/>
        <w:ind w:firstLine="640" w:firstLineChars="200"/>
        <w:outlineLvl w:val="0"/>
        <w:rPr>
          <w:rFonts w:ascii="黑体" w:eastAsia="黑体"/>
          <w:color w:val="000000"/>
          <w:sz w:val="32"/>
          <w:szCs w:val="32"/>
        </w:rPr>
      </w:pPr>
      <w:bookmarkStart w:id="4" w:name="_Toc14846"/>
      <w:r>
        <w:rPr>
          <w:rFonts w:hint="eastAsia" w:ascii="黑体" w:eastAsia="黑体"/>
          <w:color w:val="000000"/>
          <w:sz w:val="32"/>
          <w:szCs w:val="32"/>
        </w:rPr>
        <w:t>二、部门概况</w:t>
      </w:r>
      <w:bookmarkEnd w:id="4"/>
    </w:p>
    <w:p>
      <w:pPr>
        <w:spacing w:line="576" w:lineRule="exact"/>
        <w:ind w:firstLine="640" w:firstLineChars="200"/>
        <w:rPr>
          <w:rFonts w:ascii="仿宋_GB2312" w:hAnsi="仿宋_GB2312" w:eastAsia="仿宋_GB2312" w:cs="仿宋_GB2312"/>
          <w:sz w:val="32"/>
          <w:szCs w:val="32"/>
        </w:rPr>
      </w:pPr>
      <w:r>
        <w:rPr>
          <w:rFonts w:hint="eastAsia" w:ascii="仿宋_GB2312" w:hAnsi="Albertus Extra Bold" w:eastAsia="仿宋_GB2312"/>
          <w:bCs/>
          <w:sz w:val="32"/>
          <w:szCs w:val="32"/>
          <w:shd w:val="clear" w:color="auto" w:fill="FFFFFF"/>
        </w:rPr>
        <w:t>1、机构情况：</w:t>
      </w:r>
      <w:r>
        <w:rPr>
          <w:rFonts w:hint="eastAsia" w:ascii="仿宋_GB2312" w:hAnsi="宋体" w:eastAsia="仿宋_GB2312"/>
          <w:bCs/>
          <w:sz w:val="32"/>
        </w:rPr>
        <w:t>金川县社会保险事务中心属独立编制机构和核算的参公事业单位</w:t>
      </w:r>
    </w:p>
    <w:p>
      <w:pPr>
        <w:spacing w:line="600" w:lineRule="exact"/>
        <w:ind w:firstLine="640" w:firstLineChars="200"/>
        <w:rPr>
          <w:rFonts w:ascii="仿宋_GB2312" w:hAnsi="宋体" w:eastAsia="仿宋_GB2312"/>
          <w:bCs/>
          <w:sz w:val="32"/>
        </w:rPr>
      </w:pPr>
      <w:r>
        <w:rPr>
          <w:rFonts w:hint="eastAsia" w:ascii="仿宋_GB2312" w:hAnsi="宋体" w:eastAsia="仿宋_GB2312"/>
          <w:bCs/>
          <w:sz w:val="32"/>
        </w:rPr>
        <w:t>2、人员情况：人员编制数16人，其中：参公14人（工勤1人），事业2人。2020年末实有在职职工16人, 参公16人，事业2人，离休1人，退休2人。</w:t>
      </w:r>
    </w:p>
    <w:p>
      <w:pPr>
        <w:spacing w:line="600" w:lineRule="exact"/>
        <w:ind w:firstLine="640" w:firstLineChars="200"/>
        <w:rPr>
          <w:rFonts w:ascii="仿宋_GB2312" w:hAnsi="宋体" w:eastAsia="仿宋_GB2312"/>
          <w:bCs/>
          <w:sz w:val="32"/>
        </w:rPr>
      </w:pPr>
    </w:p>
    <w:p>
      <w:pPr>
        <w:rPr>
          <w:rFonts w:ascii="黑体" w:eastAsia="黑体"/>
          <w:color w:val="000000"/>
        </w:rPr>
      </w:pPr>
      <w:bookmarkStart w:id="5" w:name="_Toc15377204"/>
      <w:bookmarkStart w:id="6" w:name="_Toc15396602"/>
      <w:r>
        <w:rPr>
          <w:rFonts w:hint="eastAsia" w:ascii="黑体" w:eastAsia="黑体"/>
          <w:color w:val="000000"/>
        </w:rPr>
        <w:br w:type="page"/>
      </w:r>
    </w:p>
    <w:p>
      <w:pPr>
        <w:pStyle w:val="2"/>
        <w:ind w:right="440"/>
        <w:jc w:val="right"/>
        <w:rPr>
          <w:rFonts w:ascii="黑体" w:eastAsia="黑体"/>
          <w:color w:val="000000"/>
          <w:sz w:val="32"/>
          <w:szCs w:val="32"/>
        </w:rPr>
      </w:pPr>
      <w:bookmarkStart w:id="7" w:name="_Toc23365"/>
      <w:r>
        <w:rPr>
          <w:rFonts w:hint="eastAsia" w:ascii="黑体" w:eastAsia="黑体"/>
          <w:b w:val="0"/>
          <w:color w:val="000000"/>
        </w:rPr>
        <w:t>第二部分</w:t>
      </w:r>
      <w:r>
        <w:rPr>
          <w:rFonts w:hint="eastAsia" w:ascii="黑体" w:eastAsia="黑体"/>
          <w:color w:val="000000"/>
        </w:rPr>
        <w:t xml:space="preserve"> </w:t>
      </w:r>
      <w:r>
        <w:rPr>
          <w:rStyle w:val="21"/>
          <w:rFonts w:hint="eastAsia" w:ascii="黑体" w:eastAsia="黑体"/>
          <w:b w:val="0"/>
          <w:bCs w:val="0"/>
        </w:rPr>
        <w:t>2020年度部门决算情况说明</w:t>
      </w:r>
      <w:bookmarkEnd w:id="5"/>
      <w:bookmarkEnd w:id="6"/>
      <w:bookmarkEnd w:id="7"/>
    </w:p>
    <w:p>
      <w:pPr>
        <w:spacing w:line="600" w:lineRule="exact"/>
        <w:ind w:firstLine="640" w:firstLineChars="200"/>
        <w:outlineLvl w:val="0"/>
        <w:rPr>
          <w:rFonts w:ascii="黑体" w:eastAsia="黑体"/>
          <w:color w:val="000000"/>
          <w:sz w:val="32"/>
          <w:szCs w:val="32"/>
        </w:rPr>
      </w:pPr>
      <w:bookmarkStart w:id="8" w:name="_Toc13563"/>
      <w:r>
        <w:rPr>
          <w:rFonts w:hint="eastAsia" w:ascii="黑体" w:eastAsia="黑体"/>
          <w:color w:val="000000"/>
          <w:sz w:val="32"/>
          <w:szCs w:val="32"/>
        </w:rPr>
        <w:t>一、收入支出预算安排情况</w:t>
      </w:r>
      <w:bookmarkEnd w:id="8"/>
    </w:p>
    <w:p>
      <w:pPr>
        <w:widowControl/>
        <w:shd w:val="clear" w:color="auto" w:fill="FFFFFF"/>
        <w:spacing w:before="100" w:beforeAutospacing="1" w:after="100" w:afterAutospacing="1"/>
        <w:ind w:firstLine="640" w:firstLineChars="200"/>
        <w:jc w:val="left"/>
        <w:rPr>
          <w:rFonts w:ascii="仿宋_GB2312" w:hAnsi="宋体" w:eastAsia="仿宋_GB2312"/>
          <w:bCs/>
          <w:sz w:val="32"/>
        </w:rPr>
      </w:pPr>
      <w:r>
        <w:rPr>
          <w:rFonts w:hint="eastAsia" w:ascii="仿宋_GB2312" w:hAnsi="宋体" w:eastAsia="仿宋_GB2312"/>
          <w:bCs/>
          <w:sz w:val="32"/>
        </w:rPr>
        <w:t>本单位本年度收入的年初预算数为222.38万元，上年度收入的年初预算数为241.85万元，差异为-19.47万元；主要原因为2019年8月有一人调出。本年度支出的年初预算数为222.38万元，上年度支出的年初预算数为241.85万元，差异为-19.47万元；主要原因为2019年8月有一人调出。</w:t>
      </w:r>
    </w:p>
    <w:p>
      <w:pPr>
        <w:spacing w:line="600" w:lineRule="exact"/>
        <w:ind w:firstLine="640" w:firstLineChars="200"/>
        <w:outlineLvl w:val="0"/>
        <w:rPr>
          <w:rFonts w:ascii="黑体" w:eastAsia="黑体"/>
          <w:color w:val="000000"/>
          <w:sz w:val="32"/>
          <w:szCs w:val="32"/>
        </w:rPr>
      </w:pPr>
      <w:bookmarkStart w:id="9" w:name="_Toc19308"/>
      <w:r>
        <w:rPr>
          <w:rFonts w:hint="eastAsia" w:ascii="黑体" w:eastAsia="黑体"/>
          <w:color w:val="000000"/>
          <w:sz w:val="32"/>
          <w:szCs w:val="32"/>
        </w:rPr>
        <w:t>二、收入支出预算执行情况</w:t>
      </w:r>
      <w:bookmarkEnd w:id="9"/>
    </w:p>
    <w:p>
      <w:pPr>
        <w:ind w:firstLine="64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2020年社会保险事务中心本年收入合计285.54万元，其中：财政拨款收入285.54万元，占100%；事业收入0万元；经营收入0万元；附属单位上缴收入0万元；其他收入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0万元。</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321175" cy="2042160"/>
            <wp:effectExtent l="4445" t="4445" r="17780" b="1079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rPr>
          <w:rFonts w:ascii="仿宋_GB2312" w:hAnsi="仿宋_GB2312" w:eastAsia="仿宋_GB2312" w:cs="仿宋_GB2312"/>
          <w:sz w:val="32"/>
          <w:szCs w:val="32"/>
        </w:rPr>
      </w:pP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2020年社会保险事务中心本年支出合计285.54万元，其中：基本支出285.54万元；项目支出0 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drawing>
          <wp:inline distT="0" distB="0" distL="114300" distR="114300">
            <wp:extent cx="3853815" cy="1859915"/>
            <wp:effectExtent l="4445" t="5080" r="12700"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ind w:firstLine="640" w:firstLineChars="200"/>
        <w:rPr>
          <w:rFonts w:ascii="仿宋_GB2312" w:eastAsia="仿宋_GB2312"/>
          <w:color w:val="000000"/>
          <w:sz w:val="32"/>
          <w:szCs w:val="32"/>
        </w:rPr>
      </w:pPr>
    </w:p>
    <w:p>
      <w:pPr>
        <w:spacing w:line="600" w:lineRule="exact"/>
        <w:ind w:firstLine="640" w:firstLineChars="200"/>
        <w:outlineLvl w:val="0"/>
        <w:rPr>
          <w:rFonts w:ascii="仿宋_GB2312" w:eastAsia="黑体"/>
          <w:color w:val="000000"/>
          <w:sz w:val="32"/>
          <w:szCs w:val="32"/>
        </w:rPr>
      </w:pPr>
      <w:bookmarkStart w:id="10" w:name="_Toc18636"/>
      <w:r>
        <w:rPr>
          <w:rFonts w:hint="eastAsia" w:ascii="黑体" w:eastAsia="黑体"/>
          <w:color w:val="000000"/>
          <w:sz w:val="32"/>
          <w:szCs w:val="32"/>
        </w:rPr>
        <w:t>三、财政拨款收支决算分析</w:t>
      </w:r>
      <w:bookmarkEnd w:id="10"/>
    </w:p>
    <w:p>
      <w:pPr>
        <w:ind w:firstLine="640" w:firstLineChars="200"/>
        <w:rPr>
          <w:rFonts w:ascii="仿宋_GB2312" w:eastAsia="仿宋_GB2312"/>
          <w:sz w:val="32"/>
          <w:szCs w:val="32"/>
        </w:rPr>
      </w:pPr>
      <w:r>
        <w:rPr>
          <w:rFonts w:hint="eastAsia" w:ascii="仿宋_GB2312" w:eastAsia="仿宋_GB2312"/>
          <w:sz w:val="32"/>
          <w:szCs w:val="32"/>
        </w:rPr>
        <w:t>社会保险事务中心2020年度财政拨款收支总决算285.54 万元，与2019年度财政拨款收支总决算297.72 万元相比，减少12.18万元，下降4.09%；</w:t>
      </w:r>
    </w:p>
    <w:p>
      <w:pPr>
        <w:rPr>
          <w:rFonts w:ascii="黑体" w:eastAsia="黑体"/>
          <w:color w:val="000000"/>
          <w:sz w:val="32"/>
          <w:szCs w:val="32"/>
        </w:rPr>
      </w:pPr>
      <w:r>
        <w:rPr>
          <w:rFonts w:hint="eastAsia" w:ascii="仿宋_GB2312" w:eastAsia="仿宋_GB2312"/>
          <w:color w:val="000000"/>
          <w:sz w:val="32"/>
          <w:szCs w:val="32"/>
        </w:rPr>
        <w:drawing>
          <wp:anchor distT="0" distB="0" distL="114300" distR="114300" simplePos="0" relativeHeight="251660288" behindDoc="0" locked="0" layoutInCell="1" allowOverlap="1">
            <wp:simplePos x="0" y="0"/>
            <wp:positionH relativeFrom="column">
              <wp:posOffset>-144780</wp:posOffset>
            </wp:positionH>
            <wp:positionV relativeFrom="paragraph">
              <wp:posOffset>59690</wp:posOffset>
            </wp:positionV>
            <wp:extent cx="5277485" cy="3336925"/>
            <wp:effectExtent l="4445" t="4445" r="6350" b="11430"/>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outlineLvl w:val="0"/>
        <w:rPr>
          <w:rFonts w:ascii="黑体" w:eastAsia="黑体"/>
          <w:color w:val="000000"/>
          <w:sz w:val="32"/>
          <w:szCs w:val="32"/>
        </w:rPr>
      </w:pPr>
      <w:bookmarkStart w:id="11" w:name="_Toc19522"/>
      <w:r>
        <w:rPr>
          <w:rFonts w:hint="eastAsia" w:ascii="黑体" w:eastAsia="黑体"/>
          <w:color w:val="000000"/>
          <w:sz w:val="32"/>
          <w:szCs w:val="32"/>
        </w:rPr>
        <w:t>四、一般公共预算财政拨款支出决算情况</w:t>
      </w:r>
      <w:bookmarkEnd w:id="11"/>
    </w:p>
    <w:p>
      <w:pPr>
        <w:spacing w:line="600" w:lineRule="exact"/>
        <w:ind w:firstLine="640" w:firstLineChars="200"/>
        <w:outlineLvl w:val="1"/>
        <w:rPr>
          <w:rFonts w:ascii="仿宋_GB2312" w:eastAsia="仿宋_GB2312"/>
          <w:color w:val="000000"/>
          <w:sz w:val="32"/>
          <w:szCs w:val="32"/>
        </w:rPr>
      </w:pPr>
      <w:bookmarkStart w:id="12" w:name="_Toc22032"/>
      <w:r>
        <w:rPr>
          <w:rFonts w:hint="eastAsia" w:ascii="仿宋_GB2312" w:eastAsia="仿宋_GB2312"/>
          <w:color w:val="000000"/>
          <w:sz w:val="32"/>
          <w:szCs w:val="32"/>
        </w:rPr>
        <w:t>（一）一般公共预算财政拨款支出决算总体情况</w:t>
      </w:r>
      <w:bookmarkEnd w:id="12"/>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社会保险事务中心2020年度一般公共预算财政拨款支出285.54万元，占本年支出合计的100%。与2019年相比，减少12.18万元，下降4.09%。</w:t>
      </w:r>
    </w:p>
    <w:p>
      <w:pPr>
        <w:spacing w:line="600" w:lineRule="exact"/>
        <w:ind w:firstLine="640" w:firstLineChars="200"/>
        <w:outlineLvl w:val="1"/>
        <w:rPr>
          <w:rFonts w:ascii="仿宋_GB2312" w:eastAsia="仿宋_GB2312"/>
          <w:color w:val="000000"/>
          <w:sz w:val="32"/>
          <w:szCs w:val="32"/>
        </w:rPr>
      </w:pPr>
      <w:bookmarkStart w:id="13" w:name="_Toc10051"/>
      <w:r>
        <w:rPr>
          <w:rFonts w:hint="eastAsia" w:ascii="仿宋_GB2312" w:eastAsia="仿宋_GB2312"/>
          <w:color w:val="000000"/>
          <w:sz w:val="32"/>
          <w:szCs w:val="32"/>
        </w:rPr>
        <w:t>（二）一般公共预算财政拨款支出决算结构情况</w:t>
      </w:r>
      <w:bookmarkEnd w:id="13"/>
    </w:p>
    <w:p>
      <w:pPr>
        <w:spacing w:line="600" w:lineRule="exact"/>
        <w:ind w:firstLine="640" w:firstLineChars="200"/>
        <w:rPr>
          <w:rFonts w:ascii="仿宋_GB2312" w:eastAsia="仿宋_GB2312"/>
          <w:color w:val="000000"/>
          <w:sz w:val="32"/>
          <w:szCs w:val="32"/>
        </w:rPr>
      </w:pPr>
      <w:r>
        <w:rPr>
          <w:rFonts w:hint="eastAsia" w:ascii="仿宋_GB2312" w:eastAsia="仿宋_GB2312"/>
          <w:sz w:val="32"/>
          <w:szCs w:val="32"/>
        </w:rPr>
        <w:drawing>
          <wp:anchor distT="0" distB="0" distL="114300" distR="114300" simplePos="0" relativeHeight="251659264" behindDoc="1" locked="0" layoutInCell="1" allowOverlap="1">
            <wp:simplePos x="0" y="0"/>
            <wp:positionH relativeFrom="column">
              <wp:posOffset>78105</wp:posOffset>
            </wp:positionH>
            <wp:positionV relativeFrom="paragraph">
              <wp:posOffset>1895475</wp:posOffset>
            </wp:positionV>
            <wp:extent cx="5140960" cy="2012315"/>
            <wp:effectExtent l="4445" t="4445" r="5715" b="10160"/>
            <wp:wrapTight wrapText="bothSides">
              <wp:wrapPolygon>
                <wp:start x="-19" y="-48"/>
                <wp:lineTo x="-19" y="21545"/>
                <wp:lineTo x="21560" y="21545"/>
                <wp:lineTo x="21560" y="-48"/>
                <wp:lineTo x="-19" y="-48"/>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eastAsia="仿宋_GB2312"/>
          <w:sz w:val="32"/>
          <w:szCs w:val="32"/>
        </w:rPr>
        <w:t>社会保险事务中心2020年一般公共预算财政拨款支出</w:t>
      </w:r>
      <w:r>
        <w:rPr>
          <w:rFonts w:hint="eastAsia" w:ascii="仿宋_GB2312" w:eastAsia="仿宋_GB2312"/>
          <w:color w:val="000000"/>
          <w:sz w:val="32"/>
          <w:szCs w:val="32"/>
        </w:rPr>
        <w:t>285.54</w:t>
      </w:r>
      <w:r>
        <w:rPr>
          <w:rFonts w:hint="eastAsia" w:ascii="仿宋_GB2312" w:eastAsia="仿宋_GB2312"/>
          <w:sz w:val="32"/>
          <w:szCs w:val="32"/>
        </w:rPr>
        <w:t>万元，主要用于以下方面:社会保障和就业支出255.64万元，占89.53%；医疗卫生与计划生育支出11.28万元，占3.95%；住房保障支出18.62万元，占6.52%；其他支出0万元，占0%。</w:t>
      </w:r>
    </w:p>
    <w:p>
      <w:pPr>
        <w:spacing w:line="600" w:lineRule="exact"/>
        <w:ind w:firstLine="640" w:firstLineChars="200"/>
        <w:outlineLvl w:val="1"/>
        <w:rPr>
          <w:rFonts w:ascii="仿宋_GB2312" w:eastAsia="仿宋_GB2312"/>
          <w:color w:val="000000"/>
          <w:sz w:val="32"/>
          <w:szCs w:val="32"/>
        </w:rPr>
      </w:pPr>
      <w:bookmarkStart w:id="14" w:name="_Toc9795"/>
      <w:r>
        <w:rPr>
          <w:rFonts w:hint="eastAsia" w:ascii="仿宋_GB2312" w:eastAsia="仿宋_GB2312"/>
          <w:color w:val="000000"/>
          <w:sz w:val="32"/>
          <w:szCs w:val="32"/>
        </w:rPr>
        <w:t>（三）一般公共预算财政拨款支出决算具体情况</w:t>
      </w:r>
      <w:bookmarkEnd w:id="14"/>
    </w:p>
    <w:p>
      <w:pPr>
        <w:spacing w:line="600" w:lineRule="exact"/>
        <w:ind w:firstLine="643" w:firstLineChars="200"/>
        <w:rPr>
          <w:rStyle w:val="13"/>
          <w:rFonts w:ascii="仿宋_GB2312" w:eastAsia="仿宋_GB2312"/>
          <w:sz w:val="32"/>
          <w:szCs w:val="32"/>
        </w:rPr>
      </w:pPr>
      <w:r>
        <w:rPr>
          <w:rStyle w:val="13"/>
          <w:rFonts w:hint="eastAsia" w:ascii="仿宋_GB2312" w:eastAsia="仿宋_GB2312"/>
          <w:sz w:val="32"/>
          <w:szCs w:val="32"/>
        </w:rPr>
        <w:t>1.</w:t>
      </w:r>
      <w:r>
        <w:rPr>
          <w:rFonts w:hint="eastAsia" w:ascii="仿宋_GB2312" w:eastAsia="仿宋_GB2312"/>
          <w:sz w:val="32"/>
          <w:szCs w:val="32"/>
        </w:rPr>
        <w:t xml:space="preserve"> 社会保障和就业</w:t>
      </w:r>
      <w:r>
        <w:rPr>
          <w:rStyle w:val="13"/>
          <w:rFonts w:hint="eastAsia" w:ascii="仿宋_GB2312" w:eastAsia="仿宋_GB2312"/>
          <w:sz w:val="32"/>
          <w:szCs w:val="32"/>
        </w:rPr>
        <w:t>:</w:t>
      </w:r>
    </w:p>
    <w:p>
      <w:pPr>
        <w:spacing w:line="600" w:lineRule="exact"/>
        <w:ind w:firstLine="960" w:firstLineChars="300"/>
        <w:rPr>
          <w:rFonts w:ascii="仿宋_GB2312" w:eastAsia="仿宋_GB2312"/>
          <w:sz w:val="32"/>
          <w:szCs w:val="32"/>
        </w:rPr>
      </w:pPr>
      <w:r>
        <w:rPr>
          <w:rFonts w:hint="eastAsia" w:ascii="仿宋_GB2312" w:eastAsia="仿宋_GB2312"/>
          <w:color w:val="000000"/>
          <w:sz w:val="32"/>
          <w:szCs w:val="32"/>
        </w:rPr>
        <w:t>社会保障和就业支出208（类）人力资源和社会保障管理事务01（款）社会保险经办机构09（项）</w:t>
      </w:r>
      <w:r>
        <w:rPr>
          <w:rFonts w:hint="eastAsia" w:ascii="仿宋_GB2312" w:eastAsia="仿宋_GB2312"/>
          <w:sz w:val="32"/>
          <w:szCs w:val="32"/>
        </w:rPr>
        <w:t>：2020年决算数为226.26万元，完成预算132.77%，决算数大于预算数的主要原因是：新进两人，调入1人，增加了人员支出。</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社会保障和就业支出208（类）行政事业单位离退休05（款）机关事业单位基本养老保险缴费05（项）</w:t>
      </w:r>
      <w:r>
        <w:rPr>
          <w:rFonts w:hint="eastAsia" w:ascii="仿宋_GB2312" w:eastAsia="仿宋_GB2312"/>
          <w:sz w:val="32"/>
          <w:szCs w:val="32"/>
        </w:rPr>
        <w:t>：2020年决算数19.59万元，完成预算106.93%，决算数大于预算数的主要原因是：我单位新进两名、调入1名职工及缴费基数调整，增加了人员经费支出。</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社会保障和就业支出208（类）行政事业单位离退休05（款）机关事业单位职业年金缴费06（项）</w:t>
      </w:r>
      <w:r>
        <w:rPr>
          <w:rFonts w:hint="eastAsia" w:ascii="仿宋_GB2312" w:eastAsia="仿宋_GB2312"/>
          <w:sz w:val="32"/>
          <w:szCs w:val="32"/>
        </w:rPr>
        <w:t>：2020年决算数为9.79万元，完成预算106.88%，决算数大于预算数的主要原因是：我单位新进两名、调入1名职工及缴费基数调整，增加了人员经费支出。</w:t>
      </w:r>
    </w:p>
    <w:p>
      <w:pPr>
        <w:spacing w:line="600" w:lineRule="exact"/>
        <w:ind w:firstLine="643" w:firstLineChars="200"/>
        <w:rPr>
          <w:rStyle w:val="13"/>
          <w:rFonts w:ascii="仿宋_GB2312" w:eastAsia="仿宋_GB2312"/>
          <w:b w:val="0"/>
          <w:bCs w:val="0"/>
          <w:sz w:val="32"/>
          <w:szCs w:val="32"/>
        </w:rPr>
      </w:pPr>
      <w:r>
        <w:rPr>
          <w:rStyle w:val="13"/>
          <w:rFonts w:hint="eastAsia" w:ascii="仿宋_GB2312" w:eastAsia="仿宋_GB2312"/>
          <w:sz w:val="32"/>
          <w:szCs w:val="32"/>
        </w:rPr>
        <w:t>2.医疗卫生与计划生育:</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医疗卫生与计划生育支出210（类）医疗保障11（款）事业单位医疗02（项）：</w:t>
      </w:r>
      <w:r>
        <w:rPr>
          <w:rFonts w:hint="eastAsia" w:ascii="仿宋_GB2312" w:eastAsia="仿宋_GB2312"/>
          <w:sz w:val="32"/>
          <w:szCs w:val="32"/>
        </w:rPr>
        <w:t>2020年决算数为8.57万元，完成预算106.99%，决算数大于预算数的主要原因是：我单位新进两名、调入1名职工及缴费基数调整，增加了人员经费支出。</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医疗卫生与计划生育支出210（类）医疗保障11（款）公务员医疗补助03（项）：</w:t>
      </w:r>
      <w:r>
        <w:rPr>
          <w:rFonts w:hint="eastAsia" w:ascii="仿宋_GB2312" w:eastAsia="仿宋_GB2312"/>
          <w:sz w:val="32"/>
          <w:szCs w:val="32"/>
        </w:rPr>
        <w:t xml:space="preserve"> 2020年决算数为2.7万元，完成预算98.9%，决算数大于预算数的主要原因是：我单位新进两名、调入1名职工及缴费基数调整，增加了人员经费支出。</w:t>
      </w:r>
    </w:p>
    <w:p>
      <w:pPr>
        <w:spacing w:line="600" w:lineRule="exact"/>
        <w:ind w:firstLine="643" w:firstLineChars="200"/>
        <w:rPr>
          <w:rStyle w:val="13"/>
          <w:rFonts w:ascii="仿宋_GB2312" w:eastAsia="仿宋_GB2312"/>
          <w:sz w:val="32"/>
          <w:szCs w:val="32"/>
        </w:rPr>
      </w:pPr>
      <w:r>
        <w:rPr>
          <w:rStyle w:val="13"/>
          <w:rFonts w:hint="eastAsia" w:ascii="仿宋_GB2312" w:eastAsia="仿宋_GB2312"/>
          <w:sz w:val="32"/>
          <w:szCs w:val="32"/>
        </w:rPr>
        <w:t>3.住房保障支出:</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住房保障支出221（类）住房改革支出02（款）住房公积金01（项）</w:t>
      </w:r>
      <w:r>
        <w:rPr>
          <w:rFonts w:hint="eastAsia" w:ascii="仿宋_GB2312" w:eastAsia="仿宋_GB2312"/>
          <w:sz w:val="32"/>
          <w:szCs w:val="32"/>
        </w:rPr>
        <w:t>： 2020年决算数为18.62万元，完成预算135.52%，决算数大于预算数的主要原因是：我单位新进两名、调入1名职工及缴费基数调整，增加了人员经费支出。</w:t>
      </w:r>
    </w:p>
    <w:p>
      <w:pPr>
        <w:spacing w:line="600" w:lineRule="exact"/>
        <w:ind w:firstLine="640" w:firstLineChars="200"/>
        <w:outlineLvl w:val="0"/>
        <w:rPr>
          <w:rFonts w:ascii="黑体" w:eastAsia="黑体"/>
          <w:color w:val="000000"/>
          <w:sz w:val="32"/>
          <w:szCs w:val="32"/>
        </w:rPr>
      </w:pPr>
      <w:bookmarkStart w:id="15" w:name="_Toc22055"/>
      <w:r>
        <w:rPr>
          <w:rFonts w:hint="eastAsia" w:ascii="黑体" w:eastAsia="黑体"/>
          <w:color w:val="000000"/>
          <w:sz w:val="32"/>
          <w:szCs w:val="32"/>
        </w:rPr>
        <w:t>五、财政拨款收入、支出分析</w:t>
      </w:r>
      <w:bookmarkEnd w:id="15"/>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社会保险事务中心2020年一般公共预算财政拨款基本支出285.54万元，其中：</w:t>
      </w:r>
      <w:bookmarkStart w:id="16" w:name="OLE_LINK2"/>
      <w:r>
        <w:rPr>
          <w:rFonts w:hint="eastAsia" w:ascii="仿宋_GB2312" w:eastAsia="仿宋_GB2312"/>
          <w:color w:val="000000"/>
          <w:sz w:val="32"/>
          <w:szCs w:val="32"/>
        </w:rPr>
        <w:t>人员经费</w:t>
      </w:r>
      <w:bookmarkEnd w:id="16"/>
      <w:r>
        <w:rPr>
          <w:rFonts w:hint="eastAsia" w:ascii="仿宋_GB2312" w:eastAsia="仿宋_GB2312"/>
          <w:color w:val="000000"/>
          <w:sz w:val="32"/>
          <w:szCs w:val="32"/>
        </w:rPr>
        <w:t>272.50万元，主要包括：基本工资53.48万元、津贴补贴61.37万元、奖金4.1万元、绩效工资6.21万元、机关事业单位基本养老保险缴费19.59万元、职业年金缴费9.79万元、</w:t>
      </w:r>
      <w:bookmarkStart w:id="17" w:name="OLE_LINK1"/>
      <w:r>
        <w:rPr>
          <w:rFonts w:hint="eastAsia" w:ascii="仿宋_GB2312" w:eastAsia="仿宋_GB2312"/>
          <w:color w:val="000000"/>
          <w:sz w:val="32"/>
          <w:szCs w:val="32"/>
        </w:rPr>
        <w:t>职工基本医疗保险缴费</w:t>
      </w:r>
      <w:bookmarkEnd w:id="17"/>
      <w:r>
        <w:rPr>
          <w:rFonts w:hint="eastAsia" w:ascii="仿宋_GB2312" w:eastAsia="仿宋_GB2312"/>
          <w:color w:val="000000"/>
          <w:sz w:val="32"/>
          <w:szCs w:val="32"/>
        </w:rPr>
        <w:t>：8.57、公务员医疗补助缴费2.7万元、其他社会保障缴费1.49</w:t>
      </w:r>
      <w:r>
        <w:rPr>
          <w:rFonts w:hint="eastAsia" w:ascii="仿宋_GB2312" w:eastAsia="仿宋_GB2312"/>
          <w:color w:val="000000"/>
          <w:sz w:val="32"/>
          <w:szCs w:val="32"/>
        </w:rPr>
        <w:drawing>
          <wp:anchor distT="0" distB="0" distL="114300" distR="114300" simplePos="0" relativeHeight="251661312" behindDoc="0" locked="0" layoutInCell="1" allowOverlap="1">
            <wp:simplePos x="0" y="0"/>
            <wp:positionH relativeFrom="column">
              <wp:posOffset>261620</wp:posOffset>
            </wp:positionH>
            <wp:positionV relativeFrom="paragraph">
              <wp:posOffset>972820</wp:posOffset>
            </wp:positionV>
            <wp:extent cx="4823460" cy="3789680"/>
            <wp:effectExtent l="4445" t="4445" r="18415" b="1587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eastAsia="仿宋_GB2312"/>
          <w:color w:val="000000"/>
          <w:sz w:val="32"/>
          <w:szCs w:val="32"/>
        </w:rPr>
        <w:t>万元、离休费8.37万元、退休费0.01万元、生活补助31.16万元、住房公积金18.62万元、奖励金47.02万元。</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公用经费</w:t>
      </w:r>
      <w:bookmarkStart w:id="18" w:name="OLE_LINK4"/>
      <w:r>
        <w:rPr>
          <w:rFonts w:hint="eastAsia" w:ascii="仿宋_GB2312" w:eastAsia="仿宋_GB2312"/>
          <w:color w:val="000000"/>
          <w:sz w:val="32"/>
          <w:szCs w:val="32"/>
        </w:rPr>
        <w:t>13.04</w:t>
      </w:r>
      <w:bookmarkEnd w:id="18"/>
      <w:r>
        <w:rPr>
          <w:rFonts w:hint="eastAsia" w:ascii="仿宋_GB2312" w:eastAsia="仿宋_GB2312"/>
          <w:color w:val="000000"/>
          <w:sz w:val="32"/>
          <w:szCs w:val="32"/>
        </w:rPr>
        <w:t>万元，主要包括：</w:t>
      </w:r>
      <w:bookmarkStart w:id="19" w:name="OLE_LINK3"/>
      <w:r>
        <w:rPr>
          <w:rFonts w:hint="eastAsia" w:ascii="仿宋_GB2312" w:eastAsia="仿宋_GB2312"/>
          <w:color w:val="000000"/>
          <w:sz w:val="32"/>
          <w:szCs w:val="32"/>
        </w:rPr>
        <w:t>办公费</w:t>
      </w:r>
      <w:bookmarkEnd w:id="19"/>
      <w:r>
        <w:rPr>
          <w:rFonts w:hint="eastAsia" w:ascii="仿宋_GB2312" w:eastAsia="仿宋_GB2312"/>
          <w:color w:val="000000"/>
          <w:sz w:val="32"/>
          <w:szCs w:val="32"/>
        </w:rPr>
        <w:t>5.68万元、水费0.15万元、电费0.5万元、邮电费0.61万元、差旅费4万元、维修（护）费0.5万元、公务用车运行维护费1.6万元。</w:t>
      </w:r>
    </w:p>
    <w:p>
      <w:pPr>
        <w:spacing w:line="600" w:lineRule="exact"/>
        <w:rPr>
          <w:rFonts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62336" behindDoc="0" locked="0" layoutInCell="1" allowOverlap="1">
            <wp:simplePos x="0" y="0"/>
            <wp:positionH relativeFrom="column">
              <wp:posOffset>40005</wp:posOffset>
            </wp:positionH>
            <wp:positionV relativeFrom="paragraph">
              <wp:posOffset>326390</wp:posOffset>
            </wp:positionV>
            <wp:extent cx="4879340" cy="2119630"/>
            <wp:effectExtent l="4445" t="4445" r="8255" b="952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ind w:firstLine="1120" w:firstLineChars="350"/>
        <w:outlineLvl w:val="0"/>
        <w:rPr>
          <w:rFonts w:hint="eastAsia" w:ascii="黑体" w:eastAsia="黑体"/>
          <w:color w:val="000000"/>
          <w:sz w:val="32"/>
          <w:szCs w:val="32"/>
        </w:rPr>
      </w:pPr>
      <w:bookmarkStart w:id="20" w:name="_Toc29121"/>
    </w:p>
    <w:p>
      <w:pPr>
        <w:spacing w:line="600" w:lineRule="exact"/>
        <w:ind w:firstLine="1120" w:firstLineChars="350"/>
        <w:outlineLvl w:val="0"/>
        <w:rPr>
          <w:rFonts w:ascii="黑体" w:eastAsia="黑体"/>
          <w:color w:val="000000"/>
          <w:sz w:val="32"/>
          <w:szCs w:val="32"/>
        </w:rPr>
      </w:pPr>
      <w:r>
        <w:rPr>
          <w:rFonts w:hint="eastAsia" w:ascii="黑体" w:eastAsia="黑体"/>
          <w:color w:val="000000"/>
          <w:sz w:val="32"/>
          <w:szCs w:val="32"/>
        </w:rPr>
        <w:t>六、支出按经济分类科目分析</w:t>
      </w:r>
      <w:bookmarkEnd w:id="20"/>
    </w:p>
    <w:p>
      <w:pPr>
        <w:spacing w:line="600" w:lineRule="exact"/>
        <w:ind w:firstLine="640"/>
        <w:outlineLvl w:val="1"/>
        <w:rPr>
          <w:rFonts w:ascii="仿宋_GB2312" w:eastAsia="仿宋_GB2312"/>
          <w:b/>
          <w:color w:val="000000"/>
          <w:sz w:val="32"/>
          <w:szCs w:val="32"/>
        </w:rPr>
      </w:pPr>
      <w:bookmarkStart w:id="21" w:name="_Toc18260"/>
      <w:r>
        <w:rPr>
          <w:rFonts w:hint="eastAsia" w:ascii="仿宋_GB2312" w:eastAsia="仿宋_GB2312"/>
          <w:b/>
          <w:color w:val="000000"/>
          <w:sz w:val="32"/>
          <w:szCs w:val="32"/>
        </w:rPr>
        <w:t>（一）“三公”经费财政拨款支出决算总体情况说明</w:t>
      </w:r>
      <w:bookmarkEnd w:id="21"/>
    </w:p>
    <w:p>
      <w:pPr>
        <w:spacing w:line="600" w:lineRule="exact"/>
        <w:ind w:firstLine="640"/>
        <w:rPr>
          <w:rFonts w:ascii="仿宋_GB2312" w:eastAsia="仿宋_GB2312"/>
          <w:color w:val="333333"/>
          <w:sz w:val="32"/>
          <w:szCs w:val="32"/>
        </w:rPr>
      </w:pPr>
      <w:r>
        <w:rPr>
          <w:rFonts w:hint="eastAsia" w:ascii="仿宋_GB2312" w:eastAsia="仿宋_GB2312"/>
          <w:color w:val="333333"/>
          <w:sz w:val="32"/>
          <w:szCs w:val="32"/>
        </w:rPr>
        <w:t>社会保险事务中心2020年度“三公”经费财政拨款支出决算为1.6万元，完成预算100%，其中：无因公出国（境）费支出；无公务接待费支出；公务用车购置及运行维护费支出决算为1.6万元，完成预算100%；完成预算100%。</w:t>
      </w:r>
    </w:p>
    <w:p>
      <w:pPr>
        <w:spacing w:line="600" w:lineRule="exact"/>
        <w:ind w:firstLine="640"/>
        <w:rPr>
          <w:rFonts w:ascii="仿宋_GB2312" w:hAnsi="宋体" w:eastAsia="仿宋_GB2312" w:cs="宋体"/>
          <w:color w:val="333333"/>
          <w:kern w:val="0"/>
          <w:sz w:val="32"/>
          <w:szCs w:val="32"/>
        </w:rPr>
      </w:pPr>
      <w:r>
        <w:rPr>
          <w:rFonts w:hint="eastAsia" w:ascii="仿宋_GB2312" w:eastAsia="仿宋_GB2312"/>
          <w:color w:val="333333"/>
          <w:sz w:val="32"/>
          <w:szCs w:val="32"/>
        </w:rPr>
        <w:t>2020年度“三公”经费财政拨款支出决算数比2019年</w:t>
      </w:r>
      <w:r>
        <w:rPr>
          <w:rFonts w:hint="eastAsia" w:ascii="仿宋_GB2312" w:eastAsia="仿宋_GB2312"/>
          <w:color w:val="000000"/>
          <w:sz w:val="32"/>
          <w:szCs w:val="32"/>
        </w:rPr>
        <w:t>减少0.7</w:t>
      </w:r>
      <w:r>
        <w:rPr>
          <w:rFonts w:hint="eastAsia" w:ascii="仿宋_GB2312" w:eastAsia="仿宋_GB2312"/>
          <w:color w:val="333333"/>
          <w:sz w:val="32"/>
          <w:szCs w:val="32"/>
        </w:rPr>
        <w:t>万元，</w:t>
      </w:r>
      <w:r>
        <w:rPr>
          <w:rFonts w:hint="eastAsia" w:ascii="仿宋_GB2312" w:eastAsia="仿宋_GB2312"/>
          <w:color w:val="000000"/>
          <w:sz w:val="32"/>
          <w:szCs w:val="32"/>
        </w:rPr>
        <w:t>减少30.43%，其中：无</w:t>
      </w:r>
      <w:r>
        <w:rPr>
          <w:rFonts w:hint="eastAsia" w:ascii="仿宋_GB2312" w:eastAsia="仿宋_GB2312"/>
          <w:color w:val="333333"/>
          <w:sz w:val="32"/>
          <w:szCs w:val="32"/>
        </w:rPr>
        <w:t>因公出国（境）费支出；公务接待费用减少0.25万元，原因是今年无公务接待费支出；公务用车购置及运行维护费支出决算减少0.45万元，</w:t>
      </w:r>
      <w:r>
        <w:rPr>
          <w:rFonts w:hint="eastAsia" w:ascii="仿宋_GB2312" w:eastAsia="仿宋_GB2312"/>
          <w:color w:val="000000"/>
          <w:sz w:val="32"/>
          <w:szCs w:val="32"/>
        </w:rPr>
        <w:t>减少21.95%</w:t>
      </w:r>
      <w:r>
        <w:rPr>
          <w:rFonts w:hint="eastAsia" w:ascii="仿宋_GB2312" w:eastAsia="仿宋_GB2312"/>
          <w:color w:val="333333"/>
          <w:sz w:val="32"/>
          <w:szCs w:val="32"/>
        </w:rPr>
        <w:t>；原因在于单位用车减少，公务用车维护支出减少。</w:t>
      </w:r>
    </w:p>
    <w:p>
      <w:pPr>
        <w:spacing w:line="600" w:lineRule="exact"/>
        <w:ind w:firstLine="640"/>
        <w:outlineLvl w:val="1"/>
        <w:rPr>
          <w:rFonts w:ascii="仿宋_GB2312" w:eastAsia="仿宋_GB2312"/>
          <w:b/>
          <w:color w:val="333333"/>
          <w:sz w:val="32"/>
          <w:szCs w:val="32"/>
        </w:rPr>
      </w:pPr>
      <w:bookmarkStart w:id="22" w:name="_Toc3813"/>
      <w:r>
        <w:rPr>
          <w:rFonts w:hint="eastAsia" w:ascii="仿宋_GB2312" w:eastAsia="仿宋_GB2312"/>
          <w:b/>
          <w:color w:val="333333"/>
          <w:sz w:val="32"/>
          <w:szCs w:val="32"/>
        </w:rPr>
        <w:t>（二）“三公”经费财政拨款支出决算具体情况说明</w:t>
      </w:r>
      <w:bookmarkEnd w:id="22"/>
    </w:p>
    <w:p>
      <w:pPr>
        <w:spacing w:line="600" w:lineRule="exact"/>
        <w:ind w:firstLine="640"/>
        <w:rPr>
          <w:rFonts w:ascii="仿宋_GB2312" w:eastAsia="仿宋_GB2312"/>
          <w:color w:val="333333"/>
          <w:sz w:val="32"/>
          <w:szCs w:val="32"/>
        </w:rPr>
      </w:pPr>
      <w:r>
        <w:rPr>
          <w:rFonts w:hint="eastAsia" w:ascii="仿宋_GB2312" w:eastAsia="仿宋_GB2312"/>
          <w:color w:val="333333"/>
          <w:sz w:val="32"/>
          <w:szCs w:val="32"/>
        </w:rPr>
        <w:t>2020年度“三公”经费财政拨款支出决算中，无因公出国（境）费支出；无公务接待费支出；公务用车购置及运行维护费支出决算1.6万元，</w:t>
      </w:r>
      <w:r>
        <w:rPr>
          <w:rFonts w:hint="eastAsia" w:ascii="仿宋_GB2312" w:eastAsia="仿宋_GB2312"/>
          <w:color w:val="000000"/>
          <w:sz w:val="32"/>
          <w:szCs w:val="32"/>
        </w:rPr>
        <w:t>占100%</w:t>
      </w:r>
      <w:r>
        <w:rPr>
          <w:rFonts w:hint="eastAsia" w:ascii="仿宋_GB2312" w:eastAsia="仿宋_GB2312"/>
          <w:color w:val="333333"/>
          <w:sz w:val="32"/>
          <w:szCs w:val="32"/>
        </w:rPr>
        <w:t>；</w:t>
      </w:r>
      <w:r>
        <w:rPr>
          <w:rFonts w:hint="eastAsia" w:ascii="仿宋_GB2312" w:eastAsia="仿宋_GB2312"/>
          <w:color w:val="000000"/>
          <w:sz w:val="32"/>
          <w:szCs w:val="32"/>
        </w:rPr>
        <w:t>具体情况如下：</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2020年无因公出国（境）费。</w:t>
      </w:r>
    </w:p>
    <w:p>
      <w:p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2.公务用车购置及运行维护费</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2020年公务用车购置及运行维护费1.6万元,无公务用车购置支出。公务用车运行维护费支出1.6万元。主要用于开展各项财政工作所需的公务用车燃料费、维修费、过路过桥费、保险费等支出。</w:t>
      </w:r>
    </w:p>
    <w:p>
      <w:pPr>
        <w:spacing w:line="600" w:lineRule="exact"/>
        <w:ind w:firstLine="643" w:firstLineChars="200"/>
        <w:rPr>
          <w:rFonts w:ascii="楷体_GB2312" w:eastAsia="楷体_GB2312"/>
          <w:b/>
          <w:color w:val="000000"/>
          <w:sz w:val="32"/>
          <w:szCs w:val="32"/>
        </w:rPr>
      </w:pPr>
      <w:r>
        <w:rPr>
          <w:rFonts w:hint="eastAsia" w:ascii="仿宋_GB2312" w:eastAsia="仿宋_GB2312"/>
          <w:b/>
          <w:color w:val="000000"/>
          <w:sz w:val="32"/>
          <w:szCs w:val="32"/>
        </w:rPr>
        <w:t>3.公务接待费</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2020年无公务接待费用支出。</w:t>
      </w:r>
    </w:p>
    <w:p>
      <w:pPr>
        <w:numPr>
          <w:ilvl w:val="0"/>
          <w:numId w:val="1"/>
        </w:numPr>
        <w:spacing w:line="600" w:lineRule="exact"/>
        <w:ind w:firstLine="640"/>
        <w:outlineLvl w:val="1"/>
        <w:rPr>
          <w:rFonts w:ascii="仿宋_GB2312" w:eastAsia="仿宋_GB2312"/>
          <w:b/>
          <w:color w:val="333333"/>
          <w:sz w:val="32"/>
          <w:szCs w:val="32"/>
        </w:rPr>
      </w:pPr>
      <w:bookmarkStart w:id="23" w:name="_Toc23297"/>
      <w:r>
        <w:rPr>
          <w:rFonts w:hint="eastAsia" w:ascii="仿宋_GB2312" w:eastAsia="仿宋_GB2312"/>
          <w:b/>
          <w:color w:val="333333"/>
          <w:sz w:val="32"/>
          <w:szCs w:val="32"/>
        </w:rPr>
        <w:t>会议费支出情况</w:t>
      </w:r>
      <w:bookmarkEnd w:id="23"/>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本单位本年度无会议费支出</w:t>
      </w:r>
    </w:p>
    <w:p>
      <w:pPr>
        <w:numPr>
          <w:ilvl w:val="0"/>
          <w:numId w:val="1"/>
        </w:numPr>
        <w:spacing w:line="600" w:lineRule="exact"/>
        <w:ind w:firstLine="640"/>
        <w:outlineLvl w:val="1"/>
        <w:rPr>
          <w:rFonts w:ascii="仿宋_GB2312" w:eastAsia="仿宋_GB2312"/>
          <w:b/>
          <w:color w:val="333333"/>
          <w:sz w:val="32"/>
          <w:szCs w:val="32"/>
        </w:rPr>
      </w:pPr>
      <w:bookmarkStart w:id="24" w:name="_Toc23347"/>
      <w:r>
        <w:rPr>
          <w:rFonts w:hint="eastAsia" w:ascii="仿宋_GB2312" w:eastAsia="仿宋_GB2312"/>
          <w:b/>
          <w:color w:val="333333"/>
          <w:sz w:val="32"/>
          <w:szCs w:val="32"/>
        </w:rPr>
        <w:t>培训费支出情况</w:t>
      </w:r>
      <w:bookmarkEnd w:id="24"/>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本单位本年度无培训费支出</w:t>
      </w:r>
    </w:p>
    <w:p>
      <w:pPr>
        <w:spacing w:line="600" w:lineRule="exact"/>
        <w:ind w:firstLine="640"/>
        <w:outlineLvl w:val="0"/>
        <w:rPr>
          <w:rFonts w:ascii="黑体" w:eastAsia="黑体"/>
          <w:color w:val="000000"/>
          <w:sz w:val="32"/>
          <w:szCs w:val="32"/>
        </w:rPr>
      </w:pPr>
      <w:bookmarkStart w:id="25" w:name="_Toc1598"/>
      <w:r>
        <w:rPr>
          <w:rFonts w:hint="eastAsia" w:ascii="黑体" w:eastAsia="黑体"/>
          <w:color w:val="000000"/>
          <w:sz w:val="32"/>
          <w:szCs w:val="32"/>
        </w:rPr>
        <w:t>七、政府性基金预算财政拨款支出决算情况</w:t>
      </w:r>
      <w:bookmarkEnd w:id="2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社会保险事务中心2020年无政府性基金预算财政拨款支出。</w:t>
      </w:r>
    </w:p>
    <w:p>
      <w:pPr>
        <w:spacing w:line="600" w:lineRule="exact"/>
        <w:ind w:firstLine="640" w:firstLineChars="200"/>
        <w:outlineLvl w:val="0"/>
        <w:rPr>
          <w:rFonts w:ascii="黑体" w:eastAsia="黑体"/>
          <w:color w:val="000000"/>
          <w:sz w:val="32"/>
          <w:szCs w:val="32"/>
        </w:rPr>
      </w:pPr>
      <w:bookmarkStart w:id="26" w:name="_Toc13990"/>
      <w:r>
        <w:rPr>
          <w:rFonts w:hint="eastAsia" w:ascii="黑体" w:eastAsia="黑体"/>
          <w:color w:val="000000"/>
          <w:sz w:val="32"/>
          <w:szCs w:val="32"/>
        </w:rPr>
        <w:t>八、其他重要事项的情况说明</w:t>
      </w:r>
      <w:bookmarkEnd w:id="26"/>
    </w:p>
    <w:p>
      <w:pPr>
        <w:spacing w:line="600" w:lineRule="exact"/>
        <w:ind w:firstLine="643" w:firstLineChars="200"/>
        <w:outlineLvl w:val="1"/>
        <w:rPr>
          <w:rFonts w:ascii="仿宋_GB2312" w:eastAsia="仿宋_GB2312"/>
          <w:color w:val="000000"/>
          <w:sz w:val="32"/>
          <w:szCs w:val="32"/>
        </w:rPr>
      </w:pPr>
      <w:bookmarkStart w:id="27" w:name="_Toc13188"/>
      <w:r>
        <w:rPr>
          <w:rFonts w:hint="eastAsia" w:ascii="仿宋_GB2312" w:eastAsia="仿宋_GB2312"/>
          <w:b/>
          <w:color w:val="000000"/>
          <w:sz w:val="32"/>
          <w:szCs w:val="32"/>
        </w:rPr>
        <w:t>（一）机关运行经费支出情况</w:t>
      </w:r>
      <w:bookmarkEnd w:id="27"/>
    </w:p>
    <w:p>
      <w:pPr>
        <w:spacing w:line="600" w:lineRule="exact"/>
        <w:ind w:firstLine="640" w:firstLineChars="200"/>
        <w:rPr>
          <w:rFonts w:ascii="仿宋_GB2312" w:eastAsia="仿宋_GB2312"/>
          <w:color w:val="000000"/>
          <w:sz w:val="32"/>
          <w:szCs w:val="32"/>
        </w:rPr>
      </w:pPr>
      <w:r>
        <w:rPr>
          <w:rFonts w:hint="eastAsia" w:ascii="仿宋_GB2312" w:eastAsia="仿宋_GB2312"/>
          <w:sz w:val="32"/>
          <w:szCs w:val="32"/>
        </w:rPr>
        <w:t>2020年度，我中心机关运行经费支出13.04万元，比2019年减少4.19万元</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1"/>
        <w:rPr>
          <w:rFonts w:ascii="仿宋_GB2312" w:eastAsia="仿宋_GB2312"/>
          <w:b/>
          <w:color w:val="000000"/>
          <w:sz w:val="32"/>
          <w:szCs w:val="32"/>
        </w:rPr>
      </w:pPr>
      <w:bookmarkStart w:id="28" w:name="_Toc27290"/>
      <w:r>
        <w:rPr>
          <w:rFonts w:hint="eastAsia" w:ascii="仿宋_GB2312" w:eastAsia="仿宋_GB2312"/>
          <w:b/>
          <w:color w:val="000000"/>
          <w:sz w:val="32"/>
          <w:szCs w:val="32"/>
        </w:rPr>
        <w:t>（二）政府采购支出情况</w:t>
      </w:r>
      <w:bookmarkEnd w:id="28"/>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2020年度，我中心采购支出总额0万元，其中：政府采购货物支出0万元。主要用于采购办公设备。</w:t>
      </w:r>
    </w:p>
    <w:p>
      <w:pPr>
        <w:autoSpaceDE w:val="0"/>
        <w:autoSpaceDN w:val="0"/>
        <w:adjustRightInd w:val="0"/>
        <w:spacing w:line="600" w:lineRule="exact"/>
        <w:ind w:firstLine="643" w:firstLineChars="200"/>
        <w:jc w:val="left"/>
        <w:outlineLvl w:val="1"/>
        <w:rPr>
          <w:rFonts w:ascii="仿宋_GB2312" w:eastAsia="仿宋_GB2312"/>
          <w:b/>
          <w:color w:val="000000"/>
          <w:sz w:val="32"/>
          <w:szCs w:val="32"/>
        </w:rPr>
      </w:pPr>
      <w:bookmarkStart w:id="29" w:name="_Toc29816"/>
      <w:r>
        <w:rPr>
          <w:rFonts w:hint="eastAsia" w:ascii="仿宋_GB2312" w:eastAsia="仿宋_GB2312"/>
          <w:b/>
          <w:color w:val="000000"/>
          <w:sz w:val="32"/>
          <w:szCs w:val="32"/>
        </w:rPr>
        <w:t>（三）国有资产占有使用情况</w:t>
      </w:r>
      <w:bookmarkEnd w:id="29"/>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截至2020年12月31日，我中心有公有车辆1辆，均为一般公务用车；无单价50万元以上通用设备，无单价100万元以上专用设备。</w:t>
      </w:r>
    </w:p>
    <w:p>
      <w:pPr>
        <w:autoSpaceDE w:val="0"/>
        <w:autoSpaceDN w:val="0"/>
        <w:adjustRightInd w:val="0"/>
        <w:spacing w:line="600" w:lineRule="exact"/>
        <w:ind w:firstLine="643" w:firstLineChars="200"/>
        <w:jc w:val="left"/>
        <w:outlineLvl w:val="1"/>
        <w:rPr>
          <w:rFonts w:ascii="仿宋_GB2312" w:eastAsia="仿宋_GB2312"/>
          <w:b/>
          <w:color w:val="000000"/>
          <w:sz w:val="32"/>
          <w:szCs w:val="32"/>
        </w:rPr>
      </w:pPr>
      <w:bookmarkStart w:id="30" w:name="_Toc24816"/>
      <w:r>
        <w:rPr>
          <w:rFonts w:hint="eastAsia" w:ascii="仿宋_GB2312" w:eastAsia="仿宋_GB2312"/>
          <w:b/>
          <w:color w:val="000000"/>
          <w:sz w:val="32"/>
          <w:szCs w:val="32"/>
        </w:rPr>
        <w:t>（四）预算绩效情况</w:t>
      </w:r>
      <w:bookmarkEnd w:id="30"/>
    </w:p>
    <w:p>
      <w:pPr>
        <w:spacing w:line="600" w:lineRule="atLeast"/>
        <w:ind w:firstLine="640" w:firstLineChars="200"/>
        <w:rPr>
          <w:rFonts w:ascii="仿宋_GB2312" w:eastAsia="仿宋_GB2312"/>
          <w:sz w:val="32"/>
          <w:szCs w:val="32"/>
        </w:rPr>
      </w:pPr>
      <w:r>
        <w:rPr>
          <w:rFonts w:hint="eastAsia" w:ascii="仿宋_GB2312" w:eastAsia="仿宋_GB2312"/>
          <w:sz w:val="32"/>
          <w:szCs w:val="32"/>
        </w:rPr>
        <w:t>按照预算绩效管理要求，本部门对2020年一般公共预算项目支出开展了绩效目标管理，共编制整体绩效目标1个，涉及财政资金222.38万元。</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1、评价结论</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部门预算执行情况良好，无不良记录及违规违纪行为，预算支出和决算支出情况相符。</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2、存在问题</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一是预算经费支出进度较缓；二是部门决算上报处理效率还需继续提升。</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3、改进建议</w:t>
      </w:r>
    </w:p>
    <w:p>
      <w:pPr>
        <w:spacing w:line="600" w:lineRule="atLeast"/>
        <w:ind w:firstLine="640" w:firstLineChars="200"/>
        <w:rPr>
          <w:rFonts w:ascii="仿宋_GB2312" w:eastAsia="仿宋_GB2312"/>
          <w:sz w:val="32"/>
          <w:szCs w:val="32"/>
        </w:rPr>
      </w:pPr>
      <w:bookmarkStart w:id="31" w:name="_Toc10892"/>
      <w:r>
        <w:rPr>
          <w:rFonts w:hint="eastAsia" w:ascii="仿宋_GB2312" w:eastAsia="仿宋_GB2312"/>
          <w:sz w:val="32"/>
          <w:szCs w:val="32"/>
        </w:rPr>
        <w:t>加快完成机关财务管理规章制度建设、加强会计核算和财务管理能力，及时与财政局相关科室对接工作，提升工作效率。</w:t>
      </w:r>
      <w:bookmarkEnd w:id="31"/>
    </w:p>
    <w:p>
      <w:pPr>
        <w:spacing w:line="600" w:lineRule="exact"/>
        <w:ind w:firstLine="640" w:firstLineChars="200"/>
        <w:outlineLvl w:val="0"/>
        <w:rPr>
          <w:rFonts w:ascii="黑体" w:eastAsia="黑体"/>
          <w:color w:val="000000"/>
          <w:sz w:val="32"/>
          <w:szCs w:val="32"/>
        </w:rPr>
      </w:pPr>
      <w:bookmarkStart w:id="32" w:name="_Toc30464"/>
      <w:r>
        <w:rPr>
          <w:rFonts w:hint="eastAsia" w:ascii="黑体" w:eastAsia="黑体"/>
          <w:color w:val="000000"/>
          <w:sz w:val="32"/>
          <w:szCs w:val="32"/>
        </w:rPr>
        <w:t>九、行政事业单位财务分析指标</w:t>
      </w:r>
      <w:bookmarkEnd w:id="32"/>
    </w:p>
    <w:p>
      <w:pPr>
        <w:pStyle w:val="18"/>
        <w:spacing w:line="560" w:lineRule="exact"/>
        <w:rPr>
          <w:rFonts w:ascii="仿宋_GB2312" w:eastAsia="仿宋_GB2312"/>
          <w:sz w:val="32"/>
          <w:szCs w:val="32"/>
        </w:rPr>
      </w:pPr>
    </w:p>
    <w:p>
      <w:pPr>
        <w:pStyle w:val="18"/>
        <w:spacing w:line="560" w:lineRule="exact"/>
        <w:ind w:firstLine="643" w:firstLineChars="200"/>
        <w:rPr>
          <w:rFonts w:ascii="仿宋_GB2312" w:eastAsia="仿宋_GB2312"/>
          <w:sz w:val="32"/>
          <w:szCs w:val="32"/>
        </w:rPr>
      </w:pPr>
      <w:r>
        <w:rPr>
          <w:rFonts w:hint="eastAsia" w:ascii="仿宋_GB2312" w:eastAsia="仿宋_GB2312" w:cs="Times New Roman"/>
          <w:b/>
          <w:kern w:val="2"/>
          <w:sz w:val="32"/>
          <w:szCs w:val="32"/>
        </w:rPr>
        <w:t>一、行政单位财务分析指标</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1.支出增长率，衡量行政单位支出的增长水平。计算公式为：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支出增长率＝(本期支出总额÷上期支出总额-1)×100%=-2.45%</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2.当年预算支出完成率，衡量行政单位当年支出总预算及分项预算完成的程度。计算公式为：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当年预算支出完成率＝年终执行数÷调整预算数×100%=100.00%</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3.人均开支，衡量行政单位人均年消耗经费水平。计算公式为：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人均开支＝本期支出数÷本期平均在职人员数=17.85</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4.项目支出占总支出的比率，衡量行政单位的支出结构。计算公式为：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项目支出比率=本期项目支出数÷本期支出总数×100%=0.00%</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5.人员支出、公用支出占总支出的比率，衡量行政单位的支出结构。计算公式为：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人员支出比率=本期人员支出数÷本期支出总数×100%=95.43%</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公用支出比率=本期公用支出数÷本期支出总数×100%=4.57%</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6.人均办公使用面积，衡量行政单位办公用房配备情况。计算公式为：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人均办公使用面积=本期末单位办公用房使用面积÷本期末在职人员数=0.00</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7.人车比例，衡量行政单位公务用车配备情况。计算公式为：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人车比例=本期末在职人员数÷本期末公务用车实有数=16.00</w:t>
      </w:r>
    </w:p>
    <w:p>
      <w:pPr>
        <w:pStyle w:val="18"/>
        <w:spacing w:line="560" w:lineRule="exact"/>
        <w:ind w:firstLine="643" w:firstLineChars="200"/>
        <w:rPr>
          <w:rFonts w:ascii="仿宋_GB2312" w:eastAsia="仿宋_GB2312" w:cs="Times New Roman"/>
          <w:b/>
          <w:kern w:val="2"/>
          <w:sz w:val="32"/>
          <w:szCs w:val="32"/>
        </w:rPr>
      </w:pPr>
      <w:r>
        <w:rPr>
          <w:rFonts w:hint="eastAsia" w:ascii="仿宋_GB2312" w:eastAsia="仿宋_GB2312" w:cs="Times New Roman"/>
          <w:b/>
          <w:kern w:val="2"/>
          <w:sz w:val="32"/>
          <w:szCs w:val="32"/>
        </w:rPr>
        <w:t> 二、事业单位财务分析指标</w:t>
      </w:r>
    </w:p>
    <w:p>
      <w:pPr>
        <w:pStyle w:val="18"/>
        <w:spacing w:line="560" w:lineRule="exact"/>
        <w:ind w:firstLine="640" w:firstLineChars="200"/>
        <w:rPr>
          <w:rFonts w:ascii="仿宋_GB2312" w:eastAsia="仿宋_GB2312"/>
          <w:sz w:val="32"/>
          <w:szCs w:val="32"/>
        </w:rPr>
      </w:pP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1.预算收入和支出完成率，衡量事业单位收入和支出总预算及分项预算完成的程度。计算公式为：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预算收入完成率＝年终执行数÷调整预算数×100%=100.00%</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预算支出完成率＝年终执行数÷调整预算数×100%=100.00%</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2.人员支出、公用支出占事业支出的比率，衡量事业单位事业支出结构。计算公式为：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人员支出比率＝人员支出÷事业支出×100%=95.43%</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公用支出比率＝公用支出÷事业支出×100%=4.57%</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3.人均基本支出，衡量事业单位按照实际在编人数平均的基本支出水平。计算公式为：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人均基本支出＝（基本支出-离退休人员支出）÷实际在编人数=165,073.79</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此外，行业事业单位还可根据相关财务制度规定和分析需要增加相关分析指标，如：</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1.财政拨款依存度, 衡量部门（单位）对财政拨款的依赖程度。</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财政拨款依存度＝财政拨款收入÷收入总额×100%=100.00%</w:t>
      </w:r>
    </w:p>
    <w:p>
      <w:pPr>
        <w:rPr>
          <w:rFonts w:ascii="仿宋_GB2312" w:eastAsia="仿宋_GB2312"/>
          <w:sz w:val="32"/>
          <w:szCs w:val="32"/>
        </w:rPr>
      </w:pPr>
      <w:r>
        <w:rPr>
          <w:rFonts w:hint="eastAsia" w:ascii="仿宋_GB2312" w:eastAsia="仿宋_GB2312"/>
          <w:sz w:val="32"/>
          <w:szCs w:val="32"/>
        </w:rPr>
        <w:br w:type="page"/>
      </w:r>
    </w:p>
    <w:p>
      <w:pPr>
        <w:numPr>
          <w:ilvl w:val="0"/>
          <w:numId w:val="2"/>
        </w:numPr>
        <w:spacing w:line="600" w:lineRule="exact"/>
        <w:ind w:firstLine="663" w:firstLineChars="150"/>
        <w:jc w:val="center"/>
        <w:outlineLvl w:val="0"/>
        <w:rPr>
          <w:rStyle w:val="21"/>
          <w:rFonts w:ascii="黑体" w:eastAsia="黑体"/>
          <w:b w:val="0"/>
        </w:rPr>
      </w:pPr>
      <w:bookmarkStart w:id="33" w:name="_Toc30041"/>
      <w:bookmarkStart w:id="34" w:name="_Toc15377225"/>
      <w:bookmarkStart w:id="35" w:name="_Toc15396613"/>
      <w:r>
        <w:rPr>
          <w:rFonts w:hint="eastAsia" w:ascii="黑体" w:eastAsia="黑体"/>
          <w:b/>
          <w:color w:val="000000"/>
          <w:sz w:val="44"/>
          <w:szCs w:val="44"/>
        </w:rPr>
        <w:t>名</w:t>
      </w:r>
      <w:r>
        <w:rPr>
          <w:rStyle w:val="21"/>
          <w:rFonts w:hint="eastAsia" w:ascii="黑体" w:eastAsia="黑体"/>
          <w:b w:val="0"/>
        </w:rPr>
        <w:t>词解释</w:t>
      </w:r>
      <w:bookmarkEnd w:id="33"/>
      <w:bookmarkEnd w:id="34"/>
      <w:bookmarkEnd w:id="35"/>
    </w:p>
    <w:p>
      <w:pPr>
        <w:autoSpaceDE w:val="0"/>
        <w:autoSpaceDN w:val="0"/>
        <w:adjustRightInd w:val="0"/>
        <w:spacing w:line="600" w:lineRule="exact"/>
        <w:jc w:val="left"/>
        <w:outlineLvl w:val="0"/>
        <w:rPr>
          <w:rFonts w:ascii="黑体" w:eastAsia="黑体"/>
          <w:color w:val="000000"/>
          <w:sz w:val="32"/>
          <w:szCs w:val="32"/>
        </w:rPr>
      </w:pP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2.年初结转和结余：指以前年度尚未完成、结转到本年按有关规定继续使用的资金。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3、社会保障和就业208人力资源和社会保障管理事务01社会保险经办机构09：指社会保险经办机构开展业务工作的支出。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4.社会保障和就业208行政事业单位离退休05机关事业单位基本养老保险缴费支出05：指机关事业单位实施养老保险制度由单位缴纳的基本养老保险费支出。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5.社会保障和就业208行政事业单位离退休05机关事业单位职业年金缴费支出06：指机关事业单位实施养老保险制度由单位缴纳的职业年金支出。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6、 医疗卫生与计划生育支出210医疗保障11事业单位医疗02：指反映财政部门集中安排的事业单位基本医疗保险缴费经费。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7. 住房保障支出221住房改革支出02住房公积金01：指反映行政事业单位按人力资源和社会保障部、财政部规定的基本工资和津贴补贴以及规定比例为职工缴纳的住房公积金。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9.基本支出：指为保障机构正常运转、完成日常工作任务而发生的人员支出和公用支出。</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10.“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rPr>
          <w:rStyle w:val="21"/>
          <w:rFonts w:ascii="黑体" w:eastAsia="黑体"/>
          <w:b w:val="0"/>
        </w:rPr>
      </w:pPr>
      <w:r>
        <w:rPr>
          <w:rStyle w:val="21"/>
          <w:rFonts w:hint="eastAsia" w:ascii="黑体" w:eastAsia="黑体"/>
          <w:b w:val="0"/>
        </w:rPr>
        <w:br w:type="page"/>
      </w:r>
    </w:p>
    <w:p>
      <w:pPr>
        <w:pStyle w:val="18"/>
        <w:numPr>
          <w:ilvl w:val="0"/>
          <w:numId w:val="2"/>
        </w:numPr>
        <w:spacing w:line="560" w:lineRule="exact"/>
        <w:ind w:firstLine="660" w:firstLineChars="150"/>
        <w:jc w:val="center"/>
        <w:rPr>
          <w:rStyle w:val="21"/>
          <w:rFonts w:ascii="黑体" w:eastAsia="黑体"/>
          <w:b w:val="0"/>
        </w:rPr>
      </w:pPr>
      <w:r>
        <w:rPr>
          <w:rStyle w:val="21"/>
          <w:rFonts w:hint="eastAsia" w:ascii="黑体" w:eastAsia="黑体"/>
          <w:b w:val="0"/>
        </w:rPr>
        <w:t xml:space="preserve">  </w:t>
      </w:r>
      <w:bookmarkStart w:id="36" w:name="_Toc32741"/>
      <w:r>
        <w:rPr>
          <w:rStyle w:val="21"/>
          <w:rFonts w:hint="eastAsia" w:ascii="黑体" w:eastAsia="黑体"/>
          <w:b w:val="0"/>
        </w:rPr>
        <w:t>附件</w:t>
      </w:r>
    </w:p>
    <w:bookmarkEnd w:id="36"/>
    <w:p>
      <w:pPr>
        <w:pStyle w:val="18"/>
        <w:tabs>
          <w:tab w:val="left" w:pos="0"/>
        </w:tabs>
        <w:spacing w:line="560" w:lineRule="exact"/>
        <w:ind w:left="315" w:leftChars="150"/>
        <w:jc w:val="both"/>
        <w:rPr>
          <w:rStyle w:val="21"/>
          <w:rFonts w:ascii="黑体" w:eastAsia="黑体"/>
          <w:b w:val="0"/>
        </w:rPr>
      </w:pPr>
    </w:p>
    <w:p>
      <w:pPr>
        <w:widowControl/>
        <w:spacing w:line="4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金川县社会保险事务中心</w:t>
      </w:r>
    </w:p>
    <w:p>
      <w:pPr>
        <w:widowControl/>
        <w:spacing w:line="4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2020部门整体支出绩效报告</w:t>
      </w:r>
    </w:p>
    <w:p>
      <w:pPr>
        <w:widowControl/>
        <w:spacing w:line="480" w:lineRule="exact"/>
        <w:jc w:val="center"/>
        <w:rPr>
          <w:rFonts w:ascii="方正小标宋简体" w:hAnsi="宋体" w:eastAsia="方正小标宋简体" w:cs="方正小标宋简体"/>
          <w:sz w:val="44"/>
          <w:szCs w:val="44"/>
        </w:rPr>
      </w:pPr>
    </w:p>
    <w:p>
      <w:pPr>
        <w:widowControl/>
        <w:adjustRightInd w:val="0"/>
        <w:snapToGrid w:val="0"/>
        <w:spacing w:line="480" w:lineRule="exact"/>
        <w:ind w:firstLine="640" w:firstLineChars="20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（一）机构组成</w:t>
      </w:r>
    </w:p>
    <w:p>
      <w:pPr>
        <w:spacing w:line="576"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bCs/>
          <w:sz w:val="32"/>
        </w:rPr>
        <w:t>金川县社会保险事务中心属独立编制机构和独立核算的参公事业单位。</w:t>
      </w:r>
    </w:p>
    <w:p>
      <w:pPr>
        <w:widowControl/>
        <w:numPr>
          <w:ilvl w:val="0"/>
          <w:numId w:val="3"/>
        </w:numPr>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机构职能</w:t>
      </w:r>
    </w:p>
    <w:p>
      <w:pPr>
        <w:widowControl/>
        <w:spacing w:line="560" w:lineRule="exact"/>
        <w:ind w:firstLine="640" w:firstLineChars="200"/>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1、根据有关法律、法规和规章，制定全县社会保险登记、申报、征缴、管理、使用、运营和待遇支付以及社会保险关系建立、中断、转移、接续和基金转移的办事程序与操作规范并组织实施；</w:t>
      </w:r>
    </w:p>
    <w:p>
      <w:pPr>
        <w:widowControl/>
        <w:spacing w:line="560" w:lineRule="exact"/>
        <w:ind w:firstLine="640" w:firstLineChars="200"/>
        <w:jc w:val="left"/>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2、制定全县社会保险个人账户、缴费记录、档案管理等业务工作规范并组织实施；</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3、制定全县保险基金财务、会计制度的具体操作办法并组织实施，指导各单位财务按照社会保险基金财务、会计制度进行规范管理，编制汇总全县社会保险基金年度预决算报告，加强基金财务管理和会计核算；</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4、负责全县社会保险统筹规划，研究提出年度筹划和实施意见，负责全县社会保险调剂金的上解；</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5、督促检查全县参保单位离退休人员基本养老保险金按时足额发放和工伤待遇的落实，制定社会保险社会化管理规范，对全县机关单位和企事业退休人员开展社会化管理服务和推进、巩固完善和规范基本养老保险金社会化发放工作</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6、制定全县社会保险稽核工作规范，并开展社会保险稽核工作；</w:t>
      </w:r>
    </w:p>
    <w:p>
      <w:pPr>
        <w:widowControl/>
        <w:spacing w:line="560" w:lineRule="exact"/>
        <w:ind w:firstLine="640" w:firstLineChars="200"/>
        <w:jc w:val="left"/>
        <w:rPr>
          <w:rFonts w:ascii="仿宋_GB2312" w:hAnsi="Albertus Extra Bold" w:eastAsia="仿宋_GB2312"/>
          <w:bCs/>
          <w:sz w:val="32"/>
          <w:szCs w:val="32"/>
          <w:shd w:val="clear" w:color="auto" w:fill="FFFFFF"/>
        </w:rPr>
      </w:pPr>
      <w:r>
        <w:rPr>
          <w:rFonts w:hint="eastAsia" w:ascii="仿宋_GB2312" w:hAnsi="Albertus Extra Bold" w:eastAsia="仿宋_GB2312"/>
          <w:bCs/>
          <w:sz w:val="32"/>
          <w:szCs w:val="32"/>
          <w:shd w:val="clear" w:color="auto" w:fill="FFFFFF"/>
        </w:rPr>
        <w:t>7、负责经办县属参保单位职工养老、工伤工作；</w:t>
      </w:r>
    </w:p>
    <w:p>
      <w:pPr>
        <w:widowControl/>
        <w:spacing w:line="560" w:lineRule="exact"/>
        <w:ind w:firstLine="640" w:firstLineChars="200"/>
        <w:jc w:val="left"/>
        <w:rPr>
          <w:rFonts w:ascii="仿宋_GB2312" w:hAnsi="宋体" w:eastAsia="仿宋_GB2312" w:cs="宋体"/>
          <w:color w:val="000000"/>
          <w:kern w:val="0"/>
          <w:sz w:val="32"/>
          <w:lang w:val="zh-CN"/>
        </w:rPr>
      </w:pPr>
      <w:r>
        <w:rPr>
          <w:rFonts w:hint="eastAsia" w:ascii="仿宋_GB2312" w:hAnsi="Albertus Extra Bold" w:eastAsia="仿宋_GB2312"/>
          <w:bCs/>
          <w:sz w:val="32"/>
          <w:szCs w:val="32"/>
          <w:shd w:val="clear" w:color="auto" w:fill="FFFFFF"/>
        </w:rPr>
        <w:t>8、承担全县社会保险信息、统计数据的采集、整理、分析及管理工作，负责全县社会保险信息管理系统的开发建设、运行管理和网络管理等工作。</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（三）人员概况</w:t>
      </w:r>
    </w:p>
    <w:p>
      <w:pPr>
        <w:spacing w:line="600" w:lineRule="exact"/>
        <w:ind w:firstLine="640" w:firstLineChars="200"/>
        <w:rPr>
          <w:rFonts w:ascii="仿宋_GB2312" w:hAnsi="宋体" w:eastAsia="仿宋_GB2312"/>
          <w:bCs/>
          <w:sz w:val="32"/>
          <w:lang w:val="zh-CN"/>
        </w:rPr>
      </w:pPr>
      <w:r>
        <w:rPr>
          <w:rFonts w:hint="eastAsia" w:ascii="仿宋_GB2312" w:hAnsi="宋体" w:eastAsia="仿宋_GB2312"/>
          <w:bCs/>
          <w:sz w:val="32"/>
        </w:rPr>
        <w:t>人员编制数16人，其中：参公14人（工勤1人），事业2人。2020年末实有在职职工16人, 参公14人，事业2人，退休2人，离休1人。</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（一）部门财政资金收入情况</w:t>
      </w:r>
    </w:p>
    <w:p>
      <w:pPr>
        <w:widowControl/>
        <w:adjustRightInd w:val="0"/>
        <w:snapToGrid w:val="0"/>
        <w:spacing w:line="620" w:lineRule="exact"/>
        <w:ind w:firstLine="720"/>
        <w:jc w:val="left"/>
        <w:rPr>
          <w:rFonts w:ascii="仿宋_GB2312" w:hAnsi="仿宋_GB2312" w:eastAsia="仿宋_GB2312" w:cs="仿宋_GB2312"/>
          <w:color w:val="000000"/>
          <w:spacing w:val="-14"/>
          <w:kern w:val="0"/>
          <w:sz w:val="32"/>
          <w:szCs w:val="32"/>
        </w:rPr>
      </w:pPr>
      <w:r>
        <w:rPr>
          <w:rFonts w:hint="eastAsia" w:ascii="仿宋_GB2312" w:hAnsi="仿宋_GB2312" w:eastAsia="仿宋_GB2312" w:cs="仿宋_GB2312"/>
          <w:sz w:val="32"/>
          <w:szCs w:val="32"/>
        </w:rPr>
        <w:t>2020年社会保险事务中心本年收入合计285.54万元，其中：</w:t>
      </w:r>
      <w:r>
        <w:rPr>
          <w:rFonts w:hint="eastAsia" w:ascii="仿宋_GB2312" w:eastAsia="仿宋_GB2312"/>
          <w:sz w:val="32"/>
          <w:szCs w:val="32"/>
        </w:rPr>
        <w:t>一般公共预算</w:t>
      </w:r>
      <w:r>
        <w:rPr>
          <w:rFonts w:hint="eastAsia" w:ascii="仿宋_GB2312" w:hAnsi="仿宋_GB2312" w:eastAsia="仿宋_GB2312" w:cs="仿宋_GB2312"/>
          <w:sz w:val="32"/>
          <w:szCs w:val="32"/>
        </w:rPr>
        <w:t>财政拨款收入285.54万元，占100%；事业收入0万元；经营收入0万元；附属单位上缴收入0万元；其他收入0万元。</w:t>
      </w:r>
      <w:r>
        <w:rPr>
          <w:rFonts w:hint="eastAsia" w:ascii="仿宋_GB2312" w:hAnsi="仿宋_GB2312" w:eastAsia="仿宋_GB2312" w:cs="仿宋_GB2312"/>
          <w:color w:val="000000" w:themeColor="text1"/>
          <w:spacing w:val="-14"/>
          <w:kern w:val="0"/>
          <w:sz w:val="32"/>
          <w:szCs w:val="32"/>
        </w:rPr>
        <w:t>上年结转和结余0</w:t>
      </w:r>
      <w:r>
        <w:rPr>
          <w:rFonts w:hint="eastAsia" w:ascii="仿宋_GB2312" w:hAnsi="仿宋_GB2312" w:eastAsia="仿宋_GB2312" w:cs="仿宋_GB2312"/>
          <w:color w:val="000000"/>
          <w:spacing w:val="-14"/>
          <w:kern w:val="0"/>
          <w:sz w:val="32"/>
          <w:szCs w:val="32"/>
        </w:rPr>
        <w:t>元。</w:t>
      </w:r>
      <w:r>
        <w:rPr>
          <w:rFonts w:ascii="仿宋_GB2312" w:eastAsia="仿宋_GB2312"/>
          <w:color w:val="000000"/>
          <w:sz w:val="32"/>
          <w:szCs w:val="32"/>
        </w:rPr>
        <w:pict>
          <v:shape id="_x0000_s2050" o:spid="_x0000_s2050" o:spt="75" type="#_x0000_t75" style="position:absolute;left:0pt;margin-left:46.8pt;margin-top:0.65pt;height:160.35pt;width:279.65pt;mso-wrap-distance-bottom:0pt;mso-wrap-distance-top:0pt;z-index:251664384;mso-width-relative:page;mso-height-relative:page;" o:ole="t" filled="f" o:preferrelative="t" stroked="f" coordsize="21600,21600">
            <v:path/>
            <v:fill on="f" focussize="0,0"/>
            <v:stroke on="f" joinstyle="miter"/>
            <v:imagedata r:id="rId15" o:title=""/>
            <o:lock v:ext="edit" aspectratio="t"/>
            <w10:wrap type="topAndBottom"/>
          </v:shape>
          <o:OLEObject Type="Embed" ProgID="MSGraph.Chart.8" ShapeID="_x0000_s2050" DrawAspect="Content" ObjectID="_1468075725" r:id="rId14">
            <o:LockedField>false</o:LockedField>
          </o:OLEObject>
        </w:pict>
      </w:r>
    </w:p>
    <w:p>
      <w:pPr>
        <w:widowControl/>
        <w:adjustRightInd w:val="0"/>
        <w:snapToGrid w:val="0"/>
        <w:spacing w:line="62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（三）部门财政资金支出情况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2020年社会保险事务中心本年支出合计285.54万元，其中：基本支出2854.54万元；项目支出0 万元。</w:t>
      </w:r>
    </w:p>
    <w:p>
      <w:pPr>
        <w:ind w:firstLine="640" w:firstLineChars="200"/>
        <w:rPr>
          <w:rFonts w:ascii="仿宋_GB2312" w:eastAsia="仿宋_GB2312"/>
          <w:color w:val="000000"/>
          <w:sz w:val="32"/>
          <w:szCs w:val="32"/>
        </w:rPr>
      </w:pPr>
      <w:r>
        <w:rPr>
          <w:rFonts w:ascii="仿宋_GB2312" w:eastAsia="仿宋_GB2312"/>
          <w:color w:val="000000"/>
          <w:sz w:val="32"/>
          <w:szCs w:val="32"/>
        </w:rPr>
        <w:object>
          <v:shape id="_x0000_i1025" o:spt="75" type="#_x0000_t75" style="height:162.35pt;width:245.2pt;" o:ole="t" filled="f" o:preferrelative="t" stroked="f" coordsize="21600,21600">
            <v:path/>
            <v:fill on="f" focussize="0,0"/>
            <v:stroke on="f" joinstyle="miter"/>
            <v:imagedata r:id="rId17" o:title=""/>
            <o:lock v:ext="edit" aspectratio="t"/>
            <w10:wrap type="none"/>
            <w10:anchorlock/>
          </v:shape>
          <o:OLEObject Type="Embed" ProgID="MSGraph.Chart.8" ShapeID="_x0000_i1025" DrawAspect="Content" ObjectID="_1468075726" r:id="rId16">
            <o:LockedField>false</o:LockedField>
          </o:OLEObject>
        </w:objec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3360" behindDoc="0" locked="0" layoutInCell="1" allowOverlap="1">
            <wp:simplePos x="0" y="0"/>
            <wp:positionH relativeFrom="column">
              <wp:posOffset>486410</wp:posOffset>
            </wp:positionH>
            <wp:positionV relativeFrom="paragraph">
              <wp:posOffset>1795145</wp:posOffset>
            </wp:positionV>
            <wp:extent cx="4145915" cy="1505585"/>
            <wp:effectExtent l="4445" t="5080" r="10160" b="1333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hint="eastAsia" w:ascii="仿宋_GB2312" w:eastAsia="仿宋_GB2312"/>
          <w:sz w:val="32"/>
          <w:szCs w:val="32"/>
        </w:rPr>
        <w:t>2020年一般公共预算财政拨款支出</w:t>
      </w:r>
      <w:r>
        <w:rPr>
          <w:rFonts w:hint="eastAsia" w:ascii="仿宋_GB2312" w:eastAsia="仿宋_GB2312"/>
          <w:color w:val="000000"/>
          <w:sz w:val="32"/>
          <w:szCs w:val="32"/>
        </w:rPr>
        <w:t>285.54</w:t>
      </w:r>
      <w:r>
        <w:rPr>
          <w:rFonts w:hint="eastAsia" w:ascii="仿宋_GB2312" w:eastAsia="仿宋_GB2312"/>
          <w:sz w:val="32"/>
          <w:szCs w:val="32"/>
        </w:rPr>
        <w:t>万元，主要用于以下方面:社会保障和就业支出255.64万元，占89.53%；医疗卫生与计划生育支出11.28万元，占3.95%；住房保障支出18.62万元，占6.52%；其他支出0万元，占0%。</w:t>
      </w: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widowControl/>
        <w:adjustRightInd w:val="0"/>
        <w:snapToGrid w:val="0"/>
        <w:spacing w:line="480" w:lineRule="exact"/>
        <w:jc w:val="left"/>
        <w:rPr>
          <w:rFonts w:ascii="黑体" w:hAnsi="宋体" w:eastAsia="黑体" w:cs="宋体"/>
          <w:color w:val="000000"/>
          <w:kern w:val="0"/>
          <w:sz w:val="32"/>
        </w:rPr>
      </w:pPr>
    </w:p>
    <w:p>
      <w:pPr>
        <w:widowControl/>
        <w:adjustRightInd w:val="0"/>
        <w:snapToGrid w:val="0"/>
        <w:spacing w:line="480" w:lineRule="exact"/>
        <w:ind w:firstLine="720"/>
        <w:jc w:val="left"/>
        <w:rPr>
          <w:rFonts w:ascii="黑体" w:hAnsi="宋体" w:eastAsia="黑体" w:cs="宋体"/>
          <w:color w:val="000000"/>
          <w:kern w:val="0"/>
          <w:sz w:val="32"/>
        </w:rPr>
      </w:pPr>
    </w:p>
    <w:p>
      <w:pPr>
        <w:widowControl/>
        <w:adjustRightInd w:val="0"/>
        <w:snapToGrid w:val="0"/>
        <w:spacing w:line="480" w:lineRule="exact"/>
        <w:jc w:val="left"/>
        <w:rPr>
          <w:rFonts w:ascii="黑体" w:hAnsi="宋体" w:eastAsia="黑体" w:cs="宋体"/>
          <w:color w:val="000000"/>
          <w:kern w:val="0"/>
        </w:rPr>
      </w:pPr>
      <w:r>
        <w:rPr>
          <w:rFonts w:hint="eastAsia" w:ascii="黑体" w:hAnsi="宋体" w:eastAsia="黑体" w:cs="宋体"/>
          <w:color w:val="000000"/>
          <w:kern w:val="0"/>
          <w:sz w:val="32"/>
        </w:rPr>
        <w:t>三、部门财政支出管理情况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（一）部门预算管理</w:t>
      </w:r>
    </w:p>
    <w:p>
      <w:pPr>
        <w:widowControl/>
        <w:shd w:val="clear" w:color="auto" w:fill="FFFFFF"/>
        <w:spacing w:line="560" w:lineRule="exact"/>
        <w:ind w:firstLine="72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金川县社会保险事务中心按照县财政的要求及时组织财务人员进行预决的编制，对本年度相应用款进行及时清理和处理，做到账账相符、账实相符、账证相符,先有预算再有支出的原则，及时处理相关事务；对绩效目标进行季度梳理和年度分析，及时上报相关报表；对专项预算提前细化，分科目上报，做到收支平衡；</w:t>
      </w:r>
      <w:r>
        <w:rPr>
          <w:rFonts w:hint="eastAsia" w:ascii="仿宋_GB2312" w:hAnsi="仿宋_GB2312" w:eastAsia="仿宋_GB2312" w:cs="仿宋_GB2312"/>
          <w:color w:val="333333"/>
          <w:sz w:val="32"/>
          <w:szCs w:val="32"/>
          <w:shd w:val="clear" w:color="auto" w:fill="FFFFFF"/>
        </w:rPr>
        <w:t>结合本部门实际工作情况：</w:t>
      </w:r>
    </w:p>
    <w:p>
      <w:pPr>
        <w:widowControl/>
        <w:shd w:val="clear" w:color="auto" w:fill="FFFFFF"/>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eastAsia="仿宋_GB2312"/>
          <w:sz w:val="32"/>
          <w:szCs w:val="32"/>
        </w:rPr>
        <w:t>按照预算绩效管理要求，本部门对2020年一般公共预算项目支出开展了绩效目标管理，共编制项目支出绩效目标0个，涉及财政资金0万元；共编制部门整体支出绩效目标1个，涉及财政资金285.54万元。</w:t>
      </w:r>
    </w:p>
    <w:p>
      <w:pPr>
        <w:widowControl/>
        <w:shd w:val="clear" w:color="auto" w:fill="FFFFFF"/>
        <w:spacing w:line="560" w:lineRule="exact"/>
        <w:ind w:firstLine="640" w:firstLineChars="200"/>
        <w:rPr>
          <w:rFonts w:ascii="仿宋_GB2312" w:hAnsi="宋体" w:eastAsia="仿宋_GB2312"/>
          <w:bCs/>
          <w:sz w:val="32"/>
        </w:rPr>
      </w:pPr>
      <w:r>
        <w:rPr>
          <w:rFonts w:hint="eastAsia" w:ascii="仿宋_GB2312" w:hAnsi="宋体" w:eastAsia="仿宋_GB2312"/>
          <w:bCs/>
          <w:sz w:val="32"/>
        </w:rPr>
        <w:t>本年度收入的年初预算数为222.38万元，上年度收入的年初预算数为241.85万元，较上年减少19.47万元；主要原因为2019年8月有一人调出。</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（二）执行管理情况</w:t>
      </w:r>
    </w:p>
    <w:p>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我中心绩效管理严格按照上级部门要求，开展自评工作，对评价结果及时总结上报。并按照县财政的要求，认真总结经验，及时上报相关的用款计划；分月、分季度上报相应计划，待财政审核通过后，严格按计划执行，各季度执行情况良好。</w:t>
      </w:r>
    </w:p>
    <w:p>
      <w:pPr>
        <w:widowControl/>
        <w:shd w:val="clear" w:color="auto" w:fill="FFFFFF"/>
        <w:spacing w:line="560" w:lineRule="exact"/>
        <w:ind w:firstLine="640" w:firstLineChars="200"/>
        <w:jc w:val="left"/>
        <w:rPr>
          <w:rFonts w:ascii="仿宋_GB2312" w:hAnsi="宋体" w:eastAsia="仿宋_GB2312" w:cs="宋体"/>
          <w:color w:val="000000"/>
          <w:kern w:val="0"/>
          <w:sz w:val="32"/>
          <w:lang w:val="zh-CN"/>
        </w:rPr>
      </w:pPr>
      <w:r>
        <w:rPr>
          <w:rFonts w:hint="eastAsia" w:ascii="仿宋_GB2312" w:hAnsi="仿宋_GB2312" w:eastAsia="仿宋_GB2312" w:cs="仿宋_GB2312"/>
          <w:sz w:val="32"/>
          <w:szCs w:val="32"/>
        </w:rPr>
        <w:t>本单位2020年“三公”经费财政拨款预算数1.85万元，其中：因公出国（境）经费0万元，公务接待费0.25万元，公务用车购置及运行维护费1.6万元。</w:t>
      </w:r>
      <w:r>
        <w:rPr>
          <w:rFonts w:hint="eastAsia" w:ascii="仿宋_GB2312" w:eastAsia="仿宋_GB2312"/>
          <w:color w:val="333333"/>
          <w:sz w:val="32"/>
          <w:szCs w:val="32"/>
        </w:rPr>
        <w:t>2020年度“三公”经费财政拨款支出决算中，无因公出国（境）费支出；无公务接待费支出；公务用车购置及运行维护费支出决算1.6万元</w:t>
      </w:r>
      <w:r>
        <w:rPr>
          <w:rFonts w:hint="eastAsia" w:ascii="仿宋_GB2312" w:eastAsia="仿宋_GB2312"/>
          <w:color w:val="000000"/>
          <w:sz w:val="32"/>
          <w:szCs w:val="32"/>
        </w:rPr>
        <w:t>。</w:t>
      </w:r>
      <w:r>
        <w:rPr>
          <w:rFonts w:hint="eastAsia" w:ascii="仿宋_GB2312" w:hAnsi="仿宋_GB2312" w:eastAsia="仿宋_GB2312" w:cs="仿宋_GB2312"/>
          <w:color w:val="222222"/>
          <w:sz w:val="32"/>
          <w:szCs w:val="32"/>
          <w:shd w:val="clear" w:color="auto" w:fill="FFFFFF"/>
        </w:rPr>
        <w:t>今年我中心将会继续严格控制“三公”经费，按照上级的要求，继续深化部门预算改革，强化制度建设，完善预算分配机制，进一步加强“三公”经费预算的编制和执行管理，大力推进建立和完善厉行节约的长效机制。</w:t>
      </w:r>
    </w:p>
    <w:p>
      <w:pPr>
        <w:widowControl/>
        <w:adjustRightInd w:val="0"/>
        <w:snapToGrid w:val="0"/>
        <w:spacing w:line="480" w:lineRule="exact"/>
        <w:ind w:firstLine="640" w:firstLineChars="20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（三）综合管理情况</w:t>
      </w:r>
    </w:p>
    <w:p>
      <w:pPr>
        <w:widowControl/>
        <w:spacing w:line="288" w:lineRule="atLeast"/>
        <w:ind w:firstLine="640" w:firstLineChars="2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sz w:val="32"/>
          <w:szCs w:val="32"/>
          <w:shd w:val="clear" w:color="auto" w:fill="FFFFFF"/>
        </w:rPr>
        <w:t>我中心执行事业单位会计管理制度，按照公共财政管理的基本要求，继续深化预决算编制改革，严格政策标准，优化支出结构提高预决算编制的科学化、精细化水平。严格执行内控制度管理办法，实行会计核算和账务管理制度公开；政府采购制度公开公示，预决算在规定时限内在政府门户网站公开接受群众的监督；资产管理做到账实相符、实时入账资产管理系统；我局绩效管理严格按照上级部门要求，并接受财政局监察股的动态管理，开展自评工作，对评价结果及时总结上报，</w:t>
      </w:r>
      <w:r>
        <w:rPr>
          <w:rFonts w:hint="eastAsia" w:ascii="仿宋_GB2312" w:hAnsi="仿宋_GB2312" w:eastAsia="仿宋_GB2312" w:cs="仿宋_GB2312"/>
          <w:color w:val="000000"/>
          <w:kern w:val="0"/>
          <w:sz w:val="32"/>
          <w:szCs w:val="32"/>
          <w:lang w:val="zh-CN"/>
        </w:rPr>
        <w:t>依法接受财政监督。</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（四）整体绩效。</w:t>
      </w:r>
    </w:p>
    <w:p>
      <w:pPr>
        <w:widowControl/>
        <w:shd w:val="clear" w:color="auto" w:fill="FFFFFF"/>
        <w:spacing w:line="560" w:lineRule="exact"/>
        <w:ind w:firstLine="640"/>
        <w:jc w:val="left"/>
        <w:rPr>
          <w:rFonts w:ascii="仿宋_GB2312" w:hAnsi="仿宋_GB2312" w:eastAsia="仿宋_GB2312" w:cs="仿宋_GB2312"/>
          <w:color w:val="666666"/>
          <w:sz w:val="32"/>
          <w:szCs w:val="32"/>
          <w:shd w:val="clear" w:color="auto" w:fill="FFFFFF"/>
        </w:rPr>
      </w:pPr>
      <w:r>
        <w:rPr>
          <w:rFonts w:hint="eastAsia" w:ascii="仿宋_GB2312" w:hAnsi="仿宋_GB2312" w:eastAsia="仿宋_GB2312" w:cs="仿宋_GB2312"/>
          <w:color w:val="222222"/>
          <w:kern w:val="0"/>
          <w:sz w:val="32"/>
          <w:szCs w:val="32"/>
          <w:shd w:val="clear" w:color="auto" w:fill="FFFFFF"/>
        </w:rPr>
        <w:t>2020年根据年初工作规划和重点性工作，积极履职，强化管理，</w:t>
      </w:r>
      <w:r>
        <w:rPr>
          <w:rFonts w:hint="eastAsia" w:ascii="仿宋_GB2312" w:hAnsi="仿宋_GB2312" w:eastAsia="仿宋_GB2312" w:cs="仿宋_GB2312"/>
          <w:color w:val="222222"/>
          <w:kern w:val="0"/>
          <w:sz w:val="32"/>
          <w:szCs w:val="32"/>
          <w:shd w:val="clear" w:color="auto" w:fill="FFFFFF"/>
          <w:lang w:eastAsia="zh-CN"/>
        </w:rPr>
        <w:t>较好地完成</w:t>
      </w:r>
      <w:r>
        <w:rPr>
          <w:rFonts w:hint="eastAsia" w:ascii="仿宋_GB2312" w:hAnsi="仿宋_GB2312" w:eastAsia="仿宋_GB2312" w:cs="仿宋_GB2312"/>
          <w:color w:val="222222"/>
          <w:kern w:val="0"/>
          <w:sz w:val="32"/>
          <w:szCs w:val="32"/>
          <w:shd w:val="clear" w:color="auto" w:fill="FFFFFF"/>
        </w:rPr>
        <w:t>了工作目标。通过加强预算收支管理，不断建立健全内部管理制度，梳理内部管理流程，部门整体支出管理情况得到提升。根据2020年年度部门整体支出状况的概述和分析，单位整体支出绩效情况如下：</w:t>
      </w:r>
    </w:p>
    <w:p>
      <w:pPr>
        <w:widowControl/>
        <w:shd w:val="clear" w:color="auto" w:fill="FFFFFF"/>
        <w:spacing w:line="560" w:lineRule="exact"/>
        <w:jc w:val="left"/>
        <w:rPr>
          <w:rFonts w:ascii="仿宋_GB2312" w:hAnsi="仿宋_GB2312" w:eastAsia="仿宋_GB2312" w:cs="仿宋_GB2312"/>
          <w:color w:val="222222"/>
          <w:kern w:val="0"/>
          <w:sz w:val="32"/>
          <w:szCs w:val="32"/>
          <w:shd w:val="clear" w:color="auto" w:fill="FFFFFF"/>
        </w:rPr>
      </w:pPr>
      <w:r>
        <w:rPr>
          <w:rFonts w:hint="eastAsia" w:ascii="仿宋_GB2312" w:hAnsi="仿宋_GB2312" w:eastAsia="仿宋_GB2312" w:cs="仿宋_GB2312"/>
          <w:color w:val="222222"/>
          <w:kern w:val="0"/>
          <w:sz w:val="32"/>
          <w:szCs w:val="32"/>
          <w:shd w:val="clear" w:color="auto" w:fill="FFFFFF"/>
        </w:rPr>
        <w:t>（1）经济效益评价</w:t>
      </w:r>
    </w:p>
    <w:p>
      <w:pPr>
        <w:widowControl/>
        <w:numPr>
          <w:ilvl w:val="0"/>
          <w:numId w:val="4"/>
        </w:numPr>
        <w:shd w:val="clear" w:color="auto" w:fill="FFFFFF"/>
        <w:spacing w:line="560" w:lineRule="exact"/>
        <w:jc w:val="left"/>
        <w:rPr>
          <w:rFonts w:ascii="仿宋_GB2312" w:hAnsi="仿宋_GB2312" w:eastAsia="仿宋_GB2312" w:cs="仿宋_GB2312"/>
          <w:color w:val="666666"/>
          <w:sz w:val="32"/>
          <w:szCs w:val="32"/>
          <w:shd w:val="clear" w:color="auto" w:fill="FFFFFF"/>
        </w:rPr>
      </w:pPr>
      <w:r>
        <w:rPr>
          <w:rFonts w:hint="eastAsia" w:ascii="仿宋_GB2312" w:hAnsi="仿宋_GB2312" w:eastAsia="仿宋_GB2312" w:cs="仿宋_GB2312"/>
          <w:color w:val="222222"/>
          <w:kern w:val="0"/>
          <w:sz w:val="32"/>
          <w:szCs w:val="32"/>
          <w:shd w:val="clear" w:color="auto" w:fill="FFFFFF"/>
        </w:rPr>
        <w:t>本年预算控制较好，2020年“三公”经费控制良好。</w:t>
      </w:r>
      <w:bookmarkStart w:id="37" w:name="_GoBack"/>
      <w:bookmarkEnd w:id="37"/>
    </w:p>
    <w:p>
      <w:pPr>
        <w:widowControl/>
        <w:numPr>
          <w:ilvl w:val="0"/>
          <w:numId w:val="4"/>
        </w:numPr>
        <w:shd w:val="clear" w:color="auto" w:fill="FFFFFF"/>
        <w:spacing w:line="560" w:lineRule="exact"/>
        <w:jc w:val="left"/>
        <w:rPr>
          <w:rFonts w:ascii="仿宋_GB2312" w:hAnsi="仿宋_GB2312" w:eastAsia="仿宋_GB2312" w:cs="仿宋_GB2312"/>
          <w:color w:val="666666"/>
          <w:sz w:val="32"/>
          <w:szCs w:val="32"/>
          <w:shd w:val="clear" w:color="auto" w:fill="FFFFFF"/>
        </w:rPr>
      </w:pPr>
      <w:r>
        <w:rPr>
          <w:rFonts w:hint="eastAsia" w:ascii="仿宋_GB2312" w:hAnsi="仿宋_GB2312" w:eastAsia="仿宋_GB2312" w:cs="仿宋_GB2312"/>
          <w:color w:val="222222"/>
          <w:kern w:val="0"/>
          <w:sz w:val="32"/>
          <w:szCs w:val="32"/>
          <w:shd w:val="clear" w:color="auto" w:fill="FFFFFF"/>
        </w:rPr>
        <w:t>预算执行方面。支出总额控制在预算总额以内，本年部门预算未进行预算相关事项的调整；2020年“三公”经费预算总额控制良好。</w:t>
      </w:r>
    </w:p>
    <w:p>
      <w:pPr>
        <w:widowControl/>
        <w:numPr>
          <w:ilvl w:val="0"/>
          <w:numId w:val="4"/>
        </w:numPr>
        <w:shd w:val="clear" w:color="auto" w:fill="FFFFFF"/>
        <w:spacing w:line="560" w:lineRule="exact"/>
        <w:jc w:val="left"/>
        <w:rPr>
          <w:rFonts w:ascii="仿宋_GB2312" w:hAnsi="仿宋_GB2312" w:eastAsia="仿宋_GB2312" w:cs="仿宋_GB2312"/>
          <w:color w:val="666666"/>
          <w:sz w:val="32"/>
          <w:szCs w:val="32"/>
          <w:shd w:val="clear" w:color="auto" w:fill="FFFFFF"/>
        </w:rPr>
      </w:pPr>
      <w:r>
        <w:rPr>
          <w:rFonts w:hint="eastAsia" w:ascii="仿宋_GB2312" w:hAnsi="仿宋_GB2312" w:eastAsia="仿宋_GB2312" w:cs="仿宋_GB2312"/>
          <w:color w:val="222222"/>
          <w:kern w:val="0"/>
          <w:sz w:val="32"/>
          <w:szCs w:val="32"/>
          <w:shd w:val="clear" w:color="auto" w:fill="FFFFFF"/>
        </w:rPr>
        <w:t>预算管理方面，制度执行总体较为有效，仍需进一步强化；资金使用管理需进一步加强。</w:t>
      </w:r>
    </w:p>
    <w:p>
      <w:pPr>
        <w:widowControl/>
        <w:numPr>
          <w:ilvl w:val="0"/>
          <w:numId w:val="4"/>
        </w:numPr>
        <w:shd w:val="clear" w:color="auto" w:fill="FFFFFF"/>
        <w:spacing w:line="560" w:lineRule="exact"/>
        <w:jc w:val="left"/>
        <w:rPr>
          <w:rFonts w:ascii="仿宋_GB2312" w:hAnsi="仿宋_GB2312" w:eastAsia="仿宋_GB2312" w:cs="仿宋_GB2312"/>
          <w:color w:val="666666"/>
          <w:sz w:val="32"/>
          <w:szCs w:val="32"/>
          <w:shd w:val="clear" w:color="auto" w:fill="FFFFFF"/>
        </w:rPr>
      </w:pPr>
      <w:r>
        <w:rPr>
          <w:rFonts w:hint="eastAsia" w:ascii="仿宋_GB2312" w:hAnsi="仿宋_GB2312" w:eastAsia="仿宋_GB2312" w:cs="仿宋_GB2312"/>
          <w:color w:val="222222"/>
          <w:kern w:val="0"/>
          <w:sz w:val="32"/>
          <w:szCs w:val="32"/>
          <w:shd w:val="clear" w:color="auto" w:fill="FFFFFF"/>
        </w:rPr>
        <w:t>资产管理方面，建立了资产管理制度，定期进行了盘点和资产清理，总体执行较好。</w:t>
      </w:r>
    </w:p>
    <w:p>
      <w:pPr>
        <w:widowControl/>
        <w:shd w:val="clear" w:color="auto" w:fill="FFFFFF"/>
        <w:spacing w:line="560" w:lineRule="exact"/>
        <w:jc w:val="left"/>
        <w:rPr>
          <w:rFonts w:ascii="仿宋_GB2312" w:hAnsi="仿宋_GB2312" w:eastAsia="仿宋_GB2312" w:cs="仿宋_GB2312"/>
          <w:color w:val="666666"/>
          <w:sz w:val="32"/>
          <w:szCs w:val="32"/>
          <w:shd w:val="clear" w:color="auto" w:fill="FFFFFF"/>
        </w:rPr>
      </w:pPr>
      <w:r>
        <w:rPr>
          <w:rFonts w:hint="eastAsia" w:ascii="仿宋_GB2312" w:hAnsi="仿宋_GB2312" w:eastAsia="仿宋_GB2312" w:cs="仿宋_GB2312"/>
          <w:color w:val="222222"/>
          <w:kern w:val="0"/>
          <w:sz w:val="32"/>
          <w:szCs w:val="32"/>
          <w:shd w:val="clear" w:color="auto" w:fill="FFFFFF"/>
        </w:rPr>
        <w:t>（2）效率性评价和有效性评价</w:t>
      </w:r>
    </w:p>
    <w:p>
      <w:pPr>
        <w:widowControl/>
        <w:shd w:val="clear" w:color="auto" w:fill="FFFFFF"/>
        <w:spacing w:line="560" w:lineRule="exact"/>
        <w:ind w:firstLine="640"/>
        <w:jc w:val="left"/>
        <w:rPr>
          <w:rFonts w:ascii="仿宋_GB2312" w:hAnsi="仿宋_GB2312" w:eastAsia="仿宋_GB2312" w:cs="仿宋_GB2312"/>
          <w:color w:val="666666"/>
          <w:sz w:val="32"/>
          <w:szCs w:val="32"/>
          <w:shd w:val="clear" w:color="auto" w:fill="FFFFFF"/>
        </w:rPr>
      </w:pPr>
      <w:r>
        <w:rPr>
          <w:rFonts w:hint="eastAsia" w:ascii="仿宋_GB2312" w:hAnsi="仿宋_GB2312" w:eastAsia="仿宋_GB2312" w:cs="仿宋_GB2312"/>
          <w:color w:val="222222"/>
          <w:kern w:val="0"/>
          <w:sz w:val="32"/>
          <w:szCs w:val="32"/>
          <w:shd w:val="clear" w:color="auto" w:fill="FFFFFF"/>
        </w:rPr>
        <w:t>预算安排的基本支出保障了正常的工作运转，预算安排的项目支出是非常必要的，在执行上是严格遵守各项财经纪律的，在项目资金的使用上也是放的心的，严守法律底线、纪律底线、道德底线。</w:t>
      </w:r>
    </w:p>
    <w:p>
      <w:pPr>
        <w:widowControl/>
        <w:shd w:val="clear" w:color="auto" w:fill="FFFFFF"/>
        <w:spacing w:line="560" w:lineRule="exact"/>
        <w:jc w:val="left"/>
        <w:rPr>
          <w:rFonts w:ascii="仿宋_GB2312" w:hAnsi="仿宋_GB2312" w:eastAsia="仿宋_GB2312" w:cs="仿宋_GB2312"/>
          <w:color w:val="666666"/>
          <w:sz w:val="32"/>
          <w:szCs w:val="32"/>
          <w:shd w:val="clear" w:color="auto" w:fill="FFFFFF"/>
        </w:rPr>
      </w:pPr>
      <w:r>
        <w:rPr>
          <w:rFonts w:hint="eastAsia" w:ascii="仿宋_GB2312" w:hAnsi="仿宋_GB2312" w:eastAsia="仿宋_GB2312" w:cs="仿宋_GB2312"/>
          <w:color w:val="222222"/>
          <w:kern w:val="0"/>
          <w:sz w:val="32"/>
          <w:szCs w:val="32"/>
          <w:shd w:val="clear" w:color="auto" w:fill="FFFFFF"/>
        </w:rPr>
        <w:t>（3）社会公众满意度评价</w:t>
      </w:r>
    </w:p>
    <w:p>
      <w:pPr>
        <w:widowControl/>
        <w:shd w:val="clear" w:color="auto" w:fill="FFFFFF"/>
        <w:spacing w:line="560" w:lineRule="exact"/>
        <w:ind w:firstLine="640"/>
        <w:jc w:val="left"/>
        <w:rPr>
          <w:rFonts w:ascii="仿宋_GB2312" w:hAnsi="仿宋_GB2312" w:eastAsia="仿宋_GB2312" w:cs="仿宋_GB2312"/>
          <w:color w:val="666666"/>
          <w:sz w:val="32"/>
          <w:szCs w:val="32"/>
          <w:shd w:val="clear" w:color="auto" w:fill="FFFFFF"/>
        </w:rPr>
      </w:pPr>
      <w:r>
        <w:rPr>
          <w:rFonts w:hint="eastAsia" w:ascii="仿宋_GB2312" w:hAnsi="仿宋_GB2312" w:eastAsia="仿宋_GB2312" w:cs="仿宋_GB2312"/>
          <w:color w:val="222222"/>
          <w:kern w:val="0"/>
          <w:sz w:val="32"/>
          <w:szCs w:val="32"/>
          <w:shd w:val="clear" w:color="auto" w:fill="FFFFFF"/>
        </w:rPr>
        <w:t>社保中心全体职工，在县委、县政府决策部署下，勤奋工作，22020年服务对象满意度为100%。</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四、评价结论及建议</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1、评价结论。部门预算执行情况良好，无不良记录及违规违纪行为，预算支出和决算支出情况相符。</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2、存在问题。一是预算经费支出进度较缓；二是部门决算上报处理效率还需继续提升。</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3、改进建议。加快完成机关财务管理规章制度建设、加强会计核算和财务管理能力，及时与财政局相关科室对接工作，提升工作效率。</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p>
    <w:p>
      <w:pPr>
        <w:widowControl/>
        <w:adjustRightInd w:val="0"/>
        <w:snapToGrid w:val="0"/>
        <w:spacing w:line="480" w:lineRule="exact"/>
        <w:ind w:firstLine="720"/>
        <w:jc w:val="left"/>
        <w:rPr>
          <w:rFonts w:ascii="仿宋_GB2312" w:hAnsi="宋体" w:eastAsia="仿宋_GB2312" w:cs="宋体"/>
          <w:color w:val="000000"/>
          <w:kern w:val="0"/>
          <w:sz w:val="32"/>
          <w:lang w:val="zh-CN"/>
        </w:rPr>
      </w:pPr>
    </w:p>
    <w:p>
      <w:pPr>
        <w:wordWrap w:val="0"/>
        <w:jc w:val="right"/>
      </w:pPr>
      <w:r>
        <w:rPr>
          <w:rFonts w:hint="eastAsia" w:ascii="仿宋" w:hAnsi="仿宋" w:eastAsia="仿宋" w:cs="仿宋"/>
          <w:sz w:val="30"/>
          <w:szCs w:val="30"/>
        </w:rPr>
        <w:t xml:space="preserve">    </w:t>
      </w:r>
    </w:p>
    <w:p>
      <w:pPr>
        <w:pStyle w:val="18"/>
        <w:spacing w:line="560" w:lineRule="exact"/>
        <w:jc w:val="center"/>
        <w:rPr>
          <w:rStyle w:val="21"/>
          <w:rFonts w:ascii="黑体" w:eastAsia="黑体"/>
          <w:b w:val="0"/>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Albertus Extra Bold">
    <w:altName w:val="Lucida Sans Unicode"/>
    <w:panose1 w:val="00000000000000000000"/>
    <w:charset w:val="00"/>
    <w:family w:val="auto"/>
    <w:pitch w:val="default"/>
    <w:sig w:usb0="00000000" w:usb1="00000000" w:usb2="00000000" w:usb3="00000000" w:csb0="00000093" w:csb1="00000000"/>
  </w:font>
  <w:font w:name="Lucida Sans Unicode">
    <w:panose1 w:val="020B0602030504020204"/>
    <w:charset w:val="00"/>
    <w:family w:val="auto"/>
    <w:pitch w:val="default"/>
    <w:sig w:usb0="80001AFF" w:usb1="0000396B" w:usb2="00000000" w:usb3="00000000" w:csb0="200000BF" w:csb1="D7F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pict>
        <v:shape id="文本框 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uCCN4BAAC+AwAADgAAAGRycy9lMm9Eb2MueG1srVPBjtMwEL0j8Q+W&#10;7zTZIkE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S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z64II3gEAAL4DAAAOAAAAAAAA&#10;AAEAIAAAAB4BAABkcnMvZTJvRG9jLnhtbFBLBQYAAAAABgAGAFkBAABuBQAAAAA=&#10;">
          <v:path/>
          <v:fill on="f" focussize="0,0"/>
          <v:stroke on="f" joinstyle="miter"/>
          <v:imagedata o:title=""/>
          <o:lock v:ext="edit"/>
          <v:textbox inset="0mm,0mm,0mm,0mm" style="mso-fit-shape-to-text:t;">
            <w:txbxContent>
              <w:p>
                <w:pPr>
                  <w:pStyle w:val="5"/>
                  <w:jc w:val="center"/>
                </w:pPr>
                <w:r>
                  <w:fldChar w:fldCharType="begin"/>
                </w:r>
                <w:r>
                  <w:instrText xml:space="preserve"> PAGE   \* MERGEFORMAT </w:instrText>
                </w:r>
                <w:r>
                  <w:fldChar w:fldCharType="separate"/>
                </w:r>
                <w:r>
                  <w:rPr>
                    <w:lang w:val="zh-CN"/>
                  </w:rPr>
                  <w:t>2</w:t>
                </w:r>
                <w:r>
                  <w:fldChar w:fldCharType="end"/>
                </w:r>
              </w:p>
            </w:txbxContent>
          </v:textbox>
        </v:shape>
      </w:pic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pict>
        <v:shape id="文本框 2" o:spid="_x0000_s3073"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path/>
          <v:fill on="f" focussize="0,0"/>
          <v:stroke on="f" joinstyle="miter"/>
          <v:imagedata o:title=""/>
          <o:lock v:ext="edit"/>
          <v:textbox inset="0mm,0mm,0mm,0mm" style="mso-fit-shape-to-text:t;">
            <w:txbxContent>
              <w:p>
                <w:pPr>
                  <w:pStyle w:val="5"/>
                  <w:jc w:val="center"/>
                </w:pPr>
                <w:r>
                  <w:fldChar w:fldCharType="begin"/>
                </w:r>
                <w:r>
                  <w:instrText xml:space="preserve"> PAGE   \* MERGEFORMAT </w:instrText>
                </w:r>
                <w:r>
                  <w:fldChar w:fldCharType="separate"/>
                </w:r>
                <w:r>
                  <w:rPr>
                    <w:lang w:val="zh-CN"/>
                  </w:rPr>
                  <w:t>21</w:t>
                </w:r>
                <w:r>
                  <w:fldChar w:fldCharType="end"/>
                </w:r>
              </w:p>
            </w:txbxContent>
          </v:textbox>
        </v:shape>
      </w:pict>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rPr>
        <w:rFonts w:ascii="仿宋" w:hAnsi="仿宋" w:eastAsia="仿宋" w:cs="仿宋"/>
        <w:sz w:val="11"/>
        <w:szCs w:val="1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BDC64D"/>
    <w:multiLevelType w:val="singleLevel"/>
    <w:tmpl w:val="D7BDC64D"/>
    <w:lvl w:ilvl="0" w:tentative="0">
      <w:start w:val="3"/>
      <w:numFmt w:val="chineseCounting"/>
      <w:suff w:val="nothing"/>
      <w:lvlText w:val="（%1）"/>
      <w:lvlJc w:val="left"/>
      <w:rPr>
        <w:rFonts w:hint="eastAsia"/>
      </w:rPr>
    </w:lvl>
  </w:abstractNum>
  <w:abstractNum w:abstractNumId="1">
    <w:nsid w:val="DA60C471"/>
    <w:multiLevelType w:val="singleLevel"/>
    <w:tmpl w:val="DA60C471"/>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04A32A59"/>
    <w:multiLevelType w:val="multilevel"/>
    <w:tmpl w:val="04A32A59"/>
    <w:lvl w:ilvl="0" w:tentative="0">
      <w:start w:val="1"/>
      <w:numFmt w:val="decimalEnclosedCircleChinese"/>
      <w:suff w:val="nothing"/>
      <w:lvlText w:val="%1　"/>
      <w:lvlJc w:val="left"/>
      <w:pPr>
        <w:ind w:left="0" w:firstLine="40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350EB"/>
    <w:rsid w:val="00073FCB"/>
    <w:rsid w:val="00081E64"/>
    <w:rsid w:val="000B047F"/>
    <w:rsid w:val="000B0672"/>
    <w:rsid w:val="000B5A48"/>
    <w:rsid w:val="000C3CA6"/>
    <w:rsid w:val="000C73BC"/>
    <w:rsid w:val="000D5782"/>
    <w:rsid w:val="000F55CF"/>
    <w:rsid w:val="00130F42"/>
    <w:rsid w:val="00130F8C"/>
    <w:rsid w:val="00131FF9"/>
    <w:rsid w:val="00142AB7"/>
    <w:rsid w:val="0014729F"/>
    <w:rsid w:val="00171AA2"/>
    <w:rsid w:val="00191536"/>
    <w:rsid w:val="001B1462"/>
    <w:rsid w:val="001D31BC"/>
    <w:rsid w:val="001F0A88"/>
    <w:rsid w:val="001F157A"/>
    <w:rsid w:val="00235688"/>
    <w:rsid w:val="00251D22"/>
    <w:rsid w:val="00252028"/>
    <w:rsid w:val="00260C38"/>
    <w:rsid w:val="00270AD9"/>
    <w:rsid w:val="00282C58"/>
    <w:rsid w:val="002D42B8"/>
    <w:rsid w:val="002F6B10"/>
    <w:rsid w:val="003250BB"/>
    <w:rsid w:val="00334A18"/>
    <w:rsid w:val="003528AE"/>
    <w:rsid w:val="00355750"/>
    <w:rsid w:val="0037013F"/>
    <w:rsid w:val="003A484F"/>
    <w:rsid w:val="003B0C1B"/>
    <w:rsid w:val="003D6075"/>
    <w:rsid w:val="003E203C"/>
    <w:rsid w:val="00401648"/>
    <w:rsid w:val="004157CB"/>
    <w:rsid w:val="00446A16"/>
    <w:rsid w:val="00482E3F"/>
    <w:rsid w:val="004B6F9D"/>
    <w:rsid w:val="00535494"/>
    <w:rsid w:val="0055590C"/>
    <w:rsid w:val="00563B1E"/>
    <w:rsid w:val="00582D4E"/>
    <w:rsid w:val="0058486E"/>
    <w:rsid w:val="00594DD7"/>
    <w:rsid w:val="00597930"/>
    <w:rsid w:val="005B120C"/>
    <w:rsid w:val="005B4624"/>
    <w:rsid w:val="005D5CED"/>
    <w:rsid w:val="006063A3"/>
    <w:rsid w:val="00607E6C"/>
    <w:rsid w:val="00622248"/>
    <w:rsid w:val="00643A30"/>
    <w:rsid w:val="0066343B"/>
    <w:rsid w:val="0068457C"/>
    <w:rsid w:val="006A7477"/>
    <w:rsid w:val="006E066D"/>
    <w:rsid w:val="006E4D8D"/>
    <w:rsid w:val="00760F0E"/>
    <w:rsid w:val="0076182A"/>
    <w:rsid w:val="00767B7E"/>
    <w:rsid w:val="00771636"/>
    <w:rsid w:val="00776B71"/>
    <w:rsid w:val="007770C3"/>
    <w:rsid w:val="007A1484"/>
    <w:rsid w:val="007B0F8A"/>
    <w:rsid w:val="007C1F18"/>
    <w:rsid w:val="00800112"/>
    <w:rsid w:val="008031E6"/>
    <w:rsid w:val="008322A9"/>
    <w:rsid w:val="00853170"/>
    <w:rsid w:val="00871F71"/>
    <w:rsid w:val="008B4310"/>
    <w:rsid w:val="00904BA3"/>
    <w:rsid w:val="00912B4E"/>
    <w:rsid w:val="00913F05"/>
    <w:rsid w:val="00915E87"/>
    <w:rsid w:val="00951248"/>
    <w:rsid w:val="0095152F"/>
    <w:rsid w:val="009518E9"/>
    <w:rsid w:val="0095236D"/>
    <w:rsid w:val="00971200"/>
    <w:rsid w:val="00971FFC"/>
    <w:rsid w:val="009832D8"/>
    <w:rsid w:val="009A2199"/>
    <w:rsid w:val="009B4EAE"/>
    <w:rsid w:val="009B7573"/>
    <w:rsid w:val="009D1708"/>
    <w:rsid w:val="009D3447"/>
    <w:rsid w:val="00A142EF"/>
    <w:rsid w:val="00A307CD"/>
    <w:rsid w:val="00A47398"/>
    <w:rsid w:val="00A71FFA"/>
    <w:rsid w:val="00A721A1"/>
    <w:rsid w:val="00A91CAA"/>
    <w:rsid w:val="00AC5F28"/>
    <w:rsid w:val="00AE32AB"/>
    <w:rsid w:val="00AE70BC"/>
    <w:rsid w:val="00AE7747"/>
    <w:rsid w:val="00AF2347"/>
    <w:rsid w:val="00B03C9D"/>
    <w:rsid w:val="00B10517"/>
    <w:rsid w:val="00B310B9"/>
    <w:rsid w:val="00BC7BAA"/>
    <w:rsid w:val="00BD1F19"/>
    <w:rsid w:val="00C03E31"/>
    <w:rsid w:val="00C04CA4"/>
    <w:rsid w:val="00C05F28"/>
    <w:rsid w:val="00C26384"/>
    <w:rsid w:val="00C35554"/>
    <w:rsid w:val="00C4780F"/>
    <w:rsid w:val="00C515F4"/>
    <w:rsid w:val="00C533CC"/>
    <w:rsid w:val="00C62B85"/>
    <w:rsid w:val="00C63DE2"/>
    <w:rsid w:val="00C8038B"/>
    <w:rsid w:val="00CC09B6"/>
    <w:rsid w:val="00CD5B36"/>
    <w:rsid w:val="00CE7B61"/>
    <w:rsid w:val="00CF1341"/>
    <w:rsid w:val="00D01506"/>
    <w:rsid w:val="00D076B2"/>
    <w:rsid w:val="00D45206"/>
    <w:rsid w:val="00D502E7"/>
    <w:rsid w:val="00D562B4"/>
    <w:rsid w:val="00D76918"/>
    <w:rsid w:val="00D849E1"/>
    <w:rsid w:val="00DB6B6F"/>
    <w:rsid w:val="00DC410D"/>
    <w:rsid w:val="00DD4710"/>
    <w:rsid w:val="00DE0476"/>
    <w:rsid w:val="00E10BA1"/>
    <w:rsid w:val="00E20A05"/>
    <w:rsid w:val="00E34066"/>
    <w:rsid w:val="00E62CC8"/>
    <w:rsid w:val="00E82267"/>
    <w:rsid w:val="00EA23FA"/>
    <w:rsid w:val="00EA6388"/>
    <w:rsid w:val="00ED1B63"/>
    <w:rsid w:val="00EF4C34"/>
    <w:rsid w:val="00F00D2A"/>
    <w:rsid w:val="00F1361C"/>
    <w:rsid w:val="00F160C7"/>
    <w:rsid w:val="00F17955"/>
    <w:rsid w:val="00F43379"/>
    <w:rsid w:val="00F65C54"/>
    <w:rsid w:val="00FB34CF"/>
    <w:rsid w:val="00FF1E02"/>
    <w:rsid w:val="025C7E91"/>
    <w:rsid w:val="030D5322"/>
    <w:rsid w:val="03383076"/>
    <w:rsid w:val="06B40622"/>
    <w:rsid w:val="074E3888"/>
    <w:rsid w:val="07F10866"/>
    <w:rsid w:val="08A94A43"/>
    <w:rsid w:val="0A257369"/>
    <w:rsid w:val="1CF244BF"/>
    <w:rsid w:val="1E8D7277"/>
    <w:rsid w:val="1F6169E2"/>
    <w:rsid w:val="1F670907"/>
    <w:rsid w:val="1F805618"/>
    <w:rsid w:val="1FCD30FB"/>
    <w:rsid w:val="237614B7"/>
    <w:rsid w:val="23A45B3E"/>
    <w:rsid w:val="26731B10"/>
    <w:rsid w:val="268953FE"/>
    <w:rsid w:val="26F32BD7"/>
    <w:rsid w:val="2938547E"/>
    <w:rsid w:val="2C4E4485"/>
    <w:rsid w:val="2E6612AA"/>
    <w:rsid w:val="2F295D0F"/>
    <w:rsid w:val="33B4424F"/>
    <w:rsid w:val="37FE3DA8"/>
    <w:rsid w:val="385816A8"/>
    <w:rsid w:val="397A2A53"/>
    <w:rsid w:val="3ACB3ABE"/>
    <w:rsid w:val="3B42115E"/>
    <w:rsid w:val="3B9D771A"/>
    <w:rsid w:val="3BD51560"/>
    <w:rsid w:val="3C686CC3"/>
    <w:rsid w:val="3E477E9B"/>
    <w:rsid w:val="3F427CD1"/>
    <w:rsid w:val="3FBC2A57"/>
    <w:rsid w:val="41AA028E"/>
    <w:rsid w:val="424A1586"/>
    <w:rsid w:val="42655C2D"/>
    <w:rsid w:val="43EE358F"/>
    <w:rsid w:val="448F4F53"/>
    <w:rsid w:val="47D05FA1"/>
    <w:rsid w:val="4C1468DE"/>
    <w:rsid w:val="4CE36A3F"/>
    <w:rsid w:val="4CE90805"/>
    <w:rsid w:val="508164E7"/>
    <w:rsid w:val="50DC61D9"/>
    <w:rsid w:val="51A311FA"/>
    <w:rsid w:val="520B5353"/>
    <w:rsid w:val="528F73B8"/>
    <w:rsid w:val="53164068"/>
    <w:rsid w:val="53D554FF"/>
    <w:rsid w:val="5AF81F9C"/>
    <w:rsid w:val="5FFA68EF"/>
    <w:rsid w:val="615F6871"/>
    <w:rsid w:val="621043D2"/>
    <w:rsid w:val="65482406"/>
    <w:rsid w:val="65EF379E"/>
    <w:rsid w:val="67EF4769"/>
    <w:rsid w:val="68340177"/>
    <w:rsid w:val="68B76F01"/>
    <w:rsid w:val="6ADE3A5D"/>
    <w:rsid w:val="6E6C1E57"/>
    <w:rsid w:val="6E994DBA"/>
    <w:rsid w:val="6F6F602C"/>
    <w:rsid w:val="708C320B"/>
    <w:rsid w:val="72E83F0B"/>
    <w:rsid w:val="732075B7"/>
    <w:rsid w:val="74C97A4B"/>
    <w:rsid w:val="755440E9"/>
    <w:rsid w:val="75882F6D"/>
    <w:rsid w:val="770A2DD2"/>
    <w:rsid w:val="77A417E3"/>
    <w:rsid w:val="78ED5B4D"/>
    <w:rsid w:val="7B77759B"/>
    <w:rsid w:val="7C9426F4"/>
    <w:rsid w:val="7CE706AC"/>
    <w:rsid w:val="7F9B6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6"/>
    <w:qFormat/>
    <w:uiPriority w:val="0"/>
    <w:pPr>
      <w:spacing w:beforeLines="30"/>
    </w:pPr>
    <w:rPr>
      <w:rFonts w:ascii="仿宋_GB2312" w:eastAsia="仿宋_GB2312"/>
      <w:kern w:val="0"/>
      <w:sz w:val="30"/>
    </w:rPr>
  </w:style>
  <w:style w:type="paragraph" w:styleId="4">
    <w:name w:val="Balloon Text"/>
    <w:basedOn w:val="1"/>
    <w:link w:val="22"/>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rFonts w:ascii="Calibri" w:hAnsi="Calibri"/>
      <w:kern w:val="0"/>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7">
    <w:name w:val="toc 1"/>
    <w:basedOn w:val="1"/>
    <w:next w:val="1"/>
    <w:unhideWhenUsed/>
    <w:qFormat/>
    <w:uiPriority w:val="39"/>
  </w:style>
  <w:style w:type="paragraph" w:styleId="8">
    <w:name w:val="toc 2"/>
    <w:basedOn w:val="1"/>
    <w:next w:val="1"/>
    <w:unhideWhenUsed/>
    <w:qFormat/>
    <w:uiPriority w:val="39"/>
    <w:pPr>
      <w:ind w:left="420" w:leftChars="200"/>
    </w:pPr>
  </w:style>
  <w:style w:type="paragraph" w:styleId="9">
    <w:name w:val="Normal (Web)"/>
    <w:basedOn w:val="1"/>
    <w:link w:val="15"/>
    <w:qFormat/>
    <w:uiPriority w:val="0"/>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22"/>
    <w:rPr>
      <w:b/>
      <w:bCs/>
    </w:rPr>
  </w:style>
  <w:style w:type="character" w:customStyle="1" w:styleId="14">
    <w:name w:val="页眉 Char"/>
    <w:link w:val="6"/>
    <w:semiHidden/>
    <w:qFormat/>
    <w:uiPriority w:val="99"/>
    <w:rPr>
      <w:sz w:val="18"/>
      <w:szCs w:val="18"/>
    </w:rPr>
  </w:style>
  <w:style w:type="character" w:customStyle="1" w:styleId="15">
    <w:name w:val="普通(网站) Char"/>
    <w:link w:val="9"/>
    <w:qFormat/>
    <w:uiPriority w:val="0"/>
    <w:rPr>
      <w:rFonts w:ascii="宋体" w:hAnsi="宋体" w:eastAsia="宋体" w:cs="宋体"/>
      <w:sz w:val="24"/>
      <w:szCs w:val="24"/>
      <w:lang w:val="en-US" w:eastAsia="zh-CN" w:bidi="ar-SA"/>
    </w:rPr>
  </w:style>
  <w:style w:type="character" w:customStyle="1" w:styleId="16">
    <w:name w:val="正文文本 Char"/>
    <w:link w:val="3"/>
    <w:qFormat/>
    <w:uiPriority w:val="0"/>
    <w:rPr>
      <w:rFonts w:ascii="仿宋_GB2312" w:hAnsi="Times New Roman" w:eastAsia="仿宋_GB2312" w:cs="Times New Roman"/>
      <w:sz w:val="30"/>
      <w:szCs w:val="24"/>
    </w:rPr>
  </w:style>
  <w:style w:type="character" w:customStyle="1" w:styleId="17">
    <w:name w:val="页脚 Char"/>
    <w:link w:val="5"/>
    <w:qFormat/>
    <w:uiPriority w:val="99"/>
    <w:rPr>
      <w:sz w:val="18"/>
      <w:szCs w:val="18"/>
    </w:rPr>
  </w:style>
  <w:style w:type="paragraph" w:customStyle="1" w:styleId="1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0">
    <w:name w:val="WPSOffice手动目录 1"/>
    <w:qFormat/>
    <w:uiPriority w:val="0"/>
    <w:rPr>
      <w:rFonts w:ascii="Times New Roman" w:hAnsi="Times New Roman" w:eastAsia="宋体" w:cs="Times New Roman"/>
      <w:lang w:val="en-US" w:eastAsia="zh-CN" w:bidi="ar-SA"/>
    </w:rPr>
  </w:style>
  <w:style w:type="character" w:customStyle="1" w:styleId="21">
    <w:name w:val="标题 1 Char"/>
    <w:basedOn w:val="12"/>
    <w:link w:val="2"/>
    <w:qFormat/>
    <w:uiPriority w:val="0"/>
    <w:rPr>
      <w:b/>
      <w:bCs/>
      <w:kern w:val="44"/>
      <w:sz w:val="44"/>
      <w:szCs w:val="44"/>
    </w:rPr>
  </w:style>
  <w:style w:type="character" w:customStyle="1" w:styleId="22">
    <w:name w:val="批注框文本 Char"/>
    <w:basedOn w:val="12"/>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image" Target="media/image2.emf"/><Relationship Id="rId16" Type="http://schemas.openxmlformats.org/officeDocument/2006/relationships/oleObject" Target="embeddings/oleObject2.bin"/><Relationship Id="rId15" Type="http://schemas.openxmlformats.org/officeDocument/2006/relationships/image" Target="media/image1.emf"/><Relationship Id="rId14" Type="http://schemas.openxmlformats.org/officeDocument/2006/relationships/oleObject" Target="embeddings/oleObject1.bin"/><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a:scene3d>
              <a:camera prst="orthographicFront"/>
              <a:lightRig rig="threePt" dir="t"/>
            </a:scene3d>
            <a:sp3d contourW="25400"/>
          </c:spPr>
          <c:explosion val="0"/>
          <c:dPt>
            <c:idx val="0"/>
            <c:bubble3D val="0"/>
            <c:spPr>
              <a:solidFill>
                <a:schemeClr val="tx2">
                  <a:lumMod val="40000"/>
                  <a:lumOff val="60000"/>
                </a:schemeClr>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Lbls>
            <c:delete val="1"/>
          </c:dLbls>
          <c:cat>
            <c:strRef>
              <c:f>Sheet1!$A$2:$A$6</c:f>
              <c:strCache>
                <c:ptCount val="5"/>
                <c:pt idx="0">
                  <c:v>财政拨款收入</c:v>
                </c:pt>
                <c:pt idx="1">
                  <c:v>事业收入</c:v>
                </c:pt>
                <c:pt idx="2">
                  <c:v>经营收入</c:v>
                </c:pt>
                <c:pt idx="3">
                  <c:v>附属单位上缴收入</c:v>
                </c:pt>
                <c:pt idx="4">
                  <c:v>其他收入</c:v>
                </c:pt>
              </c:strCache>
            </c:strRef>
          </c:cat>
          <c:val>
            <c:numRef>
              <c:f>Sheet1!$B$2:$B$6</c:f>
              <c:numCache>
                <c:formatCode>General</c:formatCode>
                <c:ptCount val="5"/>
                <c:pt idx="0">
                  <c:v>285.54</c:v>
                </c:pt>
                <c:pt idx="1">
                  <c:v>0</c:v>
                </c:pt>
                <c:pt idx="2">
                  <c:v>0</c:v>
                </c:pt>
                <c:pt idx="3">
                  <c:v>0</c:v>
                </c:pt>
                <c:pt idx="4">
                  <c:v>0</c:v>
                </c:pt>
              </c:numCache>
            </c:numRef>
          </c:val>
        </c:ser>
        <c:dLbls>
          <c:showLegendKey val="0"/>
          <c:showVal val="0"/>
          <c:showCatName val="1"/>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348046195222275"/>
          <c:y val="0.0751109593717992"/>
          <c:w val="0.692611928492327"/>
          <c:h val="0.849778081256402"/>
        </c:manualLayout>
      </c:layout>
      <c:pie3DChart>
        <c:varyColors val="1"/>
        <c:ser>
          <c:idx val="0"/>
          <c:order val="0"/>
          <c:tx>
            <c:strRef>
              <c:f>Sheet1!$B$1</c:f>
              <c:strCache>
                <c:ptCount val="1"/>
                <c:pt idx="0">
                  <c:v>支出金额</c:v>
                </c:pt>
              </c:strCache>
            </c:strRef>
          </c:tx>
          <c:spPr>
            <a:scene3d>
              <a:camera prst="orthographicFront"/>
              <a:lightRig rig="threePt" dir="t"/>
            </a:scene3d>
            <a:sp3d contourW="25400"/>
          </c:spPr>
          <c:explosion val="0"/>
          <c:dPt>
            <c:idx val="0"/>
            <c:bubble3D val="0"/>
            <c:spPr>
              <a:solidFill>
                <a:schemeClr val="accent2">
                  <a:lumMod val="75000"/>
                </a:schemeClr>
              </a:solidFill>
              <a:ln w="25400">
                <a:solidFill>
                  <a:schemeClr val="lt1"/>
                </a:solidFill>
              </a:ln>
              <a:effectLst/>
              <a:scene3d>
                <a:camera prst="orthographicFront"/>
                <a:lightRig rig="threePt" dir="t"/>
              </a:scene3d>
              <a:sp3d contourW="25400"/>
            </c:spPr>
          </c:dPt>
          <c:dPt>
            <c:idx val="1"/>
            <c:bubble3D val="0"/>
            <c:spPr>
              <a:gradFill>
                <a:gsLst>
                  <a:gs pos="0">
                    <a:srgbClr val="14CD68"/>
                  </a:gs>
                  <a:gs pos="100000">
                    <a:srgbClr val="0B6E38"/>
                  </a:gs>
                </a:gsLst>
                <a:path path="circle"/>
              </a:gradFill>
              <a:ln w="25400">
                <a:solidFill>
                  <a:schemeClr val="lt1"/>
                </a:solidFill>
              </a:ln>
              <a:effectLst/>
              <a:scene3d>
                <a:camera prst="orthographicFront"/>
                <a:lightRig rig="threePt" dir="t"/>
              </a:scene3d>
              <a:sp3d contourW="25400"/>
            </c:spPr>
          </c:dPt>
          <c:dLbls>
            <c:delete val="1"/>
          </c:dLbls>
          <c:cat>
            <c:strRef>
              <c:f>Sheet1!$A$2:$A$3</c:f>
              <c:strCache>
                <c:ptCount val="2"/>
                <c:pt idx="0">
                  <c:v>基本支出</c:v>
                </c:pt>
                <c:pt idx="1">
                  <c:v>项目支出</c:v>
                </c:pt>
              </c:strCache>
            </c:strRef>
          </c:cat>
          <c:val>
            <c:numRef>
              <c:f>Sheet1!$B$2:$B$3</c:f>
              <c:numCache>
                <c:formatCode>General</c:formatCode>
                <c:ptCount val="2"/>
                <c:pt idx="0">
                  <c:v>285.54</c:v>
                </c:pt>
                <c:pt idx="1">
                  <c:v>0</c:v>
                </c:pt>
              </c:numCache>
            </c:numRef>
          </c:val>
        </c:ser>
        <c:dLbls>
          <c:showLegendKey val="0"/>
          <c:showVal val="0"/>
          <c:showCatName val="0"/>
          <c:showSerName val="0"/>
          <c:showPercent val="0"/>
          <c:showBubbleSize val="0"/>
        </c:dLbls>
      </c:pie3DChart>
      <c:spPr>
        <a:noFill/>
        <a:ln>
          <a:noFill/>
        </a:ln>
        <a:effectLst/>
      </c:spPr>
    </c:plotArea>
    <c:legend>
      <c:legendPos val="r"/>
      <c:layout>
        <c:manualLayout>
          <c:xMode val="edge"/>
          <c:yMode val="edge"/>
          <c:x val="0.82249644043664"/>
          <c:y val="0.39621031068624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c:f>
              <c:strCache>
                <c:ptCount val="1"/>
                <c:pt idx="0">
                  <c:v>2020</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285.54</c:v>
                </c:pt>
                <c:pt idx="1">
                  <c:v>285.54</c:v>
                </c:pt>
              </c:numCache>
            </c:numRef>
          </c:val>
        </c:ser>
        <c:ser>
          <c:idx val="1"/>
          <c:order val="1"/>
          <c:tx>
            <c:strRef>
              <c:f>Sheet1!$B$1</c:f>
              <c:strCache>
                <c:ptCount val="1"/>
                <c:pt idx="0">
                  <c:v>2019</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297.72</c:v>
                </c:pt>
                <c:pt idx="1">
                  <c:v>297.72</c:v>
                </c:pt>
              </c:numCache>
            </c:numRef>
          </c:val>
        </c:ser>
        <c:dLbls>
          <c:showLegendKey val="0"/>
          <c:showVal val="0"/>
          <c:showCatName val="0"/>
          <c:showSerName val="0"/>
          <c:showPercent val="0"/>
          <c:showBubbleSize val="0"/>
        </c:dLbls>
        <c:gapWidth val="150"/>
        <c:axId val="44355584"/>
        <c:axId val="44477824"/>
      </c:barChart>
      <c:catAx>
        <c:axId val="4435558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477824"/>
        <c:crosses val="autoZero"/>
        <c:auto val="1"/>
        <c:lblAlgn val="ctr"/>
        <c:lblOffset val="100"/>
        <c:noMultiLvlLbl val="0"/>
      </c:catAx>
      <c:valAx>
        <c:axId val="444778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0120322464204067"/>
              <c:y val="0.00570884871550904"/>
            </c:manualLayout>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355584"/>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00" b="0" i="0" u="none" strike="noStrike" kern="1200" spc="0" baseline="0">
                <a:solidFill>
                  <a:schemeClr val="tx1">
                    <a:lumMod val="65000"/>
                    <a:lumOff val="35000"/>
                  </a:schemeClr>
                </a:solidFill>
                <a:latin typeface="+mn-lt"/>
                <a:ea typeface="+mn-ea"/>
                <a:cs typeface="+mn-cs"/>
              </a:defRPr>
            </a:pPr>
            <a:r>
              <a:rPr altLang="zh-CN" sz="900"/>
              <a:t>单位：万元</a:t>
            </a:r>
            <a:endParaRPr altLang="zh-CN" sz="900"/>
          </a:p>
        </c:rich>
      </c:tx>
      <c:layout>
        <c:manualLayout>
          <c:xMode val="edge"/>
          <c:yMode val="edge"/>
          <c:x val="0.020312479044486"/>
          <c:y val="0.0694879242577889"/>
        </c:manualLayout>
      </c:layout>
      <c:overlay val="0"/>
      <c:spPr>
        <a:noFill/>
        <a:ln>
          <a:noFill/>
        </a:ln>
        <a:effectLst/>
      </c:spPr>
    </c:title>
    <c:autoTitleDeleted val="0"/>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66205533596838"/>
          <c:y val="0.246134427264121"/>
          <c:w val="0.620182806324112"/>
          <c:h val="0.640580624802777"/>
        </c:manualLayout>
      </c:layout>
      <c:pie3DChart>
        <c:varyColors val="1"/>
        <c:ser>
          <c:idx val="0"/>
          <c:order val="0"/>
          <c:tx>
            <c:strRef>
              <c:f>Sheet1!$B$1</c:f>
              <c:strCache>
                <c:ptCount val="1"/>
                <c:pt idx="0">
                  <c:v>金额</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社会保障和就业支出</c:v>
                </c:pt>
                <c:pt idx="1">
                  <c:v>医疗卫生与计划生育支出</c:v>
                </c:pt>
                <c:pt idx="2">
                  <c:v>住房保障支出</c:v>
                </c:pt>
              </c:strCache>
            </c:strRef>
          </c:cat>
          <c:val>
            <c:numRef>
              <c:f>Sheet1!$B$2:$B$4</c:f>
              <c:numCache>
                <c:formatCode>General</c:formatCode>
                <c:ptCount val="3"/>
                <c:pt idx="0">
                  <c:v>255.64</c:v>
                </c:pt>
                <c:pt idx="1">
                  <c:v>11.28</c:v>
                </c:pt>
                <c:pt idx="2">
                  <c:v>18.62</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a:scene3d>
              <a:camera prst="orthographicFront"/>
              <a:lightRig rig="threePt" dir="t"/>
            </a:scene3d>
            <a:sp3d contourW="25400"/>
          </c:spPr>
          <c:explosion val="0"/>
          <c:dPt>
            <c:idx val="0"/>
            <c:bubble3D val="0"/>
            <c:explosion val="12"/>
            <c:spPr>
              <a:solidFill>
                <a:schemeClr val="accent1"/>
              </a:solidFill>
              <a:ln w="25400">
                <a:solidFill>
                  <a:schemeClr val="lt1"/>
                </a:solidFill>
              </a:ln>
              <a:effectLst/>
              <a:scene3d>
                <a:camera prst="orthographicFront"/>
                <a:lightRig rig="threePt" dir="t"/>
              </a:scene3d>
              <a:sp3d contourW="25400"/>
            </c:spPr>
          </c:dPt>
          <c:dPt>
            <c:idx val="1"/>
            <c:bubble3D val="0"/>
            <c:explosion val="16"/>
            <c:spPr>
              <a:solidFill>
                <a:schemeClr val="accent2"/>
              </a:solidFill>
              <a:ln w="25400">
                <a:solidFill>
                  <a:schemeClr val="lt1"/>
                </a:solidFill>
              </a:ln>
              <a:effectLst/>
              <a:scene3d>
                <a:camera prst="orthographicFront"/>
                <a:lightRig rig="threePt" dir="t"/>
              </a:scene3d>
              <a:sp3d contourW="25400"/>
            </c:spPr>
          </c:dPt>
          <c:dPt>
            <c:idx val="2"/>
            <c:bubble3D val="0"/>
            <c:explosion val="13"/>
            <c:spPr>
              <a:solidFill>
                <a:schemeClr val="accent3"/>
              </a:solidFill>
              <a:ln w="25400">
                <a:solidFill>
                  <a:schemeClr val="lt1"/>
                </a:solidFill>
              </a:ln>
              <a:effectLst/>
              <a:scene3d>
                <a:camera prst="orthographicFront"/>
                <a:lightRig rig="threePt" dir="t"/>
              </a:scene3d>
              <a:sp3d contourW="25400"/>
            </c:spPr>
          </c:dPt>
          <c:dPt>
            <c:idx val="3"/>
            <c:bubble3D val="0"/>
            <c:explosion val="11"/>
            <c:spPr>
              <a:solidFill>
                <a:schemeClr val="accent4"/>
              </a:solidFill>
              <a:ln w="25400">
                <a:solidFill>
                  <a:schemeClr val="lt1"/>
                </a:solidFill>
              </a:ln>
              <a:effectLst/>
              <a:scene3d>
                <a:camera prst="orthographicFront"/>
                <a:lightRig rig="threePt" dir="t"/>
              </a:scene3d>
              <a:sp3d contourW="25400"/>
            </c:spPr>
          </c:dPt>
          <c:dPt>
            <c:idx val="4"/>
            <c:bubble3D val="0"/>
            <c:explosion val="13"/>
            <c:spPr>
              <a:solidFill>
                <a:schemeClr val="accent5"/>
              </a:solidFill>
              <a:ln w="25400">
                <a:solidFill>
                  <a:schemeClr val="lt1"/>
                </a:solidFill>
              </a:ln>
              <a:effectLst/>
              <a:scene3d>
                <a:camera prst="orthographicFront"/>
                <a:lightRig rig="threePt" dir="t"/>
              </a:scene3d>
              <a:sp3d contourW="25400"/>
            </c:spPr>
          </c:dPt>
          <c:dPt>
            <c:idx val="5"/>
            <c:bubble3D val="0"/>
            <c:explosion val="8"/>
            <c:spPr>
              <a:solidFill>
                <a:schemeClr val="accent6"/>
              </a:solidFill>
              <a:ln w="25400">
                <a:solidFill>
                  <a:schemeClr val="lt1"/>
                </a:solidFill>
              </a:ln>
              <a:effectLst/>
              <a:scene3d>
                <a:camera prst="orthographicFront"/>
                <a:lightRig rig="threePt" dir="t"/>
              </a:scene3d>
              <a:sp3d contourW="25400"/>
            </c:spPr>
          </c:dPt>
          <c:dPt>
            <c:idx val="6"/>
            <c:bubble3D val="0"/>
            <c:explosion val="12"/>
            <c:spPr>
              <a:solidFill>
                <a:schemeClr val="accent1">
                  <a:lumMod val="60000"/>
                </a:schemeClr>
              </a:solidFill>
              <a:ln w="25400">
                <a:solidFill>
                  <a:schemeClr val="lt1"/>
                </a:solidFill>
              </a:ln>
              <a:effectLst/>
              <a:scene3d>
                <a:camera prst="orthographicFront"/>
                <a:lightRig rig="threePt" dir="t"/>
              </a:scene3d>
              <a:sp3d contourW="25400"/>
            </c:spPr>
          </c:dPt>
          <c:dPt>
            <c:idx val="7"/>
            <c:bubble3D val="0"/>
            <c:explosion val="9"/>
            <c:spPr>
              <a:solidFill>
                <a:schemeClr val="accent2">
                  <a:lumMod val="60000"/>
                </a:schemeClr>
              </a:solidFill>
              <a:ln w="25400">
                <a:solidFill>
                  <a:schemeClr val="lt1"/>
                </a:solidFill>
              </a:ln>
              <a:effectLst/>
              <a:scene3d>
                <a:camera prst="orthographicFront"/>
                <a:lightRig rig="threePt" dir="t"/>
              </a:scene3d>
              <a:sp3d contourW="25400"/>
            </c:spPr>
          </c:dPt>
          <c:dPt>
            <c:idx val="8"/>
            <c:bubble3D val="0"/>
            <c:explosion val="8"/>
            <c:spPr>
              <a:solidFill>
                <a:schemeClr val="accent3">
                  <a:lumMod val="60000"/>
                </a:schemeClr>
              </a:solidFill>
              <a:ln w="25400">
                <a:solidFill>
                  <a:schemeClr val="lt1"/>
                </a:solidFill>
              </a:ln>
              <a:effectLst/>
              <a:scene3d>
                <a:camera prst="orthographicFront"/>
                <a:lightRig rig="threePt" dir="t"/>
              </a:scene3d>
              <a:sp3d contourW="25400"/>
            </c:spPr>
          </c:dPt>
          <c:dPt>
            <c:idx val="9"/>
            <c:bubble3D val="0"/>
            <c:explosion val="8"/>
            <c:spPr>
              <a:solidFill>
                <a:schemeClr val="accent4">
                  <a:lumMod val="60000"/>
                </a:schemeClr>
              </a:solidFill>
              <a:ln w="25400">
                <a:solidFill>
                  <a:schemeClr val="lt1"/>
                </a:solidFill>
              </a:ln>
              <a:effectLst/>
              <a:scene3d>
                <a:camera prst="orthographicFront"/>
                <a:lightRig rig="threePt" dir="t"/>
              </a:scene3d>
              <a:sp3d contourW="25400"/>
            </c:spPr>
          </c:dPt>
          <c:dPt>
            <c:idx val="10"/>
            <c:bubble3D val="0"/>
            <c:spPr>
              <a:solidFill>
                <a:schemeClr val="accent5">
                  <a:lumMod val="60000"/>
                </a:schemeClr>
              </a:solidFill>
              <a:ln w="25400">
                <a:solidFill>
                  <a:schemeClr val="lt1"/>
                </a:solidFill>
              </a:ln>
              <a:effectLst/>
              <a:scene3d>
                <a:camera prst="orthographicFront"/>
                <a:lightRig rig="threePt" dir="t"/>
              </a:scene3d>
              <a:sp3d contourW="25400"/>
            </c:spPr>
          </c:dPt>
          <c:dPt>
            <c:idx val="11"/>
            <c:bubble3D val="0"/>
            <c:explosion val="8"/>
            <c:spPr>
              <a:solidFill>
                <a:schemeClr val="accent6">
                  <a:lumMod val="60000"/>
                </a:schemeClr>
              </a:solidFill>
              <a:ln w="25400">
                <a:solidFill>
                  <a:schemeClr val="lt1"/>
                </a:solidFill>
              </a:ln>
              <a:effectLst/>
              <a:scene3d>
                <a:camera prst="orthographicFront"/>
                <a:lightRig rig="threePt" dir="t"/>
              </a:scene3d>
              <a:sp3d contourW="25400"/>
            </c:spPr>
          </c:dPt>
          <c:dPt>
            <c:idx val="12"/>
            <c:bubble3D val="0"/>
            <c:explosion val="6"/>
            <c:spPr>
              <a:solidFill>
                <a:schemeClr val="accent1">
                  <a:lumMod val="80000"/>
                  <a:lumOff val="20000"/>
                </a:schemeClr>
              </a:solidFill>
              <a:ln w="25400">
                <a:solidFill>
                  <a:schemeClr val="lt1"/>
                </a:solidFill>
              </a:ln>
              <a:effectLst/>
              <a:scene3d>
                <a:camera prst="orthographicFront"/>
                <a:lightRig rig="threePt" dir="t"/>
              </a:scene3d>
              <a:sp3d contourW="25400"/>
            </c:spPr>
          </c:dPt>
          <c:dPt>
            <c:idx val="13"/>
            <c:bubble3D val="0"/>
            <c:explosion val="4"/>
            <c:spPr>
              <a:solidFill>
                <a:schemeClr val="accent2">
                  <a:lumMod val="80000"/>
                  <a:lumOff val="20000"/>
                </a:schemeClr>
              </a:solidFill>
              <a:ln w="25400">
                <a:solidFill>
                  <a:schemeClr val="lt1"/>
                </a:solidFill>
              </a:ln>
              <a:effectLst/>
              <a:scene3d>
                <a:camera prst="orthographicFront"/>
                <a:lightRig rig="threePt" dir="t"/>
              </a:scene3d>
              <a:sp3d contourW="25400"/>
            </c:spPr>
          </c:dPt>
          <c:dLbls>
            <c:dLbl>
              <c:idx val="0"/>
              <c:layout>
                <c:manualLayout>
                  <c:x val="0.0186940494997367"/>
                  <c:y val="-0.018264075067024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172459189046867"/>
                  <c:y val="-0.045743967828418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14533965244866"/>
                  <c:y val="0.0090482573726541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0434439178515008"/>
                  <c:y val="0.0018431635388739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0434439178515008"/>
                  <c:y val="0.0072050938337801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00868878357030016"/>
                  <c:y val="0.0018431635388739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00144813059505003"/>
                  <c:y val="0.064008042895442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0258030542390732"/>
                  <c:y val="0.0092158176943699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8"/>
              <c:layout>
                <c:manualLayout>
                  <c:x val="-0.0157977883096366"/>
                  <c:y val="0.060321715817694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9"/>
              <c:layout>
                <c:manualLayout>
                  <c:x val="-0.0446287519747235"/>
                  <c:y val="0.0018431635388739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0"/>
              <c:delete val="1"/>
            </c:dLbl>
            <c:dLbl>
              <c:idx val="11"/>
              <c:layout>
                <c:manualLayout>
                  <c:x val="-0.00724065297525014"/>
                  <c:y val="-0.0092158176943699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2"/>
              <c:layout>
                <c:manualLayout>
                  <c:x val="-0.00289626119010005"/>
                  <c:y val="-0.0072050938337801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3"/>
              <c:layout>
                <c:manualLayout>
                  <c:x val="0.00579252238020011"/>
                  <c:y val="-0.029155495978552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Sheet1!$A$2:$A$15</c:f>
              <c:strCache>
                <c:ptCount val="14"/>
                <c:pt idx="0">
                  <c:v>基本工资</c:v>
                </c:pt>
                <c:pt idx="1">
                  <c:v>津贴补贴</c:v>
                </c:pt>
                <c:pt idx="2">
                  <c:v>奖金</c:v>
                </c:pt>
                <c:pt idx="3">
                  <c:v>绩效工资</c:v>
                </c:pt>
                <c:pt idx="4">
                  <c:v>机关事业单位基本养老保险缴费</c:v>
                </c:pt>
                <c:pt idx="5">
                  <c:v>职业年金缴费</c:v>
                </c:pt>
                <c:pt idx="6">
                  <c:v>职工基本医疗保险缴费</c:v>
                </c:pt>
                <c:pt idx="7">
                  <c:v>公务员医疗补助缴费</c:v>
                </c:pt>
                <c:pt idx="8">
                  <c:v>其他社会保障缴费</c:v>
                </c:pt>
                <c:pt idx="9">
                  <c:v>离休费</c:v>
                </c:pt>
                <c:pt idx="10">
                  <c:v>退休费</c:v>
                </c:pt>
                <c:pt idx="11">
                  <c:v>生活补助</c:v>
                </c:pt>
                <c:pt idx="12">
                  <c:v>住房公积</c:v>
                </c:pt>
                <c:pt idx="13">
                  <c:v>奖励金</c:v>
                </c:pt>
              </c:strCache>
            </c:strRef>
          </c:cat>
          <c:val>
            <c:numRef>
              <c:f>Sheet1!$B$2:$B$15</c:f>
              <c:numCache>
                <c:formatCode>General</c:formatCode>
                <c:ptCount val="14"/>
                <c:pt idx="0">
                  <c:v>53.48</c:v>
                </c:pt>
                <c:pt idx="1">
                  <c:v>61.37</c:v>
                </c:pt>
                <c:pt idx="2">
                  <c:v>4.1</c:v>
                </c:pt>
                <c:pt idx="3">
                  <c:v>6.21</c:v>
                </c:pt>
                <c:pt idx="4">
                  <c:v>19.59</c:v>
                </c:pt>
                <c:pt idx="5">
                  <c:v>9.79</c:v>
                </c:pt>
                <c:pt idx="6">
                  <c:v>8.57</c:v>
                </c:pt>
                <c:pt idx="7">
                  <c:v>2.7</c:v>
                </c:pt>
                <c:pt idx="8">
                  <c:v>1.49</c:v>
                </c:pt>
                <c:pt idx="9">
                  <c:v>8.37</c:v>
                </c:pt>
                <c:pt idx="10">
                  <c:v>0.01</c:v>
                </c:pt>
                <c:pt idx="11">
                  <c:v>31.16</c:v>
                </c:pt>
                <c:pt idx="12">
                  <c:v>18.62</c:v>
                </c:pt>
                <c:pt idx="13">
                  <c:v>47.02</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Pt>
            <c:idx val="5"/>
            <c:bubble3D val="0"/>
            <c:spPr>
              <a:solidFill>
                <a:schemeClr val="accent6"/>
              </a:solidFill>
              <a:ln w="25400">
                <a:solidFill>
                  <a:schemeClr val="lt1"/>
                </a:solidFill>
              </a:ln>
              <a:effectLst/>
              <a:scene3d>
                <a:camera prst="orthographicFront"/>
                <a:lightRig rig="threePt" dir="t"/>
              </a:scene3d>
              <a:sp3d contourW="25400"/>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Sheet1!$A$2:$A$8</c:f>
              <c:strCache>
                <c:ptCount val="7"/>
                <c:pt idx="0">
                  <c:v>办公费</c:v>
                </c:pt>
                <c:pt idx="1">
                  <c:v>水费</c:v>
                </c:pt>
                <c:pt idx="2">
                  <c:v>电费</c:v>
                </c:pt>
                <c:pt idx="3">
                  <c:v>邮电费</c:v>
                </c:pt>
                <c:pt idx="4">
                  <c:v>差旅费</c:v>
                </c:pt>
                <c:pt idx="5">
                  <c:v>维修（护）费</c:v>
                </c:pt>
                <c:pt idx="6">
                  <c:v>公务员用车运行维护费</c:v>
                </c:pt>
              </c:strCache>
            </c:strRef>
          </c:cat>
          <c:val>
            <c:numRef>
              <c:f>Sheet1!$B$2:$B$8</c:f>
              <c:numCache>
                <c:formatCode>General</c:formatCode>
                <c:ptCount val="7"/>
                <c:pt idx="0">
                  <c:v>5.86</c:v>
                </c:pt>
                <c:pt idx="1">
                  <c:v>0.15</c:v>
                </c:pt>
                <c:pt idx="2">
                  <c:v>0.5</c:v>
                </c:pt>
                <c:pt idx="3">
                  <c:v>0.61</c:v>
                </c:pt>
                <c:pt idx="4">
                  <c:v>4</c:v>
                </c:pt>
                <c:pt idx="5">
                  <c:v>0.5</c:v>
                </c:pt>
                <c:pt idx="6">
                  <c:v>1.6</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社会保障和就业支出</c:v>
                </c:pt>
                <c:pt idx="1">
                  <c:v>医疗卫生与计划生育支出</c:v>
                </c:pt>
                <c:pt idx="2">
                  <c:v>住房保障支出</c:v>
                </c:pt>
              </c:strCache>
            </c:strRef>
          </c:cat>
          <c:val>
            <c:numRef>
              <c:f>Sheet1!$B$2:$B$4</c:f>
              <c:numCache>
                <c:formatCode>General</c:formatCode>
                <c:ptCount val="3"/>
                <c:pt idx="0">
                  <c:v>255.64</c:v>
                </c:pt>
                <c:pt idx="1">
                  <c:v>11.28</c:v>
                </c:pt>
                <c:pt idx="2">
                  <c:v>18.62</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3073"/>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1481</Words>
  <Characters>8448</Characters>
  <Lines>70</Lines>
  <Paragraphs>19</Paragraphs>
  <TotalTime>5</TotalTime>
  <ScaleCrop>false</ScaleCrop>
  <LinksUpToDate>false</LinksUpToDate>
  <CharactersWithSpaces>9910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2017-08-22T01:25:00Z</dcterms:created>
  <dc:creator>张彬茜</dc:creator>
  <cp:lastModifiedBy>平淡无奇</cp:lastModifiedBy>
  <cp:lastPrinted>2017-09-15T08:45:00Z</cp:lastPrinted>
  <dcterms:modified xsi:type="dcterms:W3CDTF">2021-09-27T08:32:41Z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0570713084A449A78A82A4BF79C78D5B</vt:lpwstr>
  </property>
</Properties>
</file>