
<file path=[Content_Types].xml><?xml version="1.0" encoding="utf-8"?>
<Types xmlns="http://schemas.openxmlformats.org/package/2006/content-types">
  <Default Extension="rels" ContentType="application/vnd.openxmlformats-package.relationships+xml"/>
  <Default Extension="xml" ContentType="application/xml"/>
  <Override PartName="/word/settings.xml" ContentType="application/vnd.openxmlformats-officedocument.wordprocessingml.setting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body>
    <w:p>
      <w:pPr>
        <w:spacing w:line="560" w:lineRule="exact"/>
        <w:jc w:val="center"/>
        <w:rPr>
          <w:rFonts w:ascii="Times New Roman" w:eastAsia="方正小标宋_GBK" w:cs="Times New Roman" w:hAnsi="Times New Roman"/>
          <w:sz w:val="44"/>
          <w:szCs w:val="44"/>
        </w:rPr>
      </w:pPr>
      <w:r>
        <w:rPr>
          <w:rFonts w:ascii="Times New Roman" w:eastAsia="方正小标宋_GBK" w:cs="Times New Roman" w:hAnsi="Times New Roman" w:hint="eastAsia"/>
          <w:sz w:val="44"/>
          <w:szCs w:val="44"/>
        </w:rPr>
        <w:t>中共金川县委党校</w:t>
      </w:r>
    </w:p>
    <w:p>
      <w:pPr>
        <w:spacing w:line="560" w:lineRule="exact"/>
        <w:jc w:val="center"/>
        <w:rPr>
          <w:rFonts w:ascii="Times New Roman" w:eastAsia="方正小标宋_GBK" w:cs="Times New Roman" w:hAnsi="Times New Roman"/>
          <w:sz w:val="44"/>
          <w:szCs w:val="44"/>
        </w:rPr>
      </w:pPr>
      <w:r>
        <w:rPr>
          <w:rFonts w:ascii="Times New Roman" w:eastAsia="方正小标宋_GBK" w:cs="Times New Roman" w:hAnsi="Times New Roman"/>
          <w:sz w:val="44"/>
          <w:szCs w:val="44"/>
        </w:rPr>
        <w:t>部门预算绩效目标情况说明</w:t>
      </w:r>
    </w:p>
    <w:p>
      <w:pPr>
        <w:pStyle w:val="15"/>
        <w:tabs>
          <w:tab w:val="center" w:pos="4153"/>
          <w:tab w:val="right" w:pos="8306"/>
        </w:tabs>
      </w:pPr>
    </w:p>
    <w:p>
      <w:pPr>
        <w:spacing w:line="560" w:lineRule="exact"/>
        <w:ind w:firstLineChars="200" w:firstLine="640"/>
        <w:rPr>
          <w:rFonts w:ascii="仿宋_GB2312" w:eastAsia="仿宋_GB2312" w:cs="仿宋_GB2312"/>
          <w:sz w:val="32"/>
          <w:szCs w:val="32"/>
        </w:rPr>
      </w:pPr>
      <w:r>
        <w:rPr>
          <w:rFonts w:ascii="仿宋_GB2312" w:eastAsia="仿宋_GB2312" w:cs="仿宋_GB2312" w:hint="eastAsia"/>
          <w:sz w:val="32"/>
          <w:szCs w:val="32"/>
        </w:rPr>
        <w:t>2026年，我单位部门预算245.39万元 ，均严格按绩效管理要求实现项目绩效目标管理，其中重点项目预算0个，现将情况说明如下：</w:t>
      </w:r>
    </w:p>
    <w:p>
      <w:pPr>
        <w:spacing w:line="560" w:lineRule="exact"/>
        <w:ind w:firstLineChars="200" w:firstLine="640"/>
        <w:rPr>
          <w:rFonts w:ascii="黑体" w:eastAsia="黑体" w:cs="黑体"/>
          <w:sz w:val="32"/>
          <w:szCs w:val="32"/>
        </w:rPr>
      </w:pPr>
      <w:r>
        <w:rPr>
          <w:rFonts w:ascii="黑体" w:eastAsia="黑体" w:cs="黑体" w:hint="eastAsia"/>
          <w:sz w:val="32"/>
          <w:szCs w:val="32"/>
        </w:rPr>
        <w:t>一、单位预算绩效管理工作开展情况。</w:t>
      </w:r>
    </w:p>
    <w:p>
      <w:pPr>
        <w:spacing w:line="560" w:lineRule="exact"/>
        <w:ind w:firstLineChars="200" w:firstLine="640"/>
        <w:rPr>
          <w:rFonts w:ascii="仿宋_GB2312" w:eastAsia="仿宋_GB2312" w:cs="仿宋_GB2312"/>
          <w:sz w:val="32"/>
          <w:szCs w:val="32"/>
        </w:rPr>
      </w:pPr>
      <w:r>
        <w:rPr>
          <w:rFonts w:ascii="仿宋_GB2312" w:eastAsia="仿宋_GB2312" w:cs="仿宋_GB2312" w:hint="eastAsia"/>
          <w:sz w:val="32"/>
          <w:szCs w:val="32"/>
        </w:rPr>
        <w:t>完成了2026年本级部门预算整体绩效目标申报和0个项目预算绩效目标申报，并编报0个项目预算事前绩效评估报告。</w:t>
      </w:r>
    </w:p>
    <w:p>
      <w:pPr>
        <w:numPr>
          <w:ilvl w:val="0"/>
          <w:numId w:val="1"/>
        </w:numPr>
        <w:spacing w:line="560" w:lineRule="exact"/>
        <w:ind w:left="0" w:firstLineChars="200" w:firstLine="640"/>
        <w:rPr>
          <w:rFonts w:ascii="黑体" w:eastAsia="黑体" w:cs="黑体"/>
          <w:sz w:val="32"/>
          <w:szCs w:val="32"/>
        </w:rPr>
      </w:pPr>
      <w:r>
        <w:rPr>
          <w:rFonts w:ascii="黑体" w:eastAsia="黑体" w:cs="黑体" w:hint="eastAsia"/>
          <w:sz w:val="32"/>
          <w:szCs w:val="32"/>
        </w:rPr>
        <w:t>单位整体绩效目标。</w:t>
      </w:r>
    </w:p>
    <w:p>
      <w:pPr>
        <w:widowControl/>
        <w:ind w:firstLineChars="100" w:firstLine="320"/>
        <w:jc w:val="left"/>
        <w:rPr>
          <w:rFonts w:ascii="仿宋_GB2312" w:eastAsia="仿宋_GB2312" w:cs="仿宋_GB2312"/>
          <w:sz w:val="32"/>
          <w:szCs w:val="32"/>
        </w:rPr>
      </w:pPr>
      <w:bookmarkStart w:id="0" w:name="_GoBack"/>
      <w:bookmarkEnd w:id="0"/>
      <w:r>
        <w:rPr>
          <w:rFonts w:ascii="仿宋_GB2312" w:eastAsia="仿宋_GB2312" w:cs="仿宋_GB2312" w:hint="eastAsia"/>
          <w:sz w:val="32"/>
          <w:szCs w:val="32"/>
        </w:rPr>
        <w:t>（一）年度总体目标</w:t>
      </w:r>
    </w:p>
    <w:p>
      <w:pPr>
        <w:pStyle w:val="15"/>
        <w:tabs>
          <w:tab w:val="center" w:pos="4153"/>
          <w:tab w:val="right" w:pos="8306"/>
        </w:tabs>
        <w:spacing w:line="560" w:lineRule="exact"/>
        <w:ind w:firstLineChars="200" w:firstLine="640"/>
        <w:rPr>
          <w:rFonts w:ascii="仿宋_GB2312" w:eastAsia="仿宋_GB2312" w:cs="仿宋_GB2312"/>
          <w:sz w:val="32"/>
          <w:szCs w:val="32"/>
        </w:rPr>
      </w:pPr>
      <w:r>
        <w:rPr>
          <w:rFonts w:ascii="仿宋_GB2312" w:eastAsia="仿宋_GB2312" w:cs="仿宋_GB2312" w:hint="eastAsia"/>
          <w:sz w:val="32"/>
          <w:szCs w:val="32"/>
        </w:rPr>
        <w:t>一是进一步找准党校最大民生部门和经济社会发展重要助推部门的职责定位，对标对表省、州对县经济目标考核涉及人社牵头的“四大指标”，不折不扣抓好各项工作落实，以更高标准、更高时效完成好相关经济指标，为全县经济社会发展作出人社贡献。二是要紧紧围绕就业促进、党课、干部教育、党员群众、根治思想教育、数字人群创思路、添举措、提效率，按计划、分步骤、有条不紊的加力推进。三是进一步聚焦党员干部人才培育，统筹人事人才、机制改革、队伍建设等中心工作，建机制、重培养、强监督、转作风，为推进人社事业高质量发展树立“为党育才”良好品牌形象。</w:t>
      </w:r>
    </w:p>
    <w:p>
      <w:pPr>
        <w:pStyle w:val="15"/>
        <w:tabs>
          <w:tab w:val="center" w:pos="4153"/>
          <w:tab w:val="right" w:pos="8306"/>
        </w:tabs>
        <w:spacing w:line="560" w:lineRule="exact"/>
        <w:ind w:firstLineChars="200" w:firstLine="640"/>
        <w:rPr>
          <w:rFonts w:ascii="仿宋_GB2312" w:eastAsia="仿宋_GB2312" w:cs="仿宋_GB2312"/>
          <w:sz w:val="32"/>
          <w:szCs w:val="32"/>
        </w:rPr>
      </w:pPr>
      <w:r>
        <w:rPr>
          <w:rFonts w:ascii="仿宋_GB2312" w:eastAsia="仿宋_GB2312" w:cs="仿宋_GB2312" w:hint="eastAsia"/>
          <w:sz w:val="32"/>
          <w:szCs w:val="32"/>
        </w:rPr>
        <w:t>（二）年度主要任务</w:t>
      </w:r>
    </w:p>
    <w:p>
      <w:pPr>
        <w:spacing w:line="560" w:lineRule="exact"/>
        <w:ind w:firstLineChars="200" w:firstLine="640"/>
        <w:rPr>
          <w:rStyle w:val="18"/>
          <w:rFonts w:ascii="仿宋_GB2312" w:eastAsia="仿宋_GB2312" w:cs="仿宋_GB2312" w:hint="eastAsia"/>
          <w:sz w:val="32"/>
          <w:szCs w:val="32"/>
        </w:rPr>
      </w:pPr>
      <w:r>
        <w:rPr>
          <w:rStyle w:val="18"/>
          <w:rFonts w:ascii="仿宋_GB2312" w:eastAsia="仿宋_GB2312" w:cs="仿宋_GB2312" w:hint="eastAsia"/>
          <w:sz w:val="32"/>
          <w:szCs w:val="32"/>
        </w:rPr>
        <w:t>2026年以来，县委党校围绕金川县委县政府中心工作，聚焦主业主课，高质量开展干部教育培训工作。</w:t>
      </w:r>
      <w:r>
        <w:rPr>
          <w:rFonts w:eastAsia="方正仿宋_GBK" w:hint="eastAsia"/>
          <w:b/>
          <w:bCs/>
          <w:sz w:val="32"/>
          <w:szCs w:val="32"/>
        </w:rPr>
        <w:t>一是发挥党性锤炼的主渠道作用。</w:t>
      </w:r>
      <w:r>
        <w:rPr>
          <w:rStyle w:val="18"/>
          <w:rFonts w:ascii="仿宋_GB2312" w:eastAsia="仿宋_GB2312" w:cs="仿宋_GB2312" w:hint="eastAsia"/>
          <w:sz w:val="32"/>
          <w:szCs w:val="32"/>
        </w:rPr>
        <w:t>县委党校注重锤炼党员干部的信念，依托现场教学基地-红军长征在金川纪念馆，举办12期，来自省、州、县机关单位、乡镇、企业，共20多个单位、300人次。</w:t>
      </w:r>
      <w:r>
        <w:rPr>
          <w:rFonts w:eastAsia="方正仿宋_GBK" w:hint="eastAsia"/>
          <w:b/>
          <w:bCs/>
          <w:sz w:val="32"/>
          <w:szCs w:val="32"/>
        </w:rPr>
        <w:t>二是发挥能力提升的主阵地作用。</w:t>
      </w:r>
      <w:r>
        <w:rPr>
          <w:rFonts w:eastAsia="方正仿宋_GBK" w:hint="eastAsia"/>
          <w:sz w:val="32"/>
          <w:szCs w:val="32"/>
        </w:rPr>
        <w:t>县</w:t>
      </w:r>
      <w:r>
        <w:rPr>
          <w:rStyle w:val="18"/>
          <w:rFonts w:ascii="仿宋_GB2312" w:eastAsia="仿宋_GB2312" w:cs="仿宋_GB2312" w:hint="eastAsia"/>
          <w:sz w:val="32"/>
          <w:szCs w:val="32"/>
        </w:rPr>
        <w:t>委党校聚焦着力解决基层一线干部的知识弱项、能力短板问题，围绕打好生态文明、党史学习教育、推进乡村振兴、法律法规等方面，采取课堂讲授、现场教学、交流研讨等方式，举办 17期主体班培训，共计1739人次，提升了我县干部队伍专业化能力水平，较好推动了县委重大决策部署的贯彻落实。</w:t>
      </w:r>
      <w:r>
        <w:rPr>
          <w:rFonts w:eastAsia="方正仿宋_GBK" w:hint="eastAsia"/>
          <w:b/>
          <w:bCs/>
          <w:kern w:val="0"/>
          <w:sz w:val="32"/>
          <w:szCs w:val="32"/>
        </w:rPr>
        <w:t>三是发挥理论宣讲的主力军作用。</w:t>
      </w:r>
      <w:r>
        <w:rPr>
          <w:rStyle w:val="18"/>
          <w:rFonts w:ascii="仿宋_GB2312" w:eastAsia="仿宋_GB2312" w:cs="仿宋_GB2312" w:hint="eastAsia"/>
          <w:sz w:val="32"/>
          <w:szCs w:val="32"/>
        </w:rPr>
        <w:t>县委党校是干部培训的主阵地，也是意识形态工作的最前沿。按照上级部门要求，围绕党的二十大精神、习近平总书记来川视察重要指示精神、省委十二届三次全会精神、州委十二届三次全会精神、县委十三届三次全会精神参加县宣讲团，进社区进机关进企业进联系村进乡镇进寺庙进行宣讲，共25场次、1600余人</w:t>
      </w:r>
    </w:p>
    <w:p>
      <w:pPr>
        <w:spacing w:line="560" w:lineRule="exact"/>
        <w:ind w:firstLineChars="200" w:firstLine="640"/>
        <w:rPr>
          <w:rFonts w:ascii="黑体" w:eastAsia="黑体" w:cs="黑体"/>
          <w:sz w:val="32"/>
          <w:szCs w:val="32"/>
        </w:rPr>
      </w:pPr>
      <w:r>
        <w:rPr>
          <w:rFonts w:ascii="黑体" w:eastAsia="黑体" w:cs="黑体" w:hint="eastAsia"/>
          <w:sz w:val="32"/>
          <w:szCs w:val="32"/>
        </w:rPr>
        <w:t>三、重点项目绩效目标。</w:t>
      </w:r>
    </w:p>
    <w:p>
      <w:pPr>
        <w:spacing w:line="560" w:lineRule="exact"/>
        <w:ind w:firstLineChars="200" w:firstLine="640"/>
        <w:rPr>
          <w:rFonts w:ascii="仿宋_GB2312" w:eastAsia="仿宋_GB2312" w:cs="仿宋_GB2312"/>
          <w:sz w:val="32"/>
          <w:szCs w:val="32"/>
        </w:rPr>
      </w:pPr>
      <w:r>
        <w:rPr>
          <w:rFonts w:ascii="仿宋_GB2312" w:eastAsia="仿宋_GB2312" w:cs="仿宋_GB2312" w:hint="eastAsia"/>
          <w:sz w:val="32"/>
          <w:szCs w:val="32"/>
        </w:rPr>
        <w:t>重点项目1：党校授课专项工作经费</w:t>
      </w:r>
    </w:p>
    <w:p>
      <w:pPr>
        <w:spacing w:line="560" w:lineRule="exact"/>
        <w:ind w:firstLineChars="200" w:firstLine="640"/>
        <w:rPr>
          <w:rFonts w:ascii="仿宋_GB2312" w:eastAsia="仿宋_GB2312" w:cs="仿宋_GB2312"/>
          <w:sz w:val="32"/>
          <w:szCs w:val="32"/>
        </w:rPr>
      </w:pPr>
      <w:r>
        <w:rPr>
          <w:rFonts w:ascii="仿宋_GB2312" w:eastAsia="仿宋_GB2312" w:cs="仿宋_GB2312" w:hint="eastAsia"/>
          <w:sz w:val="32"/>
          <w:szCs w:val="32"/>
        </w:rPr>
        <w:t>项目年度绩效目标：为了贯彻实施劳动和党校文学、法规和规章，规范党校监察工作，维护党群的合法权益，宣传党校教育法律和规章。</w:t>
      </w:r>
      <w:r>
        <w:rPr>
          <w:rFonts w:ascii="仿宋_GB2312" w:eastAsia="仿宋_GB2312" w:cs="仿宋_GB2312"/>
          <w:sz w:val="32"/>
          <w:szCs w:val="32"/>
        </w:rPr>
        <w:t xml:space="preserve"> </w:t>
      </w:r>
    </w:p>
    <w:p>
      <w:pPr>
        <w:spacing w:line="560" w:lineRule="exact"/>
        <w:ind w:firstLineChars="200" w:firstLine="640"/>
        <w:rPr>
          <w:rFonts w:ascii="仿宋_GB2312" w:eastAsia="仿宋_GB2312" w:cs="仿宋_GB2312" w:hint="eastAsia"/>
          <w:sz w:val="32"/>
          <w:szCs w:val="32"/>
        </w:rPr>
      </w:pPr>
      <w:r>
        <w:rPr>
          <w:rFonts w:ascii="仿宋_GB2312" w:eastAsia="仿宋_GB2312" w:cs="仿宋_GB2312" w:hint="eastAsia"/>
          <w:sz w:val="32"/>
          <w:szCs w:val="32"/>
        </w:rPr>
        <w:t>绩效指标设置情况：细化指标</w:t>
      </w:r>
      <w:r>
        <w:rPr>
          <w:rFonts w:ascii="仿宋_GB2312" w:eastAsia="仿宋_GB2312" w:cs="仿宋_GB2312"/>
          <w:sz w:val="32"/>
          <w:szCs w:val="32"/>
        </w:rPr>
        <w:t>7</w:t>
      </w:r>
      <w:r>
        <w:rPr>
          <w:rFonts w:ascii="仿宋_GB2312" w:eastAsia="仿宋_GB2312" w:cs="仿宋_GB2312" w:hint="eastAsia"/>
          <w:sz w:val="32"/>
          <w:szCs w:val="32"/>
        </w:rPr>
        <w:t>个，包括产出指标4个、成本指标1个、效益指标1个和满意度指标1个。</w:t>
      </w:r>
    </w:p>
    <w:tbl>
      <w:tblPr>
        <w:jc w:val="left"/>
        <w:tblInd w:w="0" w:type="dxa"/>
        <w:tblW w:w="8774" w:type="dxa"/>
        <w:tblBorders>
          <w:top w:val="none" w:sz="0" w:space="0" w:color="auto"/>
          <w:left w:val="none" w:sz="0" w:space="0" w:color="auto"/>
          <w:bottom w:val="none" w:sz="0" w:space="0" w:color="auto"/>
          <w:right w:val="none" w:sz="0" w:space="0" w:color="auto"/>
        </w:tblBorders>
        <w:shd w:val="clear" w:color="auto" w:fill="auto"/>
        <w:tblLayout w:type="fixed"/>
        <w:tblCellMar>
          <w:top w:w="0" w:type="dxa"/>
          <w:left w:w="108" w:type="dxa"/>
          <w:bottom w:w="0" w:type="dxa"/>
          <w:right w:w="108" w:type="dxa"/>
        </w:tblCellMar>
      </w:tblPr>
      <w:tblGrid>
        <w:gridCol w:w="995"/>
        <w:gridCol w:w="969"/>
        <w:gridCol w:w="2058"/>
        <w:gridCol w:w="1102"/>
        <w:gridCol w:w="1035"/>
        <w:gridCol w:w="1009"/>
        <w:gridCol w:w="597"/>
        <w:gridCol w:w="1009"/>
      </w:tblGrid>
      <w:tr>
        <w:trPr>
          <w:trHeight w:val="427"/>
        </w:trPr>
        <w:tc>
          <w:tcPr>
            <w:tcW w:w="995" w:type="dxa"/>
            <w:tcBorders>
              <w:top w:val="single" w:sz="4" w:space="0" w:color="000000"/>
              <w:left w:val="single" w:sz="4" w:space="0" w:color="000000"/>
              <w:bottom w:val="single" w:sz="4" w:space="0" w:color="000000"/>
              <w:right w:val="single" w:sz="4" w:space="0" w:color="000000"/>
            </w:tcBorders>
            <w:shd w:val="clear" w:color="EFF2F7" w:fill="EFF2F7"/>
            <w:noWrap/>
            <w:vAlign w:val="center"/>
          </w:tcPr>
          <w:p>
            <w:pPr>
              <w:keepNext w:val="0"/>
              <w:keepLines w:val="0"/>
              <w:widowControl/>
              <w:suppressLineNumbers w:val="0"/>
              <w:jc w:val="center"/>
              <w:textAlignment w:val="center"/>
              <w:rPr>
                <w:rFonts w:ascii="宋体" w:eastAsia="宋体" w:cs="宋体" w:hint="eastAsia"/>
                <w:b/>
                <w:bCs/>
                <w:i w:val="0"/>
                <w:iCs w:val="0"/>
                <w:color w:val="000000"/>
                <w:sz w:val="18"/>
                <w:szCs w:val="18"/>
                <w:u w:val="none"/>
              </w:rPr>
            </w:pPr>
            <w:r>
              <w:rPr>
                <w:rFonts w:ascii="宋体" w:eastAsia="宋体" w:cs="宋体" w:hint="eastAsia"/>
                <w:b/>
                <w:bCs/>
                <w:i w:val="0"/>
                <w:iCs w:val="0"/>
                <w:color w:val="000000"/>
                <w:kern w:val="0"/>
                <w:sz w:val="18"/>
                <w:szCs w:val="18"/>
                <w:u w:val="none"/>
                <w:lang w:val="en-US" w:eastAsia="zh-CN"/>
              </w:rPr>
              <w:t>一级指标</w:t>
            </w:r>
          </w:p>
        </w:tc>
        <w:tc>
          <w:tcPr>
            <w:tcW w:w="969" w:type="dxa"/>
            <w:tcBorders>
              <w:top w:val="single" w:sz="4" w:space="0" w:color="000000"/>
              <w:left w:val="single" w:sz="4" w:space="0" w:color="000000"/>
              <w:bottom w:val="single" w:sz="4" w:space="0" w:color="000000"/>
              <w:right w:val="single" w:sz="4" w:space="0" w:color="000000"/>
            </w:tcBorders>
            <w:shd w:val="clear" w:color="EFF2F7" w:fill="EFF2F7"/>
            <w:noWrap/>
            <w:vAlign w:val="center"/>
          </w:tcPr>
          <w:p>
            <w:pPr>
              <w:keepNext w:val="0"/>
              <w:keepLines w:val="0"/>
              <w:widowControl/>
              <w:suppressLineNumbers w:val="0"/>
              <w:jc w:val="center"/>
              <w:textAlignment w:val="center"/>
              <w:rPr>
                <w:rFonts w:ascii="宋体" w:eastAsia="宋体" w:cs="宋体" w:hint="eastAsia"/>
                <w:b/>
                <w:bCs/>
                <w:i w:val="0"/>
                <w:iCs w:val="0"/>
                <w:color w:val="000000"/>
                <w:sz w:val="18"/>
                <w:szCs w:val="18"/>
                <w:u w:val="none"/>
              </w:rPr>
            </w:pPr>
            <w:r>
              <w:rPr>
                <w:rFonts w:ascii="宋体" w:eastAsia="宋体" w:cs="宋体" w:hint="eastAsia"/>
                <w:b/>
                <w:bCs/>
                <w:i w:val="0"/>
                <w:iCs w:val="0"/>
                <w:color w:val="000000"/>
                <w:kern w:val="0"/>
                <w:sz w:val="18"/>
                <w:szCs w:val="18"/>
                <w:u w:val="none"/>
                <w:lang w:val="en-US" w:eastAsia="zh-CN"/>
              </w:rPr>
              <w:t>二级指标</w:t>
            </w:r>
          </w:p>
        </w:tc>
        <w:tc>
          <w:tcPr>
            <w:tcW w:w="2058" w:type="dxa"/>
            <w:tcBorders>
              <w:top w:val="single" w:sz="4" w:space="0" w:color="000000"/>
              <w:left w:val="single" w:sz="4" w:space="0" w:color="000000"/>
              <w:bottom w:val="single" w:sz="4" w:space="0" w:color="000000"/>
              <w:right w:val="single" w:sz="4" w:space="0" w:color="000000"/>
            </w:tcBorders>
            <w:shd w:val="clear" w:color="EFF2F7" w:fill="EFF2F7"/>
            <w:noWrap/>
            <w:vAlign w:val="center"/>
          </w:tcPr>
          <w:p>
            <w:pPr>
              <w:keepNext w:val="0"/>
              <w:keepLines w:val="0"/>
              <w:widowControl/>
              <w:suppressLineNumbers w:val="0"/>
              <w:jc w:val="center"/>
              <w:textAlignment w:val="center"/>
              <w:rPr>
                <w:rFonts w:ascii="宋体" w:eastAsia="宋体" w:cs="宋体" w:hint="eastAsia"/>
                <w:b/>
                <w:bCs/>
                <w:i w:val="0"/>
                <w:iCs w:val="0"/>
                <w:color w:val="000000"/>
                <w:sz w:val="18"/>
                <w:szCs w:val="18"/>
                <w:u w:val="none"/>
              </w:rPr>
            </w:pPr>
            <w:r>
              <w:rPr>
                <w:rFonts w:ascii="宋体" w:eastAsia="宋体" w:cs="宋体" w:hint="eastAsia"/>
                <w:b/>
                <w:bCs/>
                <w:i w:val="0"/>
                <w:iCs w:val="0"/>
                <w:color w:val="000000"/>
                <w:kern w:val="0"/>
                <w:sz w:val="18"/>
                <w:szCs w:val="18"/>
                <w:u w:val="none"/>
                <w:lang w:val="en-US" w:eastAsia="zh-CN"/>
              </w:rPr>
              <w:t>三级指标</w:t>
            </w:r>
          </w:p>
        </w:tc>
        <w:tc>
          <w:tcPr>
            <w:tcW w:w="1102" w:type="dxa"/>
            <w:tcBorders>
              <w:top w:val="single" w:sz="4" w:space="0" w:color="000000"/>
              <w:left w:val="single" w:sz="4" w:space="0" w:color="000000"/>
              <w:bottom w:val="single" w:sz="4" w:space="0" w:color="000000"/>
              <w:right w:val="single" w:sz="4" w:space="0" w:color="000000"/>
            </w:tcBorders>
            <w:shd w:val="clear" w:color="EFF2F7" w:fill="EFF2F7"/>
            <w:noWrap/>
            <w:vAlign w:val="center"/>
          </w:tcPr>
          <w:p>
            <w:pPr>
              <w:keepNext w:val="0"/>
              <w:keepLines w:val="0"/>
              <w:widowControl/>
              <w:suppressLineNumbers w:val="0"/>
              <w:jc w:val="center"/>
              <w:textAlignment w:val="center"/>
              <w:rPr>
                <w:rFonts w:ascii="宋体" w:eastAsia="宋体" w:cs="宋体" w:hint="eastAsia"/>
                <w:b/>
                <w:bCs/>
                <w:i w:val="0"/>
                <w:iCs w:val="0"/>
                <w:color w:val="000000"/>
                <w:sz w:val="18"/>
                <w:szCs w:val="18"/>
                <w:u w:val="none"/>
              </w:rPr>
            </w:pPr>
            <w:r>
              <w:rPr>
                <w:rFonts w:ascii="宋体" w:eastAsia="宋体" w:cs="宋体" w:hint="eastAsia"/>
                <w:b/>
                <w:bCs/>
                <w:i w:val="0"/>
                <w:iCs w:val="0"/>
                <w:color w:val="000000"/>
                <w:kern w:val="0"/>
                <w:sz w:val="18"/>
                <w:szCs w:val="18"/>
                <w:u w:val="none"/>
                <w:lang w:val="en-US" w:eastAsia="zh-CN"/>
              </w:rPr>
              <w:t>指标性质</w:t>
            </w:r>
          </w:p>
        </w:tc>
        <w:tc>
          <w:tcPr>
            <w:tcW w:w="1035" w:type="dxa"/>
            <w:tcBorders>
              <w:top w:val="single" w:sz="4" w:space="0" w:color="000000"/>
              <w:left w:val="single" w:sz="4" w:space="0" w:color="000000"/>
              <w:bottom w:val="single" w:sz="4" w:space="0" w:color="000000"/>
              <w:right w:val="single" w:sz="4" w:space="0" w:color="000000"/>
            </w:tcBorders>
            <w:shd w:val="clear" w:color="EFF2F7" w:fill="EFF2F7"/>
            <w:noWrap/>
            <w:vAlign w:val="center"/>
          </w:tcPr>
          <w:p>
            <w:pPr>
              <w:keepNext w:val="0"/>
              <w:keepLines w:val="0"/>
              <w:widowControl/>
              <w:suppressLineNumbers w:val="0"/>
              <w:jc w:val="center"/>
              <w:textAlignment w:val="center"/>
              <w:rPr>
                <w:rFonts w:ascii="宋体" w:eastAsia="宋体" w:cs="宋体" w:hint="eastAsia"/>
                <w:b/>
                <w:bCs/>
                <w:i w:val="0"/>
                <w:iCs w:val="0"/>
                <w:color w:val="000000"/>
                <w:sz w:val="18"/>
                <w:szCs w:val="18"/>
                <w:u w:val="none"/>
              </w:rPr>
            </w:pPr>
            <w:r>
              <w:rPr>
                <w:rFonts w:ascii="宋体" w:eastAsia="宋体" w:cs="宋体" w:hint="eastAsia"/>
                <w:b/>
                <w:bCs/>
                <w:i w:val="0"/>
                <w:iCs w:val="0"/>
                <w:color w:val="000000"/>
                <w:kern w:val="0"/>
                <w:sz w:val="18"/>
                <w:szCs w:val="18"/>
                <w:u w:val="none"/>
                <w:lang w:val="en-US" w:eastAsia="zh-CN"/>
              </w:rPr>
              <w:t>指标值</w:t>
            </w:r>
          </w:p>
        </w:tc>
        <w:tc>
          <w:tcPr>
            <w:tcW w:w="1009" w:type="dxa"/>
            <w:tcBorders>
              <w:top w:val="single" w:sz="4" w:space="0" w:color="000000"/>
              <w:left w:val="single" w:sz="4" w:space="0" w:color="000000"/>
              <w:bottom w:val="single" w:sz="4" w:space="0" w:color="000000"/>
              <w:right w:val="single" w:sz="4" w:space="0" w:color="000000"/>
            </w:tcBorders>
            <w:shd w:val="clear" w:color="EFF2F7" w:fill="EFF2F7"/>
            <w:noWrap/>
            <w:vAlign w:val="center"/>
          </w:tcPr>
          <w:p>
            <w:pPr>
              <w:keepNext w:val="0"/>
              <w:keepLines w:val="0"/>
              <w:widowControl/>
              <w:suppressLineNumbers w:val="0"/>
              <w:jc w:val="center"/>
              <w:textAlignment w:val="center"/>
              <w:rPr>
                <w:rFonts w:ascii="宋体" w:eastAsia="宋体" w:cs="宋体" w:hint="eastAsia"/>
                <w:b/>
                <w:bCs/>
                <w:i w:val="0"/>
                <w:iCs w:val="0"/>
                <w:color w:val="000000"/>
                <w:sz w:val="18"/>
                <w:szCs w:val="18"/>
                <w:u w:val="none"/>
              </w:rPr>
            </w:pPr>
            <w:r>
              <w:rPr>
                <w:rFonts w:ascii="宋体" w:eastAsia="宋体" w:cs="宋体" w:hint="eastAsia"/>
                <w:b/>
                <w:bCs/>
                <w:i w:val="0"/>
                <w:iCs w:val="0"/>
                <w:color w:val="000000"/>
                <w:kern w:val="0"/>
                <w:sz w:val="18"/>
                <w:szCs w:val="18"/>
                <w:u w:val="none"/>
                <w:lang w:val="en-US" w:eastAsia="zh-CN"/>
              </w:rPr>
              <w:t>度量单位</w:t>
            </w:r>
          </w:p>
        </w:tc>
        <w:tc>
          <w:tcPr>
            <w:tcW w:w="597" w:type="dxa"/>
            <w:tcBorders>
              <w:top w:val="single" w:sz="4" w:space="0" w:color="000000"/>
              <w:left w:val="single" w:sz="4" w:space="0" w:color="000000"/>
              <w:bottom w:val="single" w:sz="4" w:space="0" w:color="000000"/>
              <w:right w:val="single" w:sz="4" w:space="0" w:color="000000"/>
            </w:tcBorders>
            <w:shd w:val="clear" w:color="EFF2F7" w:fill="EFF2F7"/>
            <w:noWrap/>
            <w:vAlign w:val="center"/>
          </w:tcPr>
          <w:p>
            <w:pPr>
              <w:keepNext w:val="0"/>
              <w:keepLines w:val="0"/>
              <w:widowControl/>
              <w:suppressLineNumbers w:val="0"/>
              <w:jc w:val="center"/>
              <w:textAlignment w:val="center"/>
              <w:rPr>
                <w:rFonts w:ascii="宋体" w:eastAsia="宋体" w:cs="宋体" w:hint="eastAsia"/>
                <w:b/>
                <w:bCs/>
                <w:i w:val="0"/>
                <w:iCs w:val="0"/>
                <w:color w:val="000000"/>
                <w:sz w:val="18"/>
                <w:szCs w:val="18"/>
                <w:u w:val="none"/>
              </w:rPr>
            </w:pPr>
            <w:r>
              <w:rPr>
                <w:rFonts w:ascii="宋体" w:eastAsia="宋体" w:cs="宋体" w:hint="eastAsia"/>
                <w:b/>
                <w:bCs/>
                <w:i w:val="0"/>
                <w:iCs w:val="0"/>
                <w:color w:val="000000"/>
                <w:kern w:val="0"/>
                <w:sz w:val="18"/>
                <w:szCs w:val="18"/>
                <w:u w:val="none"/>
                <w:lang w:val="en-US" w:eastAsia="zh-CN"/>
              </w:rPr>
              <w:t>权重</w:t>
            </w:r>
          </w:p>
        </w:tc>
        <w:tc>
          <w:tcPr>
            <w:tcW w:w="1009" w:type="dxa"/>
            <w:tcBorders>
              <w:top w:val="single" w:sz="4" w:space="0" w:color="000000"/>
              <w:left w:val="single" w:sz="4" w:space="0" w:color="000000"/>
              <w:bottom w:val="single" w:sz="4" w:space="0" w:color="000000"/>
              <w:right w:val="single" w:sz="4" w:space="0" w:color="000000"/>
            </w:tcBorders>
            <w:shd w:val="clear" w:color="EFF2F7" w:fill="EFF2F7"/>
            <w:noWrap/>
            <w:vAlign w:val="center"/>
          </w:tcPr>
          <w:p>
            <w:pPr>
              <w:keepNext w:val="0"/>
              <w:keepLines w:val="0"/>
              <w:widowControl/>
              <w:suppressLineNumbers w:val="0"/>
              <w:jc w:val="center"/>
              <w:textAlignment w:val="center"/>
              <w:rPr>
                <w:rFonts w:ascii="宋体" w:eastAsia="宋体" w:cs="宋体" w:hint="eastAsia"/>
                <w:b/>
                <w:bCs/>
                <w:i w:val="0"/>
                <w:iCs w:val="0"/>
                <w:color w:val="000000"/>
                <w:sz w:val="18"/>
                <w:szCs w:val="18"/>
                <w:u w:val="none"/>
              </w:rPr>
            </w:pPr>
            <w:r>
              <w:rPr>
                <w:rFonts w:ascii="宋体" w:eastAsia="宋体" w:cs="宋体" w:hint="eastAsia"/>
                <w:b/>
                <w:bCs/>
                <w:i w:val="0"/>
                <w:iCs w:val="0"/>
                <w:color w:val="000000"/>
                <w:kern w:val="0"/>
                <w:sz w:val="18"/>
                <w:szCs w:val="18"/>
                <w:u w:val="none"/>
                <w:lang w:val="en-US" w:eastAsia="zh-CN"/>
              </w:rPr>
              <w:t>指标方向性</w:t>
            </w:r>
          </w:p>
        </w:tc>
      </w:tr>
      <w:tr>
        <w:trPr>
          <w:trHeight w:val="422"/>
        </w:trPr>
        <w:tc>
          <w:tcPr>
            <w:tcW w:w="9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Style w:val="19"/>
                <w:lang w:val="en-US" w:eastAsia="zh-CN"/>
              </w:rPr>
              <w:t>满意度指标</w:t>
            </w:r>
          </w:p>
        </w:tc>
        <w:tc>
          <w:tcPr>
            <w:tcW w:w="96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Style w:val="19"/>
                <w:lang w:val="en-US" w:eastAsia="zh-CN"/>
              </w:rPr>
              <w:t>服务对象满意度指标</w:t>
            </w:r>
          </w:p>
        </w:tc>
        <w:tc>
          <w:tcPr>
            <w:tcW w:w="205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both"/>
              <w:textAlignment w:val="center"/>
              <w:rPr>
                <w:rFonts w:ascii="宋体" w:eastAsia="宋体" w:cs="宋体" w:hint="eastAsia"/>
                <w:i w:val="0"/>
                <w:iCs w:val="0"/>
                <w:color w:val="000000"/>
                <w:sz w:val="18"/>
                <w:szCs w:val="18"/>
                <w:u w:val="none"/>
                <w:lang w:val="en-US" w:eastAsia="zh-CN"/>
              </w:rPr>
            </w:pPr>
            <w:r>
              <w:rPr>
                <w:rFonts w:ascii="宋体" w:cs="宋体" w:hint="eastAsia"/>
                <w:i w:val="0"/>
                <w:iCs w:val="0"/>
                <w:color w:val="000000"/>
                <w:sz w:val="18"/>
                <w:szCs w:val="18"/>
                <w:u w:val="none"/>
                <w:lang w:val="en-US" w:eastAsia="zh-CN"/>
              </w:rPr>
              <w:t>群众满意度</w:t>
            </w:r>
          </w:p>
        </w:tc>
        <w:tc>
          <w:tcPr>
            <w:tcW w:w="110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Style w:val="19"/>
                <w:lang w:val="en-US" w:eastAsia="zh-CN"/>
              </w:rPr>
              <w:t>≥</w:t>
            </w:r>
          </w:p>
        </w:tc>
        <w:tc>
          <w:tcPr>
            <w:tcW w:w="103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99</w:t>
            </w:r>
          </w:p>
        </w:tc>
        <w:tc>
          <w:tcPr>
            <w:tcW w:w="100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w:t>
            </w:r>
          </w:p>
        </w:tc>
        <w:tc>
          <w:tcPr>
            <w:tcW w:w="59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10</w:t>
            </w:r>
          </w:p>
        </w:tc>
        <w:tc>
          <w:tcPr>
            <w:tcW w:w="100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宋体" w:eastAsia="宋体" w:cs="宋体" w:hint="eastAsia"/>
                <w:i w:val="0"/>
                <w:iCs w:val="0"/>
                <w:color w:val="000000"/>
                <w:sz w:val="18"/>
                <w:szCs w:val="18"/>
                <w:u w:val="none"/>
              </w:rPr>
            </w:pPr>
          </w:p>
        </w:tc>
      </w:tr>
      <w:tr>
        <w:trPr>
          <w:trHeight w:val="633"/>
        </w:trPr>
        <w:tc>
          <w:tcPr>
            <w:tcW w:w="9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Style w:val="19"/>
                <w:lang w:val="en-US" w:eastAsia="zh-CN"/>
              </w:rPr>
              <w:t>成本指标</w:t>
            </w:r>
          </w:p>
        </w:tc>
        <w:tc>
          <w:tcPr>
            <w:tcW w:w="96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Style w:val="19"/>
                <w:lang w:val="en-US" w:eastAsia="zh-CN"/>
              </w:rPr>
              <w:t>经济成本指标</w:t>
            </w:r>
          </w:p>
        </w:tc>
        <w:tc>
          <w:tcPr>
            <w:tcW w:w="205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Style w:val="19"/>
                <w:rFonts w:hint="eastAsia"/>
                <w:lang w:val="en-US" w:eastAsia="zh-CN"/>
              </w:rPr>
              <w:t>培训班</w:t>
            </w:r>
          </w:p>
        </w:tc>
        <w:tc>
          <w:tcPr>
            <w:tcW w:w="110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Style w:val="19"/>
                <w:lang w:val="en-US" w:eastAsia="zh-CN"/>
              </w:rPr>
              <w:t>＝</w:t>
            </w:r>
          </w:p>
        </w:tc>
        <w:tc>
          <w:tcPr>
            <w:tcW w:w="103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lang w:val="en-US" w:eastAsia="zh-CN"/>
              </w:rPr>
            </w:pPr>
            <w:r>
              <w:rPr>
                <w:rFonts w:ascii="宋体" w:cs="宋体" w:hint="eastAsia"/>
                <w:i w:val="0"/>
                <w:iCs w:val="0"/>
                <w:color w:val="000000"/>
                <w:sz w:val="18"/>
                <w:szCs w:val="18"/>
                <w:u w:val="none"/>
                <w:lang w:val="en-US" w:eastAsia="zh-CN"/>
              </w:rPr>
              <w:t>1000</w:t>
            </w:r>
          </w:p>
        </w:tc>
        <w:tc>
          <w:tcPr>
            <w:tcW w:w="100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元/人*月</w:t>
            </w:r>
          </w:p>
        </w:tc>
        <w:tc>
          <w:tcPr>
            <w:tcW w:w="59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lang w:val="en-US"/>
              </w:rPr>
            </w:pPr>
            <w:r>
              <w:rPr>
                <w:rFonts w:ascii="宋体" w:cs="宋体" w:hint="eastAsia"/>
                <w:i w:val="0"/>
                <w:iCs w:val="0"/>
                <w:color w:val="000000"/>
                <w:kern w:val="0"/>
                <w:sz w:val="18"/>
                <w:szCs w:val="18"/>
                <w:u w:val="none"/>
                <w:lang w:val="en-US" w:eastAsia="zh-CN"/>
              </w:rPr>
              <w:t>10</w:t>
            </w:r>
          </w:p>
        </w:tc>
        <w:tc>
          <w:tcPr>
            <w:tcW w:w="100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宋体" w:eastAsia="宋体" w:cs="宋体" w:hint="eastAsia"/>
                <w:i w:val="0"/>
                <w:iCs w:val="0"/>
                <w:color w:val="000000"/>
                <w:sz w:val="18"/>
                <w:szCs w:val="18"/>
                <w:u w:val="none"/>
              </w:rPr>
            </w:pPr>
          </w:p>
        </w:tc>
      </w:tr>
      <w:tr>
        <w:trPr>
          <w:trHeight w:val="633"/>
        </w:trPr>
        <w:tc>
          <w:tcPr>
            <w:tcW w:w="9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Style w:val="19"/>
                <w:lang w:val="en-US" w:eastAsia="zh-CN"/>
              </w:rPr>
              <w:t>产出指标</w:t>
            </w:r>
          </w:p>
        </w:tc>
        <w:tc>
          <w:tcPr>
            <w:tcW w:w="96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Style w:val="19"/>
                <w:lang w:val="en-US" w:eastAsia="zh-CN"/>
              </w:rPr>
              <w:t>质量指标</w:t>
            </w:r>
          </w:p>
        </w:tc>
        <w:tc>
          <w:tcPr>
            <w:tcW w:w="205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lang w:eastAsia="zh-CN"/>
              </w:rPr>
            </w:pPr>
            <w:r>
              <w:rPr>
                <w:rFonts w:ascii="宋体" w:cs="宋体" w:hint="eastAsia"/>
                <w:i w:val="0"/>
                <w:iCs w:val="0"/>
                <w:color w:val="000000"/>
                <w:sz w:val="18"/>
                <w:szCs w:val="18"/>
                <w:u w:val="none"/>
                <w:lang w:eastAsia="zh-CN"/>
              </w:rPr>
              <w:t>课本完成率</w:t>
            </w:r>
          </w:p>
        </w:tc>
        <w:tc>
          <w:tcPr>
            <w:tcW w:w="110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Style w:val="19"/>
                <w:lang w:val="en-US" w:eastAsia="zh-CN"/>
              </w:rPr>
              <w:t>＝</w:t>
            </w:r>
          </w:p>
        </w:tc>
        <w:tc>
          <w:tcPr>
            <w:tcW w:w="103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100</w:t>
            </w:r>
          </w:p>
        </w:tc>
        <w:tc>
          <w:tcPr>
            <w:tcW w:w="100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w:t>
            </w:r>
          </w:p>
        </w:tc>
        <w:tc>
          <w:tcPr>
            <w:tcW w:w="59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15</w:t>
            </w:r>
          </w:p>
        </w:tc>
        <w:tc>
          <w:tcPr>
            <w:tcW w:w="100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宋体" w:eastAsia="宋体" w:cs="宋体" w:hint="eastAsia"/>
                <w:i w:val="0"/>
                <w:iCs w:val="0"/>
                <w:color w:val="000000"/>
                <w:sz w:val="18"/>
                <w:szCs w:val="18"/>
                <w:u w:val="none"/>
              </w:rPr>
            </w:pPr>
          </w:p>
        </w:tc>
      </w:tr>
      <w:tr>
        <w:trPr>
          <w:trHeight w:val="648"/>
        </w:trPr>
        <w:tc>
          <w:tcPr>
            <w:tcW w:w="9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Style w:val="19"/>
                <w:lang w:val="en-US" w:eastAsia="zh-CN"/>
              </w:rPr>
              <w:t>成本指标</w:t>
            </w:r>
          </w:p>
        </w:tc>
        <w:tc>
          <w:tcPr>
            <w:tcW w:w="96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Style w:val="19"/>
                <w:lang w:val="en-US" w:eastAsia="zh-CN"/>
              </w:rPr>
              <w:t>经济成本指标</w:t>
            </w:r>
          </w:p>
        </w:tc>
        <w:tc>
          <w:tcPr>
            <w:tcW w:w="205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Style w:val="19"/>
                <w:rFonts w:hint="eastAsia"/>
                <w:sz w:val="16"/>
                <w:szCs w:val="16"/>
                <w:lang w:val="en-US" w:eastAsia="zh-CN"/>
              </w:rPr>
              <w:t>群众满意度</w:t>
            </w:r>
          </w:p>
        </w:tc>
        <w:tc>
          <w:tcPr>
            <w:tcW w:w="110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Style w:val="19"/>
                <w:lang w:val="en-US" w:eastAsia="zh-CN"/>
              </w:rPr>
              <w:t>＝</w:t>
            </w:r>
          </w:p>
        </w:tc>
        <w:tc>
          <w:tcPr>
            <w:tcW w:w="103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lang w:val="en-US"/>
              </w:rPr>
            </w:pPr>
            <w:r>
              <w:rPr>
                <w:rFonts w:ascii="宋体" w:cs="宋体" w:hint="eastAsia"/>
                <w:i w:val="0"/>
                <w:iCs w:val="0"/>
                <w:color w:val="000000"/>
                <w:kern w:val="0"/>
                <w:sz w:val="18"/>
                <w:szCs w:val="18"/>
                <w:u w:val="none"/>
                <w:lang w:val="en-US" w:eastAsia="zh-CN"/>
              </w:rPr>
              <w:t>1000</w:t>
            </w:r>
          </w:p>
        </w:tc>
        <w:tc>
          <w:tcPr>
            <w:tcW w:w="100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人</w:t>
            </w:r>
            <w:r>
              <w:rPr>
                <w:rFonts w:ascii="宋体" w:cs="宋体" w:hint="eastAsia"/>
                <w:i w:val="0"/>
                <w:iCs w:val="0"/>
                <w:color w:val="000000"/>
                <w:kern w:val="0"/>
                <w:sz w:val="18"/>
                <w:szCs w:val="18"/>
                <w:u w:val="none"/>
                <w:lang w:val="en-US" w:eastAsia="zh-CN"/>
              </w:rPr>
              <w:t>次</w:t>
            </w:r>
          </w:p>
        </w:tc>
        <w:tc>
          <w:tcPr>
            <w:tcW w:w="59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cs="宋体" w:hint="eastAsia"/>
                <w:i w:val="0"/>
                <w:iCs w:val="0"/>
                <w:color w:val="000000"/>
                <w:kern w:val="0"/>
                <w:sz w:val="18"/>
                <w:szCs w:val="18"/>
                <w:u w:val="none"/>
                <w:lang w:val="en-US" w:eastAsia="zh-CN"/>
              </w:rPr>
              <w:t>5</w:t>
            </w:r>
          </w:p>
        </w:tc>
        <w:tc>
          <w:tcPr>
            <w:tcW w:w="100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宋体" w:eastAsia="宋体" w:cs="宋体" w:hint="eastAsia"/>
                <w:i w:val="0"/>
                <w:iCs w:val="0"/>
                <w:color w:val="000000"/>
                <w:sz w:val="18"/>
                <w:szCs w:val="18"/>
                <w:u w:val="none"/>
              </w:rPr>
            </w:pPr>
          </w:p>
        </w:tc>
      </w:tr>
      <w:tr>
        <w:trPr>
          <w:trHeight w:val="422"/>
        </w:trPr>
        <w:tc>
          <w:tcPr>
            <w:tcW w:w="9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Style w:val="19"/>
                <w:lang w:val="en-US" w:eastAsia="zh-CN"/>
              </w:rPr>
              <w:t>产出指标</w:t>
            </w:r>
          </w:p>
        </w:tc>
        <w:tc>
          <w:tcPr>
            <w:tcW w:w="96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Style w:val="19"/>
                <w:lang w:val="en-US" w:eastAsia="zh-CN"/>
              </w:rPr>
              <w:t>数量指标</w:t>
            </w:r>
          </w:p>
        </w:tc>
        <w:tc>
          <w:tcPr>
            <w:tcW w:w="205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lang w:eastAsia="zh-CN"/>
              </w:rPr>
            </w:pPr>
            <w:r>
              <w:rPr>
                <w:rFonts w:ascii="宋体" w:cs="宋体" w:hint="eastAsia"/>
                <w:i w:val="0"/>
                <w:iCs w:val="0"/>
                <w:color w:val="000000"/>
                <w:sz w:val="18"/>
                <w:szCs w:val="18"/>
                <w:u w:val="none"/>
                <w:lang w:eastAsia="zh-CN"/>
              </w:rPr>
              <w:t>干部人员培训率</w:t>
            </w:r>
          </w:p>
        </w:tc>
        <w:tc>
          <w:tcPr>
            <w:tcW w:w="110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Style w:val="19"/>
                <w:lang w:val="en-US" w:eastAsia="zh-CN"/>
              </w:rPr>
              <w:t>＝</w:t>
            </w:r>
          </w:p>
        </w:tc>
        <w:tc>
          <w:tcPr>
            <w:tcW w:w="103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lang w:val="en-US"/>
              </w:rPr>
            </w:pPr>
            <w:r>
              <w:rPr>
                <w:rFonts w:ascii="宋体" w:eastAsia="宋体" w:cs="宋体" w:hint="eastAsia"/>
                <w:i w:val="0"/>
                <w:iCs w:val="0"/>
                <w:color w:val="000000"/>
                <w:kern w:val="0"/>
                <w:sz w:val="18"/>
                <w:szCs w:val="18"/>
                <w:u w:val="none"/>
                <w:lang w:val="en-US" w:eastAsia="zh-CN"/>
              </w:rPr>
              <w:t>1</w:t>
            </w:r>
            <w:r>
              <w:rPr>
                <w:rFonts w:ascii="宋体" w:cs="宋体" w:hint="eastAsia"/>
                <w:i w:val="0"/>
                <w:iCs w:val="0"/>
                <w:color w:val="000000"/>
                <w:kern w:val="0"/>
                <w:sz w:val="18"/>
                <w:szCs w:val="18"/>
                <w:u w:val="none"/>
                <w:lang w:val="en-US" w:eastAsia="zh-CN"/>
              </w:rPr>
              <w:t>80</w:t>
            </w:r>
          </w:p>
        </w:tc>
        <w:tc>
          <w:tcPr>
            <w:tcW w:w="100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人</w:t>
            </w:r>
          </w:p>
        </w:tc>
        <w:tc>
          <w:tcPr>
            <w:tcW w:w="59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10</w:t>
            </w:r>
          </w:p>
        </w:tc>
        <w:tc>
          <w:tcPr>
            <w:tcW w:w="100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宋体" w:eastAsia="宋体" w:cs="宋体" w:hint="eastAsia"/>
                <w:i w:val="0"/>
                <w:iCs w:val="0"/>
                <w:color w:val="000000"/>
                <w:sz w:val="18"/>
                <w:szCs w:val="18"/>
                <w:u w:val="none"/>
              </w:rPr>
            </w:pPr>
          </w:p>
        </w:tc>
      </w:tr>
      <w:tr>
        <w:trPr>
          <w:trHeight w:val="422"/>
        </w:trPr>
        <w:tc>
          <w:tcPr>
            <w:tcW w:w="9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Style w:val="19"/>
                <w:lang w:val="en-US" w:eastAsia="zh-CN"/>
              </w:rPr>
              <w:t>产出指标</w:t>
            </w:r>
          </w:p>
        </w:tc>
        <w:tc>
          <w:tcPr>
            <w:tcW w:w="96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Style w:val="19"/>
                <w:lang w:val="en-US" w:eastAsia="zh-CN"/>
              </w:rPr>
              <w:t>时效指标</w:t>
            </w:r>
          </w:p>
        </w:tc>
        <w:tc>
          <w:tcPr>
            <w:tcW w:w="205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lang w:val="en-US" w:eastAsia="zh-CN"/>
              </w:rPr>
            </w:pPr>
            <w:r>
              <w:rPr>
                <w:rFonts w:ascii="宋体" w:cs="宋体" w:hint="eastAsia"/>
                <w:i w:val="0"/>
                <w:iCs w:val="0"/>
                <w:color w:val="000000"/>
                <w:sz w:val="18"/>
                <w:szCs w:val="18"/>
                <w:u w:val="none"/>
                <w:lang w:eastAsia="zh-CN"/>
              </w:rPr>
              <w:t>大于等于</w:t>
            </w:r>
            <w:r>
              <w:rPr>
                <w:rFonts w:ascii="宋体" w:cs="宋体" w:hint="eastAsia"/>
                <w:i w:val="0"/>
                <w:iCs w:val="0"/>
                <w:color w:val="000000"/>
                <w:sz w:val="18"/>
                <w:szCs w:val="18"/>
                <w:u w:val="none"/>
                <w:lang w:val="en-US" w:eastAsia="zh-CN"/>
              </w:rPr>
              <w:t>1000人次</w:t>
            </w:r>
          </w:p>
        </w:tc>
        <w:tc>
          <w:tcPr>
            <w:tcW w:w="110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Style w:val="19"/>
                <w:lang w:val="en-US" w:eastAsia="zh-CN"/>
              </w:rPr>
              <w:t>＝</w:t>
            </w:r>
          </w:p>
        </w:tc>
        <w:tc>
          <w:tcPr>
            <w:tcW w:w="103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100</w:t>
            </w:r>
          </w:p>
        </w:tc>
        <w:tc>
          <w:tcPr>
            <w:tcW w:w="100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w:t>
            </w:r>
          </w:p>
        </w:tc>
        <w:tc>
          <w:tcPr>
            <w:tcW w:w="59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15</w:t>
            </w:r>
          </w:p>
        </w:tc>
        <w:tc>
          <w:tcPr>
            <w:tcW w:w="100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宋体" w:eastAsia="宋体" w:cs="宋体" w:hint="eastAsia"/>
                <w:i w:val="0"/>
                <w:iCs w:val="0"/>
                <w:color w:val="000000"/>
                <w:sz w:val="18"/>
                <w:szCs w:val="18"/>
                <w:u w:val="none"/>
              </w:rPr>
            </w:pPr>
          </w:p>
        </w:tc>
      </w:tr>
      <w:tr>
        <w:trPr>
          <w:trHeight w:val="422"/>
        </w:trPr>
        <w:tc>
          <w:tcPr>
            <w:tcW w:w="9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Style w:val="19"/>
                <w:lang w:val="en-US" w:eastAsia="zh-CN"/>
              </w:rPr>
              <w:t>效益指标</w:t>
            </w:r>
          </w:p>
        </w:tc>
        <w:tc>
          <w:tcPr>
            <w:tcW w:w="96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Style w:val="19"/>
                <w:lang w:val="en-US" w:eastAsia="zh-CN"/>
              </w:rPr>
              <w:t>社会效益指标</w:t>
            </w:r>
          </w:p>
        </w:tc>
        <w:tc>
          <w:tcPr>
            <w:tcW w:w="205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both"/>
              <w:textAlignment w:val="center"/>
              <w:rPr>
                <w:rFonts w:ascii="宋体" w:eastAsia="宋体" w:cs="宋体" w:hint="eastAsia"/>
                <w:i w:val="0"/>
                <w:iCs w:val="0"/>
                <w:color w:val="000000"/>
                <w:sz w:val="18"/>
                <w:szCs w:val="18"/>
                <w:u w:val="none"/>
                <w:lang w:eastAsia="zh-CN"/>
              </w:rPr>
            </w:pPr>
            <w:r>
              <w:rPr>
                <w:rFonts w:ascii="宋体" w:cs="宋体" w:hint="eastAsia"/>
                <w:i w:val="0"/>
                <w:iCs w:val="0"/>
                <w:color w:val="000000"/>
                <w:sz w:val="18"/>
                <w:szCs w:val="18"/>
                <w:u w:val="none"/>
                <w:lang w:eastAsia="zh-CN"/>
              </w:rPr>
              <w:t>让更对的群众知道干部教育</w:t>
            </w:r>
          </w:p>
        </w:tc>
        <w:tc>
          <w:tcPr>
            <w:tcW w:w="110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Style w:val="19"/>
                <w:lang w:val="en-US" w:eastAsia="zh-CN"/>
              </w:rPr>
              <w:t>定性</w:t>
            </w:r>
          </w:p>
        </w:tc>
        <w:tc>
          <w:tcPr>
            <w:tcW w:w="103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优</w:t>
            </w:r>
          </w:p>
        </w:tc>
        <w:tc>
          <w:tcPr>
            <w:tcW w:w="100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宋体" w:eastAsia="宋体" w:cs="宋体" w:hint="eastAsia"/>
                <w:i w:val="0"/>
                <w:iCs w:val="0"/>
                <w:color w:val="000000"/>
                <w:sz w:val="18"/>
                <w:szCs w:val="18"/>
                <w:u w:val="none"/>
              </w:rPr>
            </w:pPr>
          </w:p>
        </w:tc>
        <w:tc>
          <w:tcPr>
            <w:tcW w:w="59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20</w:t>
            </w:r>
          </w:p>
        </w:tc>
        <w:tc>
          <w:tcPr>
            <w:tcW w:w="100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宋体" w:eastAsia="宋体" w:cs="宋体" w:hint="eastAsia"/>
                <w:i w:val="0"/>
                <w:iCs w:val="0"/>
                <w:color w:val="000000"/>
                <w:sz w:val="18"/>
                <w:szCs w:val="18"/>
                <w:u w:val="none"/>
              </w:rPr>
            </w:pPr>
          </w:p>
        </w:tc>
      </w:tr>
      <w:tr>
        <w:trPr>
          <w:trHeight w:val="633"/>
        </w:trPr>
        <w:tc>
          <w:tcPr>
            <w:tcW w:w="9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Style w:val="19"/>
                <w:lang w:val="en-US" w:eastAsia="zh-CN"/>
              </w:rPr>
              <w:t>成本指标</w:t>
            </w:r>
          </w:p>
        </w:tc>
        <w:tc>
          <w:tcPr>
            <w:tcW w:w="96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Style w:val="19"/>
                <w:lang w:val="en-US" w:eastAsia="zh-CN"/>
              </w:rPr>
              <w:t>经济成本指标</w:t>
            </w:r>
          </w:p>
        </w:tc>
        <w:tc>
          <w:tcPr>
            <w:tcW w:w="205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lang w:eastAsia="zh-CN"/>
              </w:rPr>
            </w:pPr>
            <w:r>
              <w:rPr>
                <w:rFonts w:ascii="宋体" w:cs="宋体" w:hint="eastAsia"/>
                <w:i w:val="0"/>
                <w:iCs w:val="0"/>
                <w:color w:val="000000"/>
                <w:sz w:val="18"/>
                <w:szCs w:val="18"/>
                <w:u w:val="none"/>
                <w:lang w:eastAsia="zh-CN"/>
              </w:rPr>
              <w:t>为党育才为党育民</w:t>
            </w:r>
          </w:p>
        </w:tc>
        <w:tc>
          <w:tcPr>
            <w:tcW w:w="110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Style w:val="19"/>
                <w:lang w:val="en-US" w:eastAsia="zh-CN"/>
              </w:rPr>
              <w:t>＝</w:t>
            </w:r>
          </w:p>
        </w:tc>
        <w:tc>
          <w:tcPr>
            <w:tcW w:w="103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lang w:eastAsia="zh-CN"/>
              </w:rPr>
            </w:pPr>
            <w:r>
              <w:rPr>
                <w:rFonts w:ascii="宋体" w:cs="宋体" w:hint="eastAsia"/>
                <w:i w:val="0"/>
                <w:iCs w:val="0"/>
                <w:color w:val="000000"/>
                <w:sz w:val="18"/>
                <w:szCs w:val="18"/>
                <w:u w:val="none"/>
                <w:lang w:eastAsia="zh-CN"/>
              </w:rPr>
              <w:t>人次</w:t>
            </w:r>
          </w:p>
        </w:tc>
        <w:tc>
          <w:tcPr>
            <w:tcW w:w="100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cs="宋体" w:hint="eastAsia"/>
                <w:i w:val="0"/>
                <w:iCs w:val="0"/>
                <w:color w:val="000000"/>
                <w:kern w:val="0"/>
                <w:sz w:val="18"/>
                <w:szCs w:val="18"/>
                <w:u w:val="none"/>
                <w:lang w:val="en-US" w:eastAsia="zh-CN"/>
              </w:rPr>
              <w:t>次</w:t>
            </w:r>
            <w:r>
              <w:rPr>
                <w:rFonts w:ascii="宋体" w:eastAsia="宋体" w:cs="宋体" w:hint="eastAsia"/>
                <w:i w:val="0"/>
                <w:iCs w:val="0"/>
                <w:color w:val="000000"/>
                <w:kern w:val="0"/>
                <w:sz w:val="18"/>
                <w:szCs w:val="18"/>
                <w:u w:val="none"/>
                <w:lang w:val="en-US" w:eastAsia="zh-CN"/>
              </w:rPr>
              <w:t>/人</w:t>
            </w:r>
          </w:p>
        </w:tc>
        <w:tc>
          <w:tcPr>
            <w:tcW w:w="59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5</w:t>
            </w:r>
          </w:p>
        </w:tc>
        <w:tc>
          <w:tcPr>
            <w:tcW w:w="100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宋体" w:eastAsia="宋体" w:cs="宋体" w:hint="eastAsia"/>
                <w:i w:val="0"/>
                <w:iCs w:val="0"/>
                <w:color w:val="000000"/>
                <w:sz w:val="18"/>
                <w:szCs w:val="18"/>
                <w:u w:val="none"/>
              </w:rPr>
            </w:pPr>
          </w:p>
        </w:tc>
      </w:tr>
    </w:tbl>
    <w:p>
      <w:pPr>
        <w:spacing w:line="560" w:lineRule="exact"/>
        <w:ind w:firstLineChars="200" w:firstLine="640"/>
        <w:rPr>
          <w:rFonts w:ascii="仿宋_GB2312" w:eastAsia="仿宋_GB2312" w:cs="仿宋_GB2312" w:hint="eastAsia"/>
          <w:sz w:val="32"/>
          <w:szCs w:val="32"/>
        </w:rPr>
      </w:pPr>
    </w:p>
    <w:p>
      <w:pPr>
        <w:spacing w:line="560" w:lineRule="exact"/>
        <w:ind w:firstLineChars="200" w:firstLine="640"/>
        <w:rPr>
          <w:rFonts w:ascii="仿宋_GB2312" w:eastAsia="仿宋_GB2312" w:cs="仿宋_GB2312"/>
          <w:sz w:val="32"/>
          <w:szCs w:val="32"/>
        </w:rPr>
      </w:pPr>
    </w:p>
    <w:sectPr>
      <w:pgSz w:w="11906" w:h="16838"/>
      <w:pgMar w:top="1440" w:right="1800" w:bottom="1440" w:left="1800" w:header="851" w:footer="992" w:gutter="0"/>
      <w:docGrid w:type="lines" w:linePitch="312" w:charSpace="0"/>
    </w:sectPr>
  </w:body>
</w:document>
</file>

<file path=word/fontTable.xml><?xml version="1.0" encoding="utf-8"?>
<w:fonts xmlns:w="http://schemas.openxmlformats.org/wordprocessingml/2006/main" xmlns:r="http://schemas.openxmlformats.org/officeDocument/2006/relationships">
  <w:font w:name="Times New Roman">
    <w:panose1 w:val="02020603050405020304"/>
    <w:charset w:val="86"/>
    <w:family w:val="auto"/>
    <w:pitch w:val="variable"/>
    <w:sig w:usb0="E0002AFF" w:usb1="C0007841" w:usb2="00000009" w:usb3="00000000" w:csb0="400001FF" w:csb1="FFFF0000"/>
  </w:font>
  <w:font w:name="方正小标宋_GBK">
    <w:panose1 w:val="03000509000000000000"/>
    <w:charset w:val="86"/>
    <w:family w:val="auto"/>
    <w:pitch w:val="variable"/>
    <w:sig w:usb0="00000001" w:usb1="080E0000" w:usb2="00000000" w:usb3="00000000" w:csb0="00040000" w:csb1="00000000"/>
  </w:font>
  <w:font w:name="仿宋_GB2312">
    <w:panose1 w:val="02010609030101010101"/>
    <w:charset w:val="86"/>
    <w:family w:val="auto"/>
    <w:pitch w:val="variable"/>
    <w:sig w:usb0="00000001" w:usb1="080E0000" w:usb2="00000000" w:usb3="00000000" w:csb0="00040000" w:csb1="00000000"/>
  </w:font>
  <w:font w:name="黑体">
    <w:panose1 w:val="02010609060101010101"/>
    <w:charset w:val="86"/>
    <w:family w:val="auto"/>
    <w:pitch w:val="variable"/>
    <w:sig w:usb0="800002BF" w:usb1="38CF7CFA" w:usb2="00000016" w:usb3="00000000" w:csb0="00040001" w:csb1="00000000"/>
  </w:font>
  <w:font w:name="方正仿宋_GBK">
    <w:panose1 w:val="03000509000000000000"/>
    <w:charset w:val="86"/>
    <w:family w:val="script"/>
    <w:pitch w:val="variable"/>
    <w:sig w:usb0="00000001" w:usb1="080E0000" w:usb2="00000000" w:usb3="00000000" w:csb0="00040000" w:csb1="00000000"/>
  </w:font>
  <w:font w:name="宋体">
    <w:panose1 w:val="02010600030101010101"/>
    <w:charset w:val="86"/>
    <w:family w:val="auto"/>
    <w:pitch w:val="variable"/>
    <w:sig w:usb0="00000003" w:usb1="288F0000" w:usb2="00000006" w:usb3="00000000" w:csb0="00040001" w:csb1="00000000"/>
  </w:font>
  <w:font w:name="Calibri">
    <w:altName w:val="Times New Roman"/>
    <w:panose1 w:val="020F0502020204030204"/>
    <w:charset w:val="00"/>
    <w:family w:val="swiss"/>
    <w:pitch w:val="variable"/>
    <w:sig w:usb0="E00002FF" w:usb1="4000ACFF" w:usb2="00000001" w:usb3="00000000" w:csb0="2000019F" w:csb1="00000000"/>
  </w:font>
  <w:font w:name="Arial">
    <w:altName w:val="DejaVu Sans"/>
    <w:panose1 w:val="020B0604020202020204"/>
    <w:charset w:val="01"/>
    <w:family w:val="swiss"/>
    <w:pitch w:val="variable"/>
    <w:sig w:usb0="E0002AFF" w:usb1="C0007843" w:usb2="00000009" w:usb3="00000000" w:csb0="400001FF" w:csb1="FFFF0000"/>
  </w:font>
  <w:font w:name="Luxi Sans">
    <w:altName w:val="DejaVu Sans"/>
    <w:panose1 w:val="00000000000000000000"/>
    <w:charset w:val="00"/>
    <w:family w:val="auto"/>
    <w:pitch w:val="variable"/>
    <w:sig w:usb0="00000000" w:usb1="00000000" w:usb2="00000000" w:usb3="00000000" w:csb0="00000000" w:csb1="00000000"/>
  </w:font>
  <w:font w:name="Dialog . plain">
    <w:altName w:val="DejaVu Sans"/>
    <w:panose1 w:val="00000000000000000000"/>
    <w:charset w:val="00"/>
    <w:family w:val="auto"/>
    <w:pitch w:val="variable"/>
    <w:sig w:usb0="00000000" w:usb1="00000000" w:usb2="00000000" w:usb3="00000000" w:csb0="00000000" w:csb1="00000000"/>
  </w:font>
</w:fonts>
</file>

<file path=word/numbering.xml><?xml version="1.0" encoding="utf-8"?>
<w:numbering xmlns:w="http://schemas.openxmlformats.org/wordprocessingml/2006/main" xmlns:o="urn:schemas-microsoft-com:office:office" xmlns:r="http://schemas.openxmlformats.org/officeDocument/2006/relationships" xmlns:m="http://schemas.openxmlformats.org/officeDocument/2006/math" xmlns:v="urn:schemas-microsoft-com:vml" xmlns:mc="http://schemas.openxmlformats.org/markup-compatibility/2006" xmlns:w14="http://schemas.microsoft.com/office/word/2010/wordml">
  <w:abstractNum w:abstractNumId="0">
    <w:nsid w:val="E5FD0A63"/>
    <w:multiLevelType w:val="singleLevel"/>
    <w:tmpl w:val="E5FD0A63"/>
    <w:lvl w:ilvl="0">
      <w:start w:val="2"/>
      <w:numFmt w:val="chineseCounting"/>
      <w:lvlRestart w:val="0"/>
      <w:suff w:val="nothing"/>
      <w:lvlText w:val="%1、"/>
      <w:lvlJc w:val="left"/>
      <w:pPr>
        <w:tabs>
          <w:tab w:val="num" w:pos="0"/>
        </w:tabs>
        <w:ind w:left="0" w:hanging="0"/>
      </w:pPr>
      <w:rPr>
        <w:rFonts w:hint="eastAsia"/>
      </w:rPr>
    </w:lvl>
  </w:abstractNum>
  <w:num w:numId="1">
    <w:abstractNumId w:val="0"/>
  </w:num>
</w:numbering>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percent="100"/>
  <w:bordersDoNotSurroundHeader/>
  <w:bordersDoNotSurroundFooter/>
  <w:documentProtection w:edit="readOnly"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compatSetting w:name="compatibilityMode" w:uri="http://schemas.microsoft.com/office/word" w:val="12"/>
  </w:compat>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Times New Roman"/>
        <w:lang w:val="en-US" w:eastAsia="zh-CN" w:bidi="ar-SA"/>
      </w:rPr>
    </w:rPrDefault>
    <w:pPrDefault/>
  </w:docDefaults>
  <w:style w:type="paragraph" w:default="1" w:styleId="0">
    <w:name w:val="Normal"/>
    <w:next w:val="15"/>
    <w:pPr>
      <w:widowControl w:val="0"/>
      <w:jc w:val="both"/>
    </w:pPr>
    <w:rPr>
      <w:rFonts w:ascii="Calibri" w:eastAsia="宋体" w:cs="Arial" w:hAnsi="Calibri"/>
      <w:kern w:val="2"/>
      <w:sz w:val="21"/>
      <w:szCs w:val="24"/>
      <w:lang w:val="en-US" w:eastAsia="zh-CN" w:bidi="ar-SA"/>
    </w:rPr>
  </w:style>
  <w:style w:type="paragraph" w:styleId="1">
    <w:name w:val="heading 1"/>
    <w:basedOn w:val="0"/>
    <w:next w:val="0"/>
    <w:pPr>
      <w:keepNext/>
      <w:keepLines/>
      <w:widowControl w:val="0"/>
      <w:spacing w:before="340" w:after="330" w:line="578" w:lineRule="auto"/>
      <w:outlineLvl w:val="0"/>
    </w:pPr>
    <w:rPr>
      <w:b/>
      <w:bCs/>
      <w:kern w:val="44"/>
      <w:sz w:val="44"/>
    </w:rPr>
  </w:style>
  <w:style w:type="paragraph" w:styleId="2">
    <w:name w:val="heading 2"/>
    <w:basedOn w:val="0"/>
    <w:next w:val="0"/>
    <w:pPr>
      <w:keepNext/>
      <w:keepLines/>
      <w:widowControl w:val="0"/>
      <w:spacing w:before="260" w:after="260" w:line="415" w:lineRule="auto"/>
      <w:outlineLvl w:val="1"/>
    </w:pPr>
    <w:rPr>
      <w:rFonts w:ascii="Luxi Sans" w:eastAsia="黑体" w:hAnsi="Luxi Sans"/>
      <w:b/>
      <w:sz w:val="32"/>
    </w:rPr>
  </w:style>
  <w:style w:type="paragraph" w:styleId="3">
    <w:name w:val="heading 3"/>
    <w:basedOn w:val="0"/>
    <w:next w:val="0"/>
    <w:pPr>
      <w:keepNext/>
      <w:keepLines/>
      <w:widowControl w:val="0"/>
      <w:spacing w:before="260" w:after="260" w:line="415" w:lineRule="auto"/>
      <w:outlineLvl w:val="2"/>
    </w:pPr>
    <w:rPr>
      <w:b/>
      <w:sz w:val="32"/>
    </w:rPr>
  </w:style>
  <w:style w:type="character" w:default="1" w:styleId="10">
    <w:name w:val="Default Paragraph Font"/>
  </w:style>
  <w:style w:type="paragraph" w:styleId="15">
    <w:name w:val="footer"/>
    <w:basedOn w:val="0"/>
    <w:pPr>
      <w:tabs>
        <w:tab w:val="center" w:pos="4153"/>
        <w:tab w:val="right" w:pos="8306"/>
      </w:tabs>
      <w:snapToGrid w:val="0"/>
      <w:jc w:val="left"/>
    </w:pPr>
    <w:rPr>
      <w:sz w:val="18"/>
    </w:rPr>
  </w:style>
  <w:style w:type="paragraph" w:styleId="16">
    <w:name w:val="header"/>
    <w:basedOn w:val="0"/>
    <w:pPr>
      <w:pBdr>
        <w:bottom w:val="single" w:sz="6" w:space="1" w:color="auto"/>
      </w:pBdr>
      <w:tabs>
        <w:tab w:val="center" w:pos="4153"/>
        <w:tab w:val="right" w:pos="8306"/>
      </w:tabs>
      <w:snapToGrid w:val="0"/>
      <w:jc w:val="center"/>
    </w:pPr>
    <w:rPr>
      <w:sz w:val="18"/>
      <w:szCs w:val="18"/>
    </w:rPr>
  </w:style>
  <w:style w:type="paragraph" w:styleId="17">
    <w:name w:val="Normal (Web)"/>
    <w:basedOn w:val="0"/>
    <w:pPr>
      <w:spacing w:beforeAutospacing="1" w:afterAutospacing="1"/>
      <w:jc w:val="left"/>
    </w:pPr>
    <w:rPr>
      <w:kern w:val="0"/>
      <w:sz w:val="24"/>
    </w:rPr>
  </w:style>
  <w:style w:type="character" w:customStyle="1" w:styleId="18">
    <w:name w:val="NormalCharacter"/>
  </w:style>
  <w:style w:type="character" w:customStyle="1" w:styleId="19">
    <w:name w:val="font51"/>
    <w:basedOn w:val="10"/>
    <w:rPr>
      <w:rFonts w:ascii="Dialog . plain" w:eastAsia="Dialog . plain" w:cs="Dialog . plain" w:hAnsi="Dialog . plain"/>
      <w:color w:val="000000"/>
      <w:sz w:val="18"/>
      <w:szCs w:val="18"/>
      <w:u w:val="none"/>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styles" Target="styles.xml"/><Relationship Id="rId3" Type="http://schemas.openxmlformats.org/officeDocument/2006/relationships/numbering" Target="numbering.xml"/><Relationship Id="rId4" Type="http://schemas.openxmlformats.org/officeDocument/2006/relationships/fontTable" Target="fontTable.xml"/></Relationships>
</file>

<file path=docProps/app.xml><?xml version="1.0" encoding="utf-8"?>
<Properties xmlns="http://schemas.openxmlformats.org/officeDocument/2006/extended-properties">
  <Template>Normal.eit</Template>
  <TotalTime>4</TotalTime>
  <Application>Yozo_Office27021597764231179</Application>
  <Pages>3</Pages>
  <Words>1193</Words>
  <Characters>1241</Characters>
  <Lines>129</Lines>
  <Paragraphs>77</Paragraphs>
  <CharactersWithSpaces>1244</CharactersWithSpaces>
  <Company>Microsoft</Company>
</Properties>
</file>

<file path=docProps/core.xml><?xml version="1.0" encoding="utf-8"?>
<cp:coreProperties xmlns:cp="http://schemas.openxmlformats.org/package/2006/metadata/core-properties" xmlns:dc="http://purl.org/dc/elements/1.1/" xmlns:dcterms="http://purl.org/dc/terms/" xmlns:xsi="http://www.w3.org/2001/XMLSchema-instance">
  <dc:creator>Administrator</dc:creator>
  <cp:lastModifiedBy>user</cp:lastModifiedBy>
  <cp:revision>2</cp:revision>
  <dcterms:created xsi:type="dcterms:W3CDTF">2026-03-09T07:31:00Z</dcterms:created>
  <dcterms:modified xsi:type="dcterms:W3CDTF">2026-03-19T01:42:03Z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pid="2" name="KSOProductBuildVer">
    <vt:lpwstr>2052-12.1.0.25225</vt:lpwstr>
  </property>
  <property fmtid="{D5CDD505-2E9C-101B-9397-08002B2CF9AE}" pid="3" name="KSOTemplateDocerSaveRecord">
    <vt:lpwstr>eyJoZGlkIjoiNWE4NGViZjU0MzVjNDA1ZWUyM2EwMDQ1ZWE5YThiMzYiLCJ1c2VySWQiOiI3MTE0Mjk0MzQifQ==</vt:lpwstr>
  </property>
  <property fmtid="{D5CDD505-2E9C-101B-9397-08002B2CF9AE}" pid="4" name="ICV">
    <vt:lpwstr>D11EDEC1EAD04B83BABEC95AECF81160_12</vt:lpwstr>
  </property>
</Properties>
</file>