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3B36C1">
      <w:pPr>
        <w:pStyle w:val="5"/>
        <w:spacing w:before="93" w:beforeLines="0"/>
        <w:rPr>
          <w:rFonts w:ascii="Times New Roman" w:hAnsi="Times New Roman" w:eastAsia="方正小标宋简体"/>
          <w:kern w:val="2"/>
          <w:sz w:val="56"/>
          <w:szCs w:val="72"/>
        </w:rPr>
      </w:pPr>
      <w:bookmarkStart w:id="0" w:name="_Toc15396597"/>
      <w:bookmarkStart w:id="1" w:name="_Toc15378441"/>
      <w:bookmarkStart w:id="2" w:name="_Toc15396475"/>
      <w:bookmarkStart w:id="3" w:name="_Toc15377193"/>
      <w:bookmarkStart w:id="4" w:name="_Toc15377425"/>
      <w:bookmarkStart w:id="5" w:name="_Toc15306267"/>
    </w:p>
    <w:p w14:paraId="1122903B">
      <w:pPr>
        <w:pStyle w:val="5"/>
        <w:spacing w:before="93" w:beforeLines="0"/>
        <w:rPr>
          <w:rFonts w:ascii="Times New Roman" w:hAnsi="Times New Roman" w:eastAsia="方正小标宋简体"/>
          <w:kern w:val="2"/>
          <w:sz w:val="56"/>
          <w:szCs w:val="72"/>
        </w:rPr>
      </w:pPr>
    </w:p>
    <w:p w14:paraId="5C5907B0">
      <w:pPr>
        <w:pStyle w:val="5"/>
        <w:spacing w:before="93" w:beforeLines="0"/>
        <w:rPr>
          <w:rFonts w:ascii="Times New Roman" w:hAnsi="Times New Roman" w:eastAsia="方正小标宋简体"/>
          <w:kern w:val="2"/>
          <w:sz w:val="56"/>
          <w:szCs w:val="72"/>
        </w:rPr>
      </w:pPr>
    </w:p>
    <w:p w14:paraId="0DE09186">
      <w:pPr>
        <w:pStyle w:val="5"/>
        <w:spacing w:before="93" w:beforeLines="0"/>
        <w:jc w:val="center"/>
        <w:rPr>
          <w:rFonts w:ascii="Times New Roman" w:hAnsi="Times New Roman" w:eastAsia="方正小标宋简体"/>
          <w:kern w:val="2"/>
          <w:sz w:val="40"/>
          <w:szCs w:val="44"/>
        </w:rPr>
      </w:pPr>
      <w:r>
        <w:rPr>
          <w:rFonts w:hint="eastAsia" w:ascii="Times New Roman" w:hAnsi="Times New Roman" w:eastAsia="方正小标宋简体"/>
          <w:kern w:val="2"/>
          <w:sz w:val="40"/>
          <w:szCs w:val="44"/>
        </w:rPr>
        <w:t>2024年度</w:t>
      </w:r>
      <w:r>
        <w:rPr>
          <w:rFonts w:ascii="Times New Roman" w:hAnsi="Times New Roman" w:eastAsia="方正小标宋简体"/>
          <w:kern w:val="2"/>
          <w:sz w:val="40"/>
          <w:szCs w:val="44"/>
        </w:rPr>
        <w:t>中共金川县委党校</w:t>
      </w:r>
      <w:r>
        <w:rPr>
          <w:rFonts w:hint="eastAsia" w:ascii="Times New Roman" w:hAnsi="Times New Roman" w:eastAsia="方正小标宋简体"/>
          <w:kern w:val="2"/>
          <w:sz w:val="40"/>
          <w:szCs w:val="44"/>
        </w:rPr>
        <w:t>决算</w:t>
      </w:r>
    </w:p>
    <w:p w14:paraId="6235CE1C">
      <w:pPr>
        <w:pStyle w:val="5"/>
        <w:spacing w:before="93" w:beforeLines="0"/>
        <w:jc w:val="center"/>
        <w:rPr>
          <w:rFonts w:ascii="Times New Roman" w:hAnsi="Times New Roman" w:eastAsia="方正小标宋简体"/>
          <w:kern w:val="2"/>
          <w:sz w:val="40"/>
          <w:szCs w:val="44"/>
        </w:rPr>
      </w:pPr>
      <w:r>
        <w:rPr>
          <w:rFonts w:hint="eastAsia" w:ascii="Times New Roman" w:hAnsi="Times New Roman" w:eastAsia="方正小标宋简体"/>
          <w:kern w:val="2"/>
          <w:sz w:val="40"/>
          <w:szCs w:val="44"/>
        </w:rPr>
        <w:t>公开</w:t>
      </w:r>
    </w:p>
    <w:p w14:paraId="147D0E79">
      <w:pPr>
        <w:spacing w:line="600" w:lineRule="exact"/>
        <w:jc w:val="center"/>
        <w:outlineLvl w:val="0"/>
        <w:rPr>
          <w:rFonts w:eastAsia="方正小标宋简体"/>
          <w:sz w:val="56"/>
          <w:szCs w:val="72"/>
        </w:rPr>
      </w:pPr>
    </w:p>
    <w:p w14:paraId="46702F6B">
      <w:pPr>
        <w:pStyle w:val="22"/>
        <w:rPr>
          <w:rFonts w:ascii="Times New Roman" w:hAnsi="Times New Roman"/>
          <w:sz w:val="22"/>
        </w:rPr>
        <w:sectPr>
          <w:headerReference r:id="rId3" w:type="default"/>
          <w:footerReference r:id="rId4" w:type="default"/>
          <w:pgSz w:w="11906" w:h="16838"/>
          <w:pgMar w:top="1440" w:right="1800" w:bottom="1440" w:left="1800" w:header="851" w:footer="992" w:gutter="0"/>
          <w:pgNumType w:fmt="numberInDash" w:start="1"/>
          <w:cols w:space="720" w:num="1"/>
          <w:titlePg/>
          <w:docGrid w:type="lines" w:linePitch="312" w:charSpace="0"/>
        </w:sectPr>
      </w:pPr>
    </w:p>
    <w:p w14:paraId="5FD3DD51">
      <w:pPr>
        <w:rPr>
          <w:sz w:val="20"/>
        </w:rPr>
      </w:pPr>
    </w:p>
    <w:bookmarkEnd w:id="0"/>
    <w:bookmarkEnd w:id="1"/>
    <w:bookmarkEnd w:id="2"/>
    <w:bookmarkEnd w:id="3"/>
    <w:bookmarkEnd w:id="4"/>
    <w:bookmarkEnd w:id="5"/>
    <w:p w14:paraId="3904BB77">
      <w:pPr>
        <w:pStyle w:val="5"/>
        <w:spacing w:before="93" w:beforeLines="0"/>
        <w:jc w:val="center"/>
        <w:rPr>
          <w:rFonts w:ascii="Times New Roman" w:hAnsi="Times New Roman" w:eastAsia="黑体"/>
          <w:sz w:val="44"/>
          <w:szCs w:val="48"/>
        </w:rPr>
      </w:pPr>
      <w:r>
        <w:rPr>
          <w:rFonts w:hint="eastAsia" w:ascii="Times New Roman" w:hAnsi="Times New Roman" w:eastAsia="黑体"/>
          <w:sz w:val="44"/>
          <w:szCs w:val="48"/>
        </w:rPr>
        <w:t>目录</w:t>
      </w:r>
    </w:p>
    <w:p w14:paraId="121D5B94">
      <w:pPr>
        <w:widowControl/>
        <w:jc w:val="center"/>
        <w:rPr>
          <w:rFonts w:eastAsia="黑体" w:cs="Arial"/>
          <w:sz w:val="24"/>
          <w:szCs w:val="28"/>
        </w:rPr>
      </w:pPr>
    </w:p>
    <w:p w14:paraId="1B615F23">
      <w:pPr>
        <w:pStyle w:val="12"/>
        <w:rPr>
          <w:rFonts w:ascii="Times New Roman" w:hAnsi="Times New Roman" w:eastAsia="仿宋_GB2312" w:cs="仿宋_GB2312"/>
          <w:szCs w:val="32"/>
        </w:rPr>
      </w:pPr>
      <w:r>
        <w:rPr>
          <w:rFonts w:hint="eastAsia" w:ascii="Times New Roman" w:hAnsi="Times New Roman" w:eastAsia="仿宋_GB2312" w:cs="仿宋_GB2312"/>
          <w:szCs w:val="32"/>
        </w:rPr>
        <w:t>公开时间：202</w:t>
      </w:r>
      <w:r>
        <w:rPr>
          <w:rFonts w:ascii="Times New Roman" w:hAnsi="Times New Roman" w:eastAsia="仿宋_GB2312" w:cs="仿宋_GB2312"/>
          <w:szCs w:val="32"/>
        </w:rPr>
        <w:t>5</w:t>
      </w:r>
      <w:r>
        <w:rPr>
          <w:rFonts w:hint="eastAsia" w:ascii="Times New Roman" w:hAnsi="Times New Roman" w:eastAsia="仿宋_GB2312" w:cs="仿宋_GB2312"/>
          <w:szCs w:val="32"/>
        </w:rPr>
        <w:t>年</w:t>
      </w:r>
      <w:r>
        <w:rPr>
          <w:rFonts w:ascii="Times New Roman" w:hAnsi="Times New Roman" w:eastAsia="仿宋_GB2312" w:cs="仿宋_GB2312"/>
          <w:szCs w:val="32"/>
        </w:rPr>
        <w:t>8</w:t>
      </w:r>
      <w:r>
        <w:rPr>
          <w:rFonts w:hint="eastAsia" w:ascii="Times New Roman" w:hAnsi="Times New Roman" w:eastAsia="仿宋_GB2312" w:cs="仿宋_GB2312"/>
          <w:szCs w:val="32"/>
        </w:rPr>
        <w:t>月</w:t>
      </w:r>
      <w:r>
        <w:rPr>
          <w:rFonts w:ascii="Times New Roman" w:hAnsi="Times New Roman" w:eastAsia="仿宋_GB2312" w:cs="仿宋_GB2312"/>
          <w:szCs w:val="32"/>
        </w:rPr>
        <w:t>25</w:t>
      </w:r>
      <w:r>
        <w:rPr>
          <w:rFonts w:hint="eastAsia" w:ascii="Times New Roman" w:hAnsi="Times New Roman" w:eastAsia="仿宋_GB2312" w:cs="仿宋_GB2312"/>
          <w:szCs w:val="32"/>
        </w:rPr>
        <w:t>日</w:t>
      </w:r>
    </w:p>
    <w:sdt>
      <w:sdtPr>
        <w:rPr>
          <w:rFonts w:ascii="宋体" w:hAnsi="宋体" w:eastAsia="宋体" w:cs="Times New Roman"/>
          <w:kern w:val="2"/>
          <w:sz w:val="21"/>
          <w:szCs w:val="24"/>
          <w:lang w:val="en-US" w:eastAsia="zh-CN" w:bidi="ar-SA"/>
        </w:rPr>
        <w:id w:val="147472874"/>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7CD4F3E5">
          <w:pPr>
            <w:spacing w:before="0" w:beforeLines="0" w:after="0" w:afterLines="0" w:line="240" w:lineRule="auto"/>
            <w:ind w:left="0" w:leftChars="0" w:right="0" w:rightChars="0" w:firstLine="0" w:firstLineChars="0"/>
            <w:jc w:val="center"/>
          </w:pPr>
        </w:p>
        <w:p w14:paraId="6F15E563">
          <w:pPr>
            <w:pStyle w:val="12"/>
            <w:tabs>
              <w:tab w:val="right" w:leader="dot" w:pos="8306"/>
              <w:tab w:val="clear" w:pos="8296"/>
            </w:tabs>
            <w:rPr>
              <w:rFonts w:hint="eastAsia" w:ascii="仿宋" w:hAnsi="仿宋" w:eastAsia="仿宋" w:cs="仿宋"/>
              <w:sz w:val="40"/>
              <w:szCs w:val="40"/>
            </w:rPr>
          </w:pPr>
          <w:r>
            <w:fldChar w:fldCharType="begin"/>
          </w:r>
          <w:r>
            <w:instrText xml:space="preserve">TOC \o "1-2" \h \u </w:instrText>
          </w:r>
          <w:r>
            <w:fldChar w:fldCharType="separate"/>
          </w:r>
          <w:r>
            <w:rPr>
              <w:rFonts w:hint="eastAsia" w:ascii="仿宋" w:hAnsi="仿宋" w:eastAsia="仿宋" w:cs="仿宋"/>
              <w:sz w:val="40"/>
              <w:szCs w:val="40"/>
            </w:rPr>
            <w:fldChar w:fldCharType="begin"/>
          </w:r>
          <w:r>
            <w:rPr>
              <w:rFonts w:hint="eastAsia" w:ascii="仿宋" w:hAnsi="仿宋" w:eastAsia="仿宋" w:cs="仿宋"/>
              <w:sz w:val="40"/>
              <w:szCs w:val="40"/>
            </w:rPr>
            <w:instrText xml:space="preserve"> HYPERLINK \l _Toc13733 </w:instrText>
          </w:r>
          <w:r>
            <w:rPr>
              <w:rFonts w:hint="eastAsia" w:ascii="仿宋" w:hAnsi="仿宋" w:eastAsia="仿宋" w:cs="仿宋"/>
              <w:sz w:val="40"/>
              <w:szCs w:val="40"/>
            </w:rPr>
            <w:fldChar w:fldCharType="separate"/>
          </w:r>
          <w:r>
            <w:rPr>
              <w:rFonts w:hint="eastAsia" w:ascii="仿宋" w:hAnsi="仿宋" w:eastAsia="仿宋" w:cs="仿宋"/>
              <w:sz w:val="40"/>
              <w:szCs w:val="40"/>
            </w:rPr>
            <w:t>第一部分部门概况</w:t>
          </w:r>
          <w:r>
            <w:rPr>
              <w:rFonts w:hint="eastAsia" w:ascii="仿宋" w:hAnsi="仿宋" w:eastAsia="仿宋" w:cs="仿宋"/>
              <w:sz w:val="40"/>
              <w:szCs w:val="40"/>
            </w:rPr>
            <w:tab/>
          </w:r>
          <w:r>
            <w:rPr>
              <w:rFonts w:hint="eastAsia" w:ascii="仿宋" w:hAnsi="仿宋" w:eastAsia="仿宋" w:cs="仿宋"/>
              <w:sz w:val="40"/>
              <w:szCs w:val="40"/>
            </w:rPr>
            <w:fldChar w:fldCharType="begin"/>
          </w:r>
          <w:r>
            <w:rPr>
              <w:rFonts w:hint="eastAsia" w:ascii="仿宋" w:hAnsi="仿宋" w:eastAsia="仿宋" w:cs="仿宋"/>
              <w:sz w:val="40"/>
              <w:szCs w:val="40"/>
            </w:rPr>
            <w:instrText xml:space="preserve"> PAGEREF _Toc13733 \h </w:instrText>
          </w:r>
          <w:r>
            <w:rPr>
              <w:rFonts w:hint="eastAsia" w:ascii="仿宋" w:hAnsi="仿宋" w:eastAsia="仿宋" w:cs="仿宋"/>
              <w:sz w:val="40"/>
              <w:szCs w:val="40"/>
            </w:rPr>
            <w:fldChar w:fldCharType="separate"/>
          </w:r>
          <w:r>
            <w:rPr>
              <w:rFonts w:hint="eastAsia" w:ascii="仿宋" w:hAnsi="仿宋" w:eastAsia="仿宋" w:cs="仿宋"/>
              <w:sz w:val="40"/>
              <w:szCs w:val="40"/>
            </w:rPr>
            <w:t>2</w:t>
          </w:r>
          <w:r>
            <w:rPr>
              <w:rFonts w:hint="eastAsia" w:ascii="仿宋" w:hAnsi="仿宋" w:eastAsia="仿宋" w:cs="仿宋"/>
              <w:sz w:val="40"/>
              <w:szCs w:val="40"/>
            </w:rPr>
            <w:fldChar w:fldCharType="end"/>
          </w:r>
          <w:r>
            <w:rPr>
              <w:rFonts w:hint="eastAsia" w:ascii="仿宋" w:hAnsi="仿宋" w:eastAsia="仿宋" w:cs="仿宋"/>
              <w:sz w:val="40"/>
              <w:szCs w:val="40"/>
            </w:rPr>
            <w:fldChar w:fldCharType="end"/>
          </w:r>
        </w:p>
        <w:p w14:paraId="7654F960">
          <w:pPr>
            <w:pStyle w:val="14"/>
            <w:tabs>
              <w:tab w:val="right" w:leader="dot" w:pos="8306"/>
              <w:tab w:val="clear" w:pos="8296"/>
            </w:tabs>
            <w:rPr>
              <w:rFonts w:hint="eastAsia" w:ascii="仿宋" w:hAnsi="仿宋" w:eastAsia="仿宋" w:cs="仿宋"/>
              <w:sz w:val="28"/>
              <w:szCs w:val="36"/>
            </w:rPr>
          </w:pP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HYPERLINK \l _Toc31903 </w:instrText>
          </w:r>
          <w:r>
            <w:rPr>
              <w:rFonts w:hint="eastAsia" w:ascii="仿宋" w:hAnsi="仿宋" w:eastAsia="仿宋" w:cs="仿宋"/>
              <w:sz w:val="28"/>
              <w:szCs w:val="36"/>
            </w:rPr>
            <w:fldChar w:fldCharType="separate"/>
          </w:r>
          <w:r>
            <w:rPr>
              <w:rFonts w:hint="eastAsia" w:ascii="仿宋" w:hAnsi="仿宋" w:eastAsia="仿宋" w:cs="仿宋"/>
              <w:sz w:val="28"/>
              <w:szCs w:val="36"/>
            </w:rPr>
            <w:t>一、 部门职责</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_Toc31903 \h </w:instrText>
          </w:r>
          <w:r>
            <w:rPr>
              <w:rFonts w:hint="eastAsia" w:ascii="仿宋" w:hAnsi="仿宋" w:eastAsia="仿宋" w:cs="仿宋"/>
              <w:sz w:val="28"/>
              <w:szCs w:val="36"/>
            </w:rPr>
            <w:fldChar w:fldCharType="separate"/>
          </w:r>
          <w:r>
            <w:rPr>
              <w:rFonts w:hint="eastAsia" w:ascii="仿宋" w:hAnsi="仿宋" w:eastAsia="仿宋" w:cs="仿宋"/>
              <w:sz w:val="28"/>
              <w:szCs w:val="36"/>
            </w:rPr>
            <w:t>2</w:t>
          </w:r>
          <w:r>
            <w:rPr>
              <w:rFonts w:hint="eastAsia" w:ascii="仿宋" w:hAnsi="仿宋" w:eastAsia="仿宋" w:cs="仿宋"/>
              <w:sz w:val="28"/>
              <w:szCs w:val="36"/>
            </w:rPr>
            <w:fldChar w:fldCharType="end"/>
          </w:r>
          <w:r>
            <w:rPr>
              <w:rFonts w:hint="eastAsia" w:ascii="仿宋" w:hAnsi="仿宋" w:eastAsia="仿宋" w:cs="仿宋"/>
              <w:sz w:val="28"/>
              <w:szCs w:val="36"/>
            </w:rPr>
            <w:fldChar w:fldCharType="end"/>
          </w:r>
        </w:p>
        <w:p w14:paraId="318DDC00">
          <w:pPr>
            <w:pStyle w:val="14"/>
            <w:tabs>
              <w:tab w:val="right" w:leader="dot" w:pos="8306"/>
              <w:tab w:val="clear" w:pos="8296"/>
            </w:tabs>
            <w:rPr>
              <w:rFonts w:hint="eastAsia" w:ascii="仿宋" w:hAnsi="仿宋" w:eastAsia="仿宋" w:cs="仿宋"/>
              <w:sz w:val="28"/>
              <w:szCs w:val="36"/>
            </w:rPr>
          </w:pP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HYPERLINK \l _Toc3409 </w:instrText>
          </w:r>
          <w:r>
            <w:rPr>
              <w:rFonts w:hint="eastAsia" w:ascii="仿宋" w:hAnsi="仿宋" w:eastAsia="仿宋" w:cs="仿宋"/>
              <w:sz w:val="28"/>
              <w:szCs w:val="36"/>
            </w:rPr>
            <w:fldChar w:fldCharType="separate"/>
          </w:r>
          <w:r>
            <w:rPr>
              <w:rFonts w:hint="eastAsia" w:ascii="仿宋" w:hAnsi="仿宋" w:eastAsia="仿宋" w:cs="仿宋"/>
              <w:sz w:val="28"/>
              <w:szCs w:val="36"/>
            </w:rPr>
            <w:t>二、机</w:t>
          </w:r>
          <w:r>
            <w:rPr>
              <w:rFonts w:hint="eastAsia" w:ascii="仿宋" w:hAnsi="仿宋" w:eastAsia="仿宋" w:cs="仿宋"/>
              <w:bCs w:val="0"/>
              <w:sz w:val="28"/>
              <w:szCs w:val="36"/>
            </w:rPr>
            <w:t>构设置</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_Toc3409 \h </w:instrText>
          </w:r>
          <w:r>
            <w:rPr>
              <w:rFonts w:hint="eastAsia" w:ascii="仿宋" w:hAnsi="仿宋" w:eastAsia="仿宋" w:cs="仿宋"/>
              <w:sz w:val="28"/>
              <w:szCs w:val="36"/>
            </w:rPr>
            <w:fldChar w:fldCharType="separate"/>
          </w:r>
          <w:r>
            <w:rPr>
              <w:rFonts w:hint="eastAsia" w:ascii="仿宋" w:hAnsi="仿宋" w:eastAsia="仿宋" w:cs="仿宋"/>
              <w:sz w:val="28"/>
              <w:szCs w:val="36"/>
            </w:rPr>
            <w:t>3</w:t>
          </w:r>
          <w:r>
            <w:rPr>
              <w:rFonts w:hint="eastAsia" w:ascii="仿宋" w:hAnsi="仿宋" w:eastAsia="仿宋" w:cs="仿宋"/>
              <w:sz w:val="28"/>
              <w:szCs w:val="36"/>
            </w:rPr>
            <w:fldChar w:fldCharType="end"/>
          </w:r>
          <w:r>
            <w:rPr>
              <w:rFonts w:hint="eastAsia" w:ascii="仿宋" w:hAnsi="仿宋" w:eastAsia="仿宋" w:cs="仿宋"/>
              <w:sz w:val="28"/>
              <w:szCs w:val="36"/>
            </w:rPr>
            <w:fldChar w:fldCharType="end"/>
          </w:r>
        </w:p>
        <w:p w14:paraId="4741B56C">
          <w:pPr>
            <w:pStyle w:val="12"/>
            <w:tabs>
              <w:tab w:val="right" w:leader="dot" w:pos="8306"/>
              <w:tab w:val="clear" w:pos="8296"/>
            </w:tabs>
            <w:rPr>
              <w:rFonts w:hint="eastAsia" w:ascii="仿宋" w:hAnsi="仿宋" w:eastAsia="仿宋" w:cs="仿宋"/>
              <w:sz w:val="40"/>
              <w:szCs w:val="40"/>
            </w:rPr>
          </w:pPr>
          <w:r>
            <w:rPr>
              <w:rFonts w:hint="eastAsia" w:ascii="仿宋" w:hAnsi="仿宋" w:eastAsia="仿宋" w:cs="仿宋"/>
              <w:sz w:val="40"/>
              <w:szCs w:val="40"/>
            </w:rPr>
            <w:fldChar w:fldCharType="begin"/>
          </w:r>
          <w:r>
            <w:rPr>
              <w:rFonts w:hint="eastAsia" w:ascii="仿宋" w:hAnsi="仿宋" w:eastAsia="仿宋" w:cs="仿宋"/>
              <w:sz w:val="40"/>
              <w:szCs w:val="40"/>
            </w:rPr>
            <w:instrText xml:space="preserve"> HYPERLINK \l _Toc24906 </w:instrText>
          </w:r>
          <w:r>
            <w:rPr>
              <w:rFonts w:hint="eastAsia" w:ascii="仿宋" w:hAnsi="仿宋" w:eastAsia="仿宋" w:cs="仿宋"/>
              <w:sz w:val="40"/>
              <w:szCs w:val="40"/>
            </w:rPr>
            <w:fldChar w:fldCharType="separate"/>
          </w:r>
          <w:r>
            <w:rPr>
              <w:rFonts w:hint="eastAsia" w:ascii="仿宋" w:hAnsi="仿宋" w:eastAsia="仿宋" w:cs="仿宋"/>
              <w:sz w:val="40"/>
              <w:szCs w:val="40"/>
            </w:rPr>
            <w:t>第二部分2024年度部门决算情况说明</w:t>
          </w:r>
          <w:r>
            <w:rPr>
              <w:rFonts w:hint="eastAsia" w:ascii="仿宋" w:hAnsi="仿宋" w:eastAsia="仿宋" w:cs="仿宋"/>
              <w:sz w:val="40"/>
              <w:szCs w:val="40"/>
            </w:rPr>
            <w:tab/>
          </w:r>
          <w:r>
            <w:rPr>
              <w:rFonts w:hint="eastAsia" w:ascii="仿宋" w:hAnsi="仿宋" w:eastAsia="仿宋" w:cs="仿宋"/>
              <w:sz w:val="40"/>
              <w:szCs w:val="40"/>
            </w:rPr>
            <w:fldChar w:fldCharType="begin"/>
          </w:r>
          <w:r>
            <w:rPr>
              <w:rFonts w:hint="eastAsia" w:ascii="仿宋" w:hAnsi="仿宋" w:eastAsia="仿宋" w:cs="仿宋"/>
              <w:sz w:val="40"/>
              <w:szCs w:val="40"/>
            </w:rPr>
            <w:instrText xml:space="preserve"> PAGEREF _Toc24906 \h </w:instrText>
          </w:r>
          <w:r>
            <w:rPr>
              <w:rFonts w:hint="eastAsia" w:ascii="仿宋" w:hAnsi="仿宋" w:eastAsia="仿宋" w:cs="仿宋"/>
              <w:sz w:val="40"/>
              <w:szCs w:val="40"/>
            </w:rPr>
            <w:fldChar w:fldCharType="separate"/>
          </w:r>
          <w:r>
            <w:rPr>
              <w:rFonts w:hint="eastAsia" w:ascii="仿宋" w:hAnsi="仿宋" w:eastAsia="仿宋" w:cs="仿宋"/>
              <w:sz w:val="40"/>
              <w:szCs w:val="40"/>
            </w:rPr>
            <w:t>4</w:t>
          </w:r>
          <w:r>
            <w:rPr>
              <w:rFonts w:hint="eastAsia" w:ascii="仿宋" w:hAnsi="仿宋" w:eastAsia="仿宋" w:cs="仿宋"/>
              <w:sz w:val="40"/>
              <w:szCs w:val="40"/>
            </w:rPr>
            <w:fldChar w:fldCharType="end"/>
          </w:r>
          <w:r>
            <w:rPr>
              <w:rFonts w:hint="eastAsia" w:ascii="仿宋" w:hAnsi="仿宋" w:eastAsia="仿宋" w:cs="仿宋"/>
              <w:sz w:val="40"/>
              <w:szCs w:val="40"/>
            </w:rPr>
            <w:fldChar w:fldCharType="end"/>
          </w:r>
        </w:p>
        <w:p w14:paraId="6E5FB392">
          <w:pPr>
            <w:pStyle w:val="14"/>
            <w:tabs>
              <w:tab w:val="right" w:leader="dot" w:pos="8306"/>
              <w:tab w:val="clear" w:pos="8296"/>
            </w:tabs>
            <w:rPr>
              <w:rFonts w:hint="eastAsia" w:ascii="仿宋" w:hAnsi="仿宋" w:eastAsia="仿宋" w:cs="仿宋"/>
              <w:sz w:val="28"/>
              <w:szCs w:val="36"/>
            </w:rPr>
          </w:pP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HYPERLINK \l _Toc28262 </w:instrText>
          </w:r>
          <w:r>
            <w:rPr>
              <w:rFonts w:hint="eastAsia" w:ascii="仿宋" w:hAnsi="仿宋" w:eastAsia="仿宋" w:cs="仿宋"/>
              <w:sz w:val="28"/>
              <w:szCs w:val="36"/>
            </w:rPr>
            <w:fldChar w:fldCharType="separate"/>
          </w:r>
          <w:r>
            <w:rPr>
              <w:rFonts w:hint="eastAsia" w:ascii="仿宋" w:hAnsi="仿宋" w:eastAsia="仿宋" w:cs="仿宋"/>
              <w:sz w:val="28"/>
              <w:szCs w:val="44"/>
            </w:rPr>
            <w:t>一、收</w:t>
          </w:r>
          <w:r>
            <w:rPr>
              <w:rFonts w:hint="eastAsia" w:ascii="仿宋" w:hAnsi="仿宋" w:eastAsia="仿宋" w:cs="仿宋"/>
              <w:sz w:val="28"/>
              <w:szCs w:val="36"/>
            </w:rPr>
            <w:t>入支出决算总体情况说明</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_Toc28262 \h </w:instrText>
          </w:r>
          <w:r>
            <w:rPr>
              <w:rFonts w:hint="eastAsia" w:ascii="仿宋" w:hAnsi="仿宋" w:eastAsia="仿宋" w:cs="仿宋"/>
              <w:sz w:val="28"/>
              <w:szCs w:val="36"/>
            </w:rPr>
            <w:fldChar w:fldCharType="separate"/>
          </w:r>
          <w:r>
            <w:rPr>
              <w:rFonts w:hint="eastAsia" w:ascii="仿宋" w:hAnsi="仿宋" w:eastAsia="仿宋" w:cs="仿宋"/>
              <w:sz w:val="28"/>
              <w:szCs w:val="36"/>
            </w:rPr>
            <w:t>4</w:t>
          </w:r>
          <w:r>
            <w:rPr>
              <w:rFonts w:hint="eastAsia" w:ascii="仿宋" w:hAnsi="仿宋" w:eastAsia="仿宋" w:cs="仿宋"/>
              <w:sz w:val="28"/>
              <w:szCs w:val="36"/>
            </w:rPr>
            <w:fldChar w:fldCharType="end"/>
          </w:r>
          <w:r>
            <w:rPr>
              <w:rFonts w:hint="eastAsia" w:ascii="仿宋" w:hAnsi="仿宋" w:eastAsia="仿宋" w:cs="仿宋"/>
              <w:sz w:val="28"/>
              <w:szCs w:val="36"/>
            </w:rPr>
            <w:fldChar w:fldCharType="end"/>
          </w:r>
        </w:p>
        <w:p w14:paraId="03C08FB1">
          <w:pPr>
            <w:pStyle w:val="14"/>
            <w:tabs>
              <w:tab w:val="right" w:leader="dot" w:pos="8306"/>
              <w:tab w:val="clear" w:pos="8296"/>
            </w:tabs>
            <w:rPr>
              <w:rFonts w:hint="eastAsia" w:ascii="仿宋" w:hAnsi="仿宋" w:eastAsia="仿宋" w:cs="仿宋"/>
              <w:sz w:val="28"/>
              <w:szCs w:val="36"/>
            </w:rPr>
          </w:pP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HYPERLINK \l _Toc4372 </w:instrText>
          </w:r>
          <w:r>
            <w:rPr>
              <w:rFonts w:hint="eastAsia" w:ascii="仿宋" w:hAnsi="仿宋" w:eastAsia="仿宋" w:cs="仿宋"/>
              <w:sz w:val="28"/>
              <w:szCs w:val="36"/>
            </w:rPr>
            <w:fldChar w:fldCharType="separate"/>
          </w:r>
          <w:r>
            <w:rPr>
              <w:rFonts w:hint="eastAsia" w:ascii="仿宋" w:hAnsi="仿宋" w:eastAsia="仿宋" w:cs="仿宋"/>
              <w:sz w:val="28"/>
              <w:szCs w:val="44"/>
            </w:rPr>
            <w:t>二、收入决算情况说明</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_Toc4372 \h </w:instrText>
          </w:r>
          <w:r>
            <w:rPr>
              <w:rFonts w:hint="eastAsia" w:ascii="仿宋" w:hAnsi="仿宋" w:eastAsia="仿宋" w:cs="仿宋"/>
              <w:sz w:val="28"/>
              <w:szCs w:val="36"/>
            </w:rPr>
            <w:fldChar w:fldCharType="separate"/>
          </w:r>
          <w:r>
            <w:rPr>
              <w:rFonts w:hint="eastAsia" w:ascii="仿宋" w:hAnsi="仿宋" w:eastAsia="仿宋" w:cs="仿宋"/>
              <w:sz w:val="28"/>
              <w:szCs w:val="36"/>
            </w:rPr>
            <w:t>4</w:t>
          </w:r>
          <w:r>
            <w:rPr>
              <w:rFonts w:hint="eastAsia" w:ascii="仿宋" w:hAnsi="仿宋" w:eastAsia="仿宋" w:cs="仿宋"/>
              <w:sz w:val="28"/>
              <w:szCs w:val="36"/>
            </w:rPr>
            <w:fldChar w:fldCharType="end"/>
          </w:r>
          <w:r>
            <w:rPr>
              <w:rFonts w:hint="eastAsia" w:ascii="仿宋" w:hAnsi="仿宋" w:eastAsia="仿宋" w:cs="仿宋"/>
              <w:sz w:val="28"/>
              <w:szCs w:val="36"/>
            </w:rPr>
            <w:fldChar w:fldCharType="end"/>
          </w:r>
        </w:p>
        <w:p w14:paraId="4A2D8A7B">
          <w:pPr>
            <w:pStyle w:val="14"/>
            <w:tabs>
              <w:tab w:val="right" w:leader="dot" w:pos="8306"/>
              <w:tab w:val="clear" w:pos="8296"/>
            </w:tabs>
            <w:rPr>
              <w:rFonts w:hint="eastAsia" w:ascii="仿宋" w:hAnsi="仿宋" w:eastAsia="仿宋" w:cs="仿宋"/>
              <w:sz w:val="28"/>
              <w:szCs w:val="36"/>
            </w:rPr>
          </w:pP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HYPERLINK \l _Toc14827 </w:instrText>
          </w:r>
          <w:r>
            <w:rPr>
              <w:rFonts w:hint="eastAsia" w:ascii="仿宋" w:hAnsi="仿宋" w:eastAsia="仿宋" w:cs="仿宋"/>
              <w:sz w:val="28"/>
              <w:szCs w:val="36"/>
            </w:rPr>
            <w:fldChar w:fldCharType="separate"/>
          </w:r>
          <w:r>
            <w:rPr>
              <w:rFonts w:hint="eastAsia" w:ascii="仿宋" w:hAnsi="仿宋" w:eastAsia="仿宋" w:cs="仿宋"/>
              <w:sz w:val="28"/>
              <w:szCs w:val="44"/>
            </w:rPr>
            <w:t>三、支</w:t>
          </w:r>
          <w:r>
            <w:rPr>
              <w:rFonts w:hint="eastAsia" w:ascii="仿宋" w:hAnsi="仿宋" w:eastAsia="仿宋" w:cs="仿宋"/>
              <w:sz w:val="28"/>
              <w:szCs w:val="36"/>
            </w:rPr>
            <w:t>出决算情况说明</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_Toc14827 \h </w:instrText>
          </w:r>
          <w:r>
            <w:rPr>
              <w:rFonts w:hint="eastAsia" w:ascii="仿宋" w:hAnsi="仿宋" w:eastAsia="仿宋" w:cs="仿宋"/>
              <w:sz w:val="28"/>
              <w:szCs w:val="36"/>
            </w:rPr>
            <w:fldChar w:fldCharType="separate"/>
          </w:r>
          <w:r>
            <w:rPr>
              <w:rFonts w:hint="eastAsia" w:ascii="仿宋" w:hAnsi="仿宋" w:eastAsia="仿宋" w:cs="仿宋"/>
              <w:sz w:val="28"/>
              <w:szCs w:val="36"/>
            </w:rPr>
            <w:t>4</w:t>
          </w:r>
          <w:r>
            <w:rPr>
              <w:rFonts w:hint="eastAsia" w:ascii="仿宋" w:hAnsi="仿宋" w:eastAsia="仿宋" w:cs="仿宋"/>
              <w:sz w:val="28"/>
              <w:szCs w:val="36"/>
            </w:rPr>
            <w:fldChar w:fldCharType="end"/>
          </w:r>
          <w:r>
            <w:rPr>
              <w:rFonts w:hint="eastAsia" w:ascii="仿宋" w:hAnsi="仿宋" w:eastAsia="仿宋" w:cs="仿宋"/>
              <w:sz w:val="28"/>
              <w:szCs w:val="36"/>
            </w:rPr>
            <w:fldChar w:fldCharType="end"/>
          </w:r>
        </w:p>
        <w:p w14:paraId="0DF80E34">
          <w:pPr>
            <w:pStyle w:val="14"/>
            <w:tabs>
              <w:tab w:val="right" w:leader="dot" w:pos="8306"/>
              <w:tab w:val="clear" w:pos="8296"/>
            </w:tabs>
            <w:rPr>
              <w:rFonts w:hint="eastAsia" w:ascii="仿宋" w:hAnsi="仿宋" w:eastAsia="仿宋" w:cs="仿宋"/>
              <w:sz w:val="28"/>
              <w:szCs w:val="36"/>
            </w:rPr>
          </w:pP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HYPERLINK \l _Toc30940 </w:instrText>
          </w:r>
          <w:r>
            <w:rPr>
              <w:rFonts w:hint="eastAsia" w:ascii="仿宋" w:hAnsi="仿宋" w:eastAsia="仿宋" w:cs="仿宋"/>
              <w:sz w:val="28"/>
              <w:szCs w:val="36"/>
            </w:rPr>
            <w:fldChar w:fldCharType="separate"/>
          </w:r>
          <w:r>
            <w:rPr>
              <w:rFonts w:hint="eastAsia" w:ascii="仿宋" w:hAnsi="仿宋" w:eastAsia="仿宋" w:cs="仿宋"/>
              <w:sz w:val="28"/>
              <w:szCs w:val="44"/>
            </w:rPr>
            <w:t>四、财</w:t>
          </w:r>
          <w:r>
            <w:rPr>
              <w:rFonts w:hint="eastAsia" w:ascii="仿宋" w:hAnsi="仿宋" w:eastAsia="仿宋" w:cs="仿宋"/>
              <w:sz w:val="28"/>
              <w:szCs w:val="36"/>
            </w:rPr>
            <w:t>政拨款收入支出决算总体情况说明</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_Toc30940 \h </w:instrText>
          </w:r>
          <w:r>
            <w:rPr>
              <w:rFonts w:hint="eastAsia" w:ascii="仿宋" w:hAnsi="仿宋" w:eastAsia="仿宋" w:cs="仿宋"/>
              <w:sz w:val="28"/>
              <w:szCs w:val="36"/>
            </w:rPr>
            <w:fldChar w:fldCharType="separate"/>
          </w:r>
          <w:r>
            <w:rPr>
              <w:rFonts w:hint="eastAsia" w:ascii="仿宋" w:hAnsi="仿宋" w:eastAsia="仿宋" w:cs="仿宋"/>
              <w:sz w:val="28"/>
              <w:szCs w:val="36"/>
            </w:rPr>
            <w:t>5</w:t>
          </w:r>
          <w:r>
            <w:rPr>
              <w:rFonts w:hint="eastAsia" w:ascii="仿宋" w:hAnsi="仿宋" w:eastAsia="仿宋" w:cs="仿宋"/>
              <w:sz w:val="28"/>
              <w:szCs w:val="36"/>
            </w:rPr>
            <w:fldChar w:fldCharType="end"/>
          </w:r>
          <w:r>
            <w:rPr>
              <w:rFonts w:hint="eastAsia" w:ascii="仿宋" w:hAnsi="仿宋" w:eastAsia="仿宋" w:cs="仿宋"/>
              <w:sz w:val="28"/>
              <w:szCs w:val="36"/>
            </w:rPr>
            <w:fldChar w:fldCharType="end"/>
          </w:r>
        </w:p>
        <w:p w14:paraId="766B3C9C">
          <w:pPr>
            <w:pStyle w:val="14"/>
            <w:tabs>
              <w:tab w:val="right" w:leader="dot" w:pos="8306"/>
              <w:tab w:val="clear" w:pos="8296"/>
            </w:tabs>
            <w:rPr>
              <w:rFonts w:hint="eastAsia" w:ascii="仿宋" w:hAnsi="仿宋" w:eastAsia="仿宋" w:cs="仿宋"/>
              <w:sz w:val="28"/>
              <w:szCs w:val="36"/>
            </w:rPr>
          </w:pP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HYPERLINK \l _Toc8630 </w:instrText>
          </w:r>
          <w:r>
            <w:rPr>
              <w:rFonts w:hint="eastAsia" w:ascii="仿宋" w:hAnsi="仿宋" w:eastAsia="仿宋" w:cs="仿宋"/>
              <w:sz w:val="28"/>
              <w:szCs w:val="36"/>
            </w:rPr>
            <w:fldChar w:fldCharType="separate"/>
          </w:r>
          <w:r>
            <w:rPr>
              <w:rFonts w:hint="eastAsia" w:ascii="仿宋" w:hAnsi="仿宋" w:eastAsia="仿宋" w:cs="仿宋"/>
              <w:sz w:val="28"/>
              <w:szCs w:val="44"/>
            </w:rPr>
            <w:t>五、一</w:t>
          </w:r>
          <w:r>
            <w:rPr>
              <w:rFonts w:hint="eastAsia" w:ascii="仿宋" w:hAnsi="仿宋" w:eastAsia="仿宋" w:cs="仿宋"/>
              <w:sz w:val="28"/>
              <w:szCs w:val="36"/>
            </w:rPr>
            <w:t>般公共预算财政拨款支出决算情况说明</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_Toc8630 \h </w:instrText>
          </w:r>
          <w:r>
            <w:rPr>
              <w:rFonts w:hint="eastAsia" w:ascii="仿宋" w:hAnsi="仿宋" w:eastAsia="仿宋" w:cs="仿宋"/>
              <w:sz w:val="28"/>
              <w:szCs w:val="36"/>
            </w:rPr>
            <w:fldChar w:fldCharType="separate"/>
          </w:r>
          <w:r>
            <w:rPr>
              <w:rFonts w:hint="eastAsia" w:ascii="仿宋" w:hAnsi="仿宋" w:eastAsia="仿宋" w:cs="仿宋"/>
              <w:sz w:val="28"/>
              <w:szCs w:val="36"/>
            </w:rPr>
            <w:t>5</w:t>
          </w:r>
          <w:r>
            <w:rPr>
              <w:rFonts w:hint="eastAsia" w:ascii="仿宋" w:hAnsi="仿宋" w:eastAsia="仿宋" w:cs="仿宋"/>
              <w:sz w:val="28"/>
              <w:szCs w:val="36"/>
            </w:rPr>
            <w:fldChar w:fldCharType="end"/>
          </w:r>
          <w:r>
            <w:rPr>
              <w:rFonts w:hint="eastAsia" w:ascii="仿宋" w:hAnsi="仿宋" w:eastAsia="仿宋" w:cs="仿宋"/>
              <w:sz w:val="28"/>
              <w:szCs w:val="36"/>
            </w:rPr>
            <w:fldChar w:fldCharType="end"/>
          </w:r>
        </w:p>
        <w:p w14:paraId="5A9D2128">
          <w:pPr>
            <w:pStyle w:val="14"/>
            <w:tabs>
              <w:tab w:val="right" w:leader="dot" w:pos="8306"/>
              <w:tab w:val="clear" w:pos="8296"/>
            </w:tabs>
            <w:rPr>
              <w:rFonts w:hint="eastAsia" w:ascii="仿宋" w:hAnsi="仿宋" w:eastAsia="仿宋" w:cs="仿宋"/>
              <w:sz w:val="28"/>
              <w:szCs w:val="36"/>
            </w:rPr>
          </w:pP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HYPERLINK \l _Toc2796 </w:instrText>
          </w:r>
          <w:r>
            <w:rPr>
              <w:rFonts w:hint="eastAsia" w:ascii="仿宋" w:hAnsi="仿宋" w:eastAsia="仿宋" w:cs="仿宋"/>
              <w:sz w:val="28"/>
              <w:szCs w:val="36"/>
            </w:rPr>
            <w:fldChar w:fldCharType="separate"/>
          </w:r>
          <w:r>
            <w:rPr>
              <w:rFonts w:hint="eastAsia" w:ascii="仿宋" w:hAnsi="仿宋" w:eastAsia="仿宋" w:cs="仿宋"/>
              <w:sz w:val="28"/>
              <w:szCs w:val="44"/>
            </w:rPr>
            <w:t>六、一</w:t>
          </w:r>
          <w:r>
            <w:rPr>
              <w:rFonts w:hint="eastAsia" w:ascii="仿宋" w:hAnsi="仿宋" w:eastAsia="仿宋" w:cs="仿宋"/>
              <w:sz w:val="28"/>
              <w:szCs w:val="36"/>
            </w:rPr>
            <w:t>般公共预算财政拨款基本支出决算情况说明</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_Toc2796 \h </w:instrText>
          </w:r>
          <w:r>
            <w:rPr>
              <w:rFonts w:hint="eastAsia" w:ascii="仿宋" w:hAnsi="仿宋" w:eastAsia="仿宋" w:cs="仿宋"/>
              <w:sz w:val="28"/>
              <w:szCs w:val="36"/>
            </w:rPr>
            <w:fldChar w:fldCharType="separate"/>
          </w:r>
          <w:r>
            <w:rPr>
              <w:rFonts w:hint="eastAsia" w:ascii="仿宋" w:hAnsi="仿宋" w:eastAsia="仿宋" w:cs="仿宋"/>
              <w:sz w:val="28"/>
              <w:szCs w:val="36"/>
            </w:rPr>
            <w:t>7</w:t>
          </w:r>
          <w:r>
            <w:rPr>
              <w:rFonts w:hint="eastAsia" w:ascii="仿宋" w:hAnsi="仿宋" w:eastAsia="仿宋" w:cs="仿宋"/>
              <w:sz w:val="28"/>
              <w:szCs w:val="36"/>
            </w:rPr>
            <w:fldChar w:fldCharType="end"/>
          </w:r>
          <w:r>
            <w:rPr>
              <w:rFonts w:hint="eastAsia" w:ascii="仿宋" w:hAnsi="仿宋" w:eastAsia="仿宋" w:cs="仿宋"/>
              <w:sz w:val="28"/>
              <w:szCs w:val="36"/>
            </w:rPr>
            <w:fldChar w:fldCharType="end"/>
          </w:r>
        </w:p>
        <w:p w14:paraId="109F1201">
          <w:pPr>
            <w:pStyle w:val="14"/>
            <w:tabs>
              <w:tab w:val="right" w:leader="dot" w:pos="8306"/>
              <w:tab w:val="clear" w:pos="8296"/>
            </w:tabs>
            <w:rPr>
              <w:rFonts w:hint="eastAsia" w:ascii="仿宋" w:hAnsi="仿宋" w:eastAsia="仿宋" w:cs="仿宋"/>
              <w:sz w:val="28"/>
              <w:szCs w:val="36"/>
            </w:rPr>
          </w:pP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HYPERLINK \l _Toc13996 </w:instrText>
          </w:r>
          <w:r>
            <w:rPr>
              <w:rFonts w:hint="eastAsia" w:ascii="仿宋" w:hAnsi="仿宋" w:eastAsia="仿宋" w:cs="仿宋"/>
              <w:sz w:val="28"/>
              <w:szCs w:val="36"/>
            </w:rPr>
            <w:fldChar w:fldCharType="separate"/>
          </w:r>
          <w:r>
            <w:rPr>
              <w:rFonts w:hint="eastAsia" w:ascii="仿宋" w:hAnsi="仿宋" w:eastAsia="仿宋" w:cs="仿宋"/>
              <w:sz w:val="28"/>
              <w:szCs w:val="44"/>
            </w:rPr>
            <w:t>七、</w:t>
          </w:r>
          <w:r>
            <w:rPr>
              <w:rFonts w:hint="eastAsia" w:ascii="仿宋" w:hAnsi="仿宋" w:eastAsia="仿宋" w:cs="仿宋"/>
              <w:sz w:val="28"/>
              <w:szCs w:val="36"/>
            </w:rPr>
            <w:t>财政拨款“三公”经费支出决算情况说明</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_Toc13996 \h </w:instrText>
          </w:r>
          <w:r>
            <w:rPr>
              <w:rFonts w:hint="eastAsia" w:ascii="仿宋" w:hAnsi="仿宋" w:eastAsia="仿宋" w:cs="仿宋"/>
              <w:sz w:val="28"/>
              <w:szCs w:val="36"/>
            </w:rPr>
            <w:fldChar w:fldCharType="separate"/>
          </w:r>
          <w:r>
            <w:rPr>
              <w:rFonts w:hint="eastAsia" w:ascii="仿宋" w:hAnsi="仿宋" w:eastAsia="仿宋" w:cs="仿宋"/>
              <w:sz w:val="28"/>
              <w:szCs w:val="36"/>
            </w:rPr>
            <w:t>7</w:t>
          </w:r>
          <w:r>
            <w:rPr>
              <w:rFonts w:hint="eastAsia" w:ascii="仿宋" w:hAnsi="仿宋" w:eastAsia="仿宋" w:cs="仿宋"/>
              <w:sz w:val="28"/>
              <w:szCs w:val="36"/>
            </w:rPr>
            <w:fldChar w:fldCharType="end"/>
          </w:r>
          <w:r>
            <w:rPr>
              <w:rFonts w:hint="eastAsia" w:ascii="仿宋" w:hAnsi="仿宋" w:eastAsia="仿宋" w:cs="仿宋"/>
              <w:sz w:val="28"/>
              <w:szCs w:val="36"/>
            </w:rPr>
            <w:fldChar w:fldCharType="end"/>
          </w:r>
        </w:p>
        <w:p w14:paraId="60F5B5AE">
          <w:pPr>
            <w:pStyle w:val="14"/>
            <w:tabs>
              <w:tab w:val="right" w:leader="dot" w:pos="8306"/>
              <w:tab w:val="clear" w:pos="8296"/>
            </w:tabs>
            <w:rPr>
              <w:rFonts w:hint="eastAsia" w:ascii="仿宋" w:hAnsi="仿宋" w:eastAsia="仿宋" w:cs="仿宋"/>
              <w:sz w:val="28"/>
              <w:szCs w:val="36"/>
            </w:rPr>
          </w:pP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HYPERLINK \l _Toc1335 </w:instrText>
          </w:r>
          <w:r>
            <w:rPr>
              <w:rFonts w:hint="eastAsia" w:ascii="仿宋" w:hAnsi="仿宋" w:eastAsia="仿宋" w:cs="仿宋"/>
              <w:sz w:val="28"/>
              <w:szCs w:val="36"/>
            </w:rPr>
            <w:fldChar w:fldCharType="separate"/>
          </w:r>
          <w:r>
            <w:rPr>
              <w:rFonts w:hint="eastAsia" w:ascii="仿宋" w:hAnsi="仿宋" w:eastAsia="仿宋" w:cs="仿宋"/>
              <w:sz w:val="28"/>
              <w:szCs w:val="44"/>
            </w:rPr>
            <w:t>八、</w:t>
          </w:r>
          <w:r>
            <w:rPr>
              <w:rFonts w:hint="eastAsia" w:ascii="仿宋" w:hAnsi="仿宋" w:eastAsia="仿宋" w:cs="仿宋"/>
              <w:sz w:val="28"/>
              <w:szCs w:val="36"/>
            </w:rPr>
            <w:t>政府性基金预算支出决算情况说明</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_Toc1335 \h </w:instrText>
          </w:r>
          <w:r>
            <w:rPr>
              <w:rFonts w:hint="eastAsia" w:ascii="仿宋" w:hAnsi="仿宋" w:eastAsia="仿宋" w:cs="仿宋"/>
              <w:sz w:val="28"/>
              <w:szCs w:val="36"/>
            </w:rPr>
            <w:fldChar w:fldCharType="separate"/>
          </w:r>
          <w:r>
            <w:rPr>
              <w:rFonts w:hint="eastAsia" w:ascii="仿宋" w:hAnsi="仿宋" w:eastAsia="仿宋" w:cs="仿宋"/>
              <w:sz w:val="28"/>
              <w:szCs w:val="36"/>
            </w:rPr>
            <w:t>9</w:t>
          </w:r>
          <w:r>
            <w:rPr>
              <w:rFonts w:hint="eastAsia" w:ascii="仿宋" w:hAnsi="仿宋" w:eastAsia="仿宋" w:cs="仿宋"/>
              <w:sz w:val="28"/>
              <w:szCs w:val="36"/>
            </w:rPr>
            <w:fldChar w:fldCharType="end"/>
          </w:r>
          <w:r>
            <w:rPr>
              <w:rFonts w:hint="eastAsia" w:ascii="仿宋" w:hAnsi="仿宋" w:eastAsia="仿宋" w:cs="仿宋"/>
              <w:sz w:val="28"/>
              <w:szCs w:val="36"/>
            </w:rPr>
            <w:fldChar w:fldCharType="end"/>
          </w:r>
        </w:p>
        <w:p w14:paraId="41D9652A">
          <w:pPr>
            <w:pStyle w:val="14"/>
            <w:tabs>
              <w:tab w:val="right" w:leader="dot" w:pos="8306"/>
              <w:tab w:val="clear" w:pos="8296"/>
            </w:tabs>
            <w:rPr>
              <w:rFonts w:hint="eastAsia" w:ascii="仿宋" w:hAnsi="仿宋" w:eastAsia="仿宋" w:cs="仿宋"/>
              <w:sz w:val="28"/>
              <w:szCs w:val="36"/>
            </w:rPr>
          </w:pP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HYPERLINK \l _Toc19554 </w:instrText>
          </w:r>
          <w:r>
            <w:rPr>
              <w:rFonts w:hint="eastAsia" w:ascii="仿宋" w:hAnsi="仿宋" w:eastAsia="仿宋" w:cs="仿宋"/>
              <w:sz w:val="28"/>
              <w:szCs w:val="36"/>
            </w:rPr>
            <w:fldChar w:fldCharType="separate"/>
          </w:r>
          <w:r>
            <w:rPr>
              <w:rFonts w:hint="eastAsia" w:ascii="仿宋" w:hAnsi="仿宋" w:eastAsia="仿宋" w:cs="仿宋"/>
              <w:sz w:val="28"/>
              <w:szCs w:val="36"/>
            </w:rPr>
            <w:t>九、国有资本经营预算支出决算情况说明</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_Toc19554 \h </w:instrText>
          </w:r>
          <w:r>
            <w:rPr>
              <w:rFonts w:hint="eastAsia" w:ascii="仿宋" w:hAnsi="仿宋" w:eastAsia="仿宋" w:cs="仿宋"/>
              <w:sz w:val="28"/>
              <w:szCs w:val="36"/>
            </w:rPr>
            <w:fldChar w:fldCharType="separate"/>
          </w:r>
          <w:r>
            <w:rPr>
              <w:rFonts w:hint="eastAsia" w:ascii="仿宋" w:hAnsi="仿宋" w:eastAsia="仿宋" w:cs="仿宋"/>
              <w:sz w:val="28"/>
              <w:szCs w:val="36"/>
            </w:rPr>
            <w:t>9</w:t>
          </w:r>
          <w:r>
            <w:rPr>
              <w:rFonts w:hint="eastAsia" w:ascii="仿宋" w:hAnsi="仿宋" w:eastAsia="仿宋" w:cs="仿宋"/>
              <w:sz w:val="28"/>
              <w:szCs w:val="36"/>
            </w:rPr>
            <w:fldChar w:fldCharType="end"/>
          </w:r>
          <w:r>
            <w:rPr>
              <w:rFonts w:hint="eastAsia" w:ascii="仿宋" w:hAnsi="仿宋" w:eastAsia="仿宋" w:cs="仿宋"/>
              <w:sz w:val="28"/>
              <w:szCs w:val="36"/>
            </w:rPr>
            <w:fldChar w:fldCharType="end"/>
          </w:r>
        </w:p>
        <w:p w14:paraId="58EE73A5">
          <w:pPr>
            <w:pStyle w:val="14"/>
            <w:tabs>
              <w:tab w:val="right" w:leader="dot" w:pos="8306"/>
              <w:tab w:val="clear" w:pos="8296"/>
            </w:tabs>
            <w:rPr>
              <w:rFonts w:hint="eastAsia" w:ascii="仿宋" w:hAnsi="仿宋" w:eastAsia="仿宋" w:cs="仿宋"/>
              <w:sz w:val="28"/>
              <w:szCs w:val="36"/>
            </w:rPr>
          </w:pP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HYPERLINK \l _Toc9711 </w:instrText>
          </w:r>
          <w:r>
            <w:rPr>
              <w:rFonts w:hint="eastAsia" w:ascii="仿宋" w:hAnsi="仿宋" w:eastAsia="仿宋" w:cs="仿宋"/>
              <w:sz w:val="28"/>
              <w:szCs w:val="36"/>
            </w:rPr>
            <w:fldChar w:fldCharType="separate"/>
          </w:r>
          <w:r>
            <w:rPr>
              <w:rFonts w:hint="eastAsia" w:ascii="仿宋" w:hAnsi="仿宋" w:eastAsia="仿宋" w:cs="仿宋"/>
              <w:sz w:val="28"/>
              <w:szCs w:val="36"/>
            </w:rPr>
            <w:t>十、其他重要事项的情况说明</w:t>
          </w:r>
          <w:r>
            <w:rPr>
              <w:rFonts w:hint="eastAsia" w:ascii="仿宋" w:hAnsi="仿宋" w:eastAsia="仿宋" w:cs="仿宋"/>
              <w:sz w:val="28"/>
              <w:szCs w:val="36"/>
            </w:rPr>
            <w:tab/>
          </w:r>
          <w:r>
            <w:rPr>
              <w:rFonts w:hint="eastAsia" w:ascii="仿宋" w:hAnsi="仿宋" w:eastAsia="仿宋" w:cs="仿宋"/>
              <w:sz w:val="28"/>
              <w:szCs w:val="36"/>
            </w:rPr>
            <w:fldChar w:fldCharType="begin"/>
          </w:r>
          <w:r>
            <w:rPr>
              <w:rFonts w:hint="eastAsia" w:ascii="仿宋" w:hAnsi="仿宋" w:eastAsia="仿宋" w:cs="仿宋"/>
              <w:sz w:val="28"/>
              <w:szCs w:val="36"/>
            </w:rPr>
            <w:instrText xml:space="preserve"> PAGEREF _Toc9711 \h </w:instrText>
          </w:r>
          <w:r>
            <w:rPr>
              <w:rFonts w:hint="eastAsia" w:ascii="仿宋" w:hAnsi="仿宋" w:eastAsia="仿宋" w:cs="仿宋"/>
              <w:sz w:val="28"/>
              <w:szCs w:val="36"/>
            </w:rPr>
            <w:fldChar w:fldCharType="separate"/>
          </w:r>
          <w:r>
            <w:rPr>
              <w:rFonts w:hint="eastAsia" w:ascii="仿宋" w:hAnsi="仿宋" w:eastAsia="仿宋" w:cs="仿宋"/>
              <w:sz w:val="28"/>
              <w:szCs w:val="36"/>
            </w:rPr>
            <w:t>9</w:t>
          </w:r>
          <w:r>
            <w:rPr>
              <w:rFonts w:hint="eastAsia" w:ascii="仿宋" w:hAnsi="仿宋" w:eastAsia="仿宋" w:cs="仿宋"/>
              <w:sz w:val="28"/>
              <w:szCs w:val="36"/>
            </w:rPr>
            <w:fldChar w:fldCharType="end"/>
          </w:r>
          <w:r>
            <w:rPr>
              <w:rFonts w:hint="eastAsia" w:ascii="仿宋" w:hAnsi="仿宋" w:eastAsia="仿宋" w:cs="仿宋"/>
              <w:sz w:val="28"/>
              <w:szCs w:val="36"/>
            </w:rPr>
            <w:fldChar w:fldCharType="end"/>
          </w:r>
        </w:p>
        <w:p w14:paraId="4CB589F3">
          <w:pPr>
            <w:pStyle w:val="12"/>
            <w:tabs>
              <w:tab w:val="right" w:leader="dot" w:pos="8306"/>
              <w:tab w:val="clear" w:pos="8296"/>
            </w:tabs>
            <w:rPr>
              <w:rFonts w:hint="eastAsia" w:ascii="仿宋" w:hAnsi="仿宋" w:eastAsia="仿宋" w:cs="仿宋"/>
              <w:sz w:val="40"/>
              <w:szCs w:val="40"/>
            </w:rPr>
          </w:pPr>
          <w:r>
            <w:rPr>
              <w:rFonts w:hint="eastAsia" w:ascii="仿宋" w:hAnsi="仿宋" w:eastAsia="仿宋" w:cs="仿宋"/>
              <w:sz w:val="40"/>
              <w:szCs w:val="40"/>
            </w:rPr>
            <w:fldChar w:fldCharType="begin"/>
          </w:r>
          <w:r>
            <w:rPr>
              <w:rFonts w:hint="eastAsia" w:ascii="仿宋" w:hAnsi="仿宋" w:eastAsia="仿宋" w:cs="仿宋"/>
              <w:sz w:val="40"/>
              <w:szCs w:val="40"/>
            </w:rPr>
            <w:instrText xml:space="preserve"> HYPERLINK \l _Toc30156 </w:instrText>
          </w:r>
          <w:r>
            <w:rPr>
              <w:rFonts w:hint="eastAsia" w:ascii="仿宋" w:hAnsi="仿宋" w:eastAsia="仿宋" w:cs="仿宋"/>
              <w:sz w:val="40"/>
              <w:szCs w:val="40"/>
            </w:rPr>
            <w:fldChar w:fldCharType="separate"/>
          </w:r>
          <w:r>
            <w:rPr>
              <w:rFonts w:hint="eastAsia" w:ascii="仿宋" w:hAnsi="仿宋" w:eastAsia="仿宋" w:cs="仿宋"/>
              <w:sz w:val="40"/>
              <w:szCs w:val="40"/>
            </w:rPr>
            <w:t>第三部分名词解释</w:t>
          </w:r>
          <w:r>
            <w:rPr>
              <w:rFonts w:hint="eastAsia" w:ascii="仿宋" w:hAnsi="仿宋" w:eastAsia="仿宋" w:cs="仿宋"/>
              <w:sz w:val="40"/>
              <w:szCs w:val="40"/>
            </w:rPr>
            <w:tab/>
          </w:r>
          <w:r>
            <w:rPr>
              <w:rFonts w:hint="eastAsia" w:ascii="仿宋" w:hAnsi="仿宋" w:eastAsia="仿宋" w:cs="仿宋"/>
              <w:sz w:val="40"/>
              <w:szCs w:val="40"/>
            </w:rPr>
            <w:fldChar w:fldCharType="begin"/>
          </w:r>
          <w:r>
            <w:rPr>
              <w:rFonts w:hint="eastAsia" w:ascii="仿宋" w:hAnsi="仿宋" w:eastAsia="仿宋" w:cs="仿宋"/>
              <w:sz w:val="40"/>
              <w:szCs w:val="40"/>
            </w:rPr>
            <w:instrText xml:space="preserve"> PAGEREF _Toc30156 \h </w:instrText>
          </w:r>
          <w:r>
            <w:rPr>
              <w:rFonts w:hint="eastAsia" w:ascii="仿宋" w:hAnsi="仿宋" w:eastAsia="仿宋" w:cs="仿宋"/>
              <w:sz w:val="40"/>
              <w:szCs w:val="40"/>
            </w:rPr>
            <w:fldChar w:fldCharType="separate"/>
          </w:r>
          <w:r>
            <w:rPr>
              <w:rFonts w:hint="eastAsia" w:ascii="仿宋" w:hAnsi="仿宋" w:eastAsia="仿宋" w:cs="仿宋"/>
              <w:sz w:val="40"/>
              <w:szCs w:val="40"/>
            </w:rPr>
            <w:t>12</w:t>
          </w:r>
          <w:r>
            <w:rPr>
              <w:rFonts w:hint="eastAsia" w:ascii="仿宋" w:hAnsi="仿宋" w:eastAsia="仿宋" w:cs="仿宋"/>
              <w:sz w:val="40"/>
              <w:szCs w:val="40"/>
            </w:rPr>
            <w:fldChar w:fldCharType="end"/>
          </w:r>
          <w:r>
            <w:rPr>
              <w:rFonts w:hint="eastAsia" w:ascii="仿宋" w:hAnsi="仿宋" w:eastAsia="仿宋" w:cs="仿宋"/>
              <w:sz w:val="40"/>
              <w:szCs w:val="40"/>
            </w:rPr>
            <w:fldChar w:fldCharType="end"/>
          </w:r>
        </w:p>
        <w:p w14:paraId="64FF22FD">
          <w:pPr>
            <w:pStyle w:val="12"/>
            <w:tabs>
              <w:tab w:val="right" w:leader="dot" w:pos="8306"/>
              <w:tab w:val="clear" w:pos="8296"/>
            </w:tabs>
            <w:rPr>
              <w:rFonts w:hint="eastAsia" w:ascii="仿宋" w:hAnsi="仿宋" w:eastAsia="仿宋" w:cs="仿宋"/>
              <w:sz w:val="40"/>
              <w:szCs w:val="40"/>
            </w:rPr>
          </w:pPr>
          <w:r>
            <w:rPr>
              <w:rFonts w:hint="eastAsia" w:ascii="仿宋" w:hAnsi="仿宋" w:eastAsia="仿宋" w:cs="仿宋"/>
              <w:sz w:val="40"/>
              <w:szCs w:val="40"/>
            </w:rPr>
            <w:fldChar w:fldCharType="begin"/>
          </w:r>
          <w:r>
            <w:rPr>
              <w:rFonts w:hint="eastAsia" w:ascii="仿宋" w:hAnsi="仿宋" w:eastAsia="仿宋" w:cs="仿宋"/>
              <w:sz w:val="40"/>
              <w:szCs w:val="40"/>
            </w:rPr>
            <w:instrText xml:space="preserve"> HYPERLINK \l _Toc29593 </w:instrText>
          </w:r>
          <w:r>
            <w:rPr>
              <w:rFonts w:hint="eastAsia" w:ascii="仿宋" w:hAnsi="仿宋" w:eastAsia="仿宋" w:cs="仿宋"/>
              <w:sz w:val="40"/>
              <w:szCs w:val="40"/>
            </w:rPr>
            <w:fldChar w:fldCharType="separate"/>
          </w:r>
          <w:r>
            <w:rPr>
              <w:rFonts w:hint="eastAsia" w:ascii="仿宋" w:hAnsi="仿宋" w:eastAsia="仿宋" w:cs="仿宋"/>
              <w:sz w:val="40"/>
              <w:szCs w:val="40"/>
            </w:rPr>
            <w:t>第四部分 附件</w:t>
          </w:r>
          <w:r>
            <w:rPr>
              <w:rFonts w:hint="eastAsia" w:ascii="仿宋" w:hAnsi="仿宋" w:eastAsia="仿宋" w:cs="仿宋"/>
              <w:sz w:val="40"/>
              <w:szCs w:val="40"/>
            </w:rPr>
            <w:tab/>
          </w:r>
          <w:r>
            <w:rPr>
              <w:rFonts w:hint="eastAsia" w:ascii="仿宋" w:hAnsi="仿宋" w:eastAsia="仿宋" w:cs="仿宋"/>
              <w:sz w:val="40"/>
              <w:szCs w:val="40"/>
            </w:rPr>
            <w:fldChar w:fldCharType="begin"/>
          </w:r>
          <w:r>
            <w:rPr>
              <w:rFonts w:hint="eastAsia" w:ascii="仿宋" w:hAnsi="仿宋" w:eastAsia="仿宋" w:cs="仿宋"/>
              <w:sz w:val="40"/>
              <w:szCs w:val="40"/>
            </w:rPr>
            <w:instrText xml:space="preserve"> PAGEREF _Toc29593 \h </w:instrText>
          </w:r>
          <w:r>
            <w:rPr>
              <w:rFonts w:hint="eastAsia" w:ascii="仿宋" w:hAnsi="仿宋" w:eastAsia="仿宋" w:cs="仿宋"/>
              <w:sz w:val="40"/>
              <w:szCs w:val="40"/>
            </w:rPr>
            <w:fldChar w:fldCharType="separate"/>
          </w:r>
          <w:r>
            <w:rPr>
              <w:rFonts w:hint="eastAsia" w:ascii="仿宋" w:hAnsi="仿宋" w:eastAsia="仿宋" w:cs="仿宋"/>
              <w:sz w:val="40"/>
              <w:szCs w:val="40"/>
            </w:rPr>
            <w:t>15</w:t>
          </w:r>
          <w:r>
            <w:rPr>
              <w:rFonts w:hint="eastAsia" w:ascii="仿宋" w:hAnsi="仿宋" w:eastAsia="仿宋" w:cs="仿宋"/>
              <w:sz w:val="40"/>
              <w:szCs w:val="40"/>
            </w:rPr>
            <w:fldChar w:fldCharType="end"/>
          </w:r>
          <w:r>
            <w:rPr>
              <w:rFonts w:hint="eastAsia" w:ascii="仿宋" w:hAnsi="仿宋" w:eastAsia="仿宋" w:cs="仿宋"/>
              <w:sz w:val="40"/>
              <w:szCs w:val="40"/>
            </w:rPr>
            <w:fldChar w:fldCharType="end"/>
          </w:r>
        </w:p>
        <w:p w14:paraId="26A038F7">
          <w:pPr>
            <w:pStyle w:val="12"/>
            <w:tabs>
              <w:tab w:val="right" w:leader="dot" w:pos="8306"/>
              <w:tab w:val="clear" w:pos="8296"/>
            </w:tabs>
          </w:pPr>
          <w:r>
            <w:rPr>
              <w:rFonts w:hint="eastAsia" w:ascii="仿宋" w:hAnsi="仿宋" w:eastAsia="仿宋" w:cs="仿宋"/>
              <w:sz w:val="40"/>
              <w:szCs w:val="40"/>
            </w:rPr>
            <w:fldChar w:fldCharType="begin"/>
          </w:r>
          <w:r>
            <w:rPr>
              <w:rFonts w:hint="eastAsia" w:ascii="仿宋" w:hAnsi="仿宋" w:eastAsia="仿宋" w:cs="仿宋"/>
              <w:sz w:val="40"/>
              <w:szCs w:val="40"/>
            </w:rPr>
            <w:instrText xml:space="preserve"> HYPERLINK \l _Toc26934 </w:instrText>
          </w:r>
          <w:r>
            <w:rPr>
              <w:rFonts w:hint="eastAsia" w:ascii="仿宋" w:hAnsi="仿宋" w:eastAsia="仿宋" w:cs="仿宋"/>
              <w:sz w:val="40"/>
              <w:szCs w:val="40"/>
            </w:rPr>
            <w:fldChar w:fldCharType="separate"/>
          </w:r>
          <w:r>
            <w:rPr>
              <w:rFonts w:hint="eastAsia" w:ascii="仿宋" w:hAnsi="仿宋" w:eastAsia="仿宋" w:cs="仿宋"/>
              <w:sz w:val="40"/>
              <w:szCs w:val="40"/>
            </w:rPr>
            <w:t>第五部分 附表</w:t>
          </w:r>
          <w:r>
            <w:rPr>
              <w:rFonts w:hint="eastAsia" w:ascii="仿宋" w:hAnsi="仿宋" w:eastAsia="仿宋" w:cs="仿宋"/>
              <w:sz w:val="40"/>
              <w:szCs w:val="40"/>
            </w:rPr>
            <w:tab/>
          </w:r>
          <w:r>
            <w:rPr>
              <w:rFonts w:hint="eastAsia" w:ascii="仿宋" w:hAnsi="仿宋" w:eastAsia="仿宋" w:cs="仿宋"/>
              <w:sz w:val="40"/>
              <w:szCs w:val="40"/>
            </w:rPr>
            <w:fldChar w:fldCharType="begin"/>
          </w:r>
          <w:r>
            <w:rPr>
              <w:rFonts w:hint="eastAsia" w:ascii="仿宋" w:hAnsi="仿宋" w:eastAsia="仿宋" w:cs="仿宋"/>
              <w:sz w:val="40"/>
              <w:szCs w:val="40"/>
            </w:rPr>
            <w:instrText xml:space="preserve"> PAGEREF _Toc26934 \h </w:instrText>
          </w:r>
          <w:r>
            <w:rPr>
              <w:rFonts w:hint="eastAsia" w:ascii="仿宋" w:hAnsi="仿宋" w:eastAsia="仿宋" w:cs="仿宋"/>
              <w:sz w:val="40"/>
              <w:szCs w:val="40"/>
            </w:rPr>
            <w:fldChar w:fldCharType="separate"/>
          </w:r>
          <w:r>
            <w:rPr>
              <w:rFonts w:hint="eastAsia" w:ascii="仿宋" w:hAnsi="仿宋" w:eastAsia="仿宋" w:cs="仿宋"/>
              <w:sz w:val="40"/>
              <w:szCs w:val="40"/>
            </w:rPr>
            <w:t>19</w:t>
          </w:r>
          <w:r>
            <w:rPr>
              <w:rFonts w:hint="eastAsia" w:ascii="仿宋" w:hAnsi="仿宋" w:eastAsia="仿宋" w:cs="仿宋"/>
              <w:sz w:val="40"/>
              <w:szCs w:val="40"/>
            </w:rPr>
            <w:fldChar w:fldCharType="end"/>
          </w:r>
          <w:r>
            <w:rPr>
              <w:rFonts w:hint="eastAsia" w:ascii="仿宋" w:hAnsi="仿宋" w:eastAsia="仿宋" w:cs="仿宋"/>
              <w:sz w:val="40"/>
              <w:szCs w:val="40"/>
            </w:rPr>
            <w:fldChar w:fldCharType="end"/>
          </w:r>
        </w:p>
        <w:p w14:paraId="389636F5">
          <w:r>
            <w:fldChar w:fldCharType="end"/>
          </w:r>
        </w:p>
      </w:sdtContent>
    </w:sdt>
    <w:p w14:paraId="0488B4B6"/>
    <w:p w14:paraId="3777D167">
      <w:pPr>
        <w:pStyle w:val="2"/>
        <w:jc w:val="center"/>
        <w:rPr>
          <w:rFonts w:hint="eastAsia" w:ascii="Times New Roman" w:hAnsi="Times New Roman" w:eastAsia="方正小标宋简体" w:cs="方正小标宋简体"/>
          <w:b w:val="0"/>
          <w:sz w:val="40"/>
        </w:rPr>
      </w:pPr>
      <w:bookmarkStart w:id="6" w:name="_Toc13733"/>
      <w:r>
        <w:rPr>
          <w:rFonts w:hint="eastAsia" w:ascii="Times New Roman" w:hAnsi="Times New Roman" w:eastAsia="方正小标宋简体" w:cs="方正小标宋简体"/>
          <w:b w:val="0"/>
          <w:sz w:val="40"/>
        </w:rPr>
        <w:t>第一部分部门概况</w:t>
      </w:r>
      <w:bookmarkEnd w:id="6"/>
    </w:p>
    <w:p w14:paraId="3056D781">
      <w:pPr>
        <w:pStyle w:val="3"/>
        <w:numPr>
          <w:ilvl w:val="0"/>
          <w:numId w:val="1"/>
        </w:numPr>
        <w:rPr>
          <w:rFonts w:ascii="Times New Roman" w:hAnsi="Times New Roman" w:eastAsia="黑体"/>
          <w:b w:val="0"/>
          <w:sz w:val="28"/>
        </w:rPr>
      </w:pPr>
      <w:bookmarkStart w:id="7" w:name="_Toc1790"/>
      <w:bookmarkStart w:id="8" w:name="_Toc5791"/>
      <w:bookmarkStart w:id="9" w:name="_Toc31903"/>
      <w:r>
        <w:rPr>
          <w:rFonts w:hint="eastAsia" w:ascii="Times New Roman" w:hAnsi="Times New Roman" w:eastAsia="黑体"/>
          <w:b w:val="0"/>
          <w:sz w:val="28"/>
        </w:rPr>
        <w:t>部门职责</w:t>
      </w:r>
      <w:bookmarkEnd w:id="7"/>
      <w:bookmarkEnd w:id="8"/>
      <w:bookmarkEnd w:id="9"/>
    </w:p>
    <w:p w14:paraId="54051A36">
      <w:pPr>
        <w:ind w:firstLine="560" w:firstLineChars="200"/>
        <w:rPr>
          <w:rFonts w:eastAsia="仿宋_GB2312"/>
          <w:sz w:val="28"/>
          <w:szCs w:val="32"/>
        </w:rPr>
      </w:pPr>
      <w:r>
        <w:rPr>
          <w:rFonts w:eastAsia="仿宋_GB2312"/>
          <w:sz w:val="28"/>
          <w:szCs w:val="32"/>
        </w:rPr>
        <w:t>（1）</w:t>
      </w:r>
      <w:r>
        <w:rPr>
          <w:rStyle w:val="31"/>
          <w:rFonts w:hint="eastAsia" w:ascii="仿宋_GB2312" w:eastAsia="仿宋_GB2312" w:cs="仿宋_GB2312"/>
          <w:sz w:val="28"/>
          <w:szCs w:val="32"/>
        </w:rPr>
        <w:t>金川县委党校聚焦建设堪当民族复兴重任的高素质干部队伍任务，紧紧围绕办学质量、基础设施、人才队伍建设三方面，扎实推进党校工作。</w:t>
      </w:r>
    </w:p>
    <w:p w14:paraId="22CD7744">
      <w:pPr>
        <w:ind w:firstLine="560" w:firstLineChars="200"/>
        <w:rPr>
          <w:rStyle w:val="31"/>
          <w:rFonts w:ascii="仿宋_GB2312" w:eastAsia="仿宋_GB2312" w:cs="仿宋_GB2312"/>
          <w:sz w:val="28"/>
          <w:szCs w:val="32"/>
        </w:rPr>
      </w:pPr>
      <w:r>
        <w:rPr>
          <w:rFonts w:eastAsia="仿宋_GB2312"/>
          <w:sz w:val="28"/>
          <w:szCs w:val="32"/>
        </w:rPr>
        <w:t>（2）</w:t>
      </w:r>
      <w:r>
        <w:rPr>
          <w:rStyle w:val="31"/>
          <w:rFonts w:hint="eastAsia" w:ascii="仿宋_GB2312" w:eastAsia="仿宋_GB2312" w:cs="仿宋_GB2312"/>
          <w:sz w:val="28"/>
          <w:szCs w:val="32"/>
        </w:rPr>
        <w:t>2024年以来，县委党校坚持质量立校，在抓理论、挖掘特色、人才队伍建设等方面成效显著。一是深化理论研究。我校围绕党的二十大精神研发了系列专题课程，分别为《党的二十大精神解读》、《党章》、《牢记三个务必 走好新时代赶考之路》、《习近平新时代中国特色社会主义思想》、《以中国式现代化推进中华民族伟大复兴》、《伟大建党精神》等，有效发挥智库作用。二是挖掘特色资源。县委党校立足于金川丰富红色资源，深挖长征精神史实，以“红军大学”为办学特色，着力传承好长征精神、讲好红军长征感人故事，在重温长征记忆、传承长征精神的同时，推动学员汲取精神动力，为实现全面建成社会主义现代化建设而不断奋斗。我校以推进“用学术讲政治”教学改革为抓手，围绕“红军长征在金川”的史实，打造了《红色金川》课程。三是建强教师队伍建设。为了提升办学软实力，增强教师理论水平和教学技能，加大对中青年教师的培养力度，争取青年教师外出培训学习机会，选派教师6人到中央党校、嘉兴红船干部学院、省委党校、眉山党校、州委党校等培训。</w:t>
      </w:r>
    </w:p>
    <w:p w14:paraId="65BE4D5C">
      <w:pPr>
        <w:rPr>
          <w:sz w:val="20"/>
        </w:rPr>
      </w:pPr>
    </w:p>
    <w:p w14:paraId="2F5EE207">
      <w:pPr>
        <w:pStyle w:val="3"/>
        <w:rPr>
          <w:rStyle w:val="21"/>
          <w:rFonts w:ascii="Times New Roman" w:hAnsi="Times New Roman"/>
          <w:b w:val="0"/>
          <w:bCs w:val="0"/>
          <w:sz w:val="28"/>
        </w:rPr>
      </w:pPr>
      <w:bookmarkStart w:id="10" w:name="_Toc16074"/>
      <w:bookmarkStart w:id="11" w:name="_Toc17653"/>
      <w:bookmarkStart w:id="12" w:name="_Toc3409"/>
      <w:bookmarkStart w:id="13" w:name="_Toc15396601"/>
      <w:bookmarkStart w:id="14" w:name="_Toc15377200"/>
      <w:r>
        <w:rPr>
          <w:rFonts w:hint="eastAsia" w:ascii="Times New Roman" w:hAnsi="Times New Roman" w:eastAsia="黑体"/>
          <w:b w:val="0"/>
          <w:sz w:val="28"/>
        </w:rPr>
        <w:t>二、机</w:t>
      </w:r>
      <w:r>
        <w:rPr>
          <w:rStyle w:val="21"/>
          <w:rFonts w:hint="eastAsia" w:ascii="Times New Roman" w:hAnsi="Times New Roman" w:eastAsia="黑体"/>
          <w:b w:val="0"/>
          <w:bCs w:val="0"/>
          <w:sz w:val="28"/>
        </w:rPr>
        <w:t>构设置</w:t>
      </w:r>
      <w:bookmarkEnd w:id="10"/>
      <w:bookmarkEnd w:id="11"/>
      <w:bookmarkEnd w:id="12"/>
      <w:bookmarkEnd w:id="13"/>
      <w:bookmarkEnd w:id="14"/>
    </w:p>
    <w:p w14:paraId="2554BE53">
      <w:pPr>
        <w:spacing w:line="576" w:lineRule="exact"/>
        <w:ind w:firstLine="840" w:firstLineChars="300"/>
        <w:rPr>
          <w:rStyle w:val="31"/>
          <w:rFonts w:ascii="仿宋_GB2312" w:eastAsia="仿宋_GB2312" w:cs="仿宋_GB2312"/>
          <w:sz w:val="28"/>
          <w:szCs w:val="32"/>
        </w:rPr>
      </w:pPr>
      <w:r>
        <w:rPr>
          <w:rStyle w:val="31"/>
          <w:rFonts w:hint="eastAsia" w:ascii="仿宋_GB2312" w:eastAsia="仿宋_GB2312" w:cs="仿宋_GB2312"/>
          <w:sz w:val="28"/>
          <w:szCs w:val="32"/>
        </w:rPr>
        <w:t>现有编制数12名，现有教职工11人，其中参公4名，专业技术教师5名，管理1名，工勤1名;高级讲师2名（双定向1名），中级讲师1名，初级讲师2名，高中低职称比例为1:1:2，未达到独立办学职称比例2:4:4，不利于提高教师积极性。为实现第二轮县级党校分类建设改革的顺利完成，需增加编制4人，提升教师质量和能力。</w:t>
      </w:r>
    </w:p>
    <w:p w14:paraId="18128F22">
      <w:pPr>
        <w:rPr>
          <w:rFonts w:hint="eastAsia" w:eastAsia="方正小标宋简体" w:cs="方正小标宋简体"/>
          <w:b w:val="0"/>
          <w:sz w:val="40"/>
        </w:rPr>
      </w:pPr>
      <w:bookmarkStart w:id="15" w:name="_Toc15377204"/>
      <w:bookmarkStart w:id="16" w:name="_Toc15396602"/>
      <w:r>
        <w:rPr>
          <w:rFonts w:hint="eastAsia" w:eastAsia="方正小标宋简体" w:cs="方正小标宋简体"/>
          <w:b w:val="0"/>
          <w:sz w:val="40"/>
        </w:rPr>
        <w:br w:type="page"/>
      </w:r>
    </w:p>
    <w:p w14:paraId="7E4549DB">
      <w:pPr>
        <w:pStyle w:val="2"/>
        <w:jc w:val="center"/>
        <w:rPr>
          <w:rFonts w:eastAsia="方正小标宋简体" w:cs="方正小标宋简体"/>
          <w:b w:val="0"/>
          <w:sz w:val="40"/>
        </w:rPr>
      </w:pPr>
      <w:bookmarkStart w:id="17" w:name="_Toc3065"/>
      <w:bookmarkStart w:id="18" w:name="_Toc8688"/>
      <w:bookmarkStart w:id="19" w:name="_Toc24906"/>
      <w:r>
        <w:rPr>
          <w:rFonts w:hint="eastAsia" w:eastAsia="方正小标宋简体" w:cs="方正小标宋简体"/>
          <w:b w:val="0"/>
          <w:sz w:val="40"/>
        </w:rPr>
        <w:t>第二部分2024年度部门决算情况说明</w:t>
      </w:r>
      <w:bookmarkEnd w:id="15"/>
      <w:bookmarkEnd w:id="16"/>
      <w:bookmarkEnd w:id="17"/>
      <w:bookmarkEnd w:id="18"/>
      <w:bookmarkEnd w:id="19"/>
    </w:p>
    <w:p w14:paraId="06EA22CB">
      <w:pPr>
        <w:rPr>
          <w:sz w:val="20"/>
        </w:rPr>
      </w:pPr>
    </w:p>
    <w:p w14:paraId="5EEDFFA2">
      <w:pPr>
        <w:pStyle w:val="27"/>
        <w:spacing w:line="600" w:lineRule="exact"/>
        <w:outlineLvl w:val="1"/>
        <w:rPr>
          <w:rStyle w:val="21"/>
          <w:rFonts w:ascii="Times New Roman" w:hAnsi="Times New Roman" w:eastAsia="黑体"/>
          <w:b w:val="0"/>
          <w:sz w:val="28"/>
        </w:rPr>
      </w:pPr>
      <w:bookmarkStart w:id="20" w:name="_Toc15377205"/>
      <w:bookmarkStart w:id="21" w:name="_Toc7782"/>
      <w:bookmarkStart w:id="22" w:name="_Toc15396603"/>
      <w:bookmarkStart w:id="23" w:name="_Toc28262"/>
      <w:bookmarkStart w:id="24" w:name="_Toc3130"/>
      <w:r>
        <w:rPr>
          <w:rFonts w:hint="eastAsia" w:eastAsia="黑体"/>
          <w:sz w:val="28"/>
          <w:szCs w:val="32"/>
        </w:rPr>
        <w:t>一、收</w:t>
      </w:r>
      <w:r>
        <w:rPr>
          <w:rStyle w:val="21"/>
          <w:rFonts w:hint="eastAsia" w:ascii="Times New Roman" w:hAnsi="Times New Roman" w:eastAsia="黑体"/>
          <w:b w:val="0"/>
          <w:sz w:val="28"/>
        </w:rPr>
        <w:t>入支出决算总体情况说明</w:t>
      </w:r>
      <w:bookmarkEnd w:id="20"/>
      <w:bookmarkEnd w:id="21"/>
      <w:bookmarkEnd w:id="22"/>
      <w:bookmarkEnd w:id="23"/>
      <w:bookmarkEnd w:id="24"/>
    </w:p>
    <w:p w14:paraId="5BEBDAF7">
      <w:pPr>
        <w:pStyle w:val="27"/>
        <w:spacing w:line="600" w:lineRule="exact"/>
        <w:outlineLvl w:val="1"/>
        <w:rPr>
          <w:rStyle w:val="31"/>
          <w:rFonts w:hint="eastAsia" w:ascii="仿宋_GB2312" w:hAnsi="Times New Roman" w:eastAsia="仿宋_GB2312" w:cs="仿宋_GB2312"/>
          <w:kern w:val="2"/>
          <w:sz w:val="28"/>
          <w:szCs w:val="32"/>
          <w:lang w:val="en-US" w:eastAsia="zh-CN" w:bidi="ar-SA"/>
        </w:rPr>
      </w:pPr>
      <w:bookmarkStart w:id="25" w:name="_Toc12835"/>
      <w:bookmarkStart w:id="26" w:name="_Toc24094"/>
      <w:bookmarkStart w:id="27" w:name="_Toc19607"/>
      <w:bookmarkStart w:id="28" w:name="_Toc6759"/>
      <w:r>
        <w:rPr>
          <w:rStyle w:val="31"/>
          <w:rFonts w:hint="eastAsia" w:ascii="仿宋_GB2312" w:hAnsi="Times New Roman" w:eastAsia="仿宋_GB2312" w:cs="仿宋_GB2312"/>
          <w:kern w:val="2"/>
          <w:sz w:val="28"/>
          <w:szCs w:val="32"/>
          <w:lang w:val="en-US" w:eastAsia="zh-CN" w:bidi="ar-SA"/>
        </w:rPr>
        <w:t>2024年度收入、支出总计均为284.96万元。与2023年度相比，收入、支出总计各增加/减少0万元，增长/下降0%。主要变动原因是.（图1：收入、支出决算总计变动情况图）（柱状图）</w:t>
      </w:r>
      <w:bookmarkEnd w:id="25"/>
      <w:bookmarkEnd w:id="26"/>
      <w:bookmarkEnd w:id="27"/>
      <w:bookmarkEnd w:id="28"/>
    </w:p>
    <w:p w14:paraId="5DDEB72A">
      <w:pPr>
        <w:ind w:firstLine="560" w:firstLineChars="200"/>
        <w:rPr>
          <w:rFonts w:eastAsia="仿宋_GB2312" w:cs="仿宋_GB2312"/>
          <w:sz w:val="28"/>
          <w:szCs w:val="32"/>
        </w:rPr>
      </w:pPr>
    </w:p>
    <w:p w14:paraId="6792748E">
      <w:pPr>
        <w:pStyle w:val="27"/>
        <w:spacing w:line="600" w:lineRule="exact"/>
        <w:outlineLvl w:val="1"/>
        <w:rPr>
          <w:rFonts w:eastAsia="黑体"/>
          <w:sz w:val="28"/>
          <w:szCs w:val="32"/>
        </w:rPr>
      </w:pPr>
      <w:bookmarkStart w:id="29" w:name="_Toc15396604"/>
      <w:bookmarkStart w:id="30" w:name="_Toc15377206"/>
      <w:bookmarkStart w:id="31" w:name="_Toc11026"/>
      <w:bookmarkStart w:id="32" w:name="_Toc14558"/>
      <w:bookmarkStart w:id="33" w:name="_Toc4372"/>
      <w:r>
        <w:rPr>
          <w:rFonts w:hint="eastAsia" w:eastAsia="黑体"/>
          <w:sz w:val="28"/>
          <w:szCs w:val="32"/>
        </w:rPr>
        <w:t>二、收入决算情况说明</w:t>
      </w:r>
      <w:bookmarkEnd w:id="29"/>
      <w:bookmarkEnd w:id="30"/>
      <w:bookmarkEnd w:id="31"/>
      <w:bookmarkEnd w:id="32"/>
      <w:bookmarkEnd w:id="33"/>
    </w:p>
    <w:p w14:paraId="5A6C44F3">
      <w:pPr>
        <w:pStyle w:val="27"/>
        <w:spacing w:line="600" w:lineRule="exact"/>
        <w:outlineLvl w:val="1"/>
        <w:rPr>
          <w:rStyle w:val="31"/>
          <w:rFonts w:hint="eastAsia" w:ascii="仿宋_GB2312" w:hAnsi="Times New Roman" w:eastAsia="仿宋_GB2312" w:cs="仿宋_GB2312"/>
          <w:kern w:val="2"/>
          <w:sz w:val="28"/>
          <w:szCs w:val="32"/>
          <w:lang w:val="en-US" w:eastAsia="zh-CN" w:bidi="ar-SA"/>
        </w:rPr>
      </w:pPr>
      <w:bookmarkStart w:id="34" w:name="_Toc9284"/>
      <w:bookmarkStart w:id="35" w:name="_Toc28486"/>
      <w:bookmarkStart w:id="36" w:name="_Toc8083"/>
      <w:bookmarkStart w:id="37" w:name="_Toc7919"/>
      <w:r>
        <w:rPr>
          <w:rStyle w:val="31"/>
          <w:rFonts w:hint="eastAsia" w:ascii="仿宋_GB2312" w:hAnsi="Times New Roman" w:eastAsia="仿宋_GB2312" w:cs="仿宋_GB2312"/>
          <w:kern w:val="2"/>
          <w:sz w:val="28"/>
          <w:szCs w:val="32"/>
          <w:lang w:val="en-US" w:eastAsia="zh-CN" w:bidi="ar-SA"/>
        </w:rPr>
        <w:t>2024年度本年收入合计284.96万元，其中：一般公共预算财政拨款收入284.96万元，占100%；政府性基金预算财政拨款收入0万元，占0%%；国有资本经营预算财政拨款收入0万元，占0%；上级补助收入0万元，占0%；事业收入0万元，占0%；经营收入0万元，占0%；附属单位上缴收入0万元，占0%；其他收入0万元，占0%。</w:t>
      </w:r>
      <w:bookmarkEnd w:id="34"/>
      <w:bookmarkEnd w:id="35"/>
      <w:bookmarkEnd w:id="36"/>
      <w:bookmarkEnd w:id="37"/>
    </w:p>
    <w:p w14:paraId="198F04E2">
      <w:pPr>
        <w:ind w:firstLine="700" w:firstLineChars="250"/>
        <w:rPr>
          <w:rFonts w:eastAsia="仿宋_GB2312" w:cs="仿宋_GB2312"/>
          <w:sz w:val="28"/>
          <w:szCs w:val="32"/>
        </w:rPr>
      </w:pPr>
      <w:r>
        <w:rPr>
          <w:rFonts w:hint="eastAsia" w:ascii="仿宋_GB2312" w:eastAsia="仿宋_GB2312"/>
          <w:bCs/>
          <w:sz w:val="28"/>
        </w:rPr>
        <w:drawing>
          <wp:anchor distT="0" distB="0" distL="114300" distR="114300" simplePos="0" relativeHeight="251659264" behindDoc="0" locked="0" layoutInCell="1" allowOverlap="1">
            <wp:simplePos x="0" y="0"/>
            <wp:positionH relativeFrom="column">
              <wp:posOffset>193040</wp:posOffset>
            </wp:positionH>
            <wp:positionV relativeFrom="paragraph">
              <wp:posOffset>334645</wp:posOffset>
            </wp:positionV>
            <wp:extent cx="4354830" cy="2298065"/>
            <wp:effectExtent l="0" t="0" r="0" b="0"/>
            <wp:wrapTight wrapText="bothSides">
              <wp:wrapPolygon>
                <wp:start x="-12" y="-25"/>
                <wp:lineTo x="-12" y="21550"/>
                <wp:lineTo x="21577" y="21550"/>
                <wp:lineTo x="21577" y="-25"/>
                <wp:lineTo x="-12" y="-25"/>
              </wp:wrapPolygon>
            </wp:wrapTight>
            <wp:docPr id="1"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Fonts w:hint="eastAsia" w:eastAsia="仿宋_GB2312" w:cs="仿宋_GB2312"/>
          <w:sz w:val="28"/>
          <w:szCs w:val="32"/>
        </w:rPr>
        <w:t>（图2：收入决算结构图）（饼状图）</w:t>
      </w:r>
    </w:p>
    <w:p w14:paraId="4B48CF67">
      <w:pPr>
        <w:pStyle w:val="13"/>
        <w:rPr>
          <w:sz w:val="16"/>
        </w:rPr>
      </w:pPr>
    </w:p>
    <w:p w14:paraId="6E6D0B6B">
      <w:pPr>
        <w:ind w:firstLine="700" w:firstLineChars="250"/>
        <w:rPr>
          <w:rFonts w:eastAsia="仿宋_GB2312" w:cs="仿宋_GB2312"/>
          <w:sz w:val="28"/>
          <w:szCs w:val="32"/>
        </w:rPr>
      </w:pPr>
    </w:p>
    <w:p w14:paraId="5B03721B">
      <w:pPr>
        <w:pStyle w:val="27"/>
        <w:spacing w:line="600" w:lineRule="exact"/>
        <w:outlineLvl w:val="1"/>
        <w:rPr>
          <w:rFonts w:hint="eastAsia" w:eastAsia="黑体"/>
          <w:sz w:val="28"/>
          <w:szCs w:val="32"/>
        </w:rPr>
      </w:pPr>
      <w:bookmarkStart w:id="38" w:name="_Toc15396605"/>
      <w:bookmarkStart w:id="39" w:name="_Toc15377207"/>
      <w:bookmarkStart w:id="40" w:name="_Toc19294"/>
      <w:bookmarkStart w:id="41" w:name="_Toc4165"/>
      <w:bookmarkStart w:id="42" w:name="_Toc14827"/>
    </w:p>
    <w:p w14:paraId="693F25DF">
      <w:pPr>
        <w:pStyle w:val="27"/>
        <w:spacing w:line="600" w:lineRule="exact"/>
        <w:outlineLvl w:val="1"/>
        <w:rPr>
          <w:rFonts w:hint="eastAsia" w:eastAsia="黑体"/>
          <w:sz w:val="28"/>
          <w:szCs w:val="32"/>
        </w:rPr>
      </w:pPr>
    </w:p>
    <w:p w14:paraId="179381B8">
      <w:pPr>
        <w:pStyle w:val="27"/>
        <w:spacing w:line="600" w:lineRule="exact"/>
        <w:outlineLvl w:val="1"/>
        <w:rPr>
          <w:rFonts w:hint="eastAsia" w:eastAsia="黑体"/>
          <w:sz w:val="28"/>
          <w:szCs w:val="32"/>
        </w:rPr>
      </w:pPr>
    </w:p>
    <w:p w14:paraId="240B7FAD">
      <w:pPr>
        <w:pStyle w:val="27"/>
        <w:spacing w:line="600" w:lineRule="exact"/>
        <w:outlineLvl w:val="1"/>
        <w:rPr>
          <w:rFonts w:hint="eastAsia" w:eastAsia="黑体"/>
          <w:sz w:val="28"/>
          <w:szCs w:val="32"/>
        </w:rPr>
      </w:pPr>
    </w:p>
    <w:p w14:paraId="765524C1">
      <w:pPr>
        <w:pStyle w:val="27"/>
        <w:spacing w:line="600" w:lineRule="exact"/>
        <w:outlineLvl w:val="1"/>
        <w:rPr>
          <w:rFonts w:hint="eastAsia" w:eastAsia="黑体"/>
          <w:sz w:val="28"/>
          <w:szCs w:val="32"/>
        </w:rPr>
      </w:pPr>
    </w:p>
    <w:p w14:paraId="31B7F22C">
      <w:pPr>
        <w:pStyle w:val="27"/>
        <w:spacing w:line="600" w:lineRule="exact"/>
        <w:outlineLvl w:val="1"/>
        <w:rPr>
          <w:rStyle w:val="21"/>
          <w:rFonts w:ascii="Times New Roman" w:hAnsi="Times New Roman" w:eastAsia="黑体"/>
          <w:b w:val="0"/>
          <w:sz w:val="28"/>
        </w:rPr>
      </w:pPr>
      <w:r>
        <w:rPr>
          <w:rFonts w:hint="eastAsia" w:eastAsia="黑体"/>
          <w:sz w:val="28"/>
          <w:szCs w:val="32"/>
        </w:rPr>
        <w:t>三、支</w:t>
      </w:r>
      <w:r>
        <w:rPr>
          <w:rStyle w:val="21"/>
          <w:rFonts w:hint="eastAsia" w:ascii="Times New Roman" w:hAnsi="Times New Roman" w:eastAsia="黑体"/>
          <w:b w:val="0"/>
          <w:sz w:val="28"/>
        </w:rPr>
        <w:t>出决算情况说明</w:t>
      </w:r>
      <w:bookmarkEnd w:id="38"/>
      <w:bookmarkEnd w:id="39"/>
      <w:bookmarkEnd w:id="40"/>
      <w:bookmarkEnd w:id="41"/>
      <w:bookmarkEnd w:id="42"/>
    </w:p>
    <w:p w14:paraId="3288B027">
      <w:pPr>
        <w:pStyle w:val="27"/>
        <w:spacing w:line="600" w:lineRule="exact"/>
        <w:outlineLvl w:val="1"/>
        <w:rPr>
          <w:rStyle w:val="31"/>
          <w:rFonts w:hint="eastAsia" w:ascii="仿宋_GB2312" w:hAnsi="Times New Roman" w:eastAsia="仿宋_GB2312" w:cs="仿宋_GB2312"/>
          <w:kern w:val="2"/>
          <w:sz w:val="28"/>
          <w:szCs w:val="32"/>
          <w:lang w:val="en-US" w:eastAsia="zh-CN" w:bidi="ar-SA"/>
        </w:rPr>
      </w:pPr>
      <w:bookmarkStart w:id="43" w:name="_Toc8687"/>
      <w:bookmarkStart w:id="44" w:name="_Toc22547"/>
      <w:bookmarkStart w:id="45" w:name="_Toc6352"/>
      <w:bookmarkStart w:id="46" w:name="_Toc3262"/>
      <w:r>
        <w:rPr>
          <w:rStyle w:val="31"/>
          <w:rFonts w:hint="eastAsia" w:ascii="仿宋_GB2312" w:hAnsi="Times New Roman" w:eastAsia="仿宋_GB2312" w:cs="仿宋_GB2312"/>
          <w:kern w:val="2"/>
          <w:sz w:val="28"/>
          <w:szCs w:val="32"/>
          <w:lang w:val="en-US" w:eastAsia="zh-CN" w:bidi="ar-SA"/>
        </w:rPr>
        <w:t>2024年度本年支出合计284.96万元，其中：基本支出261.5万元，占91.76%；项目支出23.46万元，占8.23%；上缴上级支出0万元，占0%；经营支出0万元，占0%；对附属单位补助支出0万元，占0%%。（注：仅罗列本部门涉及的支出）</w:t>
      </w:r>
      <w:bookmarkEnd w:id="43"/>
      <w:bookmarkEnd w:id="44"/>
      <w:bookmarkEnd w:id="45"/>
      <w:bookmarkEnd w:id="46"/>
    </w:p>
    <w:p w14:paraId="7D7DB69D">
      <w:pPr>
        <w:pStyle w:val="27"/>
        <w:spacing w:line="600" w:lineRule="exact"/>
        <w:outlineLvl w:val="1"/>
        <w:rPr>
          <w:rStyle w:val="31"/>
          <w:rFonts w:hint="eastAsia" w:ascii="仿宋_GB2312" w:hAnsi="Times New Roman" w:eastAsia="仿宋_GB2312" w:cs="仿宋_GB2312"/>
          <w:kern w:val="2"/>
          <w:sz w:val="28"/>
          <w:szCs w:val="32"/>
          <w:lang w:val="en-US" w:eastAsia="zh-CN" w:bidi="ar-SA"/>
        </w:rPr>
      </w:pPr>
      <w:bookmarkStart w:id="47" w:name="_Toc23034"/>
      <w:bookmarkStart w:id="48" w:name="_Toc22783"/>
      <w:bookmarkStart w:id="49" w:name="_Toc5280"/>
      <w:r>
        <w:rPr>
          <w:rStyle w:val="31"/>
          <w:rFonts w:hint="eastAsia" w:ascii="仿宋_GB2312" w:hAnsi="Times New Roman" w:eastAsia="仿宋_GB2312" w:cs="仿宋_GB2312"/>
          <w:kern w:val="2"/>
          <w:sz w:val="28"/>
          <w:szCs w:val="32"/>
          <w:lang w:val="en-US" w:eastAsia="zh-CN" w:bidi="ar-SA"/>
        </w:rPr>
        <w:t>（图3：支出决算结构图）（饼状图）</w:t>
      </w:r>
      <w:bookmarkEnd w:id="47"/>
      <w:bookmarkEnd w:id="48"/>
      <w:bookmarkEnd w:id="49"/>
    </w:p>
    <w:p w14:paraId="73A173BD">
      <w:pPr>
        <w:ind w:firstLine="700" w:firstLineChars="250"/>
        <w:rPr>
          <w:rFonts w:eastAsia="仿宋_GB2312" w:cs="仿宋_GB2312"/>
          <w:sz w:val="28"/>
          <w:szCs w:val="32"/>
        </w:rPr>
      </w:pPr>
      <w:r>
        <w:rPr>
          <w:rFonts w:hint="eastAsia" w:ascii="仿宋_GB2312" w:eastAsia="仿宋_GB2312" w:cs="仿宋_GB2312"/>
          <w:sz w:val="28"/>
          <w:szCs w:val="32"/>
        </w:rPr>
        <w:drawing>
          <wp:inline distT="0" distB="0" distL="114300" distR="114300">
            <wp:extent cx="4867275" cy="1156335"/>
            <wp:effectExtent l="0" t="0" r="0" b="0"/>
            <wp:docPr id="2"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A42C5DD">
      <w:pPr>
        <w:spacing w:line="600" w:lineRule="exact"/>
        <w:ind w:firstLine="560" w:firstLineChars="200"/>
        <w:outlineLvl w:val="1"/>
        <w:rPr>
          <w:rStyle w:val="21"/>
          <w:rFonts w:ascii="Times New Roman" w:hAnsi="Times New Roman" w:eastAsia="黑体"/>
          <w:b w:val="0"/>
          <w:sz w:val="28"/>
        </w:rPr>
      </w:pPr>
      <w:bookmarkStart w:id="50" w:name="_Toc30940"/>
      <w:bookmarkStart w:id="51" w:name="_Toc31557"/>
      <w:bookmarkStart w:id="52" w:name="_Toc28365"/>
      <w:bookmarkStart w:id="53" w:name="_Toc15377208"/>
      <w:bookmarkStart w:id="54" w:name="_Toc15396606"/>
      <w:r>
        <w:rPr>
          <w:rFonts w:hint="eastAsia" w:eastAsia="黑体"/>
          <w:sz w:val="28"/>
          <w:szCs w:val="32"/>
        </w:rPr>
        <w:t>四、财</w:t>
      </w:r>
      <w:r>
        <w:rPr>
          <w:rStyle w:val="21"/>
          <w:rFonts w:hint="eastAsia" w:ascii="Times New Roman" w:hAnsi="Times New Roman" w:eastAsia="黑体"/>
          <w:b w:val="0"/>
          <w:sz w:val="28"/>
        </w:rPr>
        <w:t>政拨款收入支出决算总体情况说明</w:t>
      </w:r>
      <w:bookmarkEnd w:id="50"/>
      <w:bookmarkEnd w:id="51"/>
      <w:bookmarkEnd w:id="52"/>
      <w:bookmarkEnd w:id="53"/>
      <w:bookmarkEnd w:id="54"/>
    </w:p>
    <w:p w14:paraId="612D979C">
      <w:pPr>
        <w:spacing w:line="600" w:lineRule="exact"/>
        <w:ind w:firstLine="640"/>
        <w:rPr>
          <w:rFonts w:eastAsia="仿宋_GB2312" w:cs="仿宋_GB2312"/>
          <w:sz w:val="28"/>
          <w:szCs w:val="32"/>
        </w:rPr>
      </w:pPr>
      <w:r>
        <w:rPr>
          <w:rFonts w:hint="eastAsia" w:eastAsia="仿宋_GB2312" w:cs="仿宋_GB2312"/>
          <w:sz w:val="28"/>
          <w:szCs w:val="32"/>
        </w:rPr>
        <w:t>2024年度财政拨款收入、支出总计均为</w:t>
      </w:r>
      <w:r>
        <w:rPr>
          <w:rFonts w:hint="eastAsia" w:ascii="仿宋_GB2312" w:eastAsia="仿宋_GB2312" w:cs="仿宋_GB2312"/>
          <w:sz w:val="28"/>
          <w:szCs w:val="32"/>
        </w:rPr>
        <w:t>284.96</w:t>
      </w:r>
      <w:r>
        <w:rPr>
          <w:rFonts w:hint="eastAsia" w:eastAsia="仿宋_GB2312" w:cs="仿宋_GB2312"/>
          <w:sz w:val="28"/>
          <w:szCs w:val="32"/>
        </w:rPr>
        <w:t>万元。与2023年度相比，财政拨款收入总计、支出总计各增加/减少万元，增长/下降0%。主要变动原因</w:t>
      </w:r>
    </w:p>
    <w:p w14:paraId="77300D3A">
      <w:pPr>
        <w:spacing w:line="600" w:lineRule="exact"/>
        <w:ind w:firstLine="560" w:firstLineChars="200"/>
        <w:rPr>
          <w:rFonts w:eastAsia="仿宋_GB2312" w:cs="仿宋_GB2312"/>
          <w:sz w:val="28"/>
          <w:szCs w:val="32"/>
        </w:rPr>
      </w:pPr>
      <w:r>
        <w:rPr>
          <w:rFonts w:hint="eastAsia" w:eastAsia="仿宋_GB2312" w:cs="仿宋_GB2312"/>
          <w:sz w:val="28"/>
          <w:szCs w:val="32"/>
        </w:rPr>
        <w:t>（图4：财政拨款收、支决算总计变动情况）（柱状图）</w:t>
      </w:r>
    </w:p>
    <w:p w14:paraId="59AC0E6F">
      <w:pPr>
        <w:spacing w:line="600" w:lineRule="exact"/>
        <w:ind w:firstLine="640"/>
        <w:rPr>
          <w:rFonts w:eastAsia="仿宋_GB2312" w:cs="仿宋_GB2312"/>
          <w:sz w:val="28"/>
          <w:szCs w:val="32"/>
        </w:rPr>
      </w:pPr>
      <w:r>
        <w:rPr>
          <w:rFonts w:hint="eastAsia" w:ascii="黑体" w:eastAsia="黑体"/>
          <w:color w:val="000000"/>
          <w:sz w:val="28"/>
          <w:szCs w:val="32"/>
        </w:rPr>
        <w:drawing>
          <wp:anchor distT="0" distB="0" distL="114300" distR="114300" simplePos="0" relativeHeight="251659264" behindDoc="0" locked="0" layoutInCell="1" allowOverlap="1">
            <wp:simplePos x="0" y="0"/>
            <wp:positionH relativeFrom="column">
              <wp:posOffset>-149225</wp:posOffset>
            </wp:positionH>
            <wp:positionV relativeFrom="paragraph">
              <wp:posOffset>103505</wp:posOffset>
            </wp:positionV>
            <wp:extent cx="5191760" cy="2382520"/>
            <wp:effectExtent l="0" t="0" r="0" b="0"/>
            <wp:wrapSquare wrapText="bothSides"/>
            <wp:docPr id="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14:paraId="34339B2C">
      <w:pPr>
        <w:spacing w:line="600" w:lineRule="exact"/>
        <w:ind w:firstLine="560" w:firstLineChars="200"/>
        <w:outlineLvl w:val="1"/>
        <w:rPr>
          <w:rStyle w:val="21"/>
          <w:rFonts w:ascii="Times New Roman" w:hAnsi="Times New Roman" w:eastAsia="黑体"/>
          <w:b w:val="0"/>
          <w:sz w:val="28"/>
        </w:rPr>
      </w:pPr>
      <w:bookmarkStart w:id="55" w:name="_Toc15396607"/>
      <w:bookmarkStart w:id="56" w:name="_Toc15377209"/>
      <w:bookmarkStart w:id="57" w:name="_Toc14829"/>
      <w:bookmarkStart w:id="58" w:name="_Toc8630"/>
      <w:bookmarkStart w:id="59" w:name="_Toc18834"/>
      <w:r>
        <w:rPr>
          <w:rFonts w:hint="eastAsia" w:eastAsia="黑体"/>
          <w:sz w:val="28"/>
          <w:szCs w:val="32"/>
        </w:rPr>
        <w:t>五、</w:t>
      </w:r>
      <w:r>
        <w:rPr>
          <w:rFonts w:hint="eastAsia" w:eastAsia="黑体"/>
          <w:b/>
          <w:sz w:val="28"/>
          <w:szCs w:val="32"/>
        </w:rPr>
        <w:t>一</w:t>
      </w:r>
      <w:r>
        <w:rPr>
          <w:rStyle w:val="21"/>
          <w:rFonts w:hint="eastAsia" w:ascii="Times New Roman" w:hAnsi="Times New Roman" w:eastAsia="黑体"/>
          <w:b w:val="0"/>
          <w:sz w:val="28"/>
        </w:rPr>
        <w:t>般公共预算财政拨款支出决算情况说明</w:t>
      </w:r>
      <w:bookmarkEnd w:id="55"/>
      <w:bookmarkEnd w:id="56"/>
      <w:bookmarkEnd w:id="57"/>
      <w:bookmarkEnd w:id="58"/>
      <w:bookmarkEnd w:id="59"/>
    </w:p>
    <w:p w14:paraId="15AB15BF">
      <w:pPr>
        <w:spacing w:line="600" w:lineRule="exact"/>
        <w:ind w:firstLine="562" w:firstLineChars="200"/>
        <w:outlineLvl w:val="2"/>
        <w:rPr>
          <w:rFonts w:eastAsia="楷体_GB2312" w:cs="楷体_GB2312"/>
          <w:b/>
          <w:sz w:val="28"/>
          <w:szCs w:val="32"/>
        </w:rPr>
      </w:pPr>
      <w:bookmarkStart w:id="60" w:name="_Toc6416"/>
      <w:bookmarkStart w:id="61" w:name="_Toc15377210"/>
      <w:r>
        <w:rPr>
          <w:rFonts w:hint="eastAsia" w:eastAsia="楷体_GB2312" w:cs="楷体_GB2312"/>
          <w:b/>
          <w:sz w:val="28"/>
          <w:szCs w:val="32"/>
        </w:rPr>
        <w:t>（一）一般公共预算财政拨款支出决算总体情况</w:t>
      </w:r>
      <w:bookmarkEnd w:id="60"/>
      <w:bookmarkEnd w:id="61"/>
    </w:p>
    <w:p w14:paraId="53AD44C8">
      <w:pPr>
        <w:spacing w:line="600" w:lineRule="exact"/>
        <w:ind w:firstLine="640"/>
        <w:rPr>
          <w:rFonts w:eastAsia="仿宋_GB2312" w:cs="仿宋_GB2312"/>
          <w:sz w:val="28"/>
          <w:szCs w:val="32"/>
        </w:rPr>
      </w:pPr>
      <w:r>
        <w:rPr>
          <w:rFonts w:hint="eastAsia" w:ascii="仿宋_GB2312" w:eastAsia="仿宋_GB2312" w:cs="仿宋_GB2312"/>
          <w:sz w:val="28"/>
          <w:szCs w:val="32"/>
        </w:rPr>
        <w:t>2024年度一般公共预算财政拨款支出284.96万元，占本年支出合计的100%。与2023年度相比，一般公共预算财政拨款支出增加/减少0万元，增长/下降0%。主要变动原因是人员减少</w:t>
      </w:r>
    </w:p>
    <w:p w14:paraId="52B35AA2">
      <w:pPr>
        <w:spacing w:line="600" w:lineRule="exact"/>
        <w:ind w:firstLine="640"/>
        <w:rPr>
          <w:rFonts w:eastAsia="仿宋_GB2312" w:cs="仿宋_GB2312"/>
          <w:sz w:val="28"/>
          <w:szCs w:val="32"/>
        </w:rPr>
      </w:pPr>
      <w:r>
        <w:rPr>
          <w:rFonts w:hint="eastAsia" w:eastAsia="仿宋_GB2312" w:cs="仿宋_GB2312"/>
          <w:sz w:val="28"/>
          <w:szCs w:val="32"/>
        </w:rPr>
        <w:t>（图5：一般公共预算财政拨款支出决算变动情况）（柱状图）</w:t>
      </w:r>
    </w:p>
    <w:p w14:paraId="7E4EC063">
      <w:pPr>
        <w:spacing w:line="600" w:lineRule="exact"/>
        <w:ind w:firstLine="640"/>
        <w:rPr>
          <w:rFonts w:eastAsia="仿宋_GB2312" w:cs="仿宋_GB2312"/>
          <w:sz w:val="28"/>
          <w:szCs w:val="32"/>
        </w:rPr>
      </w:pPr>
    </w:p>
    <w:p w14:paraId="6A5E81C3">
      <w:pPr>
        <w:spacing w:line="600" w:lineRule="exact"/>
        <w:ind w:firstLine="562" w:firstLineChars="200"/>
        <w:outlineLvl w:val="2"/>
        <w:rPr>
          <w:rFonts w:eastAsia="楷体_GB2312" w:cs="楷体_GB2312"/>
          <w:b/>
          <w:sz w:val="28"/>
          <w:szCs w:val="32"/>
        </w:rPr>
      </w:pPr>
      <w:bookmarkStart w:id="62" w:name="_Toc15377211"/>
      <w:bookmarkStart w:id="63" w:name="_Toc30990"/>
      <w:r>
        <w:rPr>
          <w:rFonts w:hint="eastAsia" w:eastAsia="楷体_GB2312" w:cs="楷体_GB2312"/>
          <w:b/>
          <w:sz w:val="28"/>
          <w:szCs w:val="32"/>
        </w:rPr>
        <w:t>（二）一般公共预算财政拨款支出决算结构情况</w:t>
      </w:r>
      <w:bookmarkEnd w:id="62"/>
      <w:bookmarkEnd w:id="63"/>
    </w:p>
    <w:p w14:paraId="4553B2B9">
      <w:pPr>
        <w:spacing w:line="600" w:lineRule="exact"/>
        <w:ind w:firstLine="640"/>
        <w:rPr>
          <w:rFonts w:eastAsia="仿宋_GB2312" w:cs="仿宋_GB2312"/>
          <w:sz w:val="28"/>
          <w:szCs w:val="32"/>
        </w:rPr>
      </w:pPr>
      <w:r>
        <w:rPr>
          <w:rFonts w:hint="eastAsia" w:eastAsia="仿宋_GB2312" w:cs="仿宋_GB2312"/>
          <w:sz w:val="28"/>
          <w:szCs w:val="32"/>
        </w:rPr>
        <w:t>2024年度一般公共预算财政拨款支出</w:t>
      </w:r>
      <w:r>
        <w:rPr>
          <w:rFonts w:hint="eastAsia" w:ascii="仿宋_GB2312" w:eastAsia="仿宋_GB2312" w:cs="仿宋_GB2312"/>
          <w:sz w:val="28"/>
          <w:szCs w:val="32"/>
        </w:rPr>
        <w:t>284.96万元</w:t>
      </w:r>
      <w:r>
        <w:rPr>
          <w:rFonts w:hint="eastAsia" w:eastAsia="仿宋_GB2312" w:cs="仿宋_GB2312"/>
          <w:sz w:val="28"/>
          <w:szCs w:val="32"/>
        </w:rPr>
        <w:t>，主要用于以下方面：一般公共服务支出**万元，占**%；教育支出196万元，占68%；科学技术支出0万元，占0%；文化旅游体育与传媒支出0万元，占0%；社会保障和就业支出37.4万元，占13%；卫生健康支出17.38万元，占6%；住房保障支出20.8万元，占7%；（图6：一般公共预算财政拨款支出决算结构）（饼状图）</w:t>
      </w:r>
    </w:p>
    <w:p w14:paraId="164381BD">
      <w:pPr>
        <w:pStyle w:val="13"/>
        <w:rPr>
          <w:rFonts w:eastAsia="仿宋_GB2312" w:cs="仿宋_GB2312"/>
          <w:sz w:val="28"/>
          <w:szCs w:val="32"/>
        </w:rPr>
      </w:pPr>
    </w:p>
    <w:p w14:paraId="307CE4E2">
      <w:pPr>
        <w:pStyle w:val="7"/>
        <w:rPr>
          <w:rFonts w:eastAsia="仿宋_GB2312"/>
          <w:bCs/>
          <w:sz w:val="28"/>
        </w:rPr>
      </w:pPr>
      <w:r>
        <w:rPr>
          <w:rFonts w:eastAsia="仿宋_GB2312"/>
          <w:bCs/>
          <w:sz w:val="28"/>
        </w:rPr>
        <w:drawing>
          <wp:inline distT="0" distB="0" distL="114300" distR="114300">
            <wp:extent cx="5422265" cy="1306830"/>
            <wp:effectExtent l="0" t="0" r="0" b="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6678A73">
      <w:pPr>
        <w:spacing w:line="600" w:lineRule="exact"/>
        <w:ind w:firstLine="562" w:firstLineChars="200"/>
        <w:outlineLvl w:val="2"/>
        <w:rPr>
          <w:rFonts w:eastAsia="楷体_GB2312" w:cs="楷体_GB2312"/>
          <w:b/>
          <w:sz w:val="28"/>
          <w:szCs w:val="32"/>
        </w:rPr>
      </w:pPr>
      <w:bookmarkStart w:id="64" w:name="_Toc25616"/>
      <w:bookmarkStart w:id="65" w:name="_Toc15377212"/>
      <w:r>
        <w:rPr>
          <w:rFonts w:hint="eastAsia" w:eastAsia="楷体_GB2312" w:cs="楷体_GB2312"/>
          <w:b/>
          <w:sz w:val="28"/>
          <w:szCs w:val="32"/>
        </w:rPr>
        <w:t>（三）一般公共预算财政拨款支出决算具体情况</w:t>
      </w:r>
      <w:bookmarkEnd w:id="64"/>
      <w:bookmarkEnd w:id="65"/>
    </w:p>
    <w:p w14:paraId="54650AC6">
      <w:pPr>
        <w:spacing w:line="600" w:lineRule="exact"/>
        <w:ind w:firstLine="640"/>
        <w:rPr>
          <w:rFonts w:eastAsia="仿宋_GB2312" w:cs="仿宋_GB2312"/>
          <w:sz w:val="28"/>
          <w:szCs w:val="32"/>
        </w:rPr>
      </w:pPr>
      <w:bookmarkStart w:id="66" w:name="_Toc15378460"/>
      <w:bookmarkStart w:id="67" w:name="_Toc15377444"/>
      <w:bookmarkStart w:id="68" w:name="_Toc15377213"/>
      <w:r>
        <w:rPr>
          <w:rFonts w:hint="eastAsia" w:eastAsia="仿宋_GB2312" w:cs="仿宋_GB2312"/>
          <w:sz w:val="28"/>
          <w:szCs w:val="32"/>
        </w:rPr>
        <w:t>2024年度一般公共预算财政拨款支出决算数为</w:t>
      </w:r>
      <w:r>
        <w:rPr>
          <w:rFonts w:hint="eastAsia" w:ascii="仿宋_GB2312" w:eastAsia="仿宋_GB2312" w:cs="仿宋_GB2312"/>
          <w:sz w:val="28"/>
          <w:szCs w:val="32"/>
        </w:rPr>
        <w:t>284.96，</w:t>
      </w:r>
      <w:r>
        <w:rPr>
          <w:rFonts w:hint="eastAsia" w:eastAsia="仿宋_GB2312" w:cs="仿宋_GB2312"/>
          <w:sz w:val="28"/>
          <w:szCs w:val="32"/>
        </w:rPr>
        <w:t>完成预算100%。其中：</w:t>
      </w:r>
      <w:bookmarkEnd w:id="66"/>
      <w:bookmarkEnd w:id="67"/>
      <w:bookmarkEnd w:id="68"/>
    </w:p>
    <w:p w14:paraId="44AE0C86">
      <w:pPr>
        <w:numPr>
          <w:ilvl w:val="0"/>
          <w:numId w:val="2"/>
        </w:numPr>
        <w:spacing w:line="600" w:lineRule="exact"/>
        <w:ind w:left="0" w:firstLine="640"/>
        <w:rPr>
          <w:rFonts w:eastAsia="仿宋_GB2312" w:cs="仿宋_GB2312"/>
          <w:sz w:val="28"/>
          <w:szCs w:val="32"/>
        </w:rPr>
      </w:pPr>
      <w:r>
        <w:rPr>
          <w:rFonts w:hint="eastAsia" w:eastAsia="仿宋_GB2312" w:cs="仿宋_GB2312"/>
          <w:sz w:val="28"/>
          <w:szCs w:val="32"/>
        </w:rPr>
        <w:t>一般公共服务（类）205（款）0101（项）：支出决算为284.96万元，完成预算100%，决算数小于/等于预算数的主要原因是无变化</w:t>
      </w:r>
    </w:p>
    <w:p w14:paraId="227B49B9">
      <w:pPr>
        <w:spacing w:line="600" w:lineRule="exact"/>
        <w:rPr>
          <w:rFonts w:eastAsia="仿宋_GB2312" w:cs="仿宋_GB2312"/>
          <w:sz w:val="28"/>
          <w:szCs w:val="32"/>
        </w:rPr>
      </w:pPr>
      <w:r>
        <w:rPr>
          <w:rFonts w:hint="eastAsia" w:eastAsia="仿宋_GB2312" w:cs="仿宋_GB2312"/>
          <w:sz w:val="28"/>
          <w:szCs w:val="32"/>
        </w:rPr>
        <w:t>2.教育（类）205（款）0802（项）: 支出决算为251.47万元，完成预算100%，决算数小于/等于预算数的主要原因是无变化</w:t>
      </w:r>
    </w:p>
    <w:p w14:paraId="68DC66FE">
      <w:pPr>
        <w:spacing w:line="600" w:lineRule="exact"/>
        <w:ind w:firstLine="640"/>
        <w:rPr>
          <w:rFonts w:eastAsia="仿宋_GB2312" w:cs="仿宋_GB2312"/>
          <w:sz w:val="28"/>
          <w:szCs w:val="32"/>
        </w:rPr>
      </w:pPr>
      <w:r>
        <w:rPr>
          <w:rFonts w:hint="eastAsia" w:eastAsia="仿宋_GB2312" w:cs="仿宋_GB2312"/>
          <w:sz w:val="28"/>
          <w:szCs w:val="32"/>
        </w:rPr>
        <w:t>3.科学技术（类）（款）（项）：支出决算为0万元，完成预算0%，决算数小于/等于预算数的主要原因是无此项</w:t>
      </w:r>
    </w:p>
    <w:p w14:paraId="05DD42C1">
      <w:pPr>
        <w:spacing w:line="600" w:lineRule="exact"/>
        <w:ind w:firstLine="640"/>
        <w:rPr>
          <w:rFonts w:eastAsia="仿宋_GB2312" w:cs="仿宋_GB2312"/>
          <w:sz w:val="28"/>
          <w:szCs w:val="32"/>
        </w:rPr>
      </w:pPr>
      <w:r>
        <w:rPr>
          <w:rFonts w:hint="eastAsia" w:eastAsia="仿宋_GB2312" w:cs="仿宋_GB2312"/>
          <w:sz w:val="28"/>
          <w:szCs w:val="32"/>
        </w:rPr>
        <w:t>4.文化旅游体育与传媒（类）（款）（项）：支出决算为*0万元，完成预算0%，决算数小于/等于预算数的主要原因无此项</w:t>
      </w:r>
    </w:p>
    <w:p w14:paraId="4103D200">
      <w:pPr>
        <w:spacing w:line="600" w:lineRule="exact"/>
        <w:ind w:firstLine="640"/>
        <w:rPr>
          <w:rFonts w:eastAsia="仿宋_GB2312" w:cs="仿宋_GB2312"/>
          <w:sz w:val="28"/>
          <w:szCs w:val="32"/>
        </w:rPr>
      </w:pPr>
      <w:r>
        <w:rPr>
          <w:rFonts w:hint="eastAsia" w:eastAsia="仿宋_GB2312" w:cs="仿宋_GB2312"/>
          <w:sz w:val="28"/>
          <w:szCs w:val="32"/>
        </w:rPr>
        <w:t>5.社会保障和就业（类）208（款）01（项）：支出决算为37.4万元，完成预算13%，决算数小于/等于预算数的主要原因无变化</w:t>
      </w:r>
    </w:p>
    <w:p w14:paraId="0D4F3F1B">
      <w:pPr>
        <w:spacing w:line="600" w:lineRule="exact"/>
        <w:ind w:firstLine="640"/>
        <w:rPr>
          <w:rFonts w:eastAsia="仿宋_GB2312" w:cs="仿宋_GB2312"/>
          <w:sz w:val="28"/>
          <w:szCs w:val="32"/>
        </w:rPr>
      </w:pPr>
      <w:r>
        <w:rPr>
          <w:rFonts w:hint="eastAsia" w:eastAsia="仿宋_GB2312" w:cs="仿宋_GB2312"/>
          <w:sz w:val="28"/>
          <w:szCs w:val="32"/>
        </w:rPr>
        <w:t>6.卫生健康（类）（款）（项）：支出决算为0万元，完成预算0%，决算数小于/等于预算数的主要原因无此项</w:t>
      </w:r>
    </w:p>
    <w:p w14:paraId="188A8184">
      <w:pPr>
        <w:spacing w:line="600" w:lineRule="exact"/>
        <w:ind w:firstLine="640"/>
        <w:rPr>
          <w:rFonts w:eastAsia="仿宋_GB2312" w:cs="仿宋_GB2312"/>
          <w:sz w:val="28"/>
          <w:szCs w:val="32"/>
        </w:rPr>
      </w:pPr>
    </w:p>
    <w:p w14:paraId="16D7F331">
      <w:pPr>
        <w:tabs>
          <w:tab w:val="right" w:pos="8306"/>
        </w:tabs>
        <w:spacing w:line="600" w:lineRule="exact"/>
        <w:ind w:firstLine="640"/>
        <w:outlineLvl w:val="1"/>
        <w:rPr>
          <w:rStyle w:val="21"/>
          <w:rFonts w:ascii="Times New Roman" w:hAnsi="Times New Roman"/>
          <w:sz w:val="28"/>
        </w:rPr>
      </w:pPr>
      <w:bookmarkStart w:id="69" w:name="_Toc15396608"/>
      <w:bookmarkStart w:id="70" w:name="_Toc15377214"/>
      <w:bookmarkStart w:id="71" w:name="_Toc14472"/>
      <w:bookmarkStart w:id="72" w:name="_Toc4748"/>
      <w:bookmarkStart w:id="73" w:name="_Toc2796"/>
      <w:r>
        <w:rPr>
          <w:rFonts w:hint="eastAsia" w:eastAsia="黑体"/>
          <w:sz w:val="28"/>
          <w:szCs w:val="32"/>
        </w:rPr>
        <w:t>六</w:t>
      </w:r>
      <w:r>
        <w:rPr>
          <w:rFonts w:hint="eastAsia" w:eastAsia="黑体"/>
          <w:b/>
          <w:sz w:val="28"/>
          <w:szCs w:val="32"/>
        </w:rPr>
        <w:t>、一</w:t>
      </w:r>
      <w:r>
        <w:rPr>
          <w:rStyle w:val="21"/>
          <w:rFonts w:hint="eastAsia" w:ascii="Times New Roman" w:hAnsi="Times New Roman" w:eastAsia="黑体"/>
          <w:b w:val="0"/>
          <w:sz w:val="28"/>
        </w:rPr>
        <w:t>般公共预算财政拨款基本支出决算情况说明</w:t>
      </w:r>
      <w:bookmarkEnd w:id="69"/>
      <w:bookmarkEnd w:id="70"/>
      <w:bookmarkEnd w:id="71"/>
      <w:bookmarkEnd w:id="72"/>
      <w:bookmarkEnd w:id="73"/>
      <w:r>
        <w:rPr>
          <w:rStyle w:val="21"/>
          <w:rFonts w:ascii="Times New Roman" w:hAnsi="Times New Roman" w:eastAsia="黑体"/>
          <w:b w:val="0"/>
          <w:sz w:val="28"/>
        </w:rPr>
        <w:tab/>
      </w:r>
    </w:p>
    <w:p w14:paraId="3E58142C">
      <w:pPr>
        <w:spacing w:line="600" w:lineRule="exact"/>
        <w:ind w:firstLine="640"/>
        <w:rPr>
          <w:rFonts w:eastAsia="仿宋_GB2312" w:cs="仿宋_GB2312"/>
          <w:sz w:val="28"/>
          <w:szCs w:val="32"/>
        </w:rPr>
      </w:pPr>
      <w:r>
        <w:rPr>
          <w:rFonts w:hint="eastAsia" w:eastAsia="仿宋_GB2312" w:cs="仿宋_GB2312"/>
          <w:sz w:val="28"/>
          <w:szCs w:val="32"/>
        </w:rPr>
        <w:t>2024年度一般公共预算财政拨款基本支出</w:t>
      </w:r>
      <w:r>
        <w:rPr>
          <w:rFonts w:hint="eastAsia" w:ascii="仿宋_GB2312" w:eastAsia="仿宋_GB2312" w:cs="仿宋_GB2312"/>
          <w:sz w:val="28"/>
          <w:szCs w:val="32"/>
        </w:rPr>
        <w:t>261.5万</w:t>
      </w:r>
      <w:r>
        <w:rPr>
          <w:rFonts w:hint="eastAsia" w:eastAsia="仿宋_GB2312" w:cs="仿宋_GB2312"/>
          <w:sz w:val="28"/>
          <w:szCs w:val="32"/>
        </w:rPr>
        <w:t>元，其中：</w:t>
      </w:r>
    </w:p>
    <w:p w14:paraId="18FFA397">
      <w:pPr>
        <w:spacing w:line="600" w:lineRule="exact"/>
        <w:ind w:firstLine="640"/>
        <w:rPr>
          <w:rFonts w:eastAsia="仿宋_GB2312" w:cs="仿宋_GB2312"/>
          <w:sz w:val="28"/>
          <w:szCs w:val="32"/>
        </w:rPr>
      </w:pPr>
      <w:r>
        <w:rPr>
          <w:rFonts w:hint="eastAsia" w:eastAsia="仿宋_GB2312" w:cs="仿宋_GB2312"/>
          <w:sz w:val="28"/>
          <w:szCs w:val="32"/>
        </w:rPr>
        <w:t>人员经费</w:t>
      </w:r>
      <w:r>
        <w:rPr>
          <w:rFonts w:hint="eastAsia" w:ascii="仿宋_GB2312" w:eastAsia="仿宋_GB2312" w:cs="仿宋_GB2312"/>
          <w:sz w:val="28"/>
          <w:szCs w:val="32"/>
        </w:rPr>
        <w:t>248.23万</w:t>
      </w:r>
      <w:r>
        <w:rPr>
          <w:rFonts w:hint="eastAsia" w:eastAsia="仿宋_GB2312" w:cs="仿宋_GB2312"/>
          <w:sz w:val="28"/>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eastAsia="仿宋_GB2312" w:cs="仿宋_GB2312"/>
          <w:sz w:val="28"/>
          <w:szCs w:val="32"/>
        </w:rPr>
        <w:br w:type="textWrapping"/>
      </w:r>
      <w:r>
        <w:rPr>
          <w:rFonts w:hint="eastAsia" w:eastAsia="仿宋_GB2312" w:cs="仿宋_GB2312"/>
          <w:sz w:val="28"/>
          <w:szCs w:val="32"/>
        </w:rPr>
        <w:t>　　公用经费</w:t>
      </w:r>
      <w:r>
        <w:rPr>
          <w:rFonts w:hint="eastAsia" w:ascii="仿宋_GB2312" w:eastAsia="仿宋_GB2312" w:cs="仿宋_GB2312"/>
          <w:sz w:val="28"/>
          <w:szCs w:val="32"/>
        </w:rPr>
        <w:t>13.26万</w:t>
      </w:r>
      <w:r>
        <w:rPr>
          <w:rFonts w:hint="eastAsia" w:eastAsia="仿宋_GB2312" w:cs="仿宋_GB2312"/>
          <w:sz w:val="28"/>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189F65B3">
      <w:pPr>
        <w:spacing w:line="600" w:lineRule="exact"/>
        <w:ind w:firstLine="640"/>
        <w:outlineLvl w:val="1"/>
        <w:rPr>
          <w:rStyle w:val="21"/>
          <w:rFonts w:ascii="Times New Roman" w:hAnsi="Times New Roman" w:eastAsia="黑体"/>
          <w:b w:val="0"/>
          <w:sz w:val="28"/>
        </w:rPr>
      </w:pPr>
      <w:bookmarkStart w:id="74" w:name="_Toc15396609"/>
      <w:bookmarkStart w:id="75" w:name="_Toc15377215"/>
      <w:bookmarkStart w:id="76" w:name="_Toc5971"/>
      <w:bookmarkStart w:id="77" w:name="_Toc31917"/>
      <w:bookmarkStart w:id="78" w:name="_Toc13996"/>
      <w:r>
        <w:rPr>
          <w:rFonts w:hint="eastAsia" w:eastAsia="黑体"/>
          <w:sz w:val="28"/>
          <w:szCs w:val="32"/>
        </w:rPr>
        <w:t>七、</w:t>
      </w:r>
      <w:r>
        <w:rPr>
          <w:rStyle w:val="21"/>
          <w:rFonts w:hint="eastAsia" w:ascii="Times New Roman" w:hAnsi="Times New Roman" w:eastAsia="黑体"/>
          <w:b w:val="0"/>
          <w:sz w:val="28"/>
        </w:rPr>
        <w:t>财政拨款</w:t>
      </w:r>
      <w:r>
        <w:rPr>
          <w:rStyle w:val="21"/>
          <w:rFonts w:hint="eastAsia" w:ascii="Times New Roman" w:hAnsi="Times New Roman" w:eastAsia="黑体"/>
          <w:sz w:val="28"/>
        </w:rPr>
        <w:t>“</w:t>
      </w:r>
      <w:r>
        <w:rPr>
          <w:rStyle w:val="21"/>
          <w:rFonts w:hint="eastAsia" w:ascii="Times New Roman" w:hAnsi="Times New Roman" w:eastAsia="黑体"/>
          <w:b w:val="0"/>
          <w:sz w:val="28"/>
        </w:rPr>
        <w:t>三公”经费支出决算情况说明</w:t>
      </w:r>
      <w:bookmarkEnd w:id="74"/>
      <w:bookmarkEnd w:id="75"/>
      <w:bookmarkEnd w:id="76"/>
      <w:bookmarkEnd w:id="77"/>
      <w:bookmarkEnd w:id="78"/>
    </w:p>
    <w:p w14:paraId="4AC78B1D">
      <w:pPr>
        <w:spacing w:line="600" w:lineRule="exact"/>
        <w:ind w:firstLine="562" w:firstLineChars="200"/>
        <w:outlineLvl w:val="2"/>
        <w:rPr>
          <w:rFonts w:eastAsia="楷体_GB2312" w:cs="楷体_GB2312"/>
          <w:b/>
          <w:sz w:val="28"/>
          <w:szCs w:val="32"/>
        </w:rPr>
      </w:pPr>
      <w:bookmarkStart w:id="79" w:name="_Toc15377216"/>
      <w:bookmarkStart w:id="80" w:name="_Toc20557"/>
      <w:r>
        <w:rPr>
          <w:rFonts w:hint="eastAsia" w:eastAsia="楷体_GB2312" w:cs="楷体_GB2312"/>
          <w:b/>
          <w:sz w:val="28"/>
          <w:szCs w:val="32"/>
        </w:rPr>
        <w:t>（一）“三公”经费财政拨款支出决算总体情况说明</w:t>
      </w:r>
      <w:bookmarkEnd w:id="79"/>
      <w:bookmarkEnd w:id="80"/>
    </w:p>
    <w:p w14:paraId="6D5A74FC">
      <w:pPr>
        <w:spacing w:line="600" w:lineRule="exact"/>
        <w:ind w:firstLine="640"/>
        <w:rPr>
          <w:rFonts w:eastAsia="仿宋_GB2312" w:cs="仿宋_GB2312"/>
          <w:sz w:val="28"/>
          <w:szCs w:val="32"/>
        </w:rPr>
      </w:pPr>
      <w:r>
        <w:rPr>
          <w:rFonts w:hint="eastAsia" w:eastAsia="仿宋_GB2312" w:cs="仿宋_GB2312"/>
          <w:sz w:val="28"/>
          <w:szCs w:val="32"/>
        </w:rPr>
        <w:t>2024年度“三公”经费财政拨款支出决算为</w:t>
      </w:r>
      <w:r>
        <w:rPr>
          <w:rFonts w:hint="eastAsia" w:ascii="仿宋_GB2312" w:eastAsia="仿宋_GB2312" w:cs="仿宋_GB2312"/>
          <w:sz w:val="28"/>
          <w:szCs w:val="32"/>
        </w:rPr>
        <w:t>0.75万元，完成预算100%，</w:t>
      </w:r>
      <w:r>
        <w:rPr>
          <w:rFonts w:hint="eastAsia" w:eastAsia="仿宋_GB2312" w:cs="仿宋_GB2312"/>
          <w:sz w:val="28"/>
          <w:szCs w:val="32"/>
        </w:rPr>
        <w:t>较上年度增加/减少0万元，增长/下降0%。决算数小于预算数（或与预算数持平）的主要原因是……</w:t>
      </w:r>
    </w:p>
    <w:p w14:paraId="1AB795EC">
      <w:pPr>
        <w:spacing w:line="600" w:lineRule="exact"/>
        <w:ind w:firstLine="562" w:firstLineChars="200"/>
        <w:outlineLvl w:val="2"/>
        <w:rPr>
          <w:rFonts w:eastAsia="楷体_GB2312" w:cs="楷体_GB2312"/>
          <w:b/>
          <w:sz w:val="28"/>
          <w:szCs w:val="32"/>
        </w:rPr>
      </w:pPr>
      <w:bookmarkStart w:id="81" w:name="_Toc15377217"/>
      <w:bookmarkStart w:id="82" w:name="_Toc10112"/>
      <w:r>
        <w:rPr>
          <w:rFonts w:hint="eastAsia" w:eastAsia="楷体_GB2312" w:cs="楷体_GB2312"/>
          <w:b/>
          <w:sz w:val="28"/>
          <w:szCs w:val="32"/>
        </w:rPr>
        <w:t>（二）“三公”经费财政拨款支出决算具体情况说明</w:t>
      </w:r>
      <w:bookmarkEnd w:id="81"/>
      <w:bookmarkEnd w:id="82"/>
    </w:p>
    <w:p w14:paraId="5D45CF2C">
      <w:pPr>
        <w:spacing w:line="600" w:lineRule="exact"/>
        <w:ind w:firstLine="640"/>
        <w:rPr>
          <w:rFonts w:ascii="仿宋_GB2312" w:eastAsia="仿宋_GB2312" w:cs="仿宋_GB2312"/>
          <w:sz w:val="28"/>
          <w:szCs w:val="32"/>
        </w:rPr>
      </w:pPr>
      <w:r>
        <w:rPr>
          <w:rFonts w:hint="eastAsia" w:ascii="仿宋_GB2312" w:eastAsia="仿宋_GB2312" w:cs="仿宋_GB2312"/>
          <w:sz w:val="28"/>
          <w:szCs w:val="32"/>
        </w:rPr>
        <w:t>2024年度“三公”经费财政拨款支出决算中，因公出国（境）费支出决算0万元，占0%；公务用车购置及运行维护费支出决算0.75万元，占100%；公务接待费支出决算0万元，占0%。具体情况如下：</w:t>
      </w:r>
    </w:p>
    <w:p w14:paraId="7C7CFEC0">
      <w:pPr>
        <w:spacing w:line="600" w:lineRule="exact"/>
        <w:ind w:firstLine="640"/>
        <w:rPr>
          <w:rFonts w:eastAsia="仿宋_GB2312" w:cs="仿宋_GB2312"/>
          <w:sz w:val="28"/>
          <w:szCs w:val="32"/>
        </w:rPr>
      </w:pPr>
      <w:r>
        <w:rPr>
          <w:rFonts w:hint="eastAsia" w:eastAsia="仿宋_GB2312" w:cs="仿宋_GB2312"/>
          <w:sz w:val="28"/>
          <w:szCs w:val="32"/>
        </w:rPr>
        <w:t>（图7：“三公”经费财政拨款支出结构）（饼状图）</w:t>
      </w:r>
    </w:p>
    <w:p w14:paraId="33DEEC9E">
      <w:pPr>
        <w:spacing w:line="600" w:lineRule="exact"/>
        <w:ind w:firstLine="640"/>
        <w:rPr>
          <w:rFonts w:eastAsia="仿宋_GB2312" w:cs="仿宋_GB2312"/>
          <w:sz w:val="28"/>
          <w:szCs w:val="32"/>
        </w:rPr>
      </w:pPr>
      <w:r>
        <w:rPr>
          <w:rFonts w:hint="eastAsia" w:eastAsia="仿宋_GB2312" w:cs="仿宋_GB2312"/>
          <w:b/>
          <w:bCs/>
          <w:sz w:val="28"/>
          <w:szCs w:val="32"/>
        </w:rPr>
        <w:t>1.因公出国（境）经费支出0万元，完成预算0%。</w:t>
      </w:r>
      <w:r>
        <w:rPr>
          <w:rFonts w:hint="eastAsia" w:eastAsia="仿宋_GB2312" w:cs="仿宋_GB2312"/>
          <w:sz w:val="28"/>
          <w:szCs w:val="32"/>
        </w:rPr>
        <w:t>全年安排因公出国（境）团</w:t>
      </w:r>
      <w:r>
        <w:rPr>
          <w:rFonts w:hint="eastAsia" w:ascii="仿宋_GB2312" w:eastAsia="仿宋_GB2312" w:cs="仿宋_GB2312"/>
          <w:sz w:val="28"/>
          <w:szCs w:val="32"/>
        </w:rPr>
        <w:t>组0</w:t>
      </w:r>
      <w:r>
        <w:rPr>
          <w:rFonts w:hint="eastAsia" w:eastAsia="仿宋_GB2312" w:cs="仿宋_GB2312"/>
          <w:sz w:val="28"/>
          <w:szCs w:val="32"/>
        </w:rPr>
        <w:t>次，出国（境）</w:t>
      </w:r>
      <w:r>
        <w:rPr>
          <w:rFonts w:hint="eastAsia" w:ascii="仿宋_GB2312" w:eastAsia="仿宋_GB2312" w:cs="仿宋_GB2312"/>
          <w:sz w:val="28"/>
          <w:szCs w:val="32"/>
        </w:rPr>
        <w:t>0人</w:t>
      </w:r>
      <w:r>
        <w:rPr>
          <w:rFonts w:hint="eastAsia" w:eastAsia="仿宋_GB2312" w:cs="仿宋_GB2312"/>
          <w:sz w:val="28"/>
          <w:szCs w:val="32"/>
        </w:rPr>
        <w:t>。因公出国（境）支出决算比2023年增加/减少0万元，增长/下降0%。主要原因是无变化</w:t>
      </w:r>
    </w:p>
    <w:p w14:paraId="218657E4">
      <w:pPr>
        <w:spacing w:line="600" w:lineRule="exact"/>
        <w:ind w:firstLine="640"/>
        <w:rPr>
          <w:rFonts w:eastAsia="仿宋_GB2312" w:cs="仿宋_GB2312"/>
          <w:sz w:val="28"/>
          <w:szCs w:val="32"/>
        </w:rPr>
      </w:pPr>
      <w:r>
        <w:rPr>
          <w:rFonts w:hint="eastAsia" w:eastAsia="仿宋_GB2312" w:cs="仿宋_GB2312"/>
          <w:sz w:val="28"/>
          <w:szCs w:val="32"/>
        </w:rPr>
        <w:t>开支内容包括：（团组名称、出访地点、取得成效等）</w:t>
      </w:r>
    </w:p>
    <w:p w14:paraId="4BF1229F">
      <w:pPr>
        <w:spacing w:line="600" w:lineRule="exact"/>
        <w:ind w:firstLine="640"/>
        <w:rPr>
          <w:rFonts w:eastAsia="仿宋_GB2312" w:cs="仿宋_GB2312"/>
          <w:sz w:val="28"/>
          <w:szCs w:val="32"/>
        </w:rPr>
      </w:pPr>
      <w:r>
        <w:rPr>
          <w:rFonts w:hint="eastAsia" w:eastAsia="仿宋_GB2312" w:cs="仿宋_GB2312"/>
          <w:b/>
          <w:bCs/>
          <w:sz w:val="28"/>
          <w:szCs w:val="32"/>
        </w:rPr>
        <w:t>2.公务用车购置及运行维护费支出</w:t>
      </w:r>
      <w:r>
        <w:rPr>
          <w:rFonts w:hint="eastAsia" w:ascii="仿宋_GB2312" w:eastAsia="仿宋_GB2312" w:cs="仿宋_GB2312"/>
          <w:b/>
          <w:bCs/>
          <w:sz w:val="28"/>
          <w:szCs w:val="32"/>
        </w:rPr>
        <w:t>0.75万</w:t>
      </w:r>
      <w:r>
        <w:rPr>
          <w:rFonts w:hint="eastAsia" w:eastAsia="仿宋_GB2312" w:cs="仿宋_GB2312"/>
          <w:b/>
          <w:bCs/>
          <w:sz w:val="28"/>
          <w:szCs w:val="32"/>
        </w:rPr>
        <w:t>元，完成预算100%。</w:t>
      </w:r>
      <w:r>
        <w:rPr>
          <w:rFonts w:hint="eastAsia" w:eastAsia="仿宋_GB2312" w:cs="仿宋_GB2312"/>
          <w:sz w:val="28"/>
          <w:szCs w:val="32"/>
        </w:rPr>
        <w:t>公务用车购置及运行维护费支出决算比2023年度增加/减少0万元，增长/下降0%。主要原因是无变化</w:t>
      </w:r>
    </w:p>
    <w:p w14:paraId="22C13BF0">
      <w:pPr>
        <w:spacing w:line="600" w:lineRule="exact"/>
        <w:ind w:firstLine="640"/>
        <w:rPr>
          <w:rFonts w:eastAsia="仿宋_GB2312" w:cs="仿宋_GB2312"/>
          <w:sz w:val="28"/>
          <w:szCs w:val="32"/>
        </w:rPr>
      </w:pPr>
      <w:r>
        <w:rPr>
          <w:rFonts w:hint="eastAsia" w:eastAsia="仿宋_GB2312" w:cs="仿宋_GB2312"/>
          <w:sz w:val="28"/>
          <w:szCs w:val="32"/>
        </w:rPr>
        <w:t>其中：公务用车购置支</w:t>
      </w:r>
      <w:r>
        <w:rPr>
          <w:rFonts w:hint="eastAsia" w:ascii="仿宋_GB2312" w:eastAsia="仿宋_GB2312" w:cs="仿宋_GB2312"/>
          <w:sz w:val="28"/>
          <w:szCs w:val="32"/>
        </w:rPr>
        <w:t>出0</w:t>
      </w:r>
      <w:r>
        <w:rPr>
          <w:rFonts w:hint="eastAsia" w:eastAsia="仿宋_GB2312" w:cs="仿宋_GB2312"/>
          <w:sz w:val="28"/>
          <w:szCs w:val="32"/>
        </w:rPr>
        <w:t>万元。全年按规定更新购置公务用车0辆，其中：轿车0辆、金额0万元，越野车0辆、金额0万元，载客汽车0辆、金额0万元，主要用。截至2024年12月31日，单位共有公务用车1辆，其中：轿车1辆、越野车0辆、载客汽车0辆。</w:t>
      </w:r>
    </w:p>
    <w:p w14:paraId="1CA9E5E2">
      <w:pPr>
        <w:spacing w:line="600" w:lineRule="exact"/>
        <w:ind w:firstLine="640"/>
        <w:rPr>
          <w:rFonts w:eastAsia="仿宋_GB2312" w:cs="仿宋_GB2312"/>
          <w:sz w:val="28"/>
          <w:szCs w:val="32"/>
        </w:rPr>
      </w:pPr>
      <w:r>
        <w:rPr>
          <w:rFonts w:hint="eastAsia" w:eastAsia="仿宋_GB2312" w:cs="仿宋_GB2312"/>
          <w:sz w:val="28"/>
          <w:szCs w:val="32"/>
        </w:rPr>
        <w:t>公务用车运行维护费支</w:t>
      </w:r>
      <w:r>
        <w:rPr>
          <w:rFonts w:hint="eastAsia" w:ascii="仿宋_GB2312" w:eastAsia="仿宋_GB2312" w:cs="仿宋_GB2312"/>
          <w:sz w:val="28"/>
          <w:szCs w:val="32"/>
        </w:rPr>
        <w:t>出0.75</w:t>
      </w:r>
      <w:r>
        <w:rPr>
          <w:rFonts w:hint="eastAsia" w:eastAsia="仿宋_GB2312" w:cs="仿宋_GB2312"/>
          <w:sz w:val="28"/>
          <w:szCs w:val="32"/>
        </w:rPr>
        <w:t>万元。主要用于（具体工作）所需的公务用车燃料费、维修费、过路过桥费、保险费等支出。</w:t>
      </w:r>
    </w:p>
    <w:p w14:paraId="54987016">
      <w:pPr>
        <w:spacing w:line="600" w:lineRule="exact"/>
        <w:ind w:firstLine="640"/>
        <w:rPr>
          <w:rFonts w:eastAsia="仿宋_GB2312" w:cs="仿宋_GB2312"/>
          <w:sz w:val="28"/>
          <w:szCs w:val="32"/>
        </w:rPr>
      </w:pPr>
      <w:r>
        <w:rPr>
          <w:rFonts w:hint="eastAsia" w:eastAsia="仿宋_GB2312" w:cs="仿宋_GB2312"/>
          <w:b/>
          <w:bCs/>
          <w:sz w:val="28"/>
          <w:szCs w:val="32"/>
        </w:rPr>
        <w:t>3.公务接待费支出</w:t>
      </w:r>
      <w:r>
        <w:rPr>
          <w:rFonts w:hint="eastAsia" w:ascii="仿宋_GB2312" w:eastAsia="仿宋_GB2312" w:cs="仿宋_GB2312"/>
          <w:b/>
          <w:bCs/>
          <w:sz w:val="28"/>
          <w:szCs w:val="32"/>
        </w:rPr>
        <w:t>0万</w:t>
      </w:r>
      <w:r>
        <w:rPr>
          <w:rFonts w:hint="eastAsia" w:eastAsia="仿宋_GB2312" w:cs="仿宋_GB2312"/>
          <w:b/>
          <w:bCs/>
          <w:sz w:val="28"/>
          <w:szCs w:val="32"/>
        </w:rPr>
        <w:t>元，完成预算0%。</w:t>
      </w:r>
      <w:r>
        <w:rPr>
          <w:rFonts w:hint="eastAsia" w:eastAsia="仿宋_GB2312" w:cs="仿宋_GB2312"/>
          <w:sz w:val="28"/>
          <w:szCs w:val="32"/>
        </w:rPr>
        <w:t>公务接待费支出决算比2023年度增加/减少0万元，增长/下降0%。主要原因是无变化。其中：</w:t>
      </w:r>
    </w:p>
    <w:p w14:paraId="74B3706C">
      <w:pPr>
        <w:spacing w:line="600" w:lineRule="exact"/>
        <w:ind w:firstLine="640"/>
        <w:rPr>
          <w:rFonts w:eastAsia="仿宋_GB2312" w:cs="仿宋_GB2312"/>
          <w:sz w:val="28"/>
          <w:szCs w:val="32"/>
        </w:rPr>
      </w:pPr>
      <w:r>
        <w:rPr>
          <w:rFonts w:hint="eastAsia" w:eastAsia="仿宋_GB2312" w:cs="仿宋_GB2312"/>
          <w:sz w:val="28"/>
          <w:szCs w:val="32"/>
        </w:rPr>
        <w:t>国内公务接待支</w:t>
      </w:r>
      <w:r>
        <w:rPr>
          <w:rFonts w:hint="eastAsia" w:ascii="仿宋_GB2312" w:eastAsia="仿宋_GB2312" w:cs="仿宋_GB2312"/>
          <w:sz w:val="28"/>
          <w:szCs w:val="32"/>
        </w:rPr>
        <w:t>出0万</w:t>
      </w:r>
      <w:r>
        <w:rPr>
          <w:rFonts w:hint="eastAsia" w:eastAsia="仿宋_GB2312" w:cs="仿宋_GB2312"/>
          <w:sz w:val="28"/>
          <w:szCs w:val="32"/>
        </w:rPr>
        <w:t>元，主要用于(执行公务、开展业务活动开支的交通费、住宿费、用餐费等)。国内公务接</w:t>
      </w:r>
      <w:r>
        <w:rPr>
          <w:rFonts w:hint="eastAsia" w:ascii="仿宋_GB2312" w:eastAsia="仿宋_GB2312" w:cs="仿宋_GB2312"/>
          <w:sz w:val="28"/>
          <w:szCs w:val="32"/>
        </w:rPr>
        <w:t>待0批次，0</w:t>
      </w:r>
      <w:r>
        <w:rPr>
          <w:rFonts w:hint="eastAsia" w:eastAsia="仿宋_GB2312" w:cs="仿宋_GB2312"/>
          <w:sz w:val="28"/>
          <w:szCs w:val="32"/>
        </w:rPr>
        <w:t>人次（不包括陪同人员），共计支出0万元，具体内容包括：（接待具体项目、金额）。</w:t>
      </w:r>
    </w:p>
    <w:p w14:paraId="546613B1">
      <w:pPr>
        <w:spacing w:line="600" w:lineRule="exact"/>
        <w:ind w:firstLine="640"/>
        <w:rPr>
          <w:rFonts w:eastAsia="仿宋_GB2312" w:cs="仿宋_GB2312"/>
          <w:sz w:val="28"/>
          <w:szCs w:val="32"/>
        </w:rPr>
      </w:pPr>
      <w:r>
        <w:rPr>
          <w:rFonts w:hint="eastAsia" w:eastAsia="仿宋_GB2312" w:cs="仿宋_GB2312"/>
          <w:sz w:val="28"/>
          <w:szCs w:val="32"/>
        </w:rPr>
        <w:t>外事接待支</w:t>
      </w:r>
      <w:r>
        <w:rPr>
          <w:rFonts w:hint="eastAsia" w:ascii="仿宋_GB2312" w:eastAsia="仿宋_GB2312" w:cs="仿宋_GB2312"/>
          <w:sz w:val="28"/>
          <w:szCs w:val="32"/>
        </w:rPr>
        <w:t>出0万元，主要用于（具体项目）。外事接待0批次，0人次（不包括陪同人员），共计支出0万</w:t>
      </w:r>
      <w:r>
        <w:rPr>
          <w:rFonts w:hint="eastAsia" w:eastAsia="仿宋_GB2312" w:cs="仿宋_GB2312"/>
          <w:sz w:val="28"/>
          <w:szCs w:val="32"/>
        </w:rPr>
        <w:t>元。</w:t>
      </w:r>
    </w:p>
    <w:p w14:paraId="59E6134F">
      <w:pPr>
        <w:spacing w:line="600" w:lineRule="exact"/>
        <w:ind w:firstLine="640"/>
        <w:rPr>
          <w:rFonts w:eastAsia="仿宋_GB2312" w:cs="仿宋_GB2312"/>
          <w:sz w:val="28"/>
          <w:szCs w:val="32"/>
        </w:rPr>
      </w:pPr>
      <w:bookmarkStart w:id="83" w:name="_Toc15377218"/>
      <w:bookmarkStart w:id="84" w:name="_Toc15396610"/>
    </w:p>
    <w:p w14:paraId="6E8E19FC">
      <w:pPr>
        <w:spacing w:line="600" w:lineRule="exact"/>
        <w:ind w:firstLine="640"/>
        <w:outlineLvl w:val="1"/>
        <w:rPr>
          <w:rStyle w:val="21"/>
          <w:rFonts w:ascii="Times New Roman" w:hAnsi="Times New Roman" w:eastAsia="黑体"/>
          <w:sz w:val="28"/>
        </w:rPr>
      </w:pPr>
      <w:bookmarkStart w:id="85" w:name="_Toc21751"/>
      <w:bookmarkStart w:id="86" w:name="_Toc3343"/>
      <w:bookmarkStart w:id="87" w:name="_Toc1335"/>
      <w:r>
        <w:rPr>
          <w:rFonts w:hint="eastAsia" w:eastAsia="黑体"/>
          <w:sz w:val="28"/>
          <w:szCs w:val="32"/>
        </w:rPr>
        <w:t>八、</w:t>
      </w:r>
      <w:r>
        <w:rPr>
          <w:rStyle w:val="21"/>
          <w:rFonts w:hint="eastAsia" w:ascii="Times New Roman" w:hAnsi="Times New Roman" w:eastAsia="黑体"/>
          <w:b w:val="0"/>
          <w:sz w:val="28"/>
        </w:rPr>
        <w:t>政府性基金预算支出决算情况说明</w:t>
      </w:r>
      <w:bookmarkEnd w:id="83"/>
      <w:bookmarkEnd w:id="84"/>
      <w:bookmarkEnd w:id="85"/>
      <w:bookmarkEnd w:id="86"/>
      <w:bookmarkEnd w:id="87"/>
    </w:p>
    <w:p w14:paraId="54071347">
      <w:pPr>
        <w:spacing w:line="600" w:lineRule="exact"/>
        <w:ind w:firstLine="640"/>
        <w:rPr>
          <w:rFonts w:eastAsia="仿宋_GB2312" w:cs="仿宋_GB2312"/>
          <w:b/>
          <w:bCs/>
          <w:sz w:val="28"/>
          <w:szCs w:val="32"/>
        </w:rPr>
      </w:pPr>
      <w:r>
        <w:rPr>
          <w:rFonts w:hint="eastAsia" w:ascii="仿宋_GB2312" w:eastAsia="仿宋_GB2312" w:cs="仿宋_GB2312"/>
          <w:sz w:val="28"/>
          <w:szCs w:val="32"/>
        </w:rPr>
        <w:t>2024年度政府性基金预算财政拨款支出0万元，占本年支出合计的0%</w:t>
      </w:r>
      <w:r>
        <w:rPr>
          <w:rFonts w:hint="eastAsia" w:eastAsia="仿宋_GB2312" w:cs="仿宋_GB2312"/>
          <w:sz w:val="28"/>
          <w:szCs w:val="32"/>
        </w:rPr>
        <w:t>。与2023年度相比，政府性基金预算财政拨款支出增加/减0万元，增长/下降0%。主要变动原因是</w:t>
      </w:r>
      <w:r>
        <w:rPr>
          <w:rFonts w:hint="eastAsia" w:eastAsia="仿宋_GB2312" w:cs="仿宋_GB2312"/>
          <w:b/>
          <w:bCs/>
          <w:sz w:val="28"/>
          <w:szCs w:val="32"/>
        </w:rPr>
        <w:t>（注：支出数与上年持平可以不写原因）</w:t>
      </w:r>
    </w:p>
    <w:p w14:paraId="63239712">
      <w:pPr>
        <w:spacing w:line="600" w:lineRule="exact"/>
        <w:ind w:firstLine="640"/>
        <w:rPr>
          <w:rFonts w:eastAsia="仿宋_GB2312" w:cs="仿宋_GB2312"/>
          <w:sz w:val="28"/>
          <w:szCs w:val="32"/>
        </w:rPr>
      </w:pPr>
    </w:p>
    <w:p w14:paraId="036FF090">
      <w:pPr>
        <w:spacing w:line="600" w:lineRule="exact"/>
        <w:ind w:left="630"/>
        <w:outlineLvl w:val="1"/>
        <w:rPr>
          <w:rStyle w:val="21"/>
          <w:rFonts w:ascii="Times New Roman" w:hAnsi="Times New Roman" w:eastAsia="黑体"/>
          <w:b w:val="0"/>
          <w:sz w:val="28"/>
        </w:rPr>
      </w:pPr>
      <w:bookmarkStart w:id="88" w:name="_Toc15396611"/>
      <w:bookmarkStart w:id="89" w:name="_Toc15377219"/>
      <w:bookmarkStart w:id="90" w:name="_Toc18190"/>
      <w:bookmarkStart w:id="91" w:name="_Toc21964"/>
      <w:bookmarkStart w:id="92" w:name="_Toc19554"/>
      <w:r>
        <w:rPr>
          <w:rStyle w:val="21"/>
          <w:rFonts w:hint="eastAsia" w:ascii="Times New Roman" w:hAnsi="Times New Roman" w:eastAsia="黑体"/>
          <w:b w:val="0"/>
          <w:sz w:val="28"/>
        </w:rPr>
        <w:t>九、国有资本经营预算支出决算情况说明</w:t>
      </w:r>
      <w:bookmarkEnd w:id="88"/>
      <w:bookmarkEnd w:id="89"/>
      <w:bookmarkEnd w:id="90"/>
      <w:bookmarkEnd w:id="91"/>
      <w:bookmarkEnd w:id="92"/>
    </w:p>
    <w:p w14:paraId="5EAE290D">
      <w:pPr>
        <w:spacing w:line="600" w:lineRule="exact"/>
        <w:ind w:firstLine="640"/>
        <w:rPr>
          <w:rFonts w:eastAsia="仿宋_GB2312" w:cs="仿宋_GB2312"/>
          <w:sz w:val="28"/>
          <w:szCs w:val="32"/>
        </w:rPr>
      </w:pPr>
      <w:r>
        <w:rPr>
          <w:rFonts w:hint="eastAsia" w:eastAsia="仿宋_GB2312" w:cs="仿宋_GB2312"/>
          <w:sz w:val="28"/>
          <w:szCs w:val="32"/>
        </w:rPr>
        <w:t>2024年度国有资本经营预算财政拨款支出</w:t>
      </w:r>
      <w:r>
        <w:rPr>
          <w:rFonts w:hint="eastAsia" w:ascii="仿宋_GB2312" w:eastAsia="仿宋_GB2312" w:cs="仿宋_GB2312"/>
          <w:sz w:val="28"/>
          <w:szCs w:val="32"/>
        </w:rPr>
        <w:t>0万元，占本年支出合计的0%</w:t>
      </w:r>
      <w:r>
        <w:rPr>
          <w:rFonts w:hint="eastAsia" w:eastAsia="仿宋_GB2312" w:cs="仿宋_GB2312"/>
          <w:sz w:val="28"/>
          <w:szCs w:val="32"/>
        </w:rPr>
        <w:t>。与2023年度相比，国有资本经营预算财政拨款支出增加/减少0万元，增长/下降0%。主要变动原因是无变化</w:t>
      </w:r>
    </w:p>
    <w:p w14:paraId="3326BEFE">
      <w:pPr>
        <w:spacing w:line="600" w:lineRule="exact"/>
        <w:ind w:firstLine="640"/>
        <w:rPr>
          <w:rFonts w:eastAsia="仿宋_GB2312" w:cs="仿宋_GB2312"/>
          <w:sz w:val="28"/>
          <w:szCs w:val="32"/>
        </w:rPr>
      </w:pPr>
    </w:p>
    <w:p w14:paraId="190057E9">
      <w:pPr>
        <w:spacing w:line="600" w:lineRule="exact"/>
        <w:ind w:left="630"/>
        <w:outlineLvl w:val="1"/>
        <w:rPr>
          <w:rStyle w:val="21"/>
          <w:rFonts w:ascii="Times New Roman" w:hAnsi="Times New Roman" w:eastAsia="黑体"/>
          <w:b w:val="0"/>
          <w:sz w:val="28"/>
        </w:rPr>
      </w:pPr>
      <w:bookmarkStart w:id="93" w:name="_Toc15377221"/>
      <w:bookmarkStart w:id="94" w:name="_Toc15396612"/>
      <w:bookmarkStart w:id="95" w:name="_Toc1603"/>
      <w:bookmarkStart w:id="96" w:name="_Toc7000"/>
      <w:bookmarkStart w:id="97" w:name="_Toc9711"/>
      <w:r>
        <w:rPr>
          <w:rStyle w:val="21"/>
          <w:rFonts w:hint="eastAsia" w:ascii="Times New Roman" w:hAnsi="Times New Roman" w:eastAsia="黑体"/>
          <w:b w:val="0"/>
          <w:sz w:val="28"/>
        </w:rPr>
        <w:t>十、其他重要事项的情况说明</w:t>
      </w:r>
      <w:bookmarkEnd w:id="93"/>
      <w:bookmarkEnd w:id="94"/>
      <w:bookmarkEnd w:id="95"/>
      <w:bookmarkEnd w:id="96"/>
      <w:bookmarkEnd w:id="97"/>
    </w:p>
    <w:p w14:paraId="0D1CBA10">
      <w:pPr>
        <w:spacing w:line="600" w:lineRule="exact"/>
        <w:ind w:firstLine="562" w:firstLineChars="200"/>
        <w:outlineLvl w:val="2"/>
        <w:rPr>
          <w:rFonts w:eastAsia="楷体_GB2312" w:cs="楷体_GB2312"/>
          <w:b/>
          <w:sz w:val="28"/>
          <w:szCs w:val="32"/>
        </w:rPr>
      </w:pPr>
      <w:bookmarkStart w:id="98" w:name="_Toc15377222"/>
      <w:bookmarkStart w:id="99" w:name="_Toc14692"/>
      <w:r>
        <w:rPr>
          <w:rFonts w:hint="eastAsia" w:eastAsia="楷体_GB2312" w:cs="楷体_GB2312"/>
          <w:b/>
          <w:sz w:val="28"/>
          <w:szCs w:val="32"/>
        </w:rPr>
        <w:t>（一）机关运行经费支出情况</w:t>
      </w:r>
      <w:bookmarkEnd w:id="98"/>
      <w:bookmarkEnd w:id="99"/>
    </w:p>
    <w:p w14:paraId="7F52BB41">
      <w:pPr>
        <w:spacing w:line="600" w:lineRule="exact"/>
        <w:ind w:firstLine="640"/>
        <w:rPr>
          <w:rFonts w:eastAsia="仿宋_GB2312" w:cs="仿宋_GB2312"/>
          <w:sz w:val="28"/>
          <w:szCs w:val="32"/>
        </w:rPr>
      </w:pPr>
      <w:r>
        <w:rPr>
          <w:rFonts w:hint="eastAsia" w:eastAsia="仿宋_GB2312" w:cs="仿宋_GB2312"/>
          <w:sz w:val="28"/>
          <w:szCs w:val="32"/>
        </w:rPr>
        <w:t>2024年度</w:t>
      </w:r>
      <w:r>
        <w:rPr>
          <w:rFonts w:hint="eastAsia" w:ascii="仿宋_GB2312" w:eastAsia="仿宋_GB2312" w:cs="仿宋_GB2312"/>
          <w:sz w:val="28"/>
          <w:szCs w:val="32"/>
        </w:rPr>
        <w:t>，中共金川县委党校机关运行经费支出4.73万</w:t>
      </w:r>
      <w:r>
        <w:rPr>
          <w:rFonts w:hint="eastAsia" w:eastAsia="仿宋_GB2312" w:cs="仿宋_GB2312"/>
          <w:sz w:val="28"/>
          <w:szCs w:val="32"/>
        </w:rPr>
        <w:t>元，比2023年度增加/减少0万元，增长/下降0%（或与2023年度决算数持平）。主要原因是无变化</w:t>
      </w:r>
    </w:p>
    <w:p w14:paraId="5A859D70">
      <w:pPr>
        <w:spacing w:line="600" w:lineRule="exact"/>
        <w:ind w:firstLine="640"/>
        <w:rPr>
          <w:rFonts w:eastAsia="仿宋_GB2312" w:cs="仿宋_GB2312"/>
          <w:sz w:val="28"/>
          <w:szCs w:val="32"/>
        </w:rPr>
      </w:pPr>
    </w:p>
    <w:p w14:paraId="5CC7F2F1">
      <w:pPr>
        <w:spacing w:line="600" w:lineRule="exact"/>
        <w:ind w:firstLine="562" w:firstLineChars="200"/>
        <w:outlineLvl w:val="2"/>
        <w:rPr>
          <w:rFonts w:eastAsia="楷体_GB2312" w:cs="楷体_GB2312"/>
          <w:b/>
          <w:sz w:val="28"/>
          <w:szCs w:val="32"/>
        </w:rPr>
      </w:pPr>
      <w:bookmarkStart w:id="100" w:name="_Toc15377223"/>
      <w:bookmarkStart w:id="101" w:name="_Toc31280"/>
      <w:r>
        <w:rPr>
          <w:rFonts w:hint="eastAsia" w:eastAsia="楷体_GB2312" w:cs="楷体_GB2312"/>
          <w:b/>
          <w:sz w:val="28"/>
          <w:szCs w:val="32"/>
        </w:rPr>
        <w:t>（二）政府采购支出情况</w:t>
      </w:r>
      <w:bookmarkEnd w:id="100"/>
      <w:bookmarkEnd w:id="101"/>
    </w:p>
    <w:p w14:paraId="08200D15">
      <w:pPr>
        <w:spacing w:line="600" w:lineRule="exact"/>
        <w:ind w:firstLine="640"/>
        <w:rPr>
          <w:rFonts w:ascii="仿宋_GB2312" w:eastAsia="仿宋_GB2312" w:cs="仿宋_GB2312"/>
          <w:sz w:val="28"/>
          <w:szCs w:val="32"/>
        </w:rPr>
      </w:pPr>
      <w:r>
        <w:rPr>
          <w:rFonts w:hint="eastAsia" w:ascii="仿宋_GB2312" w:eastAsia="仿宋_GB2312" w:cs="仿宋_GB2312"/>
          <w:sz w:val="28"/>
          <w:szCs w:val="32"/>
        </w:rPr>
        <w:t>2024年度，中共金川县委党校政府采购支出总额0万元，其中：政府采购货物支出0万元、政府采购工程支出0万元、政府采购服务支出0万元。主要用（具体工作）。授予中小企业合同金额0万元，占政府采购支出总额的0%，其中：授予小微企业合同金额0万元，占政府采购支出总额的0%。</w:t>
      </w:r>
    </w:p>
    <w:p w14:paraId="057F0E7D">
      <w:pPr>
        <w:spacing w:line="600" w:lineRule="exact"/>
        <w:ind w:firstLine="640"/>
        <w:rPr>
          <w:rFonts w:eastAsia="仿宋_GB2312" w:cs="仿宋_GB2312"/>
          <w:sz w:val="28"/>
          <w:szCs w:val="32"/>
        </w:rPr>
      </w:pPr>
    </w:p>
    <w:p w14:paraId="00A7DBDA">
      <w:pPr>
        <w:spacing w:line="600" w:lineRule="exact"/>
        <w:ind w:firstLine="562" w:firstLineChars="200"/>
        <w:outlineLvl w:val="2"/>
        <w:rPr>
          <w:rFonts w:eastAsia="楷体_GB2312" w:cs="楷体_GB2312"/>
          <w:b/>
          <w:sz w:val="28"/>
          <w:szCs w:val="32"/>
        </w:rPr>
      </w:pPr>
      <w:bookmarkStart w:id="102" w:name="_Toc15377224"/>
      <w:bookmarkStart w:id="103" w:name="_Toc25584"/>
      <w:r>
        <w:rPr>
          <w:rFonts w:hint="eastAsia" w:eastAsia="楷体_GB2312" w:cs="楷体_GB2312"/>
          <w:b/>
          <w:sz w:val="28"/>
          <w:szCs w:val="32"/>
        </w:rPr>
        <w:t>（三）国有资产占有使用情况</w:t>
      </w:r>
      <w:bookmarkEnd w:id="102"/>
      <w:bookmarkEnd w:id="103"/>
    </w:p>
    <w:p w14:paraId="63A5A314">
      <w:pPr>
        <w:spacing w:line="600" w:lineRule="exact"/>
        <w:ind w:firstLine="640"/>
        <w:rPr>
          <w:rFonts w:eastAsia="仿宋_GB2312" w:cs="仿宋_GB2312"/>
          <w:sz w:val="28"/>
          <w:szCs w:val="32"/>
        </w:rPr>
      </w:pPr>
      <w:r>
        <w:rPr>
          <w:rFonts w:hint="eastAsia" w:ascii="仿宋_GB2312" w:eastAsia="仿宋_GB2312" w:cs="仿宋_GB2312"/>
          <w:sz w:val="28"/>
          <w:szCs w:val="32"/>
        </w:rPr>
        <w:t>截至2024年12月31日，中共金川县委党校共有车辆1辆，其中：主要负责人用车0辆、机要通信用车0辆、应急保障用车1辆、其他用车0辆，其他用车主要是用于。单价100万元（含）以上设备（不含车辆）0台（套）</w:t>
      </w:r>
      <w:r>
        <w:rPr>
          <w:rFonts w:hint="eastAsia" w:eastAsia="仿宋_GB2312" w:cs="仿宋_GB2312"/>
          <w:sz w:val="28"/>
          <w:szCs w:val="32"/>
        </w:rPr>
        <w:t>。</w:t>
      </w:r>
    </w:p>
    <w:p w14:paraId="149DE284">
      <w:pPr>
        <w:spacing w:line="600" w:lineRule="exact"/>
        <w:ind w:firstLine="640"/>
        <w:rPr>
          <w:rFonts w:eastAsia="仿宋_GB2312" w:cs="仿宋_GB2312"/>
          <w:sz w:val="28"/>
          <w:szCs w:val="32"/>
        </w:rPr>
      </w:pPr>
    </w:p>
    <w:p w14:paraId="748EC131">
      <w:pPr>
        <w:spacing w:line="600" w:lineRule="exact"/>
        <w:ind w:firstLine="562" w:firstLineChars="200"/>
        <w:outlineLvl w:val="2"/>
        <w:rPr>
          <w:rFonts w:eastAsia="楷体_GB2312" w:cs="楷体_GB2312"/>
          <w:b/>
          <w:sz w:val="28"/>
          <w:szCs w:val="32"/>
        </w:rPr>
      </w:pPr>
      <w:bookmarkStart w:id="104" w:name="_Toc12855"/>
      <w:r>
        <w:rPr>
          <w:rFonts w:hint="eastAsia" w:eastAsia="楷体_GB2312" w:cs="楷体_GB2312"/>
          <w:b/>
          <w:sz w:val="28"/>
          <w:szCs w:val="32"/>
        </w:rPr>
        <w:t>（四）预算绩效管理情况</w:t>
      </w:r>
      <w:bookmarkEnd w:id="104"/>
    </w:p>
    <w:p w14:paraId="20CB34F8">
      <w:pPr>
        <w:pStyle w:val="5"/>
        <w:spacing w:before="93" w:beforeLines="0"/>
        <w:ind w:firstLine="560" w:firstLineChars="200"/>
        <w:rPr>
          <w:rFonts w:cs="仿宋_GB2312"/>
          <w:sz w:val="28"/>
          <w:szCs w:val="32"/>
        </w:rPr>
      </w:pPr>
      <w:r>
        <w:rPr>
          <w:rFonts w:hint="eastAsia" w:cs="仿宋_GB2312"/>
          <w:sz w:val="28"/>
          <w:szCs w:val="32"/>
        </w:rPr>
        <w:t>按照预算绩效管理要求，本单位在2024年度预算编制阶段，组织对51000021R000000019951-工资性支出等项目开展了预算事前绩效评估，预算执行过程中，对项目开展绩效监控及绩效自评，绩效自评报告详见第四部分附件。</w:t>
      </w:r>
    </w:p>
    <w:p w14:paraId="3F41615C">
      <w:pPr>
        <w:widowControl/>
        <w:adjustRightInd w:val="0"/>
        <w:snapToGrid w:val="0"/>
        <w:spacing w:line="560" w:lineRule="exact"/>
        <w:ind w:firstLine="562" w:firstLineChars="200"/>
        <w:contextualSpacing/>
        <w:jc w:val="left"/>
        <w:outlineLvl w:val="2"/>
        <w:rPr>
          <w:rFonts w:eastAsia="楷体_GB2312"/>
          <w:b/>
          <w:bCs/>
          <w:kern w:val="0"/>
          <w:sz w:val="28"/>
          <w:szCs w:val="32"/>
          <w:shd w:val="clear" w:color="auto" w:fill="FFFFFF"/>
          <w:lang w:val="zh-CN"/>
        </w:rPr>
      </w:pPr>
      <w:bookmarkStart w:id="105" w:name="_Toc13567"/>
      <w:r>
        <w:rPr>
          <w:rFonts w:eastAsia="楷体_GB2312"/>
          <w:b/>
          <w:bCs/>
          <w:kern w:val="0"/>
          <w:sz w:val="28"/>
          <w:szCs w:val="32"/>
          <w:shd w:val="clear" w:color="auto" w:fill="FFFFFF"/>
          <w:lang w:val="zh-CN"/>
        </w:rPr>
        <w:t>（一）评价结论。</w:t>
      </w:r>
      <w:bookmarkEnd w:id="105"/>
    </w:p>
    <w:p w14:paraId="613B5F7F">
      <w:pPr>
        <w:widowControl/>
        <w:adjustRightInd w:val="0"/>
        <w:snapToGrid w:val="0"/>
        <w:spacing w:line="560" w:lineRule="exact"/>
        <w:ind w:firstLine="560" w:firstLineChars="200"/>
        <w:contextualSpacing/>
        <w:jc w:val="left"/>
        <w:rPr>
          <w:rFonts w:eastAsia="楷体_GB2312"/>
          <w:b/>
          <w:bCs/>
          <w:kern w:val="0"/>
          <w:sz w:val="28"/>
          <w:szCs w:val="32"/>
          <w:shd w:val="clear" w:color="auto" w:fill="FFFFFF"/>
          <w:lang w:val="zh-CN"/>
        </w:rPr>
      </w:pPr>
      <w:r>
        <w:rPr>
          <w:rFonts w:ascii="仿宋_GB2312" w:eastAsia="仿宋_GB2312" w:cs="仿宋_GB2312"/>
          <w:kern w:val="0"/>
          <w:sz w:val="28"/>
          <w:szCs w:val="32"/>
          <w:lang w:val="zh-CN"/>
        </w:rPr>
        <w:t>部门预算执行情况良好，无不良记录及违规违纪行为，预算支出和决算支出情况相符</w:t>
      </w:r>
      <w:r>
        <w:rPr>
          <w:rFonts w:ascii="仿宋_GB2312" w:eastAsia="仿宋_GB2312" w:cs="仿宋_GB2312"/>
          <w:sz w:val="28"/>
          <w:szCs w:val="32"/>
          <w:lang w:val="zh-CN"/>
        </w:rPr>
        <w:t>。</w:t>
      </w:r>
    </w:p>
    <w:p w14:paraId="2C95C392">
      <w:pPr>
        <w:widowControl/>
        <w:adjustRightInd w:val="0"/>
        <w:snapToGrid w:val="0"/>
        <w:spacing w:line="560" w:lineRule="exact"/>
        <w:ind w:firstLine="562" w:firstLineChars="200"/>
        <w:contextualSpacing/>
        <w:jc w:val="left"/>
        <w:outlineLvl w:val="2"/>
        <w:rPr>
          <w:rFonts w:ascii="仿宋_GB2312" w:eastAsia="仿宋_GB2312" w:cs="仿宋_GB2312"/>
          <w:sz w:val="28"/>
          <w:szCs w:val="32"/>
          <w:lang w:val="zh-CN"/>
        </w:rPr>
      </w:pPr>
      <w:bookmarkStart w:id="106" w:name="_Toc29505"/>
      <w:r>
        <w:rPr>
          <w:rFonts w:eastAsia="楷体_GB2312"/>
          <w:b/>
          <w:bCs/>
          <w:kern w:val="0"/>
          <w:sz w:val="28"/>
          <w:szCs w:val="32"/>
          <w:shd w:val="clear" w:color="auto" w:fill="FFFFFF"/>
          <w:lang w:val="zh-CN"/>
        </w:rPr>
        <w:t>（二）存在问题。</w:t>
      </w:r>
      <w:bookmarkEnd w:id="106"/>
    </w:p>
    <w:p w14:paraId="224DDAD9">
      <w:pPr>
        <w:pStyle w:val="33"/>
        <w:rPr>
          <w:rFonts w:ascii="仿宋_GB2312" w:eastAsia="仿宋_GB2312" w:cs="仿宋_GB2312"/>
          <w:kern w:val="0"/>
          <w:sz w:val="28"/>
          <w:szCs w:val="32"/>
          <w:lang w:val="zh-CN"/>
        </w:rPr>
      </w:pPr>
      <w:r>
        <w:rPr>
          <w:rFonts w:ascii="仿宋_GB2312" w:eastAsia="仿宋_GB2312" w:cs="仿宋_GB2312"/>
          <w:kern w:val="0"/>
          <w:sz w:val="28"/>
          <w:szCs w:val="32"/>
          <w:lang w:val="zh-CN"/>
        </w:rPr>
        <w:t>在资金的使用和安排上取得了较好的预算执行结果，但仍存在预算管理不够完善，资金使用不够科学等问题，我</w:t>
      </w:r>
      <w:r>
        <w:rPr>
          <w:rFonts w:hint="eastAsia" w:ascii="仿宋_GB2312" w:eastAsia="仿宋_GB2312" w:cs="仿宋_GB2312"/>
          <w:kern w:val="0"/>
          <w:sz w:val="28"/>
          <w:szCs w:val="32"/>
          <w:lang w:val="zh-CN"/>
        </w:rPr>
        <w:t>单位</w:t>
      </w:r>
      <w:r>
        <w:rPr>
          <w:rFonts w:ascii="仿宋_GB2312" w:eastAsia="仿宋_GB2312" w:cs="仿宋_GB2312"/>
          <w:kern w:val="0"/>
          <w:sz w:val="28"/>
          <w:szCs w:val="32"/>
          <w:lang w:val="zh-CN"/>
        </w:rPr>
        <w:t>认真梳理存在的问题，改进提高工作效率。</w:t>
      </w:r>
      <w:r>
        <w:rPr>
          <w:rFonts w:hint="eastAsia" w:ascii="仿宋_GB2312" w:eastAsia="仿宋_GB2312" w:cs="仿宋_GB2312"/>
          <w:kern w:val="0"/>
          <w:sz w:val="28"/>
          <w:szCs w:val="32"/>
          <w:lang w:val="zh-CN"/>
        </w:rPr>
        <w:t>一是</w:t>
      </w:r>
      <w:r>
        <w:rPr>
          <w:rFonts w:ascii="仿宋_GB2312" w:eastAsia="仿宋_GB2312" w:cs="仿宋_GB2312"/>
          <w:kern w:val="0"/>
          <w:sz w:val="28"/>
          <w:szCs w:val="32"/>
          <w:lang w:val="zh-CN"/>
        </w:rPr>
        <w:t xml:space="preserve">资金的使用还不完全符合科学性，效益性，基本支出占比较大。 </w:t>
      </w:r>
      <w:r>
        <w:rPr>
          <w:rFonts w:hint="eastAsia" w:ascii="仿宋_GB2312" w:eastAsia="仿宋_GB2312" w:cs="仿宋_GB2312"/>
          <w:kern w:val="0"/>
          <w:sz w:val="28"/>
          <w:szCs w:val="32"/>
          <w:lang w:val="zh-CN"/>
        </w:rPr>
        <w:t>二是</w:t>
      </w:r>
      <w:r>
        <w:rPr>
          <w:rFonts w:ascii="仿宋_GB2312" w:eastAsia="仿宋_GB2312" w:cs="仿宋_GB2312"/>
          <w:kern w:val="0"/>
          <w:sz w:val="28"/>
          <w:szCs w:val="32"/>
          <w:lang w:val="zh-CN"/>
        </w:rPr>
        <w:t>固定资产管理不够完善</w:t>
      </w:r>
      <w:r>
        <w:rPr>
          <w:rFonts w:hint="eastAsia" w:ascii="仿宋_GB2312" w:eastAsia="仿宋_GB2312" w:cs="仿宋_GB2312"/>
          <w:kern w:val="0"/>
          <w:sz w:val="28"/>
          <w:szCs w:val="32"/>
          <w:lang w:val="zh-CN"/>
        </w:rPr>
        <w:t>，</w:t>
      </w:r>
      <w:r>
        <w:rPr>
          <w:rFonts w:ascii="仿宋_GB2312" w:eastAsia="仿宋_GB2312" w:cs="仿宋_GB2312"/>
          <w:kern w:val="0"/>
          <w:sz w:val="28"/>
          <w:szCs w:val="32"/>
          <w:lang w:val="zh-CN"/>
        </w:rPr>
        <w:t>固定资产管理有待提高，</w:t>
      </w:r>
      <w:r>
        <w:rPr>
          <w:rFonts w:hint="eastAsia" w:ascii="仿宋_GB2312" w:eastAsia="仿宋_GB2312" w:cs="仿宋_GB2312"/>
          <w:kern w:val="0"/>
          <w:sz w:val="28"/>
          <w:szCs w:val="32"/>
          <w:lang w:val="zh-CN"/>
        </w:rPr>
        <w:t>未</w:t>
      </w:r>
      <w:r>
        <w:rPr>
          <w:rFonts w:ascii="仿宋_GB2312" w:eastAsia="仿宋_GB2312" w:cs="仿宋_GB2312"/>
          <w:kern w:val="0"/>
          <w:sz w:val="28"/>
          <w:szCs w:val="32"/>
        </w:rPr>
        <w:t>定期对固定资产清查盘点</w:t>
      </w:r>
      <w:r>
        <w:rPr>
          <w:rFonts w:hint="eastAsia" w:ascii="仿宋_GB2312" w:eastAsia="仿宋_GB2312" w:cs="仿宋_GB2312"/>
          <w:kern w:val="0"/>
          <w:sz w:val="28"/>
          <w:szCs w:val="32"/>
        </w:rPr>
        <w:t>。三是</w:t>
      </w:r>
      <w:r>
        <w:rPr>
          <w:rFonts w:ascii="仿宋_GB2312" w:eastAsia="仿宋_GB2312" w:cs="仿宋_GB2312"/>
          <w:kern w:val="0"/>
          <w:sz w:val="28"/>
          <w:szCs w:val="32"/>
          <w:lang w:val="zh-CN"/>
        </w:rPr>
        <w:t>部门信息化建设程度仍比较低，着力推进信息化建设势在必行。</w:t>
      </w:r>
    </w:p>
    <w:p w14:paraId="3A1C3E55">
      <w:pPr>
        <w:widowControl/>
        <w:adjustRightInd w:val="0"/>
        <w:snapToGrid w:val="0"/>
        <w:spacing w:line="560" w:lineRule="exact"/>
        <w:ind w:firstLine="562" w:firstLineChars="200"/>
        <w:contextualSpacing/>
        <w:jc w:val="left"/>
        <w:outlineLvl w:val="2"/>
        <w:rPr>
          <w:rFonts w:eastAsia="楷体_GB2312"/>
          <w:b/>
          <w:bCs/>
          <w:kern w:val="0"/>
          <w:sz w:val="28"/>
          <w:szCs w:val="32"/>
          <w:shd w:val="clear" w:color="auto" w:fill="FFFFFF"/>
          <w:lang w:val="zh-CN"/>
        </w:rPr>
      </w:pPr>
      <w:bookmarkStart w:id="107" w:name="_Toc30305"/>
      <w:r>
        <w:rPr>
          <w:rFonts w:eastAsia="楷体_GB2312"/>
          <w:b/>
          <w:bCs/>
          <w:kern w:val="0"/>
          <w:sz w:val="28"/>
          <w:szCs w:val="32"/>
          <w:shd w:val="clear" w:color="auto" w:fill="FFFFFF"/>
          <w:lang w:val="zh-CN"/>
        </w:rPr>
        <w:t>（三）改进建议。</w:t>
      </w:r>
      <w:bookmarkEnd w:id="107"/>
    </w:p>
    <w:p w14:paraId="54D862C5">
      <w:pPr>
        <w:widowControl/>
        <w:adjustRightInd w:val="0"/>
        <w:snapToGrid w:val="0"/>
        <w:spacing w:line="560" w:lineRule="exact"/>
        <w:ind w:firstLine="720"/>
        <w:jc w:val="left"/>
        <w:rPr>
          <w:rFonts w:ascii="宋体" w:hAnsi="宋体" w:eastAsia="仿宋_GB2312"/>
          <w:bCs/>
          <w:sz w:val="28"/>
          <w:szCs w:val="32"/>
        </w:rPr>
      </w:pPr>
      <w:r>
        <w:rPr>
          <w:rFonts w:hint="eastAsia" w:ascii="宋体" w:hAnsi="宋体" w:eastAsia="仿宋_GB2312"/>
          <w:bCs/>
          <w:sz w:val="28"/>
          <w:szCs w:val="32"/>
        </w:rPr>
        <w:t>1、严格按照《会计法》《行政单位会计制度》《行政单位财务规则》等规定执行财务核算，并结合实际情况，完整、准确地披露相关信息，尽可能地做到决算与预算相衔接。</w:t>
      </w:r>
    </w:p>
    <w:p w14:paraId="388021E9">
      <w:pPr>
        <w:widowControl/>
        <w:adjustRightInd w:val="0"/>
        <w:snapToGrid w:val="0"/>
        <w:spacing w:line="560" w:lineRule="exact"/>
        <w:ind w:firstLine="720"/>
        <w:jc w:val="left"/>
        <w:rPr>
          <w:rFonts w:ascii="宋体" w:hAnsi="宋体" w:eastAsia="仿宋_GB2312"/>
          <w:bCs/>
          <w:sz w:val="28"/>
          <w:szCs w:val="32"/>
        </w:rPr>
      </w:pPr>
      <w:r>
        <w:rPr>
          <w:rFonts w:hint="eastAsia" w:ascii="宋体" w:hAnsi="宋体" w:eastAsia="仿宋_GB2312"/>
          <w:bCs/>
          <w:sz w:val="28"/>
          <w:szCs w:val="32"/>
        </w:rPr>
        <w:t xml:space="preserve">2、进一步加强内部控制，注重资金管理的事前、事中、事后的全过程监督，加强资金使用效率。 </w:t>
      </w:r>
    </w:p>
    <w:p w14:paraId="3D45B223">
      <w:pPr>
        <w:widowControl/>
        <w:adjustRightInd w:val="0"/>
        <w:snapToGrid w:val="0"/>
        <w:spacing w:line="560" w:lineRule="exact"/>
        <w:ind w:firstLine="720"/>
        <w:jc w:val="left"/>
        <w:rPr>
          <w:rFonts w:ascii="宋体" w:hAnsi="宋体" w:eastAsia="仿宋_GB2312"/>
          <w:bCs/>
          <w:sz w:val="28"/>
          <w:szCs w:val="32"/>
        </w:rPr>
      </w:pPr>
      <w:r>
        <w:rPr>
          <w:rFonts w:hint="eastAsia" w:ascii="宋体" w:hAnsi="宋体" w:eastAsia="仿宋_GB2312"/>
          <w:bCs/>
          <w:sz w:val="28"/>
          <w:szCs w:val="32"/>
        </w:rPr>
        <w:t xml:space="preserve">3、资产的核销与报废应加强管理，严格按照《固定资产管理办法》的规定加强固定资产管理，及时办理登记、报废等手续，每年对资产进行及时盘点和清查，真正做到账实相符。                        </w:t>
      </w:r>
    </w:p>
    <w:p w14:paraId="59DEF54D">
      <w:pPr>
        <w:widowControl/>
        <w:adjustRightInd w:val="0"/>
        <w:snapToGrid w:val="0"/>
        <w:spacing w:line="560" w:lineRule="exact"/>
        <w:ind w:firstLine="720"/>
        <w:jc w:val="left"/>
        <w:rPr>
          <w:rFonts w:eastAsia="仿宋_GB2312" w:cs="仿宋_GB2312"/>
          <w:b/>
          <w:bCs/>
          <w:sz w:val="28"/>
          <w:szCs w:val="32"/>
        </w:rPr>
      </w:pPr>
      <w:r>
        <w:rPr>
          <w:rFonts w:hint="eastAsia" w:ascii="宋体" w:hAnsi="宋体" w:eastAsia="仿宋_GB2312"/>
          <w:bCs/>
          <w:sz w:val="28"/>
          <w:szCs w:val="32"/>
        </w:rPr>
        <w:t>加快完成机关财务管理规章制度建设、加强会计核算和财务管理能力，及时与县财政局相关科室对接工作，提升工作效率。</w:t>
      </w:r>
    </w:p>
    <w:p w14:paraId="2536F053">
      <w:pPr>
        <w:spacing w:line="600" w:lineRule="exact"/>
        <w:ind w:firstLine="640"/>
        <w:rPr>
          <w:rFonts w:eastAsia="仿宋_GB2312" w:cs="仿宋_GB2312"/>
          <w:sz w:val="28"/>
          <w:szCs w:val="32"/>
        </w:rPr>
      </w:pPr>
    </w:p>
    <w:p w14:paraId="753EF81B">
      <w:pPr>
        <w:spacing w:line="600" w:lineRule="exact"/>
        <w:ind w:firstLine="640"/>
        <w:rPr>
          <w:rFonts w:eastAsia="仿宋_GB2312" w:cs="仿宋_GB2312"/>
          <w:sz w:val="28"/>
          <w:szCs w:val="32"/>
        </w:rPr>
      </w:pPr>
    </w:p>
    <w:p w14:paraId="27D75379">
      <w:pPr>
        <w:rPr>
          <w:rFonts w:hint="eastAsia" w:eastAsia="黑体"/>
          <w:sz w:val="40"/>
          <w:szCs w:val="44"/>
        </w:rPr>
      </w:pPr>
      <w:bookmarkStart w:id="108" w:name="_Toc15377225"/>
      <w:bookmarkStart w:id="109" w:name="_Toc15396613"/>
      <w:r>
        <w:rPr>
          <w:rFonts w:hint="eastAsia" w:eastAsia="黑体"/>
          <w:sz w:val="40"/>
          <w:szCs w:val="44"/>
        </w:rPr>
        <w:br w:type="page"/>
      </w:r>
    </w:p>
    <w:p w14:paraId="76FC5D03">
      <w:pPr>
        <w:pStyle w:val="2"/>
        <w:jc w:val="center"/>
        <w:rPr>
          <w:rFonts w:hint="eastAsia" w:ascii="Times New Roman" w:hAnsi="Times New Roman" w:eastAsia="方正小标宋简体" w:cs="方正小标宋简体"/>
          <w:b w:val="0"/>
          <w:sz w:val="40"/>
        </w:rPr>
      </w:pPr>
      <w:bookmarkStart w:id="110" w:name="_Toc15934"/>
      <w:bookmarkStart w:id="111" w:name="_Toc798"/>
      <w:bookmarkStart w:id="112" w:name="_Toc30156"/>
      <w:r>
        <w:rPr>
          <w:rFonts w:hint="eastAsia" w:ascii="Times New Roman" w:hAnsi="Times New Roman" w:eastAsia="方正小标宋简体" w:cs="方正小标宋简体"/>
          <w:b w:val="0"/>
          <w:sz w:val="40"/>
        </w:rPr>
        <w:t>第三部分名词解释</w:t>
      </w:r>
      <w:bookmarkEnd w:id="108"/>
      <w:bookmarkEnd w:id="109"/>
      <w:bookmarkEnd w:id="110"/>
      <w:bookmarkEnd w:id="111"/>
      <w:bookmarkEnd w:id="112"/>
    </w:p>
    <w:p w14:paraId="5796C3A4">
      <w:pPr>
        <w:spacing w:line="600" w:lineRule="exact"/>
        <w:jc w:val="left"/>
        <w:rPr>
          <w:b/>
          <w:sz w:val="40"/>
          <w:szCs w:val="44"/>
        </w:rPr>
      </w:pPr>
    </w:p>
    <w:p w14:paraId="4BB77156">
      <w:pPr>
        <w:spacing w:line="600" w:lineRule="exact"/>
        <w:ind w:firstLine="640"/>
        <w:rPr>
          <w:rFonts w:eastAsia="仿宋_GB2312" w:cs="仿宋_GB2312"/>
          <w:sz w:val="28"/>
          <w:szCs w:val="32"/>
        </w:rPr>
      </w:pPr>
      <w:r>
        <w:rPr>
          <w:rFonts w:hint="eastAsia" w:eastAsia="仿宋_GB2312" w:cs="仿宋_GB2312"/>
          <w:sz w:val="28"/>
          <w:szCs w:val="32"/>
        </w:rPr>
        <w:t>1.财政拨款收入：指单位从同级财政部门取得的财政预算资金。</w:t>
      </w:r>
    </w:p>
    <w:p w14:paraId="37DBF4AC">
      <w:pPr>
        <w:spacing w:line="600" w:lineRule="exact"/>
        <w:ind w:firstLine="640"/>
        <w:rPr>
          <w:rFonts w:eastAsia="仿宋_GB2312" w:cs="仿宋_GB2312"/>
          <w:sz w:val="28"/>
          <w:szCs w:val="32"/>
        </w:rPr>
      </w:pPr>
      <w:r>
        <w:rPr>
          <w:rFonts w:hint="eastAsia" w:eastAsia="仿宋_GB2312" w:cs="仿宋_GB2312"/>
          <w:sz w:val="28"/>
          <w:szCs w:val="32"/>
        </w:rPr>
        <w:t>2.事业收入：指事业单位开展专业业务活动及辅助活动取得的收入。如（二级预算单位事业收入情况）等。</w:t>
      </w:r>
    </w:p>
    <w:p w14:paraId="40AE60CA">
      <w:pPr>
        <w:spacing w:line="600" w:lineRule="exact"/>
        <w:ind w:firstLine="640"/>
        <w:rPr>
          <w:rFonts w:eastAsia="仿宋_GB2312" w:cs="仿宋_GB2312"/>
          <w:sz w:val="28"/>
          <w:szCs w:val="32"/>
        </w:rPr>
      </w:pPr>
      <w:r>
        <w:rPr>
          <w:rFonts w:hint="eastAsia" w:eastAsia="仿宋_GB2312" w:cs="仿宋_GB2312"/>
          <w:sz w:val="28"/>
          <w:szCs w:val="32"/>
        </w:rPr>
        <w:t>3.经营收入：指事业单位在专业业务活动及其辅助活动之外开展非独立核算经营活动取得的收入。如（二级预算单位经营收入情况）等。</w:t>
      </w:r>
    </w:p>
    <w:p w14:paraId="6C7D30D8">
      <w:pPr>
        <w:spacing w:line="600" w:lineRule="exact"/>
        <w:ind w:firstLine="640"/>
        <w:rPr>
          <w:rFonts w:eastAsia="仿宋_GB2312" w:cs="仿宋_GB2312"/>
          <w:sz w:val="28"/>
          <w:szCs w:val="32"/>
        </w:rPr>
      </w:pPr>
      <w:r>
        <w:rPr>
          <w:rFonts w:hint="eastAsia" w:eastAsia="仿宋_GB2312" w:cs="仿宋_GB2312"/>
          <w:sz w:val="28"/>
          <w:szCs w:val="32"/>
        </w:rPr>
        <w:t xml:space="preserve">4.其他收入：指单位取得的除上述收入以外的各项收入。主要是（收入类型）等。 </w:t>
      </w:r>
    </w:p>
    <w:p w14:paraId="59347D81">
      <w:pPr>
        <w:spacing w:line="600" w:lineRule="exact"/>
        <w:ind w:firstLine="640"/>
        <w:rPr>
          <w:rFonts w:eastAsia="仿宋_GB2312" w:cs="仿宋_GB2312"/>
          <w:sz w:val="28"/>
          <w:szCs w:val="32"/>
        </w:rPr>
      </w:pPr>
      <w:r>
        <w:rPr>
          <w:rFonts w:hint="eastAsia" w:eastAsia="仿宋_GB2312" w:cs="仿宋_GB2312"/>
          <w:sz w:val="28"/>
          <w:szCs w:val="32"/>
        </w:rPr>
        <w:t xml:space="preserve">5.使用非财政拨款结余（含专用结余）：指事业单位使用以前年度积累的非财政拨款结余弥补当年收支差额的金额。 </w:t>
      </w:r>
    </w:p>
    <w:p w14:paraId="6C57FEC3">
      <w:pPr>
        <w:spacing w:line="600" w:lineRule="exact"/>
        <w:ind w:firstLine="640"/>
        <w:rPr>
          <w:rFonts w:eastAsia="仿宋_GB2312" w:cs="仿宋_GB2312"/>
          <w:sz w:val="28"/>
          <w:szCs w:val="32"/>
        </w:rPr>
      </w:pPr>
      <w:r>
        <w:rPr>
          <w:rFonts w:hint="eastAsia" w:eastAsia="仿宋_GB2312" w:cs="仿宋_GB2312"/>
          <w:sz w:val="28"/>
          <w:szCs w:val="32"/>
        </w:rPr>
        <w:t xml:space="preserve">6.年初结转和结余：指以前年度尚未完成、结转到本年按有关规定继续使用的资金。 </w:t>
      </w:r>
    </w:p>
    <w:p w14:paraId="77DD7A46">
      <w:pPr>
        <w:spacing w:line="600" w:lineRule="exact"/>
        <w:ind w:firstLine="640"/>
        <w:rPr>
          <w:rFonts w:eastAsia="仿宋_GB2312" w:cs="仿宋_GB2312"/>
          <w:sz w:val="28"/>
          <w:szCs w:val="32"/>
        </w:rPr>
      </w:pPr>
      <w:r>
        <w:rPr>
          <w:rFonts w:hint="eastAsia" w:eastAsia="仿宋_GB2312" w:cs="仿宋_GB2312"/>
          <w:sz w:val="28"/>
          <w:szCs w:val="32"/>
        </w:rPr>
        <w:t>7.结余分配：指事业单位按照会计制度规定缴纳的所得税、提取的专用结余以及转入非财政拨款结余的金额等。</w:t>
      </w:r>
    </w:p>
    <w:p w14:paraId="629785A9">
      <w:pPr>
        <w:spacing w:line="600" w:lineRule="exact"/>
        <w:ind w:firstLine="640"/>
        <w:rPr>
          <w:rFonts w:eastAsia="仿宋_GB2312" w:cs="仿宋_GB2312"/>
          <w:sz w:val="28"/>
          <w:szCs w:val="32"/>
        </w:rPr>
      </w:pPr>
      <w:r>
        <w:rPr>
          <w:rFonts w:hint="eastAsia" w:eastAsia="仿宋_GB2312" w:cs="仿宋_GB2312"/>
          <w:sz w:val="28"/>
          <w:szCs w:val="32"/>
        </w:rPr>
        <w:t>8.年末结转和结余：指单位按有关规定结转到下年或以后年度继续使用的资金。</w:t>
      </w:r>
    </w:p>
    <w:p w14:paraId="7EC94CE6">
      <w:pPr>
        <w:ind w:firstLine="560" w:firstLineChars="200"/>
        <w:rPr>
          <w:rFonts w:ascii="仿宋_GB2312" w:eastAsia="仿宋_GB2312" w:cs="Arial"/>
          <w:color w:val="000000"/>
          <w:spacing w:val="-2"/>
          <w:sz w:val="28"/>
          <w:szCs w:val="32"/>
        </w:rPr>
      </w:pPr>
      <w:r>
        <w:rPr>
          <w:rFonts w:hint="eastAsia" w:eastAsia="仿宋_GB2312" w:cs="仿宋_GB2312"/>
          <w:sz w:val="28"/>
          <w:szCs w:val="32"/>
        </w:rPr>
        <w:t>9.</w:t>
      </w:r>
      <w:r>
        <w:rPr>
          <w:rFonts w:hint="eastAsia" w:ascii="仿宋_GB2312" w:eastAsia="仿宋_GB2312" w:cs="Arial"/>
          <w:color w:val="000000"/>
          <w:spacing w:val="-2"/>
          <w:sz w:val="28"/>
          <w:szCs w:val="32"/>
        </w:rPr>
        <w:t>.一般公共服务（类）政府办公厅（室）及相关机构事务（款）行政运行（项）：指行政单位的基本支出。</w:t>
      </w:r>
    </w:p>
    <w:p w14:paraId="2FEA191F">
      <w:pPr>
        <w:ind w:firstLine="552" w:firstLineChars="200"/>
        <w:rPr>
          <w:rFonts w:ascii="仿宋_GB2312" w:eastAsia="仿宋_GB2312" w:cs="Arial"/>
          <w:color w:val="000000"/>
          <w:spacing w:val="-2"/>
          <w:sz w:val="28"/>
          <w:szCs w:val="32"/>
        </w:rPr>
      </w:pPr>
      <w:r>
        <w:rPr>
          <w:rFonts w:hint="eastAsia" w:ascii="仿宋_GB2312" w:eastAsia="仿宋_GB2312" w:cs="Arial"/>
          <w:color w:val="000000"/>
          <w:spacing w:val="-2"/>
          <w:sz w:val="28"/>
          <w:szCs w:val="32"/>
        </w:rPr>
        <w:t>9.一般公共服务（类）政府办公厅（室）及相关机构事务（款）一般行政管理事务（项）：指反映行政单位未单独设置顶级科目的其他项目支出。</w:t>
      </w:r>
    </w:p>
    <w:p w14:paraId="6D553745">
      <w:pPr>
        <w:spacing w:line="600" w:lineRule="exact"/>
        <w:ind w:firstLine="552" w:firstLineChars="200"/>
        <w:rPr>
          <w:rFonts w:ascii="仿宋_GB2312" w:eastAsia="仿宋_GB2312" w:cs="Arial"/>
          <w:color w:val="000000"/>
          <w:spacing w:val="-2"/>
          <w:sz w:val="28"/>
          <w:szCs w:val="32"/>
        </w:rPr>
      </w:pPr>
      <w:r>
        <w:rPr>
          <w:rFonts w:hint="eastAsia" w:ascii="仿宋_GB2312" w:eastAsia="仿宋_GB2312" w:cs="Arial"/>
          <w:color w:val="000000"/>
          <w:spacing w:val="-2"/>
          <w:sz w:val="28"/>
          <w:szCs w:val="32"/>
        </w:rPr>
        <w:t>10.教育（类）其他教育支出（款）其他教育支出（项）：除上诉项目以外用于教育管理事务方面的支出。</w:t>
      </w:r>
    </w:p>
    <w:p w14:paraId="6552C395">
      <w:pPr>
        <w:spacing w:line="600" w:lineRule="exact"/>
        <w:ind w:firstLine="552" w:firstLineChars="200"/>
        <w:rPr>
          <w:rFonts w:ascii="仿宋_GB2312" w:eastAsia="仿宋_GB2312" w:cs="Arial"/>
          <w:color w:val="000000"/>
          <w:spacing w:val="-2"/>
          <w:sz w:val="28"/>
          <w:szCs w:val="32"/>
        </w:rPr>
      </w:pPr>
      <w:r>
        <w:rPr>
          <w:rFonts w:hint="eastAsia" w:ascii="仿宋_GB2312" w:eastAsia="仿宋_GB2312" w:cs="Arial"/>
          <w:color w:val="000000"/>
          <w:spacing w:val="-2"/>
          <w:sz w:val="28"/>
          <w:szCs w:val="32"/>
        </w:rPr>
        <w:t>11.社会保障和就业（类）行政事业单位离退休（款）机关事业单位基本养老保险缴费支出（项）：指单位为职工缴纳的基本养老保险费。</w:t>
      </w:r>
    </w:p>
    <w:p w14:paraId="5FB49D19">
      <w:pPr>
        <w:ind w:firstLine="552" w:firstLineChars="200"/>
        <w:rPr>
          <w:rFonts w:ascii="仿宋_GB2312" w:eastAsia="仿宋_GB2312" w:cs="Arial"/>
          <w:color w:val="000000"/>
          <w:spacing w:val="-2"/>
          <w:sz w:val="28"/>
          <w:szCs w:val="32"/>
        </w:rPr>
      </w:pPr>
      <w:r>
        <w:rPr>
          <w:rFonts w:hint="eastAsia" w:ascii="仿宋_GB2312" w:eastAsia="仿宋_GB2312" w:cs="Arial"/>
          <w:color w:val="000000"/>
          <w:spacing w:val="-2"/>
          <w:sz w:val="28"/>
          <w:szCs w:val="32"/>
        </w:rPr>
        <w:t>12.社会保障和就业（类）行政事业单位离退休（款）机关事业单位基本职业年金缴费支出（项）：指单位为职工实际缴纳的职业年金。</w:t>
      </w:r>
    </w:p>
    <w:p w14:paraId="428D00B5">
      <w:pPr>
        <w:ind w:firstLine="552" w:firstLineChars="200"/>
        <w:rPr>
          <w:rFonts w:ascii="仿宋_GB2312" w:eastAsia="仿宋_GB2312" w:cs="Arial"/>
          <w:color w:val="000000"/>
          <w:spacing w:val="-2"/>
          <w:sz w:val="28"/>
          <w:szCs w:val="32"/>
        </w:rPr>
      </w:pPr>
      <w:r>
        <w:rPr>
          <w:rFonts w:hint="eastAsia" w:ascii="仿宋_GB2312" w:eastAsia="仿宋_GB2312" w:cs="Arial"/>
          <w:color w:val="000000"/>
          <w:spacing w:val="-2"/>
          <w:sz w:val="28"/>
          <w:szCs w:val="32"/>
        </w:rPr>
        <w:t>13.医疗卫生与计划生育（类）行政事业单位医疗（款）行政单位医疗（项）：指反映职工缴纳的基本医疗保险费。</w:t>
      </w:r>
    </w:p>
    <w:p w14:paraId="1AF848CB">
      <w:pPr>
        <w:ind w:firstLine="552" w:firstLineChars="200"/>
        <w:rPr>
          <w:rFonts w:ascii="仿宋_GB2312" w:eastAsia="仿宋_GB2312" w:cs="Arial"/>
          <w:color w:val="000000"/>
          <w:spacing w:val="-2"/>
          <w:sz w:val="28"/>
          <w:szCs w:val="32"/>
        </w:rPr>
      </w:pPr>
      <w:r>
        <w:rPr>
          <w:rFonts w:hint="eastAsia" w:ascii="仿宋_GB2312" w:eastAsia="仿宋_GB2312" w:cs="Arial"/>
          <w:color w:val="000000"/>
          <w:spacing w:val="-2"/>
          <w:sz w:val="28"/>
          <w:szCs w:val="32"/>
        </w:rPr>
        <w:t>14.医疗卫生与计划生育（类）行政事业单位医疗（款）公务员医疗补助（项）：指按规定可享受公务员医疗补助单位为职工缴纳的公务员医疗补助费。</w:t>
      </w:r>
    </w:p>
    <w:p w14:paraId="0FE41059">
      <w:pPr>
        <w:ind w:firstLine="552" w:firstLineChars="200"/>
        <w:rPr>
          <w:rFonts w:ascii="仿宋_GB2312" w:eastAsia="仿宋_GB2312" w:cs="Arial"/>
          <w:color w:val="000000"/>
          <w:spacing w:val="-2"/>
          <w:sz w:val="28"/>
          <w:szCs w:val="32"/>
        </w:rPr>
      </w:pPr>
      <w:r>
        <w:rPr>
          <w:rFonts w:hint="eastAsia" w:ascii="仿宋_GB2312" w:eastAsia="仿宋_GB2312" w:cs="Arial"/>
          <w:color w:val="000000"/>
          <w:spacing w:val="-2"/>
          <w:sz w:val="28"/>
          <w:szCs w:val="32"/>
        </w:rPr>
        <w:t>15.住房保障（类）住房改革支出（款）住房公积金（项）：指单位按规定为职工缴纳的住房公积金。</w:t>
      </w:r>
    </w:p>
    <w:p w14:paraId="22AC9E1F">
      <w:pPr>
        <w:ind w:firstLine="552" w:firstLineChars="200"/>
        <w:rPr>
          <w:rFonts w:ascii="仿宋_GB2312" w:eastAsia="仿宋_GB2312" w:cs="Arial"/>
          <w:color w:val="000000"/>
          <w:spacing w:val="-2"/>
          <w:sz w:val="28"/>
          <w:szCs w:val="32"/>
        </w:rPr>
      </w:pPr>
      <w:r>
        <w:rPr>
          <w:rFonts w:hint="eastAsia" w:ascii="仿宋_GB2312" w:eastAsia="仿宋_GB2312" w:cs="Arial"/>
          <w:color w:val="000000"/>
          <w:spacing w:val="-2"/>
          <w:sz w:val="28"/>
          <w:szCs w:val="32"/>
        </w:rPr>
        <w:t>16.基本支出：指为保障机构正常运转、完成日常工作任务而发生的人员支出和公用支出。</w:t>
      </w:r>
    </w:p>
    <w:p w14:paraId="29FBCAF4">
      <w:pPr>
        <w:spacing w:line="600" w:lineRule="exact"/>
        <w:ind w:firstLine="640"/>
        <w:rPr>
          <w:rFonts w:eastAsia="仿宋_GB2312" w:cs="仿宋_GB2312"/>
          <w:sz w:val="28"/>
          <w:szCs w:val="32"/>
        </w:rPr>
      </w:pPr>
      <w:r>
        <w:rPr>
          <w:rFonts w:hint="eastAsia" w:eastAsia="仿宋_GB2312" w:cs="仿宋_GB2312"/>
          <w:sz w:val="28"/>
          <w:szCs w:val="32"/>
        </w:rPr>
        <w:t>17.基本支出：指为保障机构正常运转、完成日常工作任务而发生的人员支出和公用支出。</w:t>
      </w:r>
    </w:p>
    <w:p w14:paraId="53F87EA6">
      <w:pPr>
        <w:spacing w:line="600" w:lineRule="exact"/>
        <w:ind w:firstLine="640"/>
        <w:rPr>
          <w:rFonts w:eastAsia="仿宋_GB2312" w:cs="仿宋_GB2312"/>
          <w:sz w:val="28"/>
          <w:szCs w:val="32"/>
        </w:rPr>
      </w:pPr>
      <w:r>
        <w:rPr>
          <w:rFonts w:hint="eastAsia" w:eastAsia="仿宋_GB2312" w:cs="仿宋_GB2312"/>
          <w:sz w:val="28"/>
          <w:szCs w:val="32"/>
        </w:rPr>
        <w:t xml:space="preserve">18.项目支出：指在基本支出之外为完成特定行政任务和事业发展目标所发生的支出。 </w:t>
      </w:r>
    </w:p>
    <w:p w14:paraId="4FBEC3DE">
      <w:pPr>
        <w:spacing w:line="600" w:lineRule="exact"/>
        <w:ind w:firstLine="640"/>
        <w:rPr>
          <w:rFonts w:eastAsia="仿宋_GB2312" w:cs="仿宋_GB2312"/>
          <w:sz w:val="28"/>
          <w:szCs w:val="32"/>
        </w:rPr>
      </w:pPr>
      <w:r>
        <w:rPr>
          <w:rFonts w:hint="eastAsia" w:eastAsia="仿宋_GB2312" w:cs="仿宋_GB2312"/>
          <w:sz w:val="28"/>
          <w:szCs w:val="32"/>
        </w:rPr>
        <w:t>19.经营支出：指事业单位在专业业务活动及其辅助活动之外开展非独立核算经营活动发生的支出。</w:t>
      </w:r>
    </w:p>
    <w:p w14:paraId="57347F6E">
      <w:pPr>
        <w:spacing w:line="600" w:lineRule="exact"/>
        <w:ind w:firstLine="640"/>
        <w:rPr>
          <w:rFonts w:eastAsia="仿宋_GB2312" w:cs="仿宋_GB2312"/>
          <w:sz w:val="28"/>
          <w:szCs w:val="32"/>
        </w:rPr>
      </w:pPr>
      <w:r>
        <w:rPr>
          <w:rFonts w:hint="eastAsia" w:eastAsia="仿宋_GB2312" w:cs="仿宋_GB2312"/>
          <w:sz w:val="28"/>
          <w:szCs w:val="32"/>
        </w:rPr>
        <w:t>20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15E68BED">
      <w:pPr>
        <w:spacing w:line="600" w:lineRule="exact"/>
        <w:ind w:firstLine="640"/>
        <w:rPr>
          <w:rFonts w:eastAsia="仿宋_GB2312" w:cs="仿宋_GB2312"/>
          <w:sz w:val="28"/>
          <w:szCs w:val="32"/>
        </w:rPr>
      </w:pPr>
      <w:r>
        <w:rPr>
          <w:rFonts w:hint="eastAsia" w:eastAsia="仿宋_GB2312" w:cs="仿宋_GB2312"/>
          <w:sz w:val="28"/>
          <w:szCs w:val="32"/>
        </w:rPr>
        <w:t>21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1A3758E8">
      <w:pPr>
        <w:spacing w:line="600" w:lineRule="exact"/>
        <w:ind w:firstLine="640"/>
        <w:rPr>
          <w:rFonts w:eastAsia="仿宋_GB2312" w:cs="仿宋_GB2312"/>
          <w:b/>
          <w:bCs/>
          <w:sz w:val="28"/>
          <w:szCs w:val="32"/>
        </w:rPr>
      </w:pPr>
    </w:p>
    <w:p w14:paraId="220BBD08">
      <w:pPr>
        <w:rPr>
          <w:rFonts w:hint="eastAsia" w:eastAsia="黑体"/>
          <w:sz w:val="40"/>
          <w:szCs w:val="44"/>
        </w:rPr>
      </w:pPr>
      <w:bookmarkStart w:id="113" w:name="_Toc15396614"/>
      <w:bookmarkStart w:id="114" w:name="_Toc15377226"/>
      <w:r>
        <w:rPr>
          <w:rFonts w:hint="eastAsia" w:eastAsia="黑体"/>
          <w:sz w:val="40"/>
          <w:szCs w:val="44"/>
        </w:rPr>
        <w:br w:type="page"/>
      </w:r>
    </w:p>
    <w:p w14:paraId="699D6978">
      <w:pPr>
        <w:pStyle w:val="2"/>
        <w:jc w:val="center"/>
        <w:rPr>
          <w:rFonts w:eastAsia="方正小标宋简体"/>
          <w:bCs/>
          <w:sz w:val="40"/>
          <w:szCs w:val="44"/>
          <w:shd w:val="clear" w:color="auto" w:fill="FFFFFF"/>
        </w:rPr>
      </w:pPr>
      <w:bookmarkStart w:id="115" w:name="_Toc29593"/>
      <w:r>
        <w:rPr>
          <w:rFonts w:hint="eastAsia" w:ascii="Times New Roman" w:hAnsi="Times New Roman" w:eastAsia="方正小标宋简体" w:cs="方正小标宋简体"/>
          <w:b w:val="0"/>
          <w:sz w:val="40"/>
        </w:rPr>
        <w:t>第四部分 附件</w:t>
      </w:r>
      <w:bookmarkEnd w:id="113"/>
      <w:bookmarkEnd w:id="115"/>
    </w:p>
    <w:p w14:paraId="7B66B20F">
      <w:pPr>
        <w:widowControl/>
        <w:spacing w:line="578" w:lineRule="exact"/>
        <w:contextualSpacing/>
        <w:jc w:val="center"/>
        <w:rPr>
          <w:rFonts w:hint="eastAsia" w:eastAsia="黑体"/>
          <w:color w:val="000000"/>
          <w:kern w:val="0"/>
          <w:sz w:val="22"/>
          <w:szCs w:val="32"/>
          <w:shd w:val="clear" w:color="auto" w:fill="FFFFFF"/>
          <w:lang w:val="en-US" w:eastAsia="zh-CN"/>
        </w:rPr>
      </w:pPr>
      <w:r>
        <w:rPr>
          <w:rFonts w:eastAsia="方正小标宋简体"/>
          <w:bCs/>
          <w:sz w:val="40"/>
          <w:szCs w:val="44"/>
          <w:shd w:val="clear" w:color="auto" w:fill="FFFFFF"/>
        </w:rPr>
        <w:t>部门预算绩效</w:t>
      </w:r>
      <w:r>
        <w:rPr>
          <w:rFonts w:hint="eastAsia" w:eastAsia="方正小标宋简体"/>
          <w:bCs/>
          <w:sz w:val="40"/>
          <w:szCs w:val="44"/>
          <w:shd w:val="clear" w:color="auto" w:fill="FFFFFF"/>
        </w:rPr>
        <w:t>评价</w:t>
      </w:r>
      <w:r>
        <w:rPr>
          <w:rFonts w:eastAsia="方正小标宋简体"/>
          <w:bCs/>
          <w:sz w:val="40"/>
          <w:szCs w:val="44"/>
          <w:shd w:val="clear" w:color="auto" w:fill="FFFFFF"/>
        </w:rPr>
        <w:t>报告</w:t>
      </w:r>
    </w:p>
    <w:p w14:paraId="5E16907B">
      <w:pPr>
        <w:widowControl/>
        <w:adjustRightInd w:val="0"/>
        <w:snapToGrid w:val="0"/>
        <w:spacing w:line="578" w:lineRule="exact"/>
        <w:ind w:firstLine="560" w:firstLineChars="200"/>
        <w:contextualSpacing/>
        <w:jc w:val="left"/>
        <w:rPr>
          <w:rFonts w:eastAsia="黑体"/>
          <w:color w:val="000000"/>
          <w:kern w:val="0"/>
          <w:sz w:val="28"/>
          <w:szCs w:val="32"/>
          <w:shd w:val="clear" w:color="auto" w:fill="FFFFFF"/>
          <w:lang w:val="zh-CN"/>
        </w:rPr>
      </w:pPr>
      <w:r>
        <w:rPr>
          <w:rFonts w:hint="eastAsia" w:eastAsia="黑体"/>
          <w:color w:val="000000"/>
          <w:kern w:val="0"/>
          <w:sz w:val="28"/>
          <w:szCs w:val="32"/>
          <w:shd w:val="clear" w:color="auto" w:fill="FFFFFF"/>
          <w:lang w:val="zh-CN"/>
        </w:rPr>
        <w:t>一、</w:t>
      </w:r>
      <w:r>
        <w:rPr>
          <w:rFonts w:eastAsia="黑体"/>
          <w:color w:val="000000"/>
          <w:kern w:val="0"/>
          <w:sz w:val="28"/>
          <w:szCs w:val="32"/>
          <w:shd w:val="clear" w:color="auto" w:fill="FFFFFF"/>
          <w:lang w:val="zh-CN"/>
        </w:rPr>
        <w:t>部门（单位）基本情况</w:t>
      </w:r>
    </w:p>
    <w:p w14:paraId="7FD494D3">
      <w:pPr>
        <w:widowControl/>
        <w:adjustRightInd w:val="0"/>
        <w:snapToGrid w:val="0"/>
        <w:spacing w:line="600" w:lineRule="exact"/>
        <w:ind w:firstLine="720"/>
        <w:jc w:val="left"/>
        <w:rPr>
          <w:rFonts w:eastAsia="楷体_GB2312" w:cs="楷体_GB2312"/>
          <w:b/>
          <w:sz w:val="28"/>
          <w:szCs w:val="32"/>
          <w:lang w:val="zh-CN"/>
        </w:rPr>
      </w:pPr>
      <w:r>
        <w:rPr>
          <w:rFonts w:hint="eastAsia" w:eastAsia="楷体_GB2312" w:cs="楷体_GB2312"/>
          <w:b/>
          <w:sz w:val="28"/>
          <w:szCs w:val="32"/>
          <w:lang w:val="zh-CN"/>
        </w:rPr>
        <w:t>（一）</w:t>
      </w:r>
      <w:r>
        <w:rPr>
          <w:rFonts w:eastAsia="楷体_GB2312" w:cs="楷体_GB2312"/>
          <w:b/>
          <w:sz w:val="28"/>
          <w:szCs w:val="32"/>
          <w:lang w:val="zh-CN"/>
        </w:rPr>
        <w:t>机构组成。</w:t>
      </w:r>
    </w:p>
    <w:p w14:paraId="73864D3F">
      <w:pPr>
        <w:widowControl/>
        <w:adjustRightInd w:val="0"/>
        <w:snapToGrid w:val="0"/>
        <w:spacing w:line="600" w:lineRule="exact"/>
        <w:ind w:firstLine="720"/>
        <w:jc w:val="left"/>
        <w:rPr>
          <w:rFonts w:ascii="宋体" w:hAnsi="宋体" w:eastAsia="仿宋_GB2312"/>
          <w:bCs/>
          <w:sz w:val="28"/>
          <w:szCs w:val="32"/>
          <w:lang w:val="zh-CN"/>
        </w:rPr>
      </w:pPr>
      <w:r>
        <w:rPr>
          <w:rFonts w:hint="eastAsia" w:ascii="宋体" w:hAnsi="宋体" w:eastAsia="仿宋_GB2312"/>
          <w:bCs/>
          <w:sz w:val="28"/>
          <w:szCs w:val="32"/>
        </w:rPr>
        <w:t>四川省阿坝州中共金川县委党校属参公事业单位1个，独立编制机构数1个，独立核算机构数1个。</w:t>
      </w:r>
    </w:p>
    <w:p w14:paraId="56BCE6AE">
      <w:pPr>
        <w:widowControl/>
        <w:adjustRightInd w:val="0"/>
        <w:snapToGrid w:val="0"/>
        <w:spacing w:line="600" w:lineRule="exact"/>
        <w:ind w:firstLine="720"/>
        <w:jc w:val="left"/>
        <w:rPr>
          <w:rFonts w:ascii="宋体" w:hAnsi="宋体" w:eastAsia="仿宋_GB2312"/>
          <w:bCs/>
          <w:sz w:val="28"/>
          <w:szCs w:val="32"/>
        </w:rPr>
      </w:pPr>
      <w:r>
        <w:rPr>
          <w:rFonts w:eastAsia="楷体_GB2312" w:cs="楷体_GB2312"/>
          <w:b/>
          <w:sz w:val="28"/>
          <w:szCs w:val="32"/>
          <w:lang w:val="zh-CN"/>
        </w:rPr>
        <w:t>（二）机构职能</w:t>
      </w:r>
      <w:r>
        <w:rPr>
          <w:rFonts w:hint="eastAsia" w:eastAsia="楷体_GB2312" w:cs="楷体_GB2312"/>
          <w:b/>
          <w:sz w:val="28"/>
          <w:szCs w:val="32"/>
          <w:lang w:val="zh-CN"/>
        </w:rPr>
        <w:t>。</w:t>
      </w:r>
      <w:r>
        <w:rPr>
          <w:rFonts w:hint="eastAsia" w:ascii="宋体" w:hAnsi="宋体" w:eastAsia="仿宋_GB2312"/>
          <w:bCs/>
          <w:sz w:val="28"/>
          <w:szCs w:val="32"/>
        </w:rPr>
        <w:t>贯彻执行党和国家关于预算、税收、行政事业单位国有资产、财务、会计等法律、法规、规章和方针、政策。根据党校国民经济和社会发展战略，编制中长期财政计划。推进财政改革，提出运用财政政策实施宏观调控和综合平衡社会财力的建议。编制年度党校本级财政预决算草案，经批准后组织执行。编制年度财政预算，决算。管理好各项财政收入和各项财政支出。制定并组织实施社会保障资金的财务管理制度。一是根据《党校工作条例》以及党和国家有党校工作的方针、政策、法规文件规定，主要职责是：加强我县各种培训的理论策及法律、法规，宣传到群众中去。二是制定全县党校事业发展的中长期规划和年度计划并组织实施。</w:t>
      </w:r>
    </w:p>
    <w:p w14:paraId="2ECA16F6">
      <w:pPr>
        <w:spacing w:line="600" w:lineRule="exact"/>
        <w:ind w:firstLine="562" w:firstLineChars="200"/>
        <w:rPr>
          <w:sz w:val="20"/>
          <w:szCs w:val="32"/>
        </w:rPr>
      </w:pPr>
      <w:r>
        <w:rPr>
          <w:rFonts w:eastAsia="楷体_GB2312"/>
          <w:b/>
          <w:bCs/>
          <w:color w:val="000000"/>
          <w:kern w:val="0"/>
          <w:sz w:val="28"/>
          <w:szCs w:val="32"/>
          <w:shd w:val="clear" w:color="auto" w:fill="FFFFFF"/>
          <w:lang w:val="zh-CN"/>
        </w:rPr>
        <w:t>（</w:t>
      </w:r>
      <w:r>
        <w:rPr>
          <w:rFonts w:hint="eastAsia" w:eastAsia="楷体_GB2312"/>
          <w:b/>
          <w:bCs/>
          <w:color w:val="000000"/>
          <w:kern w:val="0"/>
          <w:sz w:val="28"/>
          <w:szCs w:val="32"/>
          <w:shd w:val="clear" w:color="auto" w:fill="FFFFFF"/>
          <w:lang w:val="zh-CN"/>
        </w:rPr>
        <w:t>三</w:t>
      </w:r>
      <w:r>
        <w:rPr>
          <w:rFonts w:eastAsia="楷体_GB2312"/>
          <w:b/>
          <w:bCs/>
          <w:color w:val="000000"/>
          <w:kern w:val="0"/>
          <w:sz w:val="28"/>
          <w:szCs w:val="32"/>
          <w:shd w:val="clear" w:color="auto" w:fill="FFFFFF"/>
          <w:lang w:val="zh-CN"/>
        </w:rPr>
        <w:t>）人员概况</w:t>
      </w:r>
      <w:r>
        <w:rPr>
          <w:rFonts w:hint="eastAsia" w:eastAsia="楷体_GB2312"/>
          <w:b/>
          <w:bCs/>
          <w:color w:val="000000"/>
          <w:kern w:val="0"/>
          <w:sz w:val="28"/>
          <w:szCs w:val="32"/>
          <w:shd w:val="clear" w:color="auto" w:fill="FFFFFF"/>
          <w:lang w:val="zh-CN"/>
        </w:rPr>
        <w:t>。</w:t>
      </w:r>
      <w:r>
        <w:rPr>
          <w:rFonts w:hint="eastAsia" w:ascii="仿宋_GB2312" w:eastAsia="仿宋_GB2312" w:cs="仿宋_GB2312"/>
          <w:sz w:val="28"/>
          <w:szCs w:val="32"/>
        </w:rPr>
        <w:t>我校是独立编制机构，独立核算机构数1个，单位编制数10个，其中事业编制6名；事业编制（参公）4名。截止2023年末，单位实有人数11人，其中：在职11人（参公人员4人、其他事业人员7人）原因：新招录造成超编1人。</w:t>
      </w:r>
    </w:p>
    <w:p w14:paraId="380AB8A3">
      <w:pPr>
        <w:widowControl/>
        <w:adjustRightInd w:val="0"/>
        <w:snapToGrid w:val="0"/>
        <w:spacing w:line="578" w:lineRule="exact"/>
        <w:ind w:firstLine="560" w:firstLineChars="200"/>
        <w:contextualSpacing/>
        <w:jc w:val="left"/>
        <w:rPr>
          <w:rFonts w:eastAsia="黑体"/>
          <w:color w:val="000000"/>
          <w:kern w:val="0"/>
          <w:sz w:val="28"/>
          <w:szCs w:val="32"/>
          <w:shd w:val="clear" w:color="auto" w:fill="FFFFFF"/>
          <w:lang w:val="zh-CN"/>
        </w:rPr>
      </w:pPr>
      <w:r>
        <w:rPr>
          <w:rFonts w:eastAsia="黑体"/>
          <w:color w:val="000000"/>
          <w:kern w:val="0"/>
          <w:sz w:val="28"/>
          <w:szCs w:val="32"/>
          <w:shd w:val="clear" w:color="auto" w:fill="FFFFFF"/>
          <w:lang w:val="zh-CN"/>
        </w:rPr>
        <w:t>二、部门资金收支情况</w:t>
      </w:r>
    </w:p>
    <w:p w14:paraId="487A5631">
      <w:pPr>
        <w:widowControl/>
        <w:adjustRightInd w:val="0"/>
        <w:snapToGrid w:val="0"/>
        <w:spacing w:line="578" w:lineRule="exact"/>
        <w:ind w:firstLine="562" w:firstLineChars="200"/>
        <w:contextualSpacing/>
        <w:jc w:val="left"/>
        <w:rPr>
          <w:rFonts w:eastAsia="楷体_GB2312"/>
          <w:b/>
          <w:bCs/>
          <w:color w:val="000000"/>
          <w:kern w:val="0"/>
          <w:sz w:val="20"/>
          <w:szCs w:val="32"/>
          <w:shd w:val="clear" w:color="auto" w:fill="FFFFFF"/>
        </w:rPr>
      </w:pPr>
      <w:r>
        <w:rPr>
          <w:rFonts w:eastAsia="楷体_GB2312"/>
          <w:b/>
          <w:bCs/>
          <w:color w:val="000000"/>
          <w:kern w:val="0"/>
          <w:sz w:val="28"/>
          <w:szCs w:val="32"/>
          <w:shd w:val="clear" w:color="auto" w:fill="FFFFFF"/>
          <w:lang w:val="zh-CN"/>
        </w:rPr>
        <w:t>（一）</w:t>
      </w:r>
      <w:r>
        <w:rPr>
          <w:rFonts w:hint="eastAsia" w:eastAsia="楷体_GB2312"/>
          <w:b/>
          <w:bCs/>
          <w:color w:val="000000"/>
          <w:kern w:val="0"/>
          <w:sz w:val="28"/>
          <w:szCs w:val="32"/>
          <w:shd w:val="clear" w:color="auto" w:fill="FFFFFF"/>
          <w:lang w:val="zh-CN"/>
        </w:rPr>
        <w:t>收入情况</w:t>
      </w:r>
      <w:r>
        <w:rPr>
          <w:rFonts w:eastAsia="楷体_GB2312"/>
          <w:b/>
          <w:bCs/>
          <w:color w:val="000000"/>
          <w:kern w:val="0"/>
          <w:sz w:val="28"/>
          <w:szCs w:val="32"/>
          <w:shd w:val="clear" w:color="auto" w:fill="FFFFFF"/>
          <w:lang w:val="zh-CN"/>
        </w:rPr>
        <w:t>。</w:t>
      </w:r>
      <w:r>
        <w:rPr>
          <w:rFonts w:hint="eastAsia" w:ascii="仿宋_GB2312" w:eastAsia="仿宋_GB2312" w:cs="仿宋_GB2312"/>
          <w:sz w:val="28"/>
          <w:szCs w:val="32"/>
        </w:rPr>
        <w:t>2024年度本年收入合计284.96万元，其中：一般公共预算财政拨款收入284.96万元，占100%；政府性基金预算财政拨款收入0万元，占0%%；国有资本经营预算财政拨款收入0万元，占0%；上级补助收入0万元，占0%；事业收入0万元，占0%；经营收入0万元，占0%；附属单位上缴收入0万元，占0%；其他收入0万元，占0%。</w:t>
      </w:r>
    </w:p>
    <w:p w14:paraId="2BB4664F">
      <w:pPr>
        <w:widowControl/>
        <w:adjustRightInd w:val="0"/>
        <w:snapToGrid w:val="0"/>
        <w:spacing w:line="578" w:lineRule="exact"/>
        <w:ind w:firstLine="562" w:firstLineChars="200"/>
        <w:contextualSpacing/>
        <w:jc w:val="left"/>
        <w:rPr>
          <w:rFonts w:ascii="仿宋_GB2312" w:eastAsia="仿宋_GB2312" w:cs="仿宋_GB2312"/>
          <w:sz w:val="28"/>
          <w:szCs w:val="32"/>
        </w:rPr>
      </w:pPr>
      <w:r>
        <w:rPr>
          <w:rFonts w:eastAsia="楷体_GB2312"/>
          <w:b/>
          <w:bCs/>
          <w:color w:val="000000"/>
          <w:kern w:val="0"/>
          <w:sz w:val="28"/>
          <w:szCs w:val="32"/>
          <w:shd w:val="clear" w:color="auto" w:fill="FFFFFF"/>
          <w:lang w:val="zh-CN"/>
        </w:rPr>
        <w:t>（</w:t>
      </w:r>
      <w:r>
        <w:rPr>
          <w:rFonts w:hint="eastAsia" w:eastAsia="楷体_GB2312"/>
          <w:b/>
          <w:bCs/>
          <w:color w:val="000000"/>
          <w:kern w:val="0"/>
          <w:sz w:val="28"/>
          <w:szCs w:val="32"/>
          <w:shd w:val="clear" w:color="auto" w:fill="FFFFFF"/>
          <w:lang w:val="zh-CN"/>
        </w:rPr>
        <w:t>二</w:t>
      </w:r>
      <w:r>
        <w:rPr>
          <w:rFonts w:eastAsia="楷体_GB2312"/>
          <w:b/>
          <w:bCs/>
          <w:color w:val="000000"/>
          <w:kern w:val="0"/>
          <w:sz w:val="28"/>
          <w:szCs w:val="32"/>
          <w:shd w:val="clear" w:color="auto" w:fill="FFFFFF"/>
          <w:lang w:val="zh-CN"/>
        </w:rPr>
        <w:t>）</w:t>
      </w:r>
      <w:r>
        <w:rPr>
          <w:rFonts w:hint="eastAsia" w:eastAsia="楷体_GB2312"/>
          <w:b/>
          <w:bCs/>
          <w:color w:val="000000"/>
          <w:kern w:val="0"/>
          <w:sz w:val="28"/>
          <w:szCs w:val="32"/>
          <w:shd w:val="clear" w:color="auto" w:fill="FFFFFF"/>
          <w:lang w:val="zh-CN"/>
        </w:rPr>
        <w:t>支出情况</w:t>
      </w:r>
      <w:r>
        <w:rPr>
          <w:rFonts w:eastAsia="楷体_GB2312"/>
          <w:b/>
          <w:bCs/>
          <w:color w:val="000000"/>
          <w:kern w:val="0"/>
          <w:sz w:val="28"/>
          <w:szCs w:val="32"/>
          <w:shd w:val="clear" w:color="auto" w:fill="FFFFFF"/>
          <w:lang w:val="zh-CN"/>
        </w:rPr>
        <w:t>。</w:t>
      </w:r>
      <w:r>
        <w:rPr>
          <w:rFonts w:hint="eastAsia" w:ascii="仿宋_GB2312" w:eastAsia="仿宋_GB2312" w:cs="仿宋_GB2312"/>
          <w:sz w:val="28"/>
          <w:szCs w:val="32"/>
        </w:rPr>
        <w:t>2024年度本年支出合计284.96万元，其中：基本支出261.5万元，占91.76%；项目支出23.46万元，占8.23%；上缴上级支出0万元，占0%；经营支出0万元，占0%；对附属单位补助支出0万元，占0%。</w:t>
      </w:r>
    </w:p>
    <w:p w14:paraId="6165B528">
      <w:pPr>
        <w:widowControl/>
        <w:adjustRightInd w:val="0"/>
        <w:snapToGrid w:val="0"/>
        <w:spacing w:line="578" w:lineRule="exact"/>
        <w:ind w:firstLine="562" w:firstLineChars="200"/>
        <w:contextualSpacing/>
        <w:jc w:val="left"/>
        <w:rPr>
          <w:rFonts w:eastAsia="仿宋_GB2312"/>
          <w:color w:val="000000"/>
          <w:kern w:val="0"/>
          <w:sz w:val="20"/>
          <w:szCs w:val="32"/>
          <w:shd w:val="clear" w:color="auto" w:fill="FFFFFF"/>
          <w:lang w:val="zh-CN"/>
        </w:rPr>
      </w:pPr>
      <w:r>
        <w:rPr>
          <w:rFonts w:eastAsia="楷体_GB2312"/>
          <w:b/>
          <w:bCs/>
          <w:color w:val="000000"/>
          <w:kern w:val="0"/>
          <w:sz w:val="28"/>
          <w:szCs w:val="32"/>
          <w:shd w:val="clear" w:color="auto" w:fill="FFFFFF"/>
          <w:lang w:val="zh-CN"/>
        </w:rPr>
        <w:t>（</w:t>
      </w:r>
      <w:r>
        <w:rPr>
          <w:rFonts w:hint="eastAsia" w:eastAsia="楷体_GB2312"/>
          <w:b/>
          <w:bCs/>
          <w:color w:val="000000"/>
          <w:kern w:val="0"/>
          <w:sz w:val="28"/>
          <w:szCs w:val="32"/>
          <w:shd w:val="clear" w:color="auto" w:fill="FFFFFF"/>
          <w:lang w:val="zh-CN"/>
        </w:rPr>
        <w:t>三</w:t>
      </w:r>
      <w:r>
        <w:rPr>
          <w:rFonts w:eastAsia="楷体_GB2312"/>
          <w:b/>
          <w:bCs/>
          <w:color w:val="000000"/>
          <w:kern w:val="0"/>
          <w:sz w:val="28"/>
          <w:szCs w:val="32"/>
          <w:shd w:val="clear" w:color="auto" w:fill="FFFFFF"/>
          <w:lang w:val="zh-CN"/>
        </w:rPr>
        <w:t>）结余分配和结转结余情况</w:t>
      </w:r>
      <w:r>
        <w:rPr>
          <w:rFonts w:hint="eastAsia" w:eastAsia="楷体_GB2312"/>
          <w:b/>
          <w:bCs/>
          <w:color w:val="000000"/>
          <w:kern w:val="0"/>
          <w:sz w:val="28"/>
          <w:szCs w:val="32"/>
          <w:shd w:val="clear" w:color="auto" w:fill="FFFFFF"/>
          <w:lang w:val="zh-CN"/>
        </w:rPr>
        <w:t>。</w:t>
      </w:r>
      <w:r>
        <w:rPr>
          <w:rFonts w:hint="eastAsia" w:eastAsia="仿宋_GB2312"/>
          <w:sz w:val="28"/>
          <w:szCs w:val="32"/>
        </w:rPr>
        <w:t>2024年决算报表无</w:t>
      </w:r>
      <w:r>
        <w:rPr>
          <w:rFonts w:eastAsia="仿宋_GB2312"/>
          <w:sz w:val="28"/>
          <w:szCs w:val="32"/>
        </w:rPr>
        <w:t>结转结余</w:t>
      </w:r>
      <w:r>
        <w:rPr>
          <w:rFonts w:hint="eastAsia" w:eastAsia="仿宋_GB2312"/>
          <w:sz w:val="28"/>
          <w:szCs w:val="32"/>
        </w:rPr>
        <w:t>情况</w:t>
      </w:r>
      <w:r>
        <w:rPr>
          <w:rFonts w:eastAsia="仿宋_GB2312"/>
          <w:sz w:val="28"/>
          <w:szCs w:val="32"/>
        </w:rPr>
        <w:t>。</w:t>
      </w:r>
    </w:p>
    <w:p w14:paraId="04A58BE2">
      <w:pPr>
        <w:widowControl/>
        <w:adjustRightInd w:val="0"/>
        <w:snapToGrid w:val="0"/>
        <w:spacing w:line="578" w:lineRule="exact"/>
        <w:ind w:firstLine="560" w:firstLineChars="200"/>
        <w:contextualSpacing/>
        <w:jc w:val="left"/>
        <w:rPr>
          <w:rFonts w:eastAsia="黑体"/>
          <w:color w:val="000000"/>
          <w:kern w:val="0"/>
          <w:sz w:val="28"/>
          <w:szCs w:val="32"/>
          <w:shd w:val="clear" w:color="auto" w:fill="FFFFFF"/>
          <w:lang w:val="zh-CN"/>
        </w:rPr>
      </w:pPr>
      <w:r>
        <w:rPr>
          <w:rFonts w:eastAsia="黑体"/>
          <w:color w:val="000000"/>
          <w:kern w:val="0"/>
          <w:sz w:val="28"/>
          <w:szCs w:val="32"/>
          <w:shd w:val="clear" w:color="auto" w:fill="FFFFFF"/>
          <w:lang w:val="zh-CN"/>
        </w:rPr>
        <w:t>三、部门预算绩效分析</w:t>
      </w:r>
    </w:p>
    <w:p w14:paraId="7F1152A1">
      <w:pPr>
        <w:adjustRightInd w:val="0"/>
        <w:snapToGrid w:val="0"/>
        <w:spacing w:line="578" w:lineRule="exact"/>
        <w:ind w:firstLine="562" w:firstLineChars="200"/>
        <w:contextualSpacing/>
        <w:jc w:val="left"/>
        <w:rPr>
          <w:rFonts w:eastAsia="仿宋_GB2312" w:cs="仿宋_GB2312"/>
          <w:sz w:val="28"/>
          <w:szCs w:val="32"/>
          <w:lang w:val="zh-CN"/>
        </w:rPr>
      </w:pPr>
      <w:r>
        <w:rPr>
          <w:rFonts w:eastAsia="楷体_GB2312"/>
          <w:b/>
          <w:bCs/>
          <w:color w:val="000000"/>
          <w:kern w:val="0"/>
          <w:sz w:val="28"/>
          <w:szCs w:val="32"/>
          <w:shd w:val="clear" w:color="auto" w:fill="FFFFFF"/>
          <w:lang w:val="zh-CN"/>
        </w:rPr>
        <w:t>（一）</w:t>
      </w:r>
      <w:r>
        <w:rPr>
          <w:rFonts w:hint="eastAsia" w:eastAsia="楷体_GB2312"/>
          <w:b/>
          <w:bCs/>
          <w:color w:val="000000"/>
          <w:kern w:val="0"/>
          <w:sz w:val="28"/>
          <w:szCs w:val="32"/>
          <w:shd w:val="clear" w:color="auto" w:fill="FFFFFF"/>
          <w:lang w:val="zh-CN"/>
        </w:rPr>
        <w:t>部门预算</w:t>
      </w:r>
      <w:r>
        <w:rPr>
          <w:rFonts w:eastAsia="楷体_GB2312"/>
          <w:b/>
          <w:bCs/>
          <w:color w:val="000000"/>
          <w:kern w:val="0"/>
          <w:sz w:val="28"/>
          <w:szCs w:val="32"/>
          <w:shd w:val="clear" w:color="auto" w:fill="FFFFFF"/>
          <w:lang w:val="zh-CN"/>
        </w:rPr>
        <w:t>总体绩效分析。</w:t>
      </w:r>
      <w:r>
        <w:rPr>
          <w:rFonts w:eastAsia="仿宋_GB2312" w:cs="仿宋_GB2312"/>
          <w:sz w:val="28"/>
          <w:szCs w:val="32"/>
          <w:lang w:val="zh-CN"/>
        </w:rPr>
        <w:t>根据部门预算绩效评价指标体系</w:t>
      </w:r>
      <w:r>
        <w:rPr>
          <w:rFonts w:hint="eastAsia" w:eastAsia="仿宋_GB2312" w:cs="仿宋_GB2312"/>
          <w:sz w:val="28"/>
          <w:szCs w:val="32"/>
          <w:lang w:val="zh-CN"/>
        </w:rPr>
        <w:t>“</w:t>
      </w:r>
      <w:r>
        <w:rPr>
          <w:rFonts w:eastAsia="仿宋_GB2312" w:cs="仿宋_GB2312"/>
          <w:sz w:val="28"/>
          <w:szCs w:val="32"/>
          <w:lang w:val="zh-CN"/>
        </w:rPr>
        <w:t>总体绩效</w:t>
      </w:r>
      <w:r>
        <w:rPr>
          <w:rFonts w:hint="eastAsia" w:eastAsia="仿宋_GB2312" w:cs="仿宋_GB2312"/>
          <w:sz w:val="28"/>
          <w:szCs w:val="32"/>
          <w:lang w:val="zh-CN"/>
        </w:rPr>
        <w:t>”</w:t>
      </w:r>
      <w:r>
        <w:rPr>
          <w:rFonts w:eastAsia="仿宋_GB2312" w:cs="仿宋_GB2312"/>
          <w:sz w:val="28"/>
          <w:szCs w:val="32"/>
          <w:lang w:val="zh-CN"/>
        </w:rPr>
        <w:t>涉及</w:t>
      </w:r>
      <w:r>
        <w:rPr>
          <w:rFonts w:hint="eastAsia" w:eastAsia="仿宋_GB2312" w:cs="仿宋_GB2312"/>
          <w:sz w:val="28"/>
          <w:szCs w:val="32"/>
          <w:lang w:val="zh-CN"/>
        </w:rPr>
        <w:t>二、三级</w:t>
      </w:r>
      <w:r>
        <w:rPr>
          <w:rFonts w:eastAsia="仿宋_GB2312" w:cs="仿宋_GB2312"/>
          <w:sz w:val="28"/>
          <w:szCs w:val="32"/>
          <w:lang w:val="zh-CN"/>
        </w:rPr>
        <w:t>指标进行</w:t>
      </w:r>
      <w:r>
        <w:rPr>
          <w:rFonts w:hint="eastAsia" w:eastAsia="仿宋_GB2312" w:cs="仿宋_GB2312"/>
          <w:sz w:val="28"/>
          <w:szCs w:val="32"/>
          <w:lang w:val="zh-CN"/>
        </w:rPr>
        <w:t>逐项</w:t>
      </w:r>
      <w:r>
        <w:rPr>
          <w:rFonts w:eastAsia="仿宋_GB2312" w:cs="仿宋_GB2312"/>
          <w:sz w:val="28"/>
          <w:szCs w:val="32"/>
          <w:lang w:val="zh-CN"/>
        </w:rPr>
        <w:t>绩效分析</w:t>
      </w:r>
      <w:r>
        <w:rPr>
          <w:rFonts w:hint="eastAsia" w:eastAsia="仿宋_GB2312" w:cs="仿宋_GB2312"/>
          <w:sz w:val="28"/>
          <w:szCs w:val="32"/>
          <w:lang w:val="zh-CN"/>
        </w:rPr>
        <w:t>并评分</w:t>
      </w:r>
      <w:r>
        <w:rPr>
          <w:rFonts w:eastAsia="仿宋_GB2312" w:cs="仿宋_GB2312"/>
          <w:sz w:val="28"/>
          <w:szCs w:val="32"/>
          <w:lang w:val="zh-CN"/>
        </w:rPr>
        <w:t>，依次包括履职效能、预算管理、财务管理、资产管理、采购管理等情况。</w:t>
      </w:r>
    </w:p>
    <w:p w14:paraId="0167A455">
      <w:pPr>
        <w:adjustRightInd w:val="0"/>
        <w:snapToGrid w:val="0"/>
        <w:spacing w:line="578" w:lineRule="exact"/>
        <w:ind w:firstLine="560" w:firstLineChars="200"/>
        <w:contextualSpacing/>
        <w:jc w:val="left"/>
        <w:rPr>
          <w:rFonts w:eastAsia="仿宋_GB2312" w:cs="仿宋_GB2312"/>
          <w:sz w:val="28"/>
          <w:szCs w:val="32"/>
          <w:lang w:val="zh-CN"/>
        </w:rPr>
      </w:pPr>
      <w:r>
        <w:rPr>
          <w:rFonts w:hint="eastAsia" w:eastAsia="仿宋_GB2312" w:cs="仿宋_GB2312"/>
          <w:sz w:val="28"/>
          <w:szCs w:val="32"/>
        </w:rPr>
        <w:t>1.</w:t>
      </w:r>
      <w:r>
        <w:rPr>
          <w:rFonts w:hint="eastAsia" w:eastAsia="仿宋_GB2312" w:cs="仿宋_GB2312"/>
          <w:sz w:val="28"/>
          <w:szCs w:val="32"/>
          <w:lang w:val="zh-CN"/>
        </w:rPr>
        <w:t>履职效能。部门整体绩效目标中选定3-5个核心职能目标，对职能目标完成效果情况绩效分析。</w:t>
      </w:r>
    </w:p>
    <w:p w14:paraId="0F2E2907">
      <w:pPr>
        <w:adjustRightInd w:val="0"/>
        <w:snapToGrid w:val="0"/>
        <w:spacing w:line="578" w:lineRule="exact"/>
        <w:ind w:firstLine="560" w:firstLineChars="200"/>
        <w:contextualSpacing/>
        <w:jc w:val="left"/>
        <w:rPr>
          <w:rFonts w:eastAsia="仿宋_GB2312" w:cs="仿宋_GB2312"/>
          <w:sz w:val="28"/>
          <w:szCs w:val="32"/>
          <w:lang w:val="zh-CN"/>
        </w:rPr>
      </w:pPr>
      <w:r>
        <w:rPr>
          <w:rFonts w:hint="eastAsia" w:eastAsia="仿宋_GB2312" w:cs="仿宋_GB2312"/>
          <w:sz w:val="28"/>
          <w:szCs w:val="32"/>
        </w:rPr>
        <w:t>2.</w:t>
      </w:r>
      <w:r>
        <w:rPr>
          <w:rFonts w:eastAsia="仿宋_GB2312" w:cs="仿宋_GB2312"/>
          <w:sz w:val="28"/>
          <w:szCs w:val="32"/>
          <w:lang w:val="zh-CN"/>
        </w:rPr>
        <w:t>预算管理</w:t>
      </w:r>
      <w:r>
        <w:rPr>
          <w:rFonts w:hint="eastAsia" w:eastAsia="仿宋_GB2312" w:cs="仿宋_GB2312"/>
          <w:sz w:val="28"/>
          <w:szCs w:val="32"/>
          <w:lang w:val="zh-CN"/>
        </w:rPr>
        <w:t>。围绕预算编制质量、单位收入统筹、支出执行进度、预算年终结余、严控一般性支出</w:t>
      </w:r>
      <w:r>
        <w:rPr>
          <w:rFonts w:eastAsia="仿宋_GB2312" w:cs="仿宋_GB2312"/>
          <w:sz w:val="28"/>
          <w:szCs w:val="32"/>
          <w:lang w:val="zh-CN"/>
        </w:rPr>
        <w:t>进行绩效分析</w:t>
      </w:r>
      <w:r>
        <w:rPr>
          <w:rFonts w:hint="eastAsia" w:eastAsia="仿宋_GB2312" w:cs="仿宋_GB2312"/>
          <w:sz w:val="28"/>
          <w:szCs w:val="32"/>
          <w:lang w:val="zh-CN"/>
        </w:rPr>
        <w:t>。</w:t>
      </w:r>
    </w:p>
    <w:p w14:paraId="52F9AF76">
      <w:pPr>
        <w:adjustRightInd w:val="0"/>
        <w:snapToGrid w:val="0"/>
        <w:spacing w:line="578" w:lineRule="exact"/>
        <w:ind w:firstLine="560" w:firstLineChars="200"/>
        <w:contextualSpacing/>
        <w:jc w:val="left"/>
        <w:rPr>
          <w:rFonts w:eastAsia="仿宋_GB2312" w:cs="仿宋_GB2312"/>
          <w:sz w:val="28"/>
          <w:szCs w:val="32"/>
          <w:lang w:val="zh-CN"/>
        </w:rPr>
      </w:pPr>
      <w:r>
        <w:rPr>
          <w:rFonts w:hint="eastAsia" w:eastAsia="仿宋_GB2312" w:cs="仿宋_GB2312"/>
          <w:sz w:val="28"/>
          <w:szCs w:val="32"/>
        </w:rPr>
        <w:t>3.</w:t>
      </w:r>
      <w:r>
        <w:rPr>
          <w:rFonts w:eastAsia="仿宋_GB2312" w:cs="仿宋_GB2312"/>
          <w:sz w:val="28"/>
          <w:szCs w:val="32"/>
          <w:lang w:val="zh-CN"/>
        </w:rPr>
        <w:t>财务管理</w:t>
      </w:r>
      <w:r>
        <w:rPr>
          <w:rFonts w:hint="eastAsia" w:eastAsia="仿宋_GB2312" w:cs="仿宋_GB2312"/>
          <w:sz w:val="28"/>
          <w:szCs w:val="32"/>
          <w:lang w:val="zh-CN"/>
        </w:rPr>
        <w:t>。围绕财务管理制度、财务岗位设置、资金使用规范</w:t>
      </w:r>
      <w:r>
        <w:rPr>
          <w:rFonts w:eastAsia="仿宋_GB2312" w:cs="仿宋_GB2312"/>
          <w:sz w:val="28"/>
          <w:szCs w:val="32"/>
          <w:lang w:val="zh-CN"/>
        </w:rPr>
        <w:t>进行绩效分析</w:t>
      </w:r>
      <w:r>
        <w:rPr>
          <w:rFonts w:hint="eastAsia" w:eastAsia="仿宋_GB2312" w:cs="仿宋_GB2312"/>
          <w:sz w:val="28"/>
          <w:szCs w:val="32"/>
          <w:lang w:val="zh-CN"/>
        </w:rPr>
        <w:t>。</w:t>
      </w:r>
    </w:p>
    <w:p w14:paraId="5B0DCBAD">
      <w:pPr>
        <w:adjustRightInd w:val="0"/>
        <w:snapToGrid w:val="0"/>
        <w:spacing w:line="578" w:lineRule="exact"/>
        <w:ind w:firstLine="560" w:firstLineChars="200"/>
        <w:contextualSpacing/>
        <w:jc w:val="left"/>
        <w:rPr>
          <w:rFonts w:eastAsia="仿宋_GB2312" w:cs="仿宋_GB2312"/>
          <w:sz w:val="28"/>
          <w:szCs w:val="32"/>
          <w:lang w:val="zh-CN"/>
        </w:rPr>
      </w:pPr>
      <w:r>
        <w:rPr>
          <w:rFonts w:hint="eastAsia" w:eastAsia="仿宋_GB2312" w:cs="仿宋_GB2312"/>
          <w:sz w:val="28"/>
          <w:szCs w:val="32"/>
        </w:rPr>
        <w:t>4.</w:t>
      </w:r>
      <w:r>
        <w:rPr>
          <w:rFonts w:eastAsia="仿宋_GB2312" w:cs="仿宋_GB2312"/>
          <w:sz w:val="28"/>
          <w:szCs w:val="32"/>
          <w:lang w:val="zh-CN"/>
        </w:rPr>
        <w:t>资产管理</w:t>
      </w:r>
      <w:r>
        <w:rPr>
          <w:rFonts w:hint="eastAsia" w:eastAsia="仿宋_GB2312" w:cs="仿宋_GB2312"/>
          <w:sz w:val="28"/>
          <w:szCs w:val="32"/>
          <w:lang w:val="zh-CN"/>
        </w:rPr>
        <w:t>。围绕人均资产变化率、资产利用率、资产盘活率</w:t>
      </w:r>
      <w:r>
        <w:rPr>
          <w:rFonts w:eastAsia="仿宋_GB2312" w:cs="仿宋_GB2312"/>
          <w:sz w:val="28"/>
          <w:szCs w:val="32"/>
          <w:lang w:val="zh-CN"/>
        </w:rPr>
        <w:t>进行绩效分析</w:t>
      </w:r>
      <w:r>
        <w:rPr>
          <w:rFonts w:hint="eastAsia" w:eastAsia="仿宋_GB2312" w:cs="仿宋_GB2312"/>
          <w:sz w:val="28"/>
          <w:szCs w:val="32"/>
          <w:lang w:val="zh-CN"/>
        </w:rPr>
        <w:t>。</w:t>
      </w:r>
    </w:p>
    <w:p w14:paraId="3B45452D">
      <w:pPr>
        <w:adjustRightInd w:val="0"/>
        <w:snapToGrid w:val="0"/>
        <w:spacing w:line="578" w:lineRule="exact"/>
        <w:ind w:firstLine="560" w:firstLineChars="200"/>
        <w:contextualSpacing/>
        <w:jc w:val="left"/>
        <w:rPr>
          <w:rFonts w:eastAsia="仿宋_GB2312" w:cs="仿宋_GB2312"/>
          <w:sz w:val="28"/>
          <w:szCs w:val="32"/>
          <w:lang w:val="zh-CN"/>
        </w:rPr>
      </w:pPr>
      <w:r>
        <w:rPr>
          <w:rFonts w:hint="eastAsia" w:eastAsia="仿宋_GB2312" w:cs="仿宋_GB2312"/>
          <w:sz w:val="28"/>
          <w:szCs w:val="32"/>
        </w:rPr>
        <w:t>5.</w:t>
      </w:r>
      <w:r>
        <w:rPr>
          <w:rFonts w:eastAsia="仿宋_GB2312" w:cs="仿宋_GB2312"/>
          <w:sz w:val="28"/>
          <w:szCs w:val="32"/>
          <w:lang w:val="zh-CN"/>
        </w:rPr>
        <w:t>采购管理</w:t>
      </w:r>
      <w:r>
        <w:rPr>
          <w:rFonts w:hint="eastAsia" w:eastAsia="仿宋_GB2312" w:cs="仿宋_GB2312"/>
          <w:sz w:val="28"/>
          <w:szCs w:val="32"/>
          <w:lang w:val="zh-CN"/>
        </w:rPr>
        <w:t>。围绕支持中小企业发展、采购执行率</w:t>
      </w:r>
      <w:r>
        <w:rPr>
          <w:rFonts w:eastAsia="仿宋_GB2312" w:cs="仿宋_GB2312"/>
          <w:sz w:val="28"/>
          <w:szCs w:val="32"/>
          <w:lang w:val="zh-CN"/>
        </w:rPr>
        <w:t>进行绩效分析</w:t>
      </w:r>
      <w:r>
        <w:rPr>
          <w:rFonts w:hint="eastAsia" w:eastAsia="仿宋_GB2312" w:cs="仿宋_GB2312"/>
          <w:sz w:val="28"/>
          <w:szCs w:val="32"/>
          <w:lang w:val="zh-CN"/>
        </w:rPr>
        <w:t>。</w:t>
      </w:r>
    </w:p>
    <w:p w14:paraId="64379EBA">
      <w:pPr>
        <w:adjustRightInd w:val="0"/>
        <w:snapToGrid w:val="0"/>
        <w:spacing w:line="578" w:lineRule="exact"/>
        <w:ind w:firstLine="562" w:firstLineChars="200"/>
        <w:contextualSpacing/>
        <w:rPr>
          <w:rFonts w:eastAsia="仿宋_GB2312" w:cs="仿宋_GB2312"/>
          <w:sz w:val="28"/>
          <w:szCs w:val="32"/>
        </w:rPr>
      </w:pPr>
      <w:r>
        <w:rPr>
          <w:rFonts w:eastAsia="楷体_GB2312"/>
          <w:b/>
          <w:bCs/>
          <w:color w:val="000000"/>
          <w:kern w:val="0"/>
          <w:sz w:val="28"/>
          <w:szCs w:val="32"/>
          <w:shd w:val="clear" w:color="auto" w:fill="FFFFFF"/>
          <w:lang w:val="zh-CN"/>
        </w:rPr>
        <w:t>（二）部门预算项目绩效分析。</w:t>
      </w:r>
      <w:r>
        <w:rPr>
          <w:rFonts w:hint="eastAsia" w:eastAsia="仿宋_GB2312" w:cs="仿宋_GB2312"/>
          <w:sz w:val="28"/>
          <w:szCs w:val="32"/>
          <w:lang w:val="zh-CN"/>
        </w:rPr>
        <w:t>填报以下数据，并</w:t>
      </w:r>
      <w:r>
        <w:rPr>
          <w:rFonts w:eastAsia="仿宋_GB2312" w:cs="仿宋_GB2312"/>
          <w:sz w:val="28"/>
          <w:szCs w:val="32"/>
          <w:lang w:val="zh-CN"/>
        </w:rPr>
        <w:t>根据部门预算绩效评价指标体系</w:t>
      </w:r>
      <w:r>
        <w:rPr>
          <w:rFonts w:hint="eastAsia" w:eastAsia="仿宋_GB2312" w:cs="仿宋_GB2312"/>
          <w:sz w:val="28"/>
          <w:szCs w:val="32"/>
          <w:lang w:val="zh-CN"/>
        </w:rPr>
        <w:t>“</w:t>
      </w:r>
      <w:r>
        <w:rPr>
          <w:rFonts w:eastAsia="仿宋_GB2312" w:cs="仿宋_GB2312"/>
          <w:sz w:val="28"/>
          <w:szCs w:val="32"/>
          <w:lang w:val="zh-CN"/>
        </w:rPr>
        <w:t>项目绩效</w:t>
      </w:r>
      <w:r>
        <w:rPr>
          <w:rFonts w:hint="eastAsia" w:eastAsia="仿宋_GB2312" w:cs="仿宋_GB2312"/>
          <w:sz w:val="28"/>
          <w:szCs w:val="32"/>
          <w:lang w:val="zh-CN"/>
        </w:rPr>
        <w:t>”</w:t>
      </w:r>
      <w:r>
        <w:rPr>
          <w:rFonts w:eastAsia="仿宋_GB2312" w:cs="仿宋_GB2312"/>
          <w:sz w:val="28"/>
          <w:szCs w:val="32"/>
          <w:lang w:val="zh-CN"/>
        </w:rPr>
        <w:t>涉及</w:t>
      </w:r>
      <w:r>
        <w:rPr>
          <w:rFonts w:hint="eastAsia" w:eastAsia="仿宋_GB2312" w:cs="仿宋_GB2312"/>
          <w:sz w:val="28"/>
          <w:szCs w:val="32"/>
          <w:lang w:val="zh-CN"/>
        </w:rPr>
        <w:t>二、三级</w:t>
      </w:r>
      <w:r>
        <w:rPr>
          <w:rFonts w:eastAsia="仿宋_GB2312" w:cs="仿宋_GB2312"/>
          <w:sz w:val="28"/>
          <w:szCs w:val="32"/>
          <w:lang w:val="zh-CN"/>
        </w:rPr>
        <w:t>指标进行</w:t>
      </w:r>
      <w:r>
        <w:rPr>
          <w:rFonts w:hint="eastAsia" w:eastAsia="仿宋_GB2312" w:cs="仿宋_GB2312"/>
          <w:sz w:val="28"/>
          <w:szCs w:val="32"/>
          <w:lang w:val="zh-CN"/>
        </w:rPr>
        <w:t>逐项</w:t>
      </w:r>
      <w:r>
        <w:rPr>
          <w:rFonts w:eastAsia="仿宋_GB2312" w:cs="仿宋_GB2312"/>
          <w:sz w:val="28"/>
          <w:szCs w:val="32"/>
          <w:lang w:val="zh-CN"/>
        </w:rPr>
        <w:t>绩效分析</w:t>
      </w:r>
      <w:r>
        <w:rPr>
          <w:rFonts w:hint="eastAsia" w:eastAsia="仿宋_GB2312" w:cs="仿宋_GB2312"/>
          <w:sz w:val="28"/>
          <w:szCs w:val="32"/>
          <w:lang w:val="zh-CN"/>
        </w:rPr>
        <w:t>并评分</w:t>
      </w:r>
      <w:r>
        <w:rPr>
          <w:rFonts w:eastAsia="仿宋_GB2312" w:cs="仿宋_GB2312"/>
          <w:sz w:val="28"/>
          <w:szCs w:val="32"/>
          <w:lang w:val="zh-CN"/>
        </w:rPr>
        <w:t>，依次包括项目</w:t>
      </w:r>
      <w:r>
        <w:rPr>
          <w:rFonts w:eastAsia="仿宋_GB2312" w:cs="仿宋_GB2312"/>
          <w:sz w:val="28"/>
          <w:szCs w:val="32"/>
        </w:rPr>
        <w:t>决策、项目执行、目标实现等情况</w:t>
      </w:r>
      <w:r>
        <w:rPr>
          <w:rFonts w:hint="eastAsia" w:eastAsia="仿宋_GB2312" w:cs="仿宋_GB2312"/>
          <w:sz w:val="28"/>
          <w:szCs w:val="32"/>
        </w:rPr>
        <w:t>。</w:t>
      </w:r>
    </w:p>
    <w:p w14:paraId="13526095">
      <w:pPr>
        <w:adjustRightInd w:val="0"/>
        <w:snapToGrid w:val="0"/>
        <w:spacing w:line="578" w:lineRule="exact"/>
        <w:ind w:firstLine="560" w:firstLineChars="200"/>
        <w:contextualSpacing/>
        <w:rPr>
          <w:rFonts w:eastAsia="仿宋_GB2312" w:cs="仿宋_GB2312"/>
          <w:sz w:val="28"/>
          <w:szCs w:val="32"/>
          <w:lang w:val="zh-CN"/>
        </w:rPr>
      </w:pPr>
      <w:r>
        <w:rPr>
          <w:rFonts w:eastAsia="仿宋_GB2312" w:cs="仿宋_GB2312"/>
          <w:sz w:val="28"/>
          <w:szCs w:val="32"/>
        </w:rPr>
        <w:t>常年项目绩效分析。</w:t>
      </w:r>
      <w:r>
        <w:rPr>
          <w:rFonts w:eastAsia="仿宋_GB2312" w:cs="仿宋_GB2312"/>
          <w:sz w:val="28"/>
          <w:szCs w:val="32"/>
          <w:lang w:val="zh-CN"/>
        </w:rPr>
        <w:t>该类项目总数</w:t>
      </w:r>
      <w:r>
        <w:rPr>
          <w:rFonts w:hint="eastAsia" w:eastAsia="仿宋_GB2312" w:cs="仿宋_GB2312"/>
          <w:sz w:val="28"/>
          <w:szCs w:val="32"/>
        </w:rPr>
        <w:t>0</w:t>
      </w:r>
      <w:r>
        <w:rPr>
          <w:rFonts w:eastAsia="仿宋_GB2312" w:cs="仿宋_GB2312"/>
          <w:sz w:val="28"/>
          <w:szCs w:val="32"/>
          <w:lang w:val="zh-CN"/>
        </w:rPr>
        <w:t>个，涉及预算总金额</w:t>
      </w:r>
      <w:r>
        <w:rPr>
          <w:rFonts w:hint="eastAsia" w:eastAsia="仿宋_GB2312" w:cs="仿宋_GB2312"/>
          <w:sz w:val="28"/>
          <w:szCs w:val="32"/>
        </w:rPr>
        <w:t>0</w:t>
      </w:r>
      <w:r>
        <w:rPr>
          <w:rFonts w:eastAsia="仿宋_GB2312" w:cs="仿宋_GB2312"/>
          <w:sz w:val="28"/>
          <w:szCs w:val="32"/>
          <w:lang w:val="zh-CN"/>
        </w:rPr>
        <w:t>万元，1</w:t>
      </w:r>
      <w:r>
        <w:rPr>
          <w:rFonts w:hint="eastAsia" w:eastAsia="仿宋_GB2312" w:cs="仿宋_GB2312"/>
          <w:sz w:val="28"/>
          <w:szCs w:val="32"/>
          <w:lang w:val="zh-CN"/>
        </w:rPr>
        <w:t>—</w:t>
      </w:r>
      <w:r>
        <w:rPr>
          <w:rFonts w:eastAsia="仿宋_GB2312" w:cs="仿宋_GB2312"/>
          <w:sz w:val="28"/>
          <w:szCs w:val="32"/>
          <w:lang w:val="zh-CN"/>
        </w:rPr>
        <w:t>1</w:t>
      </w:r>
      <w:r>
        <w:rPr>
          <w:rFonts w:eastAsia="仿宋_GB2312" w:cs="仿宋_GB2312"/>
          <w:sz w:val="28"/>
          <w:szCs w:val="32"/>
        </w:rPr>
        <w:t>2</w:t>
      </w:r>
      <w:r>
        <w:rPr>
          <w:rFonts w:eastAsia="仿宋_GB2312" w:cs="仿宋_GB2312"/>
          <w:sz w:val="28"/>
          <w:szCs w:val="32"/>
          <w:lang w:val="zh-CN"/>
        </w:rPr>
        <w:t>月预算执行总体进度为</w:t>
      </w:r>
      <w:r>
        <w:rPr>
          <w:rFonts w:hint="eastAsia" w:eastAsia="仿宋_GB2312" w:cs="仿宋_GB2312"/>
          <w:sz w:val="28"/>
          <w:szCs w:val="32"/>
        </w:rPr>
        <w:t>0</w:t>
      </w:r>
      <w:r>
        <w:rPr>
          <w:rFonts w:eastAsia="仿宋_GB2312" w:cs="仿宋_GB2312"/>
          <w:sz w:val="28"/>
          <w:szCs w:val="32"/>
          <w:lang w:val="zh-CN"/>
        </w:rPr>
        <w:t>%，其中：预算结余率大于</w:t>
      </w:r>
      <w:r>
        <w:rPr>
          <w:rFonts w:eastAsia="仿宋_GB2312" w:cs="仿宋_GB2312"/>
          <w:sz w:val="28"/>
          <w:szCs w:val="32"/>
        </w:rPr>
        <w:t>10%</w:t>
      </w:r>
      <w:r>
        <w:rPr>
          <w:rFonts w:eastAsia="仿宋_GB2312" w:cs="仿宋_GB2312"/>
          <w:sz w:val="28"/>
          <w:szCs w:val="32"/>
          <w:lang w:val="zh-CN"/>
        </w:rPr>
        <w:t>的项目共计</w:t>
      </w:r>
      <w:r>
        <w:rPr>
          <w:rFonts w:hint="eastAsia" w:eastAsia="仿宋_GB2312" w:cs="仿宋_GB2312"/>
          <w:sz w:val="28"/>
          <w:szCs w:val="32"/>
        </w:rPr>
        <w:t>0</w:t>
      </w:r>
      <w:r>
        <w:rPr>
          <w:rFonts w:eastAsia="仿宋_GB2312" w:cs="仿宋_GB2312"/>
          <w:sz w:val="28"/>
          <w:szCs w:val="32"/>
          <w:lang w:val="zh-CN"/>
        </w:rPr>
        <w:t>个。</w:t>
      </w:r>
    </w:p>
    <w:p w14:paraId="5E6214EA">
      <w:pPr>
        <w:adjustRightInd w:val="0"/>
        <w:snapToGrid w:val="0"/>
        <w:spacing w:line="578" w:lineRule="exact"/>
        <w:ind w:firstLine="560" w:firstLineChars="200"/>
        <w:contextualSpacing/>
        <w:rPr>
          <w:rFonts w:eastAsia="仿宋_GB2312" w:cs="仿宋_GB2312"/>
          <w:sz w:val="28"/>
          <w:szCs w:val="32"/>
          <w:lang w:val="zh-CN"/>
        </w:rPr>
      </w:pPr>
      <w:r>
        <w:rPr>
          <w:rFonts w:eastAsia="仿宋_GB2312" w:cs="仿宋_GB2312"/>
          <w:sz w:val="28"/>
          <w:szCs w:val="32"/>
        </w:rPr>
        <w:t>阶段</w:t>
      </w:r>
      <w:r>
        <w:rPr>
          <w:rFonts w:hint="eastAsia" w:eastAsia="仿宋_GB2312" w:cs="仿宋_GB2312"/>
          <w:sz w:val="28"/>
          <w:szCs w:val="32"/>
        </w:rPr>
        <w:t>（</w:t>
      </w:r>
      <w:r>
        <w:rPr>
          <w:rFonts w:eastAsia="仿宋_GB2312" w:cs="仿宋_GB2312"/>
          <w:sz w:val="28"/>
          <w:szCs w:val="32"/>
        </w:rPr>
        <w:t>一次性</w:t>
      </w:r>
      <w:r>
        <w:rPr>
          <w:rFonts w:hint="eastAsia" w:eastAsia="仿宋_GB2312" w:cs="仿宋_GB2312"/>
          <w:sz w:val="28"/>
          <w:szCs w:val="32"/>
        </w:rPr>
        <w:t>）</w:t>
      </w:r>
      <w:r>
        <w:rPr>
          <w:rFonts w:eastAsia="仿宋_GB2312" w:cs="仿宋_GB2312"/>
          <w:sz w:val="28"/>
          <w:szCs w:val="32"/>
        </w:rPr>
        <w:t>项目绩效分析。</w:t>
      </w:r>
      <w:r>
        <w:rPr>
          <w:rFonts w:eastAsia="仿宋_GB2312" w:cs="仿宋_GB2312"/>
          <w:sz w:val="28"/>
          <w:szCs w:val="32"/>
          <w:lang w:val="zh-CN"/>
        </w:rPr>
        <w:t>该类项目总数</w:t>
      </w:r>
      <w:r>
        <w:rPr>
          <w:rFonts w:hint="eastAsia" w:eastAsia="仿宋_GB2312" w:cs="仿宋_GB2312"/>
          <w:sz w:val="28"/>
          <w:szCs w:val="32"/>
        </w:rPr>
        <w:t>0</w:t>
      </w:r>
      <w:r>
        <w:rPr>
          <w:rFonts w:eastAsia="仿宋_GB2312" w:cs="仿宋_GB2312"/>
          <w:sz w:val="28"/>
          <w:szCs w:val="32"/>
          <w:lang w:val="zh-CN"/>
        </w:rPr>
        <w:t>个，涉及预算总金额</w:t>
      </w:r>
      <w:r>
        <w:rPr>
          <w:rFonts w:hint="eastAsia" w:eastAsia="仿宋_GB2312" w:cs="仿宋_GB2312"/>
          <w:sz w:val="28"/>
          <w:szCs w:val="32"/>
        </w:rPr>
        <w:t>0</w:t>
      </w:r>
      <w:r>
        <w:rPr>
          <w:rFonts w:eastAsia="仿宋_GB2312" w:cs="仿宋_GB2312"/>
          <w:sz w:val="28"/>
          <w:szCs w:val="32"/>
          <w:lang w:val="zh-CN"/>
        </w:rPr>
        <w:t>万元，1</w:t>
      </w:r>
      <w:r>
        <w:rPr>
          <w:rFonts w:hint="eastAsia" w:eastAsia="仿宋_GB2312" w:cs="仿宋_GB2312"/>
          <w:sz w:val="28"/>
          <w:szCs w:val="32"/>
          <w:lang w:val="zh-CN"/>
        </w:rPr>
        <w:t>—</w:t>
      </w:r>
      <w:r>
        <w:rPr>
          <w:rFonts w:eastAsia="仿宋_GB2312" w:cs="仿宋_GB2312"/>
          <w:sz w:val="28"/>
          <w:szCs w:val="32"/>
          <w:lang w:val="zh-CN"/>
        </w:rPr>
        <w:t>1</w:t>
      </w:r>
      <w:r>
        <w:rPr>
          <w:rFonts w:eastAsia="仿宋_GB2312" w:cs="仿宋_GB2312"/>
          <w:sz w:val="28"/>
          <w:szCs w:val="32"/>
        </w:rPr>
        <w:t>2</w:t>
      </w:r>
      <w:r>
        <w:rPr>
          <w:rFonts w:eastAsia="仿宋_GB2312" w:cs="仿宋_GB2312"/>
          <w:sz w:val="28"/>
          <w:szCs w:val="32"/>
          <w:lang w:val="zh-CN"/>
        </w:rPr>
        <w:t>月预算执行总体进度为</w:t>
      </w:r>
      <w:r>
        <w:rPr>
          <w:rFonts w:hint="eastAsia" w:eastAsia="仿宋_GB2312" w:cs="仿宋_GB2312"/>
          <w:sz w:val="28"/>
          <w:szCs w:val="32"/>
        </w:rPr>
        <w:t>0</w:t>
      </w:r>
      <w:r>
        <w:rPr>
          <w:rFonts w:eastAsia="仿宋_GB2312" w:cs="仿宋_GB2312"/>
          <w:sz w:val="28"/>
          <w:szCs w:val="32"/>
          <w:lang w:val="zh-CN"/>
        </w:rPr>
        <w:t>%，其中：预算结余率大于</w:t>
      </w:r>
      <w:r>
        <w:rPr>
          <w:rFonts w:eastAsia="仿宋_GB2312" w:cs="仿宋_GB2312"/>
          <w:sz w:val="28"/>
          <w:szCs w:val="32"/>
        </w:rPr>
        <w:t>10%</w:t>
      </w:r>
      <w:r>
        <w:rPr>
          <w:rFonts w:eastAsia="仿宋_GB2312" w:cs="仿宋_GB2312"/>
          <w:sz w:val="28"/>
          <w:szCs w:val="32"/>
          <w:lang w:val="zh-CN"/>
        </w:rPr>
        <w:t>的项目共计</w:t>
      </w:r>
      <w:r>
        <w:rPr>
          <w:rFonts w:hint="eastAsia" w:eastAsia="仿宋_GB2312" w:cs="仿宋_GB2312"/>
          <w:sz w:val="28"/>
          <w:szCs w:val="32"/>
        </w:rPr>
        <w:t>0</w:t>
      </w:r>
      <w:r>
        <w:rPr>
          <w:rFonts w:eastAsia="仿宋_GB2312" w:cs="仿宋_GB2312"/>
          <w:sz w:val="28"/>
          <w:szCs w:val="32"/>
          <w:lang w:val="zh-CN"/>
        </w:rPr>
        <w:t>个。</w:t>
      </w:r>
    </w:p>
    <w:p w14:paraId="27BBFD53">
      <w:pPr>
        <w:adjustRightInd w:val="0"/>
        <w:snapToGrid w:val="0"/>
        <w:spacing w:line="578" w:lineRule="exact"/>
        <w:ind w:firstLine="560" w:firstLineChars="200"/>
        <w:contextualSpacing/>
        <w:rPr>
          <w:rFonts w:eastAsia="仿宋_GB2312" w:cs="仿宋_GB2312"/>
          <w:sz w:val="28"/>
          <w:szCs w:val="32"/>
          <w:lang w:val="zh-CN"/>
        </w:rPr>
      </w:pPr>
      <w:r>
        <w:rPr>
          <w:rFonts w:hint="eastAsia" w:eastAsia="仿宋_GB2312" w:cs="仿宋_GB2312"/>
          <w:sz w:val="28"/>
          <w:szCs w:val="32"/>
        </w:rPr>
        <w:t>1.</w:t>
      </w:r>
      <w:r>
        <w:rPr>
          <w:rFonts w:hint="eastAsia" w:eastAsia="仿宋_GB2312" w:cs="仿宋_GB2312"/>
          <w:sz w:val="28"/>
          <w:szCs w:val="32"/>
          <w:lang w:val="zh-CN"/>
        </w:rPr>
        <w:t>项目决策。围绕决策程序、目标设置、项目入库</w:t>
      </w:r>
      <w:r>
        <w:rPr>
          <w:rFonts w:eastAsia="仿宋_GB2312" w:cs="仿宋_GB2312"/>
          <w:sz w:val="28"/>
          <w:szCs w:val="32"/>
          <w:lang w:val="zh-CN"/>
        </w:rPr>
        <w:t>进行绩效分析</w:t>
      </w:r>
      <w:r>
        <w:rPr>
          <w:rFonts w:hint="eastAsia" w:eastAsia="仿宋_GB2312" w:cs="仿宋_GB2312"/>
          <w:sz w:val="28"/>
          <w:szCs w:val="32"/>
          <w:lang w:val="zh-CN"/>
        </w:rPr>
        <w:t>。</w:t>
      </w:r>
    </w:p>
    <w:p w14:paraId="5BF30F18">
      <w:pPr>
        <w:adjustRightInd w:val="0"/>
        <w:snapToGrid w:val="0"/>
        <w:spacing w:line="578" w:lineRule="exact"/>
        <w:ind w:firstLine="560" w:firstLineChars="200"/>
        <w:contextualSpacing/>
        <w:rPr>
          <w:rFonts w:eastAsia="仿宋_GB2312" w:cs="仿宋_GB2312"/>
          <w:sz w:val="28"/>
          <w:szCs w:val="32"/>
          <w:lang w:val="zh-CN"/>
        </w:rPr>
      </w:pPr>
      <w:r>
        <w:rPr>
          <w:rFonts w:hint="eastAsia" w:eastAsia="仿宋_GB2312" w:cs="仿宋_GB2312"/>
          <w:sz w:val="28"/>
          <w:szCs w:val="32"/>
        </w:rPr>
        <w:t>2.项目执行</w:t>
      </w:r>
      <w:r>
        <w:rPr>
          <w:rFonts w:hint="eastAsia" w:eastAsia="仿宋_GB2312" w:cs="仿宋_GB2312"/>
          <w:sz w:val="28"/>
          <w:szCs w:val="32"/>
          <w:lang w:val="zh-CN"/>
        </w:rPr>
        <w:t>。围绕资金执行同向、项目调整、执行结果</w:t>
      </w:r>
      <w:r>
        <w:rPr>
          <w:rFonts w:eastAsia="仿宋_GB2312" w:cs="仿宋_GB2312"/>
          <w:sz w:val="28"/>
          <w:szCs w:val="32"/>
          <w:lang w:val="zh-CN"/>
        </w:rPr>
        <w:t>进行绩效分析</w:t>
      </w:r>
      <w:r>
        <w:rPr>
          <w:rFonts w:hint="eastAsia" w:eastAsia="仿宋_GB2312" w:cs="仿宋_GB2312"/>
          <w:sz w:val="28"/>
          <w:szCs w:val="32"/>
          <w:lang w:val="zh-CN"/>
        </w:rPr>
        <w:t>。</w:t>
      </w:r>
    </w:p>
    <w:p w14:paraId="21492AF8">
      <w:pPr>
        <w:adjustRightInd w:val="0"/>
        <w:snapToGrid w:val="0"/>
        <w:spacing w:line="578" w:lineRule="exact"/>
        <w:ind w:firstLine="560" w:firstLineChars="200"/>
        <w:contextualSpacing/>
        <w:rPr>
          <w:rFonts w:eastAsia="仿宋_GB2312" w:cs="仿宋_GB2312"/>
          <w:sz w:val="28"/>
          <w:szCs w:val="32"/>
          <w:lang w:val="zh-CN"/>
        </w:rPr>
      </w:pPr>
      <w:r>
        <w:rPr>
          <w:rFonts w:hint="eastAsia" w:eastAsia="仿宋_GB2312" w:cs="仿宋_GB2312"/>
          <w:sz w:val="28"/>
          <w:szCs w:val="32"/>
        </w:rPr>
        <w:t>3.</w:t>
      </w:r>
      <w:r>
        <w:rPr>
          <w:rFonts w:hint="eastAsia" w:eastAsia="仿宋_GB2312" w:cs="仿宋_GB2312"/>
          <w:sz w:val="28"/>
          <w:szCs w:val="32"/>
          <w:lang w:val="zh-CN"/>
        </w:rPr>
        <w:t>目标实现。围绕目标完成、目标偏离、实现效果</w:t>
      </w:r>
      <w:r>
        <w:rPr>
          <w:rFonts w:eastAsia="仿宋_GB2312" w:cs="仿宋_GB2312"/>
          <w:sz w:val="28"/>
          <w:szCs w:val="32"/>
          <w:lang w:val="zh-CN"/>
        </w:rPr>
        <w:t>进行绩效分析</w:t>
      </w:r>
      <w:r>
        <w:rPr>
          <w:rFonts w:hint="eastAsia" w:eastAsia="仿宋_GB2312" w:cs="仿宋_GB2312"/>
          <w:sz w:val="28"/>
          <w:szCs w:val="32"/>
          <w:lang w:val="zh-CN"/>
        </w:rPr>
        <w:t>。</w:t>
      </w:r>
    </w:p>
    <w:p w14:paraId="5AF0EA9F">
      <w:pPr>
        <w:snapToGrid w:val="0"/>
        <w:spacing w:line="600" w:lineRule="exact"/>
        <w:ind w:firstLine="560" w:firstLineChars="200"/>
        <w:rPr>
          <w:rFonts w:eastAsia="仿宋_GB2312"/>
          <w:sz w:val="28"/>
          <w:szCs w:val="32"/>
        </w:rPr>
      </w:pPr>
      <w:r>
        <w:rPr>
          <w:rFonts w:eastAsia="仿宋_GB2312"/>
          <w:sz w:val="28"/>
          <w:szCs w:val="32"/>
        </w:rPr>
        <w:t>省级部门对2024年度一般公共预算、政府性基金预算、国有资本经营预算安排的常年项目、阶段项目绩效目标完成情况，以及债券资金、政府购买服务有关情况进行梳理阐述</w:t>
      </w:r>
      <w:r>
        <w:rPr>
          <w:rFonts w:hint="eastAsia" w:eastAsia="仿宋_GB2312"/>
          <w:sz w:val="28"/>
          <w:szCs w:val="32"/>
        </w:rPr>
        <w:t>。</w:t>
      </w:r>
    </w:p>
    <w:p w14:paraId="36BF77E1">
      <w:pPr>
        <w:snapToGrid w:val="0"/>
        <w:spacing w:line="600" w:lineRule="exact"/>
        <w:ind w:firstLine="562" w:firstLineChars="200"/>
        <w:rPr>
          <w:rFonts w:eastAsia="仿宋_GB2312"/>
          <w:sz w:val="28"/>
          <w:szCs w:val="32"/>
        </w:rPr>
      </w:pPr>
      <w:r>
        <w:rPr>
          <w:rFonts w:eastAsia="楷体_GB2312"/>
          <w:b/>
          <w:bCs/>
          <w:color w:val="000000"/>
          <w:kern w:val="0"/>
          <w:sz w:val="28"/>
          <w:szCs w:val="32"/>
          <w:shd w:val="clear" w:color="auto" w:fill="FFFFFF"/>
          <w:lang w:val="zh-CN"/>
        </w:rPr>
        <w:t>（</w:t>
      </w:r>
      <w:r>
        <w:rPr>
          <w:rFonts w:hint="eastAsia" w:eastAsia="楷体_GB2312"/>
          <w:b/>
          <w:bCs/>
          <w:color w:val="000000"/>
          <w:kern w:val="0"/>
          <w:sz w:val="28"/>
          <w:szCs w:val="32"/>
          <w:shd w:val="clear" w:color="auto" w:fill="FFFFFF"/>
        </w:rPr>
        <w:t>三</w:t>
      </w:r>
      <w:r>
        <w:rPr>
          <w:rFonts w:eastAsia="楷体_GB2312"/>
          <w:b/>
          <w:bCs/>
          <w:color w:val="000000"/>
          <w:kern w:val="0"/>
          <w:sz w:val="28"/>
          <w:szCs w:val="32"/>
          <w:shd w:val="clear" w:color="auto" w:fill="FFFFFF"/>
          <w:lang w:val="zh-CN"/>
        </w:rPr>
        <w:t>）绩效结果应用情况</w:t>
      </w:r>
      <w:r>
        <w:rPr>
          <w:rFonts w:hint="eastAsia" w:eastAsia="楷体_GB2312"/>
          <w:b/>
          <w:bCs/>
          <w:color w:val="000000"/>
          <w:kern w:val="0"/>
          <w:sz w:val="28"/>
          <w:szCs w:val="32"/>
          <w:shd w:val="clear" w:color="auto" w:fill="FFFFFF"/>
          <w:lang w:val="zh-CN"/>
        </w:rPr>
        <w:t>。</w:t>
      </w:r>
      <w:r>
        <w:rPr>
          <w:rFonts w:hint="eastAsia" w:eastAsia="仿宋_GB2312"/>
          <w:sz w:val="28"/>
          <w:szCs w:val="32"/>
          <w:lang w:val="zh-CN"/>
        </w:rPr>
        <w:t>围绕内部应用情况、</w:t>
      </w:r>
      <w:r>
        <w:rPr>
          <w:rFonts w:eastAsia="仿宋_GB2312"/>
          <w:sz w:val="28"/>
          <w:szCs w:val="32"/>
          <w:lang w:val="zh-CN"/>
        </w:rPr>
        <w:t>信息公开情况</w:t>
      </w:r>
      <w:r>
        <w:rPr>
          <w:rFonts w:hint="eastAsia" w:eastAsia="仿宋_GB2312"/>
          <w:sz w:val="28"/>
          <w:szCs w:val="32"/>
          <w:lang w:val="zh-CN"/>
        </w:rPr>
        <w:t>、</w:t>
      </w:r>
      <w:r>
        <w:rPr>
          <w:rFonts w:eastAsia="仿宋_GB2312"/>
          <w:sz w:val="28"/>
          <w:szCs w:val="32"/>
          <w:lang w:val="zh-CN"/>
        </w:rPr>
        <w:t>整改反馈情况</w:t>
      </w:r>
      <w:r>
        <w:rPr>
          <w:rFonts w:hint="eastAsia" w:eastAsia="仿宋_GB2312"/>
          <w:sz w:val="28"/>
          <w:szCs w:val="32"/>
          <w:lang w:val="zh-CN"/>
        </w:rPr>
        <w:t>进行分析。</w:t>
      </w:r>
    </w:p>
    <w:p w14:paraId="5F0FDAEB">
      <w:pPr>
        <w:widowControl/>
        <w:adjustRightInd w:val="0"/>
        <w:snapToGrid w:val="0"/>
        <w:spacing w:line="578" w:lineRule="exact"/>
        <w:ind w:firstLine="560" w:firstLineChars="200"/>
        <w:contextualSpacing/>
        <w:jc w:val="left"/>
        <w:rPr>
          <w:rFonts w:eastAsia="黑体"/>
          <w:color w:val="000000"/>
          <w:kern w:val="0"/>
          <w:sz w:val="28"/>
          <w:szCs w:val="32"/>
          <w:shd w:val="clear" w:color="auto" w:fill="FFFFFF"/>
          <w:lang w:val="zh-CN"/>
        </w:rPr>
      </w:pPr>
      <w:r>
        <w:rPr>
          <w:rFonts w:eastAsia="黑体"/>
          <w:color w:val="000000"/>
          <w:kern w:val="0"/>
          <w:sz w:val="28"/>
          <w:szCs w:val="32"/>
          <w:shd w:val="clear" w:color="auto" w:fill="FFFFFF"/>
          <w:lang w:val="zh-CN"/>
        </w:rPr>
        <w:t>四、评价结论及建议</w:t>
      </w:r>
    </w:p>
    <w:p w14:paraId="6BE8CBBB">
      <w:pPr>
        <w:widowControl/>
        <w:adjustRightInd w:val="0"/>
        <w:snapToGrid w:val="0"/>
        <w:spacing w:line="578" w:lineRule="exact"/>
        <w:ind w:firstLine="562" w:firstLineChars="200"/>
        <w:contextualSpacing/>
        <w:jc w:val="left"/>
        <w:rPr>
          <w:rFonts w:eastAsia="仿宋_GB2312"/>
          <w:sz w:val="28"/>
          <w:szCs w:val="32"/>
        </w:rPr>
      </w:pPr>
      <w:r>
        <w:rPr>
          <w:rFonts w:eastAsia="楷体_GB2312"/>
          <w:b/>
          <w:bCs/>
          <w:color w:val="000000"/>
          <w:kern w:val="0"/>
          <w:sz w:val="28"/>
          <w:szCs w:val="32"/>
          <w:shd w:val="clear" w:color="auto" w:fill="FFFFFF"/>
          <w:lang w:val="zh-CN"/>
        </w:rPr>
        <w:t>（一）评价结论。</w:t>
      </w:r>
      <w:r>
        <w:rPr>
          <w:rFonts w:hint="eastAsia" w:eastAsia="仿宋_GB2312"/>
          <w:sz w:val="28"/>
          <w:szCs w:val="32"/>
        </w:rPr>
        <w:t>简要阐述部门预算绩效自评总体结论，其中必须包含自评得分。</w:t>
      </w:r>
    </w:p>
    <w:p w14:paraId="6CC1EDB8">
      <w:pPr>
        <w:widowControl/>
        <w:adjustRightInd w:val="0"/>
        <w:snapToGrid w:val="0"/>
        <w:spacing w:line="578" w:lineRule="exact"/>
        <w:ind w:firstLine="562" w:firstLineChars="200"/>
        <w:contextualSpacing/>
        <w:jc w:val="left"/>
        <w:rPr>
          <w:rFonts w:eastAsia="仿宋_GB2312"/>
          <w:sz w:val="28"/>
          <w:szCs w:val="32"/>
        </w:rPr>
      </w:pPr>
      <w:r>
        <w:rPr>
          <w:rFonts w:eastAsia="楷体_GB2312"/>
          <w:b/>
          <w:bCs/>
          <w:color w:val="000000"/>
          <w:kern w:val="0"/>
          <w:sz w:val="28"/>
          <w:szCs w:val="32"/>
          <w:shd w:val="clear" w:color="auto" w:fill="FFFFFF"/>
          <w:lang w:val="zh-CN"/>
        </w:rPr>
        <w:t>（二）存在问题。</w:t>
      </w:r>
      <w:r>
        <w:rPr>
          <w:rFonts w:hint="eastAsia" w:eastAsia="仿宋_GB2312"/>
          <w:sz w:val="28"/>
          <w:szCs w:val="32"/>
        </w:rPr>
        <w:t>简要阐述部门预算绩效自评发现的主要问题。</w:t>
      </w:r>
    </w:p>
    <w:p w14:paraId="54C4EF5A">
      <w:pPr>
        <w:widowControl/>
        <w:adjustRightInd w:val="0"/>
        <w:snapToGrid w:val="0"/>
        <w:spacing w:line="578" w:lineRule="exact"/>
        <w:ind w:firstLine="562" w:firstLineChars="200"/>
        <w:contextualSpacing/>
        <w:jc w:val="left"/>
        <w:rPr>
          <w:rFonts w:ascii="Times New Roman" w:hAnsi="Times New Roman" w:eastAsia="仿宋_GB2312"/>
          <w:sz w:val="28"/>
          <w:lang w:val="zh-CN"/>
        </w:rPr>
      </w:pPr>
      <w:r>
        <w:rPr>
          <w:rFonts w:eastAsia="楷体_GB2312"/>
          <w:b/>
          <w:bCs/>
          <w:color w:val="000000"/>
          <w:kern w:val="0"/>
          <w:sz w:val="28"/>
          <w:szCs w:val="32"/>
          <w:shd w:val="clear" w:color="auto" w:fill="FFFFFF"/>
          <w:lang w:val="zh-CN"/>
        </w:rPr>
        <w:t>（三）改进建议。</w:t>
      </w:r>
      <w:r>
        <w:rPr>
          <w:rFonts w:hint="eastAsia" w:eastAsia="仿宋_GB2312"/>
          <w:sz w:val="28"/>
          <w:szCs w:val="32"/>
        </w:rPr>
        <w:t>简要阐述</w:t>
      </w:r>
      <w:bookmarkStart w:id="116" w:name="_Hlk110546638"/>
      <w:r>
        <w:rPr>
          <w:rFonts w:hint="eastAsia" w:eastAsia="仿宋_GB2312"/>
          <w:sz w:val="28"/>
          <w:szCs w:val="32"/>
        </w:rPr>
        <w:t>预算安排、完善政策、改进管理等方面的措施建议，其中必须对应评价发现的主要问题一一提出措施建议。</w:t>
      </w:r>
      <w:bookmarkEnd w:id="116"/>
    </w:p>
    <w:p w14:paraId="0CFE639F">
      <w:pPr>
        <w:pStyle w:val="7"/>
        <w:spacing w:line="560" w:lineRule="exact"/>
        <w:ind w:left="0" w:leftChars="0"/>
        <w:rPr>
          <w:rFonts w:ascii="Times New Roman" w:hAnsi="Times New Roman" w:eastAsia="仿宋_GB2312"/>
          <w:sz w:val="28"/>
          <w:lang w:val="zh-CN"/>
        </w:rPr>
      </w:pPr>
      <w:r>
        <w:rPr>
          <w:rFonts w:hint="eastAsia" w:ascii="Times New Roman" w:hAnsi="Times New Roman" w:eastAsia="仿宋_GB2312"/>
          <w:sz w:val="28"/>
          <w:lang w:val="zh-CN"/>
        </w:rPr>
        <w:t>附表：</w:t>
      </w:r>
      <w:r>
        <w:rPr>
          <w:rFonts w:hint="eastAsia" w:ascii="Times New Roman" w:hAnsi="Times New Roman" w:eastAsia="仿宋_GB2312"/>
          <w:sz w:val="28"/>
        </w:rPr>
        <w:t>部门预算项目支出绩效自评表（2024年度）</w:t>
      </w:r>
    </w:p>
    <w:tbl>
      <w:tblPr>
        <w:tblW w:w="976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1470"/>
        <w:gridCol w:w="1004"/>
        <w:gridCol w:w="1339"/>
        <w:gridCol w:w="1419"/>
        <w:gridCol w:w="355"/>
        <w:gridCol w:w="451"/>
        <w:gridCol w:w="1565"/>
        <w:gridCol w:w="1304"/>
        <w:gridCol w:w="855"/>
        <w:gridCol w:w="4"/>
      </w:tblGrid>
      <w:tr w14:paraId="4BC33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904" w:hRule="atLeast"/>
        </w:trPr>
        <w:tc>
          <w:tcPr>
            <w:tcW w:w="9766" w:type="dxa"/>
            <w:gridSpan w:val="10"/>
            <w:tcBorders>
              <w:top w:val="nil"/>
              <w:left w:val="nil"/>
              <w:bottom w:val="nil"/>
              <w:right w:val="nil"/>
            </w:tcBorders>
            <w:shd w:val="clear"/>
            <w:vAlign w:val="center"/>
          </w:tcPr>
          <w:p w14:paraId="6217F227">
            <w:pPr>
              <w:keepNext w:val="0"/>
              <w:keepLines w:val="0"/>
              <w:widowControl/>
              <w:suppressLineNumbers w:val="0"/>
              <w:jc w:val="center"/>
              <w:textAlignment w:val="center"/>
              <w:rPr>
                <w:rFonts w:ascii="黑体" w:hAnsi="宋体" w:eastAsia="黑体" w:cs="黑体"/>
                <w:i w:val="0"/>
                <w:iCs w:val="0"/>
                <w:color w:val="000000"/>
                <w:sz w:val="30"/>
                <w:szCs w:val="30"/>
                <w:u w:val="none"/>
              </w:rPr>
            </w:pPr>
            <w:bookmarkStart w:id="117" w:name="_Toc15396618"/>
            <w:r>
              <w:rPr>
                <w:rFonts w:hint="eastAsia" w:ascii="黑体" w:hAnsi="宋体" w:eastAsia="黑体" w:cs="黑体"/>
                <w:i w:val="0"/>
                <w:iCs w:val="0"/>
                <w:color w:val="000000"/>
                <w:kern w:val="0"/>
                <w:sz w:val="30"/>
                <w:szCs w:val="30"/>
                <w:u w:val="none"/>
                <w:bdr w:val="none" w:color="auto" w:sz="0" w:space="0"/>
                <w:lang w:val="en-US" w:eastAsia="zh-CN" w:bidi="ar"/>
              </w:rPr>
              <w:t>部门整体支出绩效目标表</w:t>
            </w:r>
          </w:p>
        </w:tc>
      </w:tr>
      <w:tr w14:paraId="18FA6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66" w:type="dxa"/>
            <w:gridSpan w:val="10"/>
            <w:tcBorders>
              <w:top w:val="nil"/>
              <w:left w:val="nil"/>
              <w:bottom w:val="nil"/>
              <w:right w:val="nil"/>
            </w:tcBorders>
            <w:shd w:val="clear"/>
            <w:vAlign w:val="center"/>
          </w:tcPr>
          <w:p w14:paraId="530B9D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（2024年度）</w:t>
            </w:r>
          </w:p>
        </w:tc>
      </w:tr>
      <w:tr w14:paraId="46544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9766" w:type="dxa"/>
            <w:gridSpan w:val="10"/>
            <w:tcBorders>
              <w:top w:val="nil"/>
              <w:left w:val="nil"/>
              <w:bottom w:val="single" w:color="000000" w:sz="4" w:space="0"/>
              <w:right w:val="nil"/>
            </w:tcBorders>
            <w:shd w:val="clear"/>
            <w:vAlign w:val="center"/>
          </w:tcPr>
          <w:p w14:paraId="150A1D86">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金额单位：万元</w:t>
            </w:r>
          </w:p>
        </w:tc>
      </w:tr>
      <w:tr w14:paraId="61B89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9" w:hRule="atLeast"/>
        </w:trPr>
        <w:tc>
          <w:tcPr>
            <w:tcW w:w="3813" w:type="dxa"/>
            <w:gridSpan w:val="3"/>
            <w:tcBorders>
              <w:top w:val="single" w:color="000000" w:sz="4" w:space="0"/>
              <w:left w:val="single" w:color="000000" w:sz="4" w:space="0"/>
              <w:bottom w:val="single" w:color="000000" w:sz="4" w:space="0"/>
              <w:right w:val="single" w:color="000000" w:sz="4" w:space="0"/>
            </w:tcBorders>
            <w:shd w:val="clear"/>
            <w:vAlign w:val="center"/>
          </w:tcPr>
          <w:p w14:paraId="61E1F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部门名称</w:t>
            </w:r>
          </w:p>
        </w:tc>
        <w:tc>
          <w:tcPr>
            <w:tcW w:w="5953" w:type="dxa"/>
            <w:gridSpan w:val="7"/>
            <w:tcBorders>
              <w:top w:val="single" w:color="000000" w:sz="4" w:space="0"/>
              <w:left w:val="single" w:color="000000" w:sz="4" w:space="0"/>
              <w:bottom w:val="single" w:color="000000" w:sz="4" w:space="0"/>
              <w:right w:val="single" w:color="000000" w:sz="4" w:space="0"/>
            </w:tcBorders>
            <w:shd w:val="clear"/>
            <w:vAlign w:val="center"/>
          </w:tcPr>
          <w:p w14:paraId="387E9607">
            <w:pPr>
              <w:keepNext w:val="0"/>
              <w:keepLines w:val="0"/>
              <w:widowControl/>
              <w:suppressLineNumbers w:val="0"/>
              <w:tabs>
                <w:tab w:val="left" w:pos="9030"/>
              </w:tabs>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中共金川县委党校本级</w:t>
            </w:r>
          </w:p>
        </w:tc>
      </w:tr>
      <w:tr w14:paraId="17B06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5" w:hRule="atLeast"/>
        </w:trPr>
        <w:tc>
          <w:tcPr>
            <w:tcW w:w="14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87429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年度部门整体支出预算</w:t>
            </w:r>
          </w:p>
        </w:tc>
        <w:tc>
          <w:tcPr>
            <w:tcW w:w="2343" w:type="dxa"/>
            <w:gridSpan w:val="2"/>
            <w:tcBorders>
              <w:top w:val="single" w:color="000000" w:sz="4" w:space="0"/>
              <w:left w:val="single" w:color="000000" w:sz="4" w:space="0"/>
              <w:bottom w:val="single" w:color="000000" w:sz="4" w:space="0"/>
              <w:right w:val="single" w:color="000000" w:sz="4" w:space="0"/>
            </w:tcBorders>
            <w:shd w:val="clear"/>
            <w:vAlign w:val="center"/>
          </w:tcPr>
          <w:p w14:paraId="362042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资金总额</w:t>
            </w:r>
          </w:p>
        </w:tc>
        <w:tc>
          <w:tcPr>
            <w:tcW w:w="1774" w:type="dxa"/>
            <w:gridSpan w:val="2"/>
            <w:tcBorders>
              <w:top w:val="single" w:color="000000" w:sz="4" w:space="0"/>
              <w:left w:val="single" w:color="000000" w:sz="4" w:space="0"/>
              <w:bottom w:val="single" w:color="000000" w:sz="4" w:space="0"/>
              <w:right w:val="single" w:color="000000" w:sz="4" w:space="0"/>
            </w:tcBorders>
            <w:shd w:val="clear"/>
            <w:vAlign w:val="center"/>
          </w:tcPr>
          <w:p w14:paraId="44023B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财政拨款</w:t>
            </w:r>
          </w:p>
        </w:tc>
        <w:tc>
          <w:tcPr>
            <w:tcW w:w="4179" w:type="dxa"/>
            <w:gridSpan w:val="5"/>
            <w:tcBorders>
              <w:top w:val="single" w:color="000000" w:sz="4" w:space="0"/>
              <w:left w:val="single" w:color="000000" w:sz="4" w:space="0"/>
              <w:bottom w:val="single" w:color="000000" w:sz="4" w:space="0"/>
              <w:right w:val="single" w:color="000000" w:sz="4" w:space="0"/>
            </w:tcBorders>
            <w:shd w:val="clear"/>
            <w:vAlign w:val="center"/>
          </w:tcPr>
          <w:p w14:paraId="31153E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其他资金</w:t>
            </w:r>
          </w:p>
        </w:tc>
      </w:tr>
      <w:tr w14:paraId="04C0F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1"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DC03E8D">
            <w:pPr>
              <w:jc w:val="center"/>
              <w:rPr>
                <w:rFonts w:hint="eastAsia" w:ascii="宋体" w:hAnsi="宋体" w:eastAsia="宋体" w:cs="宋体"/>
                <w:i w:val="0"/>
                <w:iCs w:val="0"/>
                <w:color w:val="000000"/>
                <w:sz w:val="18"/>
                <w:szCs w:val="18"/>
                <w:u w:val="none"/>
              </w:rPr>
            </w:pPr>
          </w:p>
        </w:tc>
        <w:tc>
          <w:tcPr>
            <w:tcW w:w="2343" w:type="dxa"/>
            <w:gridSpan w:val="2"/>
            <w:tcBorders>
              <w:top w:val="single" w:color="000000" w:sz="4" w:space="0"/>
              <w:left w:val="single" w:color="000000" w:sz="4" w:space="0"/>
              <w:bottom w:val="single" w:color="000000" w:sz="4" w:space="0"/>
              <w:right w:val="single" w:color="000000" w:sz="4" w:space="0"/>
            </w:tcBorders>
            <w:shd w:val="clear"/>
            <w:vAlign w:val="center"/>
          </w:tcPr>
          <w:p w14:paraId="728BD860">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246.72</w:t>
            </w:r>
          </w:p>
        </w:tc>
        <w:tc>
          <w:tcPr>
            <w:tcW w:w="1774" w:type="dxa"/>
            <w:gridSpan w:val="2"/>
            <w:tcBorders>
              <w:top w:val="single" w:color="000000" w:sz="4" w:space="0"/>
              <w:left w:val="single" w:color="000000" w:sz="4" w:space="0"/>
              <w:bottom w:val="single" w:color="000000" w:sz="4" w:space="0"/>
              <w:right w:val="single" w:color="000000" w:sz="4" w:space="0"/>
            </w:tcBorders>
            <w:shd w:val="clear"/>
            <w:vAlign w:val="center"/>
          </w:tcPr>
          <w:p w14:paraId="1952312B">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246.72</w:t>
            </w:r>
          </w:p>
        </w:tc>
        <w:tc>
          <w:tcPr>
            <w:tcW w:w="4179" w:type="dxa"/>
            <w:gridSpan w:val="5"/>
            <w:tcBorders>
              <w:top w:val="single" w:color="000000" w:sz="4" w:space="0"/>
              <w:left w:val="single" w:color="000000" w:sz="4" w:space="0"/>
              <w:bottom w:val="single" w:color="000000" w:sz="4" w:space="0"/>
              <w:right w:val="single" w:color="000000" w:sz="4" w:space="0"/>
            </w:tcBorders>
            <w:shd w:val="clear"/>
            <w:vAlign w:val="center"/>
          </w:tcPr>
          <w:p w14:paraId="39819CC1">
            <w:pPr>
              <w:jc w:val="right"/>
              <w:rPr>
                <w:rFonts w:hint="eastAsia" w:ascii="宋体" w:hAnsi="宋体" w:eastAsia="宋体" w:cs="宋体"/>
                <w:i w:val="0"/>
                <w:iCs w:val="0"/>
                <w:color w:val="000000"/>
                <w:sz w:val="18"/>
                <w:szCs w:val="18"/>
                <w:u w:val="none"/>
              </w:rPr>
            </w:pPr>
          </w:p>
        </w:tc>
      </w:tr>
      <w:tr w14:paraId="408F06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4" w:hRule="atLeast"/>
        </w:trPr>
        <w:tc>
          <w:tcPr>
            <w:tcW w:w="1470" w:type="dxa"/>
            <w:tcBorders>
              <w:top w:val="single" w:color="000000" w:sz="4" w:space="0"/>
              <w:left w:val="single" w:color="000000" w:sz="4" w:space="0"/>
              <w:bottom w:val="single" w:color="000000" w:sz="4" w:space="0"/>
              <w:right w:val="single" w:color="000000" w:sz="4" w:space="0"/>
            </w:tcBorders>
            <w:shd w:val="clear"/>
            <w:vAlign w:val="center"/>
          </w:tcPr>
          <w:p w14:paraId="43035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年度总体目标</w:t>
            </w:r>
          </w:p>
        </w:tc>
        <w:tc>
          <w:tcPr>
            <w:tcW w:w="8296" w:type="dxa"/>
            <w:gridSpan w:val="9"/>
            <w:tcBorders>
              <w:top w:val="single" w:color="000000" w:sz="4" w:space="0"/>
              <w:left w:val="single" w:color="000000" w:sz="4" w:space="0"/>
              <w:bottom w:val="single" w:color="000000" w:sz="4" w:space="0"/>
              <w:right w:val="single" w:color="000000" w:sz="4" w:space="0"/>
            </w:tcBorders>
            <w:shd w:val="clear"/>
            <w:vAlign w:val="center"/>
          </w:tcPr>
          <w:p w14:paraId="3766CD5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职责绩效目标;职责绩效目标;职责绩效目标;加强我县各种培训的理论培训和思想建设，以流动党校的形式把党方针、政策及法律、法规，宣传到群众中去。制定全县党校事业发展的中长期规划和年度计划并组织施  承担县委、县政府和上级业务部门交办的其他事项。</w:t>
            </w:r>
          </w:p>
        </w:tc>
      </w:tr>
      <w:tr w14:paraId="6D925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431" w:hRule="atLeast"/>
        </w:trPr>
        <w:tc>
          <w:tcPr>
            <w:tcW w:w="14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3A6B11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年度主要任务</w:t>
            </w:r>
          </w:p>
        </w:tc>
        <w:tc>
          <w:tcPr>
            <w:tcW w:w="2343" w:type="dxa"/>
            <w:gridSpan w:val="2"/>
            <w:tcBorders>
              <w:top w:val="single" w:color="000000" w:sz="4" w:space="0"/>
              <w:left w:val="single" w:color="000000" w:sz="4" w:space="0"/>
              <w:bottom w:val="single" w:color="000000" w:sz="4" w:space="0"/>
              <w:right w:val="single" w:color="000000" w:sz="4" w:space="0"/>
            </w:tcBorders>
            <w:shd w:val="clear"/>
            <w:vAlign w:val="center"/>
          </w:tcPr>
          <w:p w14:paraId="79081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任务名称</w:t>
            </w:r>
          </w:p>
        </w:tc>
        <w:tc>
          <w:tcPr>
            <w:tcW w:w="5953" w:type="dxa"/>
            <w:gridSpan w:val="7"/>
            <w:tcBorders>
              <w:top w:val="single" w:color="000000" w:sz="4" w:space="0"/>
              <w:left w:val="single" w:color="000000" w:sz="4" w:space="0"/>
              <w:bottom w:val="single" w:color="000000" w:sz="4" w:space="0"/>
              <w:right w:val="single" w:color="000000" w:sz="4" w:space="0"/>
            </w:tcBorders>
            <w:shd w:val="clear"/>
            <w:vAlign w:val="center"/>
          </w:tcPr>
          <w:p w14:paraId="1CC8A167">
            <w:pPr>
              <w:keepNext w:val="0"/>
              <w:keepLines w:val="0"/>
              <w:widowControl/>
              <w:suppressLineNumbers w:val="0"/>
              <w:tabs>
                <w:tab w:val="left" w:pos="9030"/>
              </w:tabs>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主要内容</w:t>
            </w:r>
          </w:p>
        </w:tc>
      </w:tr>
      <w:tr w14:paraId="1C7A3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7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EB8923B">
            <w:pPr>
              <w:jc w:val="center"/>
              <w:rPr>
                <w:rFonts w:hint="eastAsia" w:ascii="宋体" w:hAnsi="宋体" w:eastAsia="宋体" w:cs="宋体"/>
                <w:i w:val="0"/>
                <w:iCs w:val="0"/>
                <w:color w:val="000000"/>
                <w:sz w:val="18"/>
                <w:szCs w:val="18"/>
                <w:u w:val="none"/>
              </w:rPr>
            </w:pPr>
          </w:p>
        </w:tc>
        <w:tc>
          <w:tcPr>
            <w:tcW w:w="2343" w:type="dxa"/>
            <w:gridSpan w:val="2"/>
            <w:tcBorders>
              <w:top w:val="single" w:color="000000" w:sz="4" w:space="0"/>
              <w:left w:val="single" w:color="000000" w:sz="4" w:space="0"/>
              <w:bottom w:val="single" w:color="000000" w:sz="4" w:space="0"/>
              <w:right w:val="single" w:color="000000" w:sz="4" w:space="0"/>
            </w:tcBorders>
            <w:shd w:val="clear"/>
            <w:vAlign w:val="center"/>
          </w:tcPr>
          <w:p w14:paraId="36738B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深入推进全面治党</w:t>
            </w:r>
          </w:p>
        </w:tc>
        <w:tc>
          <w:tcPr>
            <w:tcW w:w="5953" w:type="dxa"/>
            <w:gridSpan w:val="7"/>
            <w:tcBorders>
              <w:top w:val="single" w:color="000000" w:sz="4" w:space="0"/>
              <w:left w:val="single" w:color="000000" w:sz="4" w:space="0"/>
              <w:bottom w:val="single" w:color="000000" w:sz="4" w:space="0"/>
              <w:right w:val="single" w:color="000000" w:sz="4" w:space="0"/>
            </w:tcBorders>
            <w:shd w:val="clear"/>
            <w:vAlign w:val="center"/>
          </w:tcPr>
          <w:p w14:paraId="03086713">
            <w:pPr>
              <w:keepNext w:val="0"/>
              <w:keepLines w:val="0"/>
              <w:widowControl/>
              <w:suppressLineNumbers w:val="0"/>
              <w:tabs>
                <w:tab w:val="left" w:pos="9030"/>
              </w:tabs>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从两个维护和政治学校意识教育，抓好金川红色文化新篇章</w:t>
            </w:r>
          </w:p>
        </w:tc>
      </w:tr>
      <w:tr w14:paraId="01F1FB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7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6EDDA75">
            <w:pPr>
              <w:jc w:val="center"/>
              <w:rPr>
                <w:rFonts w:hint="eastAsia" w:ascii="宋体" w:hAnsi="宋体" w:eastAsia="宋体" w:cs="宋体"/>
                <w:i w:val="0"/>
                <w:iCs w:val="0"/>
                <w:color w:val="000000"/>
                <w:sz w:val="18"/>
                <w:szCs w:val="18"/>
                <w:u w:val="none"/>
              </w:rPr>
            </w:pPr>
          </w:p>
        </w:tc>
        <w:tc>
          <w:tcPr>
            <w:tcW w:w="2343" w:type="dxa"/>
            <w:gridSpan w:val="2"/>
            <w:tcBorders>
              <w:top w:val="single" w:color="000000" w:sz="4" w:space="0"/>
              <w:left w:val="single" w:color="000000" w:sz="4" w:space="0"/>
              <w:bottom w:val="single" w:color="000000" w:sz="4" w:space="0"/>
              <w:right w:val="single" w:color="000000" w:sz="4" w:space="0"/>
            </w:tcBorders>
            <w:shd w:val="clear"/>
            <w:vAlign w:val="center"/>
          </w:tcPr>
          <w:p w14:paraId="6DDC65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加强人才队伍建设</w:t>
            </w:r>
          </w:p>
        </w:tc>
        <w:tc>
          <w:tcPr>
            <w:tcW w:w="5953" w:type="dxa"/>
            <w:gridSpan w:val="7"/>
            <w:tcBorders>
              <w:top w:val="single" w:color="000000" w:sz="4" w:space="0"/>
              <w:left w:val="single" w:color="000000" w:sz="4" w:space="0"/>
              <w:bottom w:val="single" w:color="000000" w:sz="4" w:space="0"/>
              <w:right w:val="single" w:color="000000" w:sz="4" w:space="0"/>
            </w:tcBorders>
            <w:shd w:val="clear"/>
            <w:vAlign w:val="center"/>
          </w:tcPr>
          <w:p w14:paraId="6D805EFD">
            <w:pPr>
              <w:keepNext w:val="0"/>
              <w:keepLines w:val="0"/>
              <w:widowControl/>
              <w:suppressLineNumbers w:val="0"/>
              <w:tabs>
                <w:tab w:val="left" w:pos="9030"/>
              </w:tabs>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加强内部规范管理，不断提升队伍建设，提高工作效率，深化财务信息化建设</w:t>
            </w:r>
          </w:p>
        </w:tc>
      </w:tr>
      <w:tr w14:paraId="70DFA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7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0AE8C21">
            <w:pPr>
              <w:jc w:val="center"/>
              <w:rPr>
                <w:rFonts w:hint="eastAsia" w:ascii="宋体" w:hAnsi="宋体" w:eastAsia="宋体" w:cs="宋体"/>
                <w:i w:val="0"/>
                <w:iCs w:val="0"/>
                <w:color w:val="000000"/>
                <w:sz w:val="18"/>
                <w:szCs w:val="18"/>
                <w:u w:val="none"/>
              </w:rPr>
            </w:pPr>
          </w:p>
        </w:tc>
        <w:tc>
          <w:tcPr>
            <w:tcW w:w="2343" w:type="dxa"/>
            <w:gridSpan w:val="2"/>
            <w:tcBorders>
              <w:top w:val="single" w:color="000000" w:sz="4" w:space="0"/>
              <w:left w:val="single" w:color="000000" w:sz="4" w:space="0"/>
              <w:bottom w:val="single" w:color="000000" w:sz="4" w:space="0"/>
              <w:right w:val="single" w:color="000000" w:sz="4" w:space="0"/>
            </w:tcBorders>
            <w:shd w:val="clear"/>
            <w:vAlign w:val="center"/>
          </w:tcPr>
          <w:p w14:paraId="1E3B27A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课题研究与资政</w:t>
            </w:r>
          </w:p>
        </w:tc>
        <w:tc>
          <w:tcPr>
            <w:tcW w:w="5953" w:type="dxa"/>
            <w:gridSpan w:val="7"/>
            <w:tcBorders>
              <w:top w:val="single" w:color="000000" w:sz="4" w:space="0"/>
              <w:left w:val="single" w:color="000000" w:sz="4" w:space="0"/>
              <w:bottom w:val="single" w:color="000000" w:sz="4" w:space="0"/>
              <w:right w:val="single" w:color="000000" w:sz="4" w:space="0"/>
            </w:tcBorders>
            <w:shd w:val="clear"/>
            <w:vAlign w:val="center"/>
          </w:tcPr>
          <w:p w14:paraId="3EA3795F">
            <w:pPr>
              <w:keepNext w:val="0"/>
              <w:keepLines w:val="0"/>
              <w:widowControl/>
              <w:suppressLineNumbers w:val="0"/>
              <w:tabs>
                <w:tab w:val="left" w:pos="9030"/>
              </w:tabs>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对马克思、毛泽东邓小平理论及三个代表重要思想科学发展观，习近平新时代中国特色社会主义思想深度解读</w:t>
            </w:r>
          </w:p>
        </w:tc>
      </w:tr>
      <w:tr w14:paraId="2E041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wAfter w:w="0" w:type="auto"/>
          <w:trHeight w:val="57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ED269BE">
            <w:pPr>
              <w:jc w:val="center"/>
              <w:rPr>
                <w:rFonts w:hint="eastAsia" w:ascii="宋体" w:hAnsi="宋体" w:eastAsia="宋体" w:cs="宋体"/>
                <w:i w:val="0"/>
                <w:iCs w:val="0"/>
                <w:color w:val="000000"/>
                <w:sz w:val="18"/>
                <w:szCs w:val="18"/>
                <w:u w:val="none"/>
              </w:rPr>
            </w:pPr>
          </w:p>
        </w:tc>
        <w:tc>
          <w:tcPr>
            <w:tcW w:w="2343" w:type="dxa"/>
            <w:gridSpan w:val="2"/>
            <w:tcBorders>
              <w:top w:val="single" w:color="000000" w:sz="4" w:space="0"/>
              <w:left w:val="single" w:color="000000" w:sz="4" w:space="0"/>
              <w:bottom w:val="single" w:color="000000" w:sz="4" w:space="0"/>
              <w:right w:val="single" w:color="000000" w:sz="4" w:space="0"/>
            </w:tcBorders>
            <w:shd w:val="clear"/>
            <w:vAlign w:val="center"/>
          </w:tcPr>
          <w:p w14:paraId="3F09928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抓好习近平新时代中国特色社会主义思想</w:t>
            </w:r>
          </w:p>
        </w:tc>
        <w:tc>
          <w:tcPr>
            <w:tcW w:w="5953" w:type="dxa"/>
            <w:gridSpan w:val="7"/>
            <w:tcBorders>
              <w:top w:val="single" w:color="000000" w:sz="4" w:space="0"/>
              <w:left w:val="single" w:color="000000" w:sz="4" w:space="0"/>
              <w:bottom w:val="single" w:color="000000" w:sz="4" w:space="0"/>
              <w:right w:val="single" w:color="000000" w:sz="4" w:space="0"/>
            </w:tcBorders>
            <w:shd w:val="clear"/>
            <w:vAlign w:val="center"/>
          </w:tcPr>
          <w:p w14:paraId="36B6B4BE">
            <w:pPr>
              <w:keepNext w:val="0"/>
              <w:keepLines w:val="0"/>
              <w:widowControl/>
              <w:suppressLineNumbers w:val="0"/>
              <w:tabs>
                <w:tab w:val="left" w:pos="9030"/>
              </w:tabs>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坚持把习近平新时代中国特色社会主义思想党校教学的主题课、科研的主题，党员干部理论武装的重点，加强宣传和理论讲座</w:t>
            </w:r>
          </w:p>
        </w:tc>
      </w:tr>
      <w:tr w14:paraId="54280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570" w:hRule="atLeast"/>
        </w:trPr>
        <w:tc>
          <w:tcPr>
            <w:tcW w:w="1470" w:type="dxa"/>
            <w:vMerge w:val="restart"/>
            <w:tcBorders>
              <w:top w:val="single" w:color="000000" w:sz="4" w:space="0"/>
              <w:left w:val="single" w:color="000000" w:sz="4" w:space="0"/>
              <w:bottom w:val="single" w:color="000000" w:sz="4" w:space="0"/>
              <w:right w:val="single" w:color="000000" w:sz="4" w:space="0"/>
            </w:tcBorders>
            <w:shd w:val="clear"/>
            <w:vAlign w:val="center"/>
          </w:tcPr>
          <w:p w14:paraId="5EFA59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年度绩效指标</w:t>
            </w:r>
          </w:p>
        </w:tc>
        <w:tc>
          <w:tcPr>
            <w:tcW w:w="1004" w:type="dxa"/>
            <w:tcBorders>
              <w:top w:val="single" w:color="000000" w:sz="4" w:space="0"/>
              <w:left w:val="single" w:color="000000" w:sz="4" w:space="0"/>
              <w:bottom w:val="single" w:color="000000" w:sz="4" w:space="0"/>
              <w:right w:val="single" w:color="000000" w:sz="4" w:space="0"/>
            </w:tcBorders>
            <w:shd w:val="clear"/>
            <w:vAlign w:val="center"/>
          </w:tcPr>
          <w:p w14:paraId="008E4F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一级指标</w:t>
            </w:r>
          </w:p>
        </w:tc>
        <w:tc>
          <w:tcPr>
            <w:tcW w:w="1339" w:type="dxa"/>
            <w:tcBorders>
              <w:top w:val="single" w:color="000000" w:sz="4" w:space="0"/>
              <w:left w:val="single" w:color="000000" w:sz="4" w:space="0"/>
              <w:bottom w:val="single" w:color="000000" w:sz="4" w:space="0"/>
              <w:right w:val="single" w:color="000000" w:sz="4" w:space="0"/>
            </w:tcBorders>
            <w:shd w:val="clear"/>
            <w:vAlign w:val="center"/>
          </w:tcPr>
          <w:p w14:paraId="4DB8D9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二级指标</w:t>
            </w:r>
          </w:p>
        </w:tc>
        <w:tc>
          <w:tcPr>
            <w:tcW w:w="1419" w:type="dxa"/>
            <w:tcBorders>
              <w:top w:val="single" w:color="000000" w:sz="4" w:space="0"/>
              <w:left w:val="single" w:color="000000" w:sz="4" w:space="0"/>
              <w:bottom w:val="single" w:color="000000" w:sz="4" w:space="0"/>
              <w:right w:val="single" w:color="000000" w:sz="4" w:space="0"/>
            </w:tcBorders>
            <w:shd w:val="clear"/>
            <w:vAlign w:val="center"/>
          </w:tcPr>
          <w:p w14:paraId="66187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三级指标</w:t>
            </w:r>
          </w:p>
        </w:tc>
        <w:tc>
          <w:tcPr>
            <w:tcW w:w="806" w:type="dxa"/>
            <w:gridSpan w:val="2"/>
            <w:tcBorders>
              <w:top w:val="single" w:color="000000" w:sz="4" w:space="0"/>
              <w:left w:val="single" w:color="000000" w:sz="4" w:space="0"/>
              <w:bottom w:val="single" w:color="000000" w:sz="4" w:space="0"/>
              <w:right w:val="single" w:color="000000" w:sz="4" w:space="0"/>
            </w:tcBorders>
            <w:shd w:val="clear"/>
            <w:vAlign w:val="center"/>
          </w:tcPr>
          <w:p w14:paraId="3FBFF1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绩效指标性质</w:t>
            </w:r>
          </w:p>
        </w:tc>
        <w:tc>
          <w:tcPr>
            <w:tcW w:w="1565" w:type="dxa"/>
            <w:tcBorders>
              <w:top w:val="single" w:color="000000" w:sz="4" w:space="0"/>
              <w:left w:val="single" w:color="000000" w:sz="4" w:space="0"/>
              <w:bottom w:val="single" w:color="000000" w:sz="4" w:space="0"/>
              <w:right w:val="single" w:color="000000" w:sz="4" w:space="0"/>
            </w:tcBorders>
            <w:shd w:val="clear"/>
            <w:vAlign w:val="center"/>
          </w:tcPr>
          <w:p w14:paraId="64CA9A86">
            <w:pPr>
              <w:keepNext w:val="0"/>
              <w:keepLines w:val="0"/>
              <w:widowControl/>
              <w:suppressLineNumbers w:val="0"/>
              <w:tabs>
                <w:tab w:val="left" w:pos="3360"/>
              </w:tabs>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绩效指标值</w:t>
            </w:r>
          </w:p>
        </w:tc>
        <w:tc>
          <w:tcPr>
            <w:tcW w:w="1304" w:type="dxa"/>
            <w:tcBorders>
              <w:top w:val="single" w:color="000000" w:sz="4" w:space="0"/>
              <w:left w:val="single" w:color="000000" w:sz="4" w:space="0"/>
              <w:bottom w:val="single" w:color="000000" w:sz="4" w:space="0"/>
              <w:right w:val="single" w:color="000000" w:sz="4" w:space="0"/>
            </w:tcBorders>
            <w:shd w:val="clear"/>
            <w:vAlign w:val="center"/>
          </w:tcPr>
          <w:p w14:paraId="67E812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绩效度量单位</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FCE9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权重</w:t>
            </w:r>
          </w:p>
        </w:tc>
      </w:tr>
      <w:tr w14:paraId="61B33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57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2D035B4">
            <w:pPr>
              <w:jc w:val="center"/>
              <w:rPr>
                <w:rFonts w:hint="eastAsia" w:ascii="宋体" w:hAnsi="宋体" w:eastAsia="宋体" w:cs="宋体"/>
                <w:i w:val="0"/>
                <w:iCs w:val="0"/>
                <w:color w:val="000000"/>
                <w:sz w:val="18"/>
                <w:szCs w:val="18"/>
                <w:u w:val="none"/>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vAlign w:val="center"/>
          </w:tcPr>
          <w:p w14:paraId="65D995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产出指标</w:t>
            </w:r>
          </w:p>
        </w:tc>
        <w:tc>
          <w:tcPr>
            <w:tcW w:w="1339" w:type="dxa"/>
            <w:vMerge w:val="restart"/>
            <w:tcBorders>
              <w:top w:val="single" w:color="000000" w:sz="4" w:space="0"/>
              <w:left w:val="single" w:color="000000" w:sz="4" w:space="0"/>
              <w:bottom w:val="single" w:color="000000" w:sz="4" w:space="0"/>
              <w:right w:val="single" w:color="000000" w:sz="4" w:space="0"/>
            </w:tcBorders>
            <w:shd w:val="clear"/>
            <w:vAlign w:val="center"/>
          </w:tcPr>
          <w:p w14:paraId="077A189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数量指标</w:t>
            </w:r>
          </w:p>
        </w:tc>
        <w:tc>
          <w:tcPr>
            <w:tcW w:w="1419" w:type="dxa"/>
            <w:tcBorders>
              <w:top w:val="single" w:color="000000" w:sz="4" w:space="0"/>
              <w:left w:val="single" w:color="000000" w:sz="4" w:space="0"/>
              <w:bottom w:val="single" w:color="000000" w:sz="4" w:space="0"/>
              <w:right w:val="single" w:color="000000" w:sz="4" w:space="0"/>
            </w:tcBorders>
            <w:shd w:val="clear"/>
            <w:vAlign w:val="center"/>
          </w:tcPr>
          <w:p w14:paraId="78A8616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培训人数</w:t>
            </w:r>
          </w:p>
        </w:tc>
        <w:tc>
          <w:tcPr>
            <w:tcW w:w="806" w:type="dxa"/>
            <w:gridSpan w:val="2"/>
            <w:tcBorders>
              <w:top w:val="single" w:color="000000" w:sz="4" w:space="0"/>
              <w:left w:val="single" w:color="000000" w:sz="4" w:space="0"/>
              <w:bottom w:val="single" w:color="000000" w:sz="4" w:space="0"/>
              <w:right w:val="single" w:color="000000" w:sz="4" w:space="0"/>
            </w:tcBorders>
            <w:shd w:val="clear"/>
            <w:vAlign w:val="center"/>
          </w:tcPr>
          <w:p w14:paraId="105F0F5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565" w:type="dxa"/>
            <w:tcBorders>
              <w:top w:val="single" w:color="000000" w:sz="4" w:space="0"/>
              <w:left w:val="single" w:color="000000" w:sz="4" w:space="0"/>
              <w:bottom w:val="single" w:color="000000" w:sz="4" w:space="0"/>
              <w:right w:val="single" w:color="000000" w:sz="4" w:space="0"/>
            </w:tcBorders>
            <w:shd w:val="clear"/>
            <w:vAlign w:val="center"/>
          </w:tcPr>
          <w:p w14:paraId="134A2819">
            <w:pPr>
              <w:keepNext w:val="0"/>
              <w:keepLines w:val="0"/>
              <w:widowControl/>
              <w:suppressLineNumbers w:val="0"/>
              <w:tabs>
                <w:tab w:val="left" w:pos="3360"/>
              </w:tabs>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500</w:t>
            </w:r>
          </w:p>
        </w:tc>
        <w:tc>
          <w:tcPr>
            <w:tcW w:w="1304" w:type="dxa"/>
            <w:tcBorders>
              <w:top w:val="single" w:color="000000" w:sz="4" w:space="0"/>
              <w:left w:val="single" w:color="000000" w:sz="4" w:space="0"/>
              <w:bottom w:val="single" w:color="000000" w:sz="4" w:space="0"/>
              <w:right w:val="single" w:color="000000" w:sz="4" w:space="0"/>
            </w:tcBorders>
            <w:shd w:val="clear"/>
            <w:vAlign w:val="center"/>
          </w:tcPr>
          <w:p w14:paraId="51EB74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人数</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0A3DD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r>
      <w:tr w14:paraId="3E4FF4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57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982A31C">
            <w:pPr>
              <w:jc w:val="center"/>
              <w:rPr>
                <w:rFonts w:hint="eastAsia" w:ascii="宋体" w:hAnsi="宋体" w:eastAsia="宋体" w:cs="宋体"/>
                <w:i w:val="0"/>
                <w:iCs w:val="0"/>
                <w:color w:val="000000"/>
                <w:sz w:val="18"/>
                <w:szCs w:val="18"/>
                <w:u w:val="none"/>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8663C39">
            <w:pPr>
              <w:jc w:val="left"/>
              <w:rPr>
                <w:rFonts w:hint="eastAsia" w:ascii="宋体" w:hAnsi="宋体" w:eastAsia="宋体" w:cs="宋体"/>
                <w:i w:val="0"/>
                <w:iCs w:val="0"/>
                <w:color w:val="000000"/>
                <w:sz w:val="18"/>
                <w:szCs w:val="18"/>
                <w:u w:val="none"/>
              </w:rPr>
            </w:pPr>
          </w:p>
        </w:tc>
        <w:tc>
          <w:tcPr>
            <w:tcW w:w="133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4FBB318">
            <w:pPr>
              <w:jc w:val="left"/>
              <w:rPr>
                <w:rFonts w:hint="eastAsia" w:ascii="宋体" w:hAnsi="宋体" w:eastAsia="宋体" w:cs="宋体"/>
                <w:i w:val="0"/>
                <w:iCs w:val="0"/>
                <w:color w:val="000000"/>
                <w:sz w:val="18"/>
                <w:szCs w:val="18"/>
                <w:u w:val="none"/>
              </w:rPr>
            </w:pPr>
          </w:p>
        </w:tc>
        <w:tc>
          <w:tcPr>
            <w:tcW w:w="1419" w:type="dxa"/>
            <w:tcBorders>
              <w:top w:val="single" w:color="000000" w:sz="4" w:space="0"/>
              <w:left w:val="single" w:color="000000" w:sz="4" w:space="0"/>
              <w:bottom w:val="single" w:color="000000" w:sz="4" w:space="0"/>
              <w:right w:val="single" w:color="000000" w:sz="4" w:space="0"/>
            </w:tcBorders>
            <w:shd w:val="clear"/>
            <w:vAlign w:val="center"/>
          </w:tcPr>
          <w:p w14:paraId="2CDA05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人员经费保障率</w:t>
            </w:r>
          </w:p>
        </w:tc>
        <w:tc>
          <w:tcPr>
            <w:tcW w:w="806" w:type="dxa"/>
            <w:gridSpan w:val="2"/>
            <w:tcBorders>
              <w:top w:val="single" w:color="000000" w:sz="4" w:space="0"/>
              <w:left w:val="single" w:color="000000" w:sz="4" w:space="0"/>
              <w:bottom w:val="single" w:color="000000" w:sz="4" w:space="0"/>
              <w:right w:val="single" w:color="000000" w:sz="4" w:space="0"/>
            </w:tcBorders>
            <w:shd w:val="clear"/>
            <w:vAlign w:val="center"/>
          </w:tcPr>
          <w:p w14:paraId="60E68E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565" w:type="dxa"/>
            <w:tcBorders>
              <w:top w:val="single" w:color="000000" w:sz="4" w:space="0"/>
              <w:left w:val="single" w:color="000000" w:sz="4" w:space="0"/>
              <w:bottom w:val="single" w:color="000000" w:sz="4" w:space="0"/>
              <w:right w:val="single" w:color="000000" w:sz="4" w:space="0"/>
            </w:tcBorders>
            <w:shd w:val="clear"/>
            <w:vAlign w:val="center"/>
          </w:tcPr>
          <w:p w14:paraId="200DB9C4">
            <w:pPr>
              <w:keepNext w:val="0"/>
              <w:keepLines w:val="0"/>
              <w:widowControl/>
              <w:suppressLineNumbers w:val="0"/>
              <w:tabs>
                <w:tab w:val="left" w:pos="3360"/>
              </w:tabs>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1304" w:type="dxa"/>
            <w:tcBorders>
              <w:top w:val="single" w:color="000000" w:sz="4" w:space="0"/>
              <w:left w:val="single" w:color="000000" w:sz="4" w:space="0"/>
              <w:bottom w:val="single" w:color="000000" w:sz="4" w:space="0"/>
              <w:right w:val="single" w:color="000000" w:sz="4" w:space="0"/>
            </w:tcBorders>
            <w:shd w:val="clear"/>
            <w:vAlign w:val="center"/>
          </w:tcPr>
          <w:p w14:paraId="1330F1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E15F37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w:t>
            </w:r>
          </w:p>
        </w:tc>
      </w:tr>
      <w:tr w14:paraId="4B6F20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57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375579B">
            <w:pPr>
              <w:jc w:val="center"/>
              <w:rPr>
                <w:rFonts w:hint="eastAsia" w:ascii="宋体" w:hAnsi="宋体" w:eastAsia="宋体" w:cs="宋体"/>
                <w:i w:val="0"/>
                <w:iCs w:val="0"/>
                <w:color w:val="000000"/>
                <w:sz w:val="18"/>
                <w:szCs w:val="18"/>
                <w:u w:val="none"/>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17E0F621">
            <w:pPr>
              <w:jc w:val="left"/>
              <w:rPr>
                <w:rFonts w:hint="eastAsia" w:ascii="宋体" w:hAnsi="宋体" w:eastAsia="宋体" w:cs="宋体"/>
                <w:i w:val="0"/>
                <w:iCs w:val="0"/>
                <w:color w:val="000000"/>
                <w:sz w:val="18"/>
                <w:szCs w:val="18"/>
                <w:u w:val="none"/>
              </w:rPr>
            </w:pPr>
          </w:p>
        </w:tc>
        <w:tc>
          <w:tcPr>
            <w:tcW w:w="1339" w:type="dxa"/>
            <w:tcBorders>
              <w:top w:val="single" w:color="000000" w:sz="4" w:space="0"/>
              <w:left w:val="single" w:color="000000" w:sz="4" w:space="0"/>
              <w:bottom w:val="single" w:color="000000" w:sz="4" w:space="0"/>
              <w:right w:val="single" w:color="000000" w:sz="4" w:space="0"/>
            </w:tcBorders>
            <w:shd w:val="clear"/>
            <w:vAlign w:val="center"/>
          </w:tcPr>
          <w:p w14:paraId="1285F51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质量指标</w:t>
            </w:r>
          </w:p>
        </w:tc>
        <w:tc>
          <w:tcPr>
            <w:tcW w:w="1419" w:type="dxa"/>
            <w:tcBorders>
              <w:top w:val="single" w:color="000000" w:sz="4" w:space="0"/>
              <w:left w:val="single" w:color="000000" w:sz="4" w:space="0"/>
              <w:bottom w:val="single" w:color="000000" w:sz="4" w:space="0"/>
              <w:right w:val="single" w:color="000000" w:sz="4" w:space="0"/>
            </w:tcBorders>
            <w:shd w:val="clear"/>
            <w:vAlign w:val="center"/>
          </w:tcPr>
          <w:p w14:paraId="0AF3C78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预算编制准确率</w:t>
            </w:r>
          </w:p>
        </w:tc>
        <w:tc>
          <w:tcPr>
            <w:tcW w:w="806" w:type="dxa"/>
            <w:gridSpan w:val="2"/>
            <w:tcBorders>
              <w:top w:val="single" w:color="000000" w:sz="4" w:space="0"/>
              <w:left w:val="single" w:color="000000" w:sz="4" w:space="0"/>
              <w:bottom w:val="single" w:color="000000" w:sz="4" w:space="0"/>
              <w:right w:val="single" w:color="000000" w:sz="4" w:space="0"/>
            </w:tcBorders>
            <w:shd w:val="clear"/>
            <w:vAlign w:val="center"/>
          </w:tcPr>
          <w:p w14:paraId="668D272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565" w:type="dxa"/>
            <w:tcBorders>
              <w:top w:val="single" w:color="000000" w:sz="4" w:space="0"/>
              <w:left w:val="single" w:color="000000" w:sz="4" w:space="0"/>
              <w:bottom w:val="single" w:color="000000" w:sz="4" w:space="0"/>
              <w:right w:val="single" w:color="000000" w:sz="4" w:space="0"/>
            </w:tcBorders>
            <w:shd w:val="clear"/>
            <w:vAlign w:val="center"/>
          </w:tcPr>
          <w:p w14:paraId="4DB9BC3B">
            <w:pPr>
              <w:keepNext w:val="0"/>
              <w:keepLines w:val="0"/>
              <w:widowControl/>
              <w:suppressLineNumbers w:val="0"/>
              <w:tabs>
                <w:tab w:val="left" w:pos="3360"/>
              </w:tabs>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95</w:t>
            </w:r>
          </w:p>
        </w:tc>
        <w:tc>
          <w:tcPr>
            <w:tcW w:w="1304" w:type="dxa"/>
            <w:tcBorders>
              <w:top w:val="single" w:color="000000" w:sz="4" w:space="0"/>
              <w:left w:val="single" w:color="000000" w:sz="4" w:space="0"/>
              <w:bottom w:val="single" w:color="000000" w:sz="4" w:space="0"/>
              <w:right w:val="single" w:color="000000" w:sz="4" w:space="0"/>
            </w:tcBorders>
            <w:shd w:val="clear"/>
            <w:vAlign w:val="center"/>
          </w:tcPr>
          <w:p w14:paraId="383101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6644BC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w:t>
            </w:r>
          </w:p>
        </w:tc>
      </w:tr>
      <w:tr w14:paraId="51F00E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57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00F1318">
            <w:pPr>
              <w:jc w:val="center"/>
              <w:rPr>
                <w:rFonts w:hint="eastAsia" w:ascii="宋体" w:hAnsi="宋体" w:eastAsia="宋体" w:cs="宋体"/>
                <w:i w:val="0"/>
                <w:iCs w:val="0"/>
                <w:color w:val="000000"/>
                <w:sz w:val="18"/>
                <w:szCs w:val="18"/>
                <w:u w:val="none"/>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E773E70">
            <w:pPr>
              <w:jc w:val="left"/>
              <w:rPr>
                <w:rFonts w:hint="eastAsia" w:ascii="宋体" w:hAnsi="宋体" w:eastAsia="宋体" w:cs="宋体"/>
                <w:i w:val="0"/>
                <w:iCs w:val="0"/>
                <w:color w:val="000000"/>
                <w:sz w:val="18"/>
                <w:szCs w:val="18"/>
                <w:u w:val="none"/>
              </w:rPr>
            </w:pPr>
          </w:p>
        </w:tc>
        <w:tc>
          <w:tcPr>
            <w:tcW w:w="1339" w:type="dxa"/>
            <w:tcBorders>
              <w:top w:val="single" w:color="000000" w:sz="4" w:space="0"/>
              <w:left w:val="single" w:color="000000" w:sz="4" w:space="0"/>
              <w:bottom w:val="single" w:color="000000" w:sz="4" w:space="0"/>
              <w:right w:val="single" w:color="000000" w:sz="4" w:space="0"/>
            </w:tcBorders>
            <w:shd w:val="clear"/>
            <w:vAlign w:val="center"/>
          </w:tcPr>
          <w:p w14:paraId="05E0C7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时效指标</w:t>
            </w:r>
          </w:p>
        </w:tc>
        <w:tc>
          <w:tcPr>
            <w:tcW w:w="1419" w:type="dxa"/>
            <w:tcBorders>
              <w:top w:val="single" w:color="000000" w:sz="4" w:space="0"/>
              <w:left w:val="single" w:color="000000" w:sz="4" w:space="0"/>
              <w:bottom w:val="single" w:color="000000" w:sz="4" w:space="0"/>
              <w:right w:val="single" w:color="000000" w:sz="4" w:space="0"/>
            </w:tcBorders>
            <w:shd w:val="clear"/>
            <w:vAlign w:val="center"/>
          </w:tcPr>
          <w:p w14:paraId="05D7AA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按时发放率</w:t>
            </w:r>
          </w:p>
        </w:tc>
        <w:tc>
          <w:tcPr>
            <w:tcW w:w="806" w:type="dxa"/>
            <w:gridSpan w:val="2"/>
            <w:tcBorders>
              <w:top w:val="single" w:color="000000" w:sz="4" w:space="0"/>
              <w:left w:val="single" w:color="000000" w:sz="4" w:space="0"/>
              <w:bottom w:val="single" w:color="000000" w:sz="4" w:space="0"/>
              <w:right w:val="single" w:color="000000" w:sz="4" w:space="0"/>
            </w:tcBorders>
            <w:shd w:val="clear"/>
            <w:vAlign w:val="center"/>
          </w:tcPr>
          <w:p w14:paraId="3D9925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565" w:type="dxa"/>
            <w:tcBorders>
              <w:top w:val="single" w:color="000000" w:sz="4" w:space="0"/>
              <w:left w:val="single" w:color="000000" w:sz="4" w:space="0"/>
              <w:bottom w:val="single" w:color="000000" w:sz="4" w:space="0"/>
              <w:right w:val="single" w:color="000000" w:sz="4" w:space="0"/>
            </w:tcBorders>
            <w:shd w:val="clear"/>
            <w:vAlign w:val="center"/>
          </w:tcPr>
          <w:p w14:paraId="621DFA64">
            <w:pPr>
              <w:keepNext w:val="0"/>
              <w:keepLines w:val="0"/>
              <w:widowControl/>
              <w:suppressLineNumbers w:val="0"/>
              <w:tabs>
                <w:tab w:val="left" w:pos="3360"/>
              </w:tabs>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1304" w:type="dxa"/>
            <w:tcBorders>
              <w:top w:val="single" w:color="000000" w:sz="4" w:space="0"/>
              <w:left w:val="single" w:color="000000" w:sz="4" w:space="0"/>
              <w:bottom w:val="single" w:color="000000" w:sz="4" w:space="0"/>
              <w:right w:val="single" w:color="000000" w:sz="4" w:space="0"/>
            </w:tcBorders>
            <w:shd w:val="clear"/>
            <w:vAlign w:val="center"/>
          </w:tcPr>
          <w:p w14:paraId="3ADB5C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3CB9D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r>
      <w:tr w14:paraId="7AE684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57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8E6EE91">
            <w:pPr>
              <w:jc w:val="center"/>
              <w:rPr>
                <w:rFonts w:hint="eastAsia" w:ascii="宋体" w:hAnsi="宋体" w:eastAsia="宋体" w:cs="宋体"/>
                <w:i w:val="0"/>
                <w:iCs w:val="0"/>
                <w:color w:val="000000"/>
                <w:sz w:val="18"/>
                <w:szCs w:val="18"/>
                <w:u w:val="none"/>
              </w:rPr>
            </w:pPr>
          </w:p>
        </w:tc>
        <w:tc>
          <w:tcPr>
            <w:tcW w:w="1004" w:type="dxa"/>
            <w:vMerge w:val="restart"/>
            <w:tcBorders>
              <w:top w:val="single" w:color="000000" w:sz="4" w:space="0"/>
              <w:left w:val="single" w:color="000000" w:sz="4" w:space="0"/>
              <w:bottom w:val="single" w:color="000000" w:sz="4" w:space="0"/>
              <w:right w:val="single" w:color="000000" w:sz="4" w:space="0"/>
            </w:tcBorders>
            <w:shd w:val="clear"/>
            <w:vAlign w:val="center"/>
          </w:tcPr>
          <w:p w14:paraId="12D353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效益指标</w:t>
            </w:r>
          </w:p>
        </w:tc>
        <w:tc>
          <w:tcPr>
            <w:tcW w:w="1339" w:type="dxa"/>
            <w:vMerge w:val="restart"/>
            <w:tcBorders>
              <w:top w:val="single" w:color="000000" w:sz="4" w:space="0"/>
              <w:left w:val="single" w:color="000000" w:sz="4" w:space="0"/>
              <w:bottom w:val="single" w:color="000000" w:sz="4" w:space="0"/>
              <w:right w:val="single" w:color="000000" w:sz="4" w:space="0"/>
            </w:tcBorders>
            <w:shd w:val="clear"/>
            <w:vAlign w:val="center"/>
          </w:tcPr>
          <w:p w14:paraId="77EFFD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经济效益指标</w:t>
            </w:r>
          </w:p>
        </w:tc>
        <w:tc>
          <w:tcPr>
            <w:tcW w:w="1419" w:type="dxa"/>
            <w:tcBorders>
              <w:top w:val="single" w:color="000000" w:sz="4" w:space="0"/>
              <w:left w:val="single" w:color="000000" w:sz="4" w:space="0"/>
              <w:bottom w:val="single" w:color="000000" w:sz="4" w:space="0"/>
              <w:right w:val="single" w:color="000000" w:sz="4" w:space="0"/>
            </w:tcBorders>
            <w:shd w:val="clear"/>
            <w:vAlign w:val="center"/>
          </w:tcPr>
          <w:p w14:paraId="522663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预算结余率</w:t>
            </w:r>
          </w:p>
        </w:tc>
        <w:tc>
          <w:tcPr>
            <w:tcW w:w="806" w:type="dxa"/>
            <w:gridSpan w:val="2"/>
            <w:tcBorders>
              <w:top w:val="single" w:color="000000" w:sz="4" w:space="0"/>
              <w:left w:val="single" w:color="000000" w:sz="4" w:space="0"/>
              <w:bottom w:val="single" w:color="000000" w:sz="4" w:space="0"/>
              <w:right w:val="single" w:color="000000" w:sz="4" w:space="0"/>
            </w:tcBorders>
            <w:shd w:val="clear"/>
            <w:vAlign w:val="center"/>
          </w:tcPr>
          <w:p w14:paraId="0ECDB42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565" w:type="dxa"/>
            <w:tcBorders>
              <w:top w:val="single" w:color="000000" w:sz="4" w:space="0"/>
              <w:left w:val="single" w:color="000000" w:sz="4" w:space="0"/>
              <w:bottom w:val="single" w:color="000000" w:sz="4" w:space="0"/>
              <w:right w:val="single" w:color="000000" w:sz="4" w:space="0"/>
            </w:tcBorders>
            <w:shd w:val="clear"/>
            <w:vAlign w:val="center"/>
          </w:tcPr>
          <w:p w14:paraId="2C7DABB2">
            <w:pPr>
              <w:keepNext w:val="0"/>
              <w:keepLines w:val="0"/>
              <w:widowControl/>
              <w:suppressLineNumbers w:val="0"/>
              <w:tabs>
                <w:tab w:val="left" w:pos="3360"/>
              </w:tabs>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5</w:t>
            </w:r>
          </w:p>
        </w:tc>
        <w:tc>
          <w:tcPr>
            <w:tcW w:w="1304" w:type="dxa"/>
            <w:tcBorders>
              <w:top w:val="single" w:color="000000" w:sz="4" w:space="0"/>
              <w:left w:val="single" w:color="000000" w:sz="4" w:space="0"/>
              <w:bottom w:val="single" w:color="000000" w:sz="4" w:space="0"/>
              <w:right w:val="single" w:color="000000" w:sz="4" w:space="0"/>
            </w:tcBorders>
            <w:shd w:val="clear"/>
            <w:vAlign w:val="center"/>
          </w:tcPr>
          <w:p w14:paraId="081196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0DFCCF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w:t>
            </w:r>
          </w:p>
        </w:tc>
      </w:tr>
      <w:tr w14:paraId="1253D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57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41537BA3">
            <w:pPr>
              <w:jc w:val="center"/>
              <w:rPr>
                <w:rFonts w:hint="eastAsia" w:ascii="宋体" w:hAnsi="宋体" w:eastAsia="宋体" w:cs="宋体"/>
                <w:i w:val="0"/>
                <w:iCs w:val="0"/>
                <w:color w:val="000000"/>
                <w:sz w:val="18"/>
                <w:szCs w:val="18"/>
                <w:u w:val="none"/>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0EBA68DE">
            <w:pPr>
              <w:jc w:val="left"/>
              <w:rPr>
                <w:rFonts w:hint="eastAsia" w:ascii="宋体" w:hAnsi="宋体" w:eastAsia="宋体" w:cs="宋体"/>
                <w:i w:val="0"/>
                <w:iCs w:val="0"/>
                <w:color w:val="000000"/>
                <w:sz w:val="18"/>
                <w:szCs w:val="18"/>
                <w:u w:val="none"/>
              </w:rPr>
            </w:pPr>
          </w:p>
        </w:tc>
        <w:tc>
          <w:tcPr>
            <w:tcW w:w="133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5B70A16C">
            <w:pPr>
              <w:jc w:val="left"/>
              <w:rPr>
                <w:rFonts w:hint="eastAsia" w:ascii="宋体" w:hAnsi="宋体" w:eastAsia="宋体" w:cs="宋体"/>
                <w:i w:val="0"/>
                <w:iCs w:val="0"/>
                <w:color w:val="000000"/>
                <w:sz w:val="18"/>
                <w:szCs w:val="18"/>
                <w:u w:val="none"/>
              </w:rPr>
            </w:pPr>
          </w:p>
        </w:tc>
        <w:tc>
          <w:tcPr>
            <w:tcW w:w="1419" w:type="dxa"/>
            <w:tcBorders>
              <w:top w:val="single" w:color="000000" w:sz="4" w:space="0"/>
              <w:left w:val="single" w:color="000000" w:sz="4" w:space="0"/>
              <w:bottom w:val="single" w:color="000000" w:sz="4" w:space="0"/>
              <w:right w:val="single" w:color="000000" w:sz="4" w:space="0"/>
            </w:tcBorders>
            <w:shd w:val="clear"/>
            <w:vAlign w:val="center"/>
          </w:tcPr>
          <w:p w14:paraId="31152F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三公经费控制率</w:t>
            </w:r>
          </w:p>
        </w:tc>
        <w:tc>
          <w:tcPr>
            <w:tcW w:w="806" w:type="dxa"/>
            <w:gridSpan w:val="2"/>
            <w:tcBorders>
              <w:top w:val="single" w:color="000000" w:sz="4" w:space="0"/>
              <w:left w:val="single" w:color="000000" w:sz="4" w:space="0"/>
              <w:bottom w:val="single" w:color="000000" w:sz="4" w:space="0"/>
              <w:right w:val="single" w:color="000000" w:sz="4" w:space="0"/>
            </w:tcBorders>
            <w:shd w:val="clear"/>
            <w:vAlign w:val="center"/>
          </w:tcPr>
          <w:p w14:paraId="2616488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565" w:type="dxa"/>
            <w:tcBorders>
              <w:top w:val="single" w:color="000000" w:sz="4" w:space="0"/>
              <w:left w:val="single" w:color="000000" w:sz="4" w:space="0"/>
              <w:bottom w:val="single" w:color="000000" w:sz="4" w:space="0"/>
              <w:right w:val="single" w:color="000000" w:sz="4" w:space="0"/>
            </w:tcBorders>
            <w:shd w:val="clear"/>
            <w:vAlign w:val="center"/>
          </w:tcPr>
          <w:p w14:paraId="60ED4549">
            <w:pPr>
              <w:keepNext w:val="0"/>
              <w:keepLines w:val="0"/>
              <w:widowControl/>
              <w:suppressLineNumbers w:val="0"/>
              <w:tabs>
                <w:tab w:val="left" w:pos="3360"/>
              </w:tabs>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1304" w:type="dxa"/>
            <w:tcBorders>
              <w:top w:val="single" w:color="000000" w:sz="4" w:space="0"/>
              <w:left w:val="single" w:color="000000" w:sz="4" w:space="0"/>
              <w:bottom w:val="single" w:color="000000" w:sz="4" w:space="0"/>
              <w:right w:val="single" w:color="000000" w:sz="4" w:space="0"/>
            </w:tcBorders>
            <w:shd w:val="clear"/>
            <w:vAlign w:val="center"/>
          </w:tcPr>
          <w:p w14:paraId="7B41BC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3E18D4F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15</w:t>
            </w:r>
          </w:p>
        </w:tc>
      </w:tr>
      <w:tr w14:paraId="6959F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4" w:type="dxa"/>
          <w:trHeight w:val="570" w:hRule="atLeast"/>
        </w:trPr>
        <w:tc>
          <w:tcPr>
            <w:tcW w:w="1470"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75C49E1">
            <w:pPr>
              <w:jc w:val="center"/>
              <w:rPr>
                <w:rFonts w:hint="eastAsia" w:ascii="宋体" w:hAnsi="宋体" w:eastAsia="宋体" w:cs="宋体"/>
                <w:i w:val="0"/>
                <w:iCs w:val="0"/>
                <w:color w:val="000000"/>
                <w:sz w:val="18"/>
                <w:szCs w:val="18"/>
                <w:u w:val="none"/>
              </w:rPr>
            </w:pPr>
          </w:p>
        </w:tc>
        <w:tc>
          <w:tcPr>
            <w:tcW w:w="1004" w:type="dxa"/>
            <w:vMerge w:val="continue"/>
            <w:tcBorders>
              <w:top w:val="single" w:color="000000" w:sz="4" w:space="0"/>
              <w:left w:val="single" w:color="000000" w:sz="4" w:space="0"/>
              <w:bottom w:val="single" w:color="000000" w:sz="4" w:space="0"/>
              <w:right w:val="single" w:color="000000" w:sz="4" w:space="0"/>
            </w:tcBorders>
            <w:shd w:val="clear"/>
            <w:vAlign w:val="center"/>
          </w:tcPr>
          <w:p w14:paraId="6FB2D98A">
            <w:pPr>
              <w:jc w:val="left"/>
              <w:rPr>
                <w:rFonts w:hint="eastAsia" w:ascii="宋体" w:hAnsi="宋体" w:eastAsia="宋体" w:cs="宋体"/>
                <w:i w:val="0"/>
                <w:iCs w:val="0"/>
                <w:color w:val="000000"/>
                <w:sz w:val="18"/>
                <w:szCs w:val="18"/>
                <w:u w:val="none"/>
              </w:rPr>
            </w:pPr>
          </w:p>
        </w:tc>
        <w:tc>
          <w:tcPr>
            <w:tcW w:w="1339" w:type="dxa"/>
            <w:vMerge w:val="continue"/>
            <w:tcBorders>
              <w:top w:val="single" w:color="000000" w:sz="4" w:space="0"/>
              <w:left w:val="single" w:color="000000" w:sz="4" w:space="0"/>
              <w:bottom w:val="single" w:color="000000" w:sz="4" w:space="0"/>
              <w:right w:val="single" w:color="000000" w:sz="4" w:space="0"/>
            </w:tcBorders>
            <w:shd w:val="clear"/>
            <w:vAlign w:val="center"/>
          </w:tcPr>
          <w:p w14:paraId="7ECFE5B7">
            <w:pPr>
              <w:jc w:val="left"/>
              <w:rPr>
                <w:rFonts w:hint="eastAsia" w:ascii="宋体" w:hAnsi="宋体" w:eastAsia="宋体" w:cs="宋体"/>
                <w:i w:val="0"/>
                <w:iCs w:val="0"/>
                <w:color w:val="000000"/>
                <w:sz w:val="18"/>
                <w:szCs w:val="18"/>
                <w:u w:val="none"/>
              </w:rPr>
            </w:pPr>
          </w:p>
        </w:tc>
        <w:tc>
          <w:tcPr>
            <w:tcW w:w="1419" w:type="dxa"/>
            <w:tcBorders>
              <w:top w:val="single" w:color="000000" w:sz="4" w:space="0"/>
              <w:left w:val="single" w:color="000000" w:sz="4" w:space="0"/>
              <w:bottom w:val="single" w:color="000000" w:sz="4" w:space="0"/>
              <w:right w:val="single" w:color="000000" w:sz="4" w:space="0"/>
            </w:tcBorders>
            <w:shd w:val="clear"/>
            <w:vAlign w:val="center"/>
          </w:tcPr>
          <w:p w14:paraId="6EC02A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运转保障率</w:t>
            </w:r>
          </w:p>
        </w:tc>
        <w:tc>
          <w:tcPr>
            <w:tcW w:w="806" w:type="dxa"/>
            <w:gridSpan w:val="2"/>
            <w:tcBorders>
              <w:top w:val="single" w:color="000000" w:sz="4" w:space="0"/>
              <w:left w:val="single" w:color="000000" w:sz="4" w:space="0"/>
              <w:bottom w:val="single" w:color="000000" w:sz="4" w:space="0"/>
              <w:right w:val="single" w:color="000000" w:sz="4" w:space="0"/>
            </w:tcBorders>
            <w:shd w:val="clear"/>
            <w:vAlign w:val="center"/>
          </w:tcPr>
          <w:p w14:paraId="301622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1565" w:type="dxa"/>
            <w:tcBorders>
              <w:top w:val="single" w:color="000000" w:sz="4" w:space="0"/>
              <w:left w:val="single" w:color="000000" w:sz="4" w:space="0"/>
              <w:bottom w:val="single" w:color="000000" w:sz="4" w:space="0"/>
              <w:right w:val="single" w:color="000000" w:sz="4" w:space="0"/>
            </w:tcBorders>
            <w:shd w:val="clear"/>
            <w:vAlign w:val="center"/>
          </w:tcPr>
          <w:p w14:paraId="3CEBF137">
            <w:pPr>
              <w:keepNext w:val="0"/>
              <w:keepLines w:val="0"/>
              <w:widowControl/>
              <w:suppressLineNumbers w:val="0"/>
              <w:tabs>
                <w:tab w:val="left" w:pos="3360"/>
              </w:tabs>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100</w:t>
            </w:r>
          </w:p>
        </w:tc>
        <w:tc>
          <w:tcPr>
            <w:tcW w:w="1304" w:type="dxa"/>
            <w:tcBorders>
              <w:top w:val="single" w:color="000000" w:sz="4" w:space="0"/>
              <w:left w:val="single" w:color="000000" w:sz="4" w:space="0"/>
              <w:bottom w:val="single" w:color="000000" w:sz="4" w:space="0"/>
              <w:right w:val="single" w:color="000000" w:sz="4" w:space="0"/>
            </w:tcBorders>
            <w:shd w:val="clear"/>
            <w:vAlign w:val="center"/>
          </w:tcPr>
          <w:p w14:paraId="44E227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w:t>
            </w:r>
          </w:p>
        </w:tc>
        <w:tc>
          <w:tcPr>
            <w:tcW w:w="855" w:type="dxa"/>
            <w:tcBorders>
              <w:top w:val="single" w:color="000000" w:sz="4" w:space="0"/>
              <w:left w:val="single" w:color="000000" w:sz="4" w:space="0"/>
              <w:bottom w:val="single" w:color="000000" w:sz="4" w:space="0"/>
              <w:right w:val="single" w:color="000000" w:sz="4" w:space="0"/>
            </w:tcBorders>
            <w:shd w:val="clear"/>
            <w:vAlign w:val="center"/>
          </w:tcPr>
          <w:p w14:paraId="44A4169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bdr w:val="none" w:color="auto" w:sz="0" w:space="0"/>
                <w:lang w:val="en-US" w:eastAsia="zh-CN" w:bidi="ar"/>
              </w:rPr>
              <w:t>10</w:t>
            </w:r>
          </w:p>
        </w:tc>
      </w:tr>
    </w:tbl>
    <w:p w14:paraId="2A6CCDF4">
      <w:pPr>
        <w:rPr>
          <w:rFonts w:eastAsia="黑体" w:cs="黑体"/>
          <w:kern w:val="0"/>
          <w:sz w:val="28"/>
          <w:szCs w:val="32"/>
          <w:shd w:val="clear" w:color="auto" w:fill="FFFFFF"/>
          <w:lang w:val="zh-CN"/>
        </w:rPr>
      </w:pPr>
    </w:p>
    <w:p w14:paraId="74AD600D">
      <w:pPr>
        <w:rPr>
          <w:rFonts w:hint="eastAsia" w:eastAsia="黑体"/>
          <w:sz w:val="40"/>
          <w:szCs w:val="44"/>
        </w:rPr>
      </w:pPr>
      <w:bookmarkStart w:id="133" w:name="_GoBack"/>
      <w:bookmarkEnd w:id="133"/>
    </w:p>
    <w:p w14:paraId="2C130D9B">
      <w:pPr>
        <w:pStyle w:val="2"/>
        <w:jc w:val="center"/>
        <w:rPr>
          <w:rFonts w:hint="eastAsia" w:ascii="Times New Roman" w:hAnsi="Times New Roman" w:eastAsia="方正小标宋简体" w:cs="方正小标宋简体"/>
          <w:b w:val="0"/>
          <w:sz w:val="40"/>
        </w:rPr>
      </w:pPr>
      <w:bookmarkStart w:id="118" w:name="_Toc26934"/>
      <w:r>
        <w:rPr>
          <w:rFonts w:hint="eastAsia" w:ascii="Times New Roman" w:hAnsi="Times New Roman" w:eastAsia="方正小标宋简体" w:cs="方正小标宋简体"/>
          <w:b w:val="0"/>
          <w:sz w:val="40"/>
        </w:rPr>
        <w:t>第五部分 附表</w:t>
      </w:r>
      <w:bookmarkEnd w:id="114"/>
      <w:bookmarkEnd w:id="117"/>
      <w:bookmarkEnd w:id="118"/>
      <w:bookmarkStart w:id="119" w:name="_Toc15396619"/>
    </w:p>
    <w:p w14:paraId="4E494EAC">
      <w:pPr>
        <w:pStyle w:val="14"/>
        <w:adjustRightInd w:val="0"/>
        <w:snapToGrid w:val="0"/>
        <w:spacing w:line="560" w:lineRule="exact"/>
        <w:jc w:val="left"/>
        <w:rPr>
          <w:rFonts w:eastAsia="仿宋_GB2312" w:cs="仿宋_GB2312"/>
          <w:sz w:val="28"/>
          <w:szCs w:val="32"/>
        </w:rPr>
      </w:pPr>
    </w:p>
    <w:p w14:paraId="0D03D384">
      <w:pPr>
        <w:pStyle w:val="14"/>
        <w:adjustRightInd w:val="0"/>
        <w:snapToGrid w:val="0"/>
        <w:spacing w:line="560" w:lineRule="exact"/>
        <w:jc w:val="left"/>
        <w:rPr>
          <w:rFonts w:eastAsia="仿宋_GB2312" w:cs="仿宋_GB2312"/>
          <w:sz w:val="28"/>
          <w:szCs w:val="32"/>
        </w:rPr>
      </w:pPr>
      <w:r>
        <w:rPr>
          <w:rFonts w:hint="eastAsia" w:eastAsia="仿宋_GB2312" w:cs="仿宋_GB2312"/>
          <w:sz w:val="28"/>
          <w:szCs w:val="32"/>
        </w:rPr>
        <w:t>一、收入支出决算总表</w:t>
      </w:r>
      <w:bookmarkEnd w:id="119"/>
    </w:p>
    <w:p w14:paraId="274915BC">
      <w:pPr>
        <w:pStyle w:val="14"/>
        <w:adjustRightInd w:val="0"/>
        <w:snapToGrid w:val="0"/>
        <w:spacing w:line="560" w:lineRule="exact"/>
        <w:jc w:val="left"/>
        <w:rPr>
          <w:rFonts w:eastAsia="仿宋_GB2312" w:cs="仿宋_GB2312"/>
          <w:sz w:val="28"/>
          <w:szCs w:val="32"/>
        </w:rPr>
      </w:pPr>
      <w:bookmarkStart w:id="120" w:name="_Toc15396620"/>
      <w:r>
        <w:rPr>
          <w:rFonts w:hint="eastAsia" w:eastAsia="仿宋_GB2312" w:cs="仿宋_GB2312"/>
          <w:sz w:val="28"/>
          <w:szCs w:val="32"/>
        </w:rPr>
        <w:t>二、收入决算表</w:t>
      </w:r>
      <w:bookmarkEnd w:id="120"/>
    </w:p>
    <w:p w14:paraId="0EB0AD75">
      <w:pPr>
        <w:pStyle w:val="14"/>
        <w:adjustRightInd w:val="0"/>
        <w:snapToGrid w:val="0"/>
        <w:spacing w:line="560" w:lineRule="exact"/>
        <w:jc w:val="left"/>
        <w:rPr>
          <w:rFonts w:eastAsia="仿宋_GB2312" w:cs="仿宋_GB2312"/>
          <w:sz w:val="28"/>
          <w:szCs w:val="32"/>
        </w:rPr>
      </w:pPr>
      <w:bookmarkStart w:id="121" w:name="_Toc15396621"/>
      <w:r>
        <w:rPr>
          <w:rFonts w:hint="eastAsia" w:eastAsia="仿宋_GB2312" w:cs="仿宋_GB2312"/>
          <w:sz w:val="28"/>
          <w:szCs w:val="32"/>
        </w:rPr>
        <w:t>三、支出决算表</w:t>
      </w:r>
      <w:bookmarkEnd w:id="121"/>
    </w:p>
    <w:p w14:paraId="053BBEDD">
      <w:pPr>
        <w:pStyle w:val="14"/>
        <w:adjustRightInd w:val="0"/>
        <w:snapToGrid w:val="0"/>
        <w:spacing w:line="560" w:lineRule="exact"/>
        <w:jc w:val="left"/>
        <w:rPr>
          <w:rFonts w:eastAsia="仿宋_GB2312" w:cs="仿宋_GB2312"/>
          <w:sz w:val="28"/>
          <w:szCs w:val="32"/>
        </w:rPr>
      </w:pPr>
      <w:bookmarkStart w:id="122" w:name="_Toc15396622"/>
      <w:r>
        <w:rPr>
          <w:rFonts w:hint="eastAsia" w:eastAsia="仿宋_GB2312" w:cs="仿宋_GB2312"/>
          <w:sz w:val="28"/>
          <w:szCs w:val="32"/>
        </w:rPr>
        <w:t>四、财政拨款收入支出决算总表</w:t>
      </w:r>
      <w:bookmarkEnd w:id="122"/>
    </w:p>
    <w:p w14:paraId="6647E5B0">
      <w:pPr>
        <w:pStyle w:val="14"/>
        <w:adjustRightInd w:val="0"/>
        <w:snapToGrid w:val="0"/>
        <w:spacing w:line="560" w:lineRule="exact"/>
        <w:jc w:val="left"/>
        <w:rPr>
          <w:rFonts w:eastAsia="仿宋_GB2312" w:cs="仿宋_GB2312"/>
          <w:sz w:val="28"/>
          <w:szCs w:val="32"/>
        </w:rPr>
      </w:pPr>
      <w:bookmarkStart w:id="123" w:name="_Toc15396623"/>
      <w:r>
        <w:rPr>
          <w:rFonts w:hint="eastAsia" w:eastAsia="仿宋_GB2312" w:cs="仿宋_GB2312"/>
          <w:sz w:val="28"/>
          <w:szCs w:val="32"/>
        </w:rPr>
        <w:t>五、财政拨款支出决算明细表</w:t>
      </w:r>
      <w:bookmarkEnd w:id="123"/>
      <w:bookmarkStart w:id="124" w:name="_Toc15396624"/>
    </w:p>
    <w:p w14:paraId="1038427C">
      <w:pPr>
        <w:pStyle w:val="14"/>
        <w:adjustRightInd w:val="0"/>
        <w:snapToGrid w:val="0"/>
        <w:spacing w:line="560" w:lineRule="exact"/>
        <w:jc w:val="left"/>
        <w:rPr>
          <w:rFonts w:eastAsia="仿宋_GB2312" w:cs="仿宋_GB2312"/>
          <w:sz w:val="28"/>
          <w:szCs w:val="32"/>
        </w:rPr>
      </w:pPr>
      <w:r>
        <w:rPr>
          <w:rFonts w:hint="eastAsia" w:eastAsia="仿宋_GB2312" w:cs="仿宋_GB2312"/>
          <w:sz w:val="28"/>
          <w:szCs w:val="32"/>
        </w:rPr>
        <w:t>六、一般公共预算财政拨款支出决算表</w:t>
      </w:r>
      <w:bookmarkEnd w:id="124"/>
    </w:p>
    <w:p w14:paraId="1E4C364E">
      <w:pPr>
        <w:pStyle w:val="14"/>
        <w:adjustRightInd w:val="0"/>
        <w:snapToGrid w:val="0"/>
        <w:spacing w:line="560" w:lineRule="exact"/>
        <w:jc w:val="left"/>
        <w:rPr>
          <w:rFonts w:eastAsia="仿宋_GB2312" w:cs="仿宋_GB2312"/>
          <w:sz w:val="28"/>
          <w:szCs w:val="32"/>
        </w:rPr>
      </w:pPr>
      <w:bookmarkStart w:id="125" w:name="_Toc15396625"/>
      <w:r>
        <w:rPr>
          <w:rFonts w:hint="eastAsia" w:eastAsia="仿宋_GB2312" w:cs="仿宋_GB2312"/>
          <w:sz w:val="28"/>
          <w:szCs w:val="32"/>
        </w:rPr>
        <w:t>七、一般公共预算财政拨款支出决算明细表</w:t>
      </w:r>
      <w:bookmarkEnd w:id="125"/>
    </w:p>
    <w:p w14:paraId="05745AE4">
      <w:pPr>
        <w:pStyle w:val="14"/>
        <w:adjustRightInd w:val="0"/>
        <w:snapToGrid w:val="0"/>
        <w:spacing w:line="560" w:lineRule="exact"/>
        <w:jc w:val="left"/>
        <w:rPr>
          <w:rFonts w:eastAsia="仿宋_GB2312" w:cs="仿宋_GB2312"/>
          <w:sz w:val="28"/>
          <w:szCs w:val="32"/>
        </w:rPr>
      </w:pPr>
      <w:bookmarkStart w:id="126" w:name="_Toc15396626"/>
      <w:r>
        <w:rPr>
          <w:rFonts w:hint="eastAsia" w:eastAsia="仿宋_GB2312" w:cs="仿宋_GB2312"/>
          <w:sz w:val="28"/>
          <w:szCs w:val="32"/>
        </w:rPr>
        <w:t>八、一般公共预算财政拨款基本支出决算表</w:t>
      </w:r>
      <w:bookmarkEnd w:id="126"/>
    </w:p>
    <w:p w14:paraId="45317CF5">
      <w:pPr>
        <w:pStyle w:val="14"/>
        <w:adjustRightInd w:val="0"/>
        <w:snapToGrid w:val="0"/>
        <w:spacing w:line="560" w:lineRule="exact"/>
        <w:jc w:val="left"/>
        <w:rPr>
          <w:rFonts w:eastAsia="仿宋_GB2312" w:cs="仿宋_GB2312"/>
          <w:sz w:val="28"/>
          <w:szCs w:val="32"/>
        </w:rPr>
      </w:pPr>
      <w:bookmarkStart w:id="127" w:name="_Toc15396627"/>
      <w:r>
        <w:rPr>
          <w:rFonts w:hint="eastAsia" w:eastAsia="仿宋_GB2312" w:cs="仿宋_GB2312"/>
          <w:sz w:val="28"/>
          <w:szCs w:val="32"/>
        </w:rPr>
        <w:t>九、一般公共预算财政拨款项目支出决算表</w:t>
      </w:r>
      <w:bookmarkEnd w:id="127"/>
    </w:p>
    <w:p w14:paraId="1E2282BC">
      <w:pPr>
        <w:pStyle w:val="14"/>
        <w:adjustRightInd w:val="0"/>
        <w:snapToGrid w:val="0"/>
        <w:spacing w:line="560" w:lineRule="exact"/>
        <w:jc w:val="left"/>
        <w:rPr>
          <w:rFonts w:eastAsia="仿宋_GB2312" w:cs="仿宋_GB2312"/>
          <w:sz w:val="28"/>
          <w:szCs w:val="32"/>
        </w:rPr>
      </w:pPr>
      <w:bookmarkStart w:id="128" w:name="_Toc15396628"/>
      <w:r>
        <w:rPr>
          <w:rFonts w:hint="eastAsia" w:eastAsia="仿宋_GB2312" w:cs="仿宋_GB2312"/>
          <w:sz w:val="28"/>
          <w:szCs w:val="32"/>
        </w:rPr>
        <w:t>十、</w:t>
      </w:r>
      <w:bookmarkEnd w:id="128"/>
      <w:r>
        <w:rPr>
          <w:rFonts w:hint="eastAsia" w:eastAsia="仿宋_GB2312" w:cs="仿宋_GB2312"/>
          <w:sz w:val="28"/>
          <w:szCs w:val="32"/>
        </w:rPr>
        <w:t>政府性基金预算财政拨款收入支出决算表</w:t>
      </w:r>
    </w:p>
    <w:p w14:paraId="74948805">
      <w:pPr>
        <w:pStyle w:val="14"/>
        <w:adjustRightInd w:val="0"/>
        <w:snapToGrid w:val="0"/>
        <w:spacing w:line="560" w:lineRule="exact"/>
        <w:jc w:val="left"/>
        <w:rPr>
          <w:rFonts w:eastAsia="仿宋_GB2312" w:cs="仿宋_GB2312"/>
          <w:sz w:val="28"/>
          <w:szCs w:val="32"/>
        </w:rPr>
      </w:pPr>
      <w:bookmarkStart w:id="129" w:name="_Toc15396629"/>
      <w:r>
        <w:rPr>
          <w:rFonts w:hint="eastAsia" w:eastAsia="仿宋_GB2312" w:cs="仿宋_GB2312"/>
          <w:sz w:val="28"/>
          <w:szCs w:val="32"/>
        </w:rPr>
        <w:t>十一、</w:t>
      </w:r>
      <w:bookmarkEnd w:id="129"/>
      <w:r>
        <w:rPr>
          <w:rFonts w:hint="eastAsia" w:eastAsia="仿宋_GB2312" w:cs="仿宋_GB2312"/>
          <w:sz w:val="28"/>
          <w:szCs w:val="32"/>
        </w:rPr>
        <w:t>国有资本经营预算财政拨款收入支出决算表</w:t>
      </w:r>
    </w:p>
    <w:p w14:paraId="408DCA68">
      <w:pPr>
        <w:pStyle w:val="14"/>
        <w:adjustRightInd w:val="0"/>
        <w:snapToGrid w:val="0"/>
        <w:spacing w:line="560" w:lineRule="exact"/>
        <w:jc w:val="left"/>
        <w:rPr>
          <w:rFonts w:eastAsia="仿宋_GB2312" w:cs="仿宋_GB2312"/>
          <w:sz w:val="28"/>
          <w:szCs w:val="32"/>
        </w:rPr>
      </w:pPr>
      <w:bookmarkStart w:id="130" w:name="_Toc15396630"/>
      <w:r>
        <w:rPr>
          <w:rFonts w:hint="eastAsia" w:eastAsia="仿宋_GB2312" w:cs="仿宋_GB2312"/>
          <w:sz w:val="28"/>
          <w:szCs w:val="32"/>
        </w:rPr>
        <w:t>十二、</w:t>
      </w:r>
      <w:bookmarkEnd w:id="130"/>
      <w:r>
        <w:rPr>
          <w:rFonts w:hint="eastAsia" w:eastAsia="仿宋_GB2312" w:cs="仿宋_GB2312"/>
          <w:sz w:val="28"/>
          <w:szCs w:val="32"/>
        </w:rPr>
        <w:t>国有资本经营预算财政拨款支出决算表</w:t>
      </w:r>
    </w:p>
    <w:p w14:paraId="1304B44B">
      <w:pPr>
        <w:pStyle w:val="14"/>
        <w:adjustRightInd w:val="0"/>
        <w:snapToGrid w:val="0"/>
        <w:spacing w:line="560" w:lineRule="exact"/>
        <w:jc w:val="left"/>
        <w:rPr>
          <w:rFonts w:hint="eastAsia" w:eastAsia="仿宋_GB2312" w:cs="仿宋_GB2312"/>
          <w:sz w:val="28"/>
          <w:szCs w:val="32"/>
        </w:rPr>
      </w:pPr>
      <w:bookmarkStart w:id="131" w:name="_Toc15396631"/>
      <w:r>
        <w:rPr>
          <w:rFonts w:hint="eastAsia" w:eastAsia="仿宋_GB2312" w:cs="仿宋_GB2312"/>
          <w:sz w:val="28"/>
          <w:szCs w:val="32"/>
        </w:rPr>
        <w:t>十三、</w:t>
      </w:r>
      <w:bookmarkEnd w:id="131"/>
      <w:r>
        <w:rPr>
          <w:rFonts w:hint="eastAsia" w:eastAsia="仿宋_GB2312" w:cs="仿宋_GB2312"/>
          <w:sz w:val="28"/>
          <w:szCs w:val="32"/>
        </w:rPr>
        <w:t>财政拨款“三公”经费支出决算表</w:t>
      </w:r>
    </w:p>
    <w:p w14:paraId="5235697A">
      <w:pPr>
        <w:pStyle w:val="14"/>
        <w:adjustRightInd w:val="0"/>
        <w:snapToGrid w:val="0"/>
        <w:spacing w:line="560" w:lineRule="exact"/>
        <w:jc w:val="left"/>
        <w:rPr>
          <w:rFonts w:hint="eastAsia" w:ascii="Times New Roman" w:hAnsi="Times New Roman" w:eastAsia="仿宋_GB2312" w:cs="仿宋_GB2312"/>
          <w:sz w:val="28"/>
          <w:szCs w:val="32"/>
          <w:lang w:eastAsia="zh-CN"/>
        </w:rPr>
      </w:pPr>
      <w:bookmarkStart w:id="132" w:name="_Toc2278"/>
      <w:r>
        <w:rPr>
          <w:rFonts w:hint="eastAsia" w:ascii="Times New Roman" w:hAnsi="Times New Roman" w:eastAsia="仿宋_GB2312" w:cs="仿宋_GB2312"/>
          <w:sz w:val="28"/>
          <w:szCs w:val="32"/>
        </w:rPr>
        <w:t>十四、</w:t>
      </w:r>
      <w:r>
        <w:rPr>
          <w:rFonts w:hint="eastAsia" w:ascii="Times New Roman" w:hAnsi="Times New Roman" w:eastAsia="仿宋_GB2312" w:cs="仿宋_GB2312"/>
          <w:sz w:val="28"/>
          <w:szCs w:val="32"/>
          <w:lang w:eastAsia="zh-CN"/>
        </w:rPr>
        <w:t>中共金川县委</w:t>
      </w:r>
      <w:r>
        <w:rPr>
          <w:rFonts w:hint="eastAsia" w:ascii="Times New Roman" w:hAnsi="Times New Roman" w:eastAsia="仿宋_GB2312" w:cs="仿宋_GB2312"/>
          <w:sz w:val="28"/>
          <w:szCs w:val="32"/>
        </w:rPr>
        <w:t>202</w:t>
      </w:r>
      <w:r>
        <w:rPr>
          <w:rFonts w:hint="eastAsia" w:ascii="Times New Roman" w:hAnsi="Times New Roman" w:eastAsia="仿宋_GB2312" w:cs="仿宋_GB2312"/>
          <w:sz w:val="28"/>
          <w:szCs w:val="32"/>
          <w:lang w:val="en-US"/>
        </w:rPr>
        <w:t>4</w:t>
      </w:r>
      <w:r>
        <w:rPr>
          <w:rFonts w:hint="eastAsia" w:ascii="Times New Roman" w:hAnsi="Times New Roman" w:eastAsia="仿宋_GB2312" w:cs="仿宋_GB2312"/>
          <w:sz w:val="28"/>
          <w:szCs w:val="32"/>
        </w:rPr>
        <w:t>年部门预算项目支出绩效自评表</w:t>
      </w:r>
      <w:bookmarkEnd w:id="132"/>
    </w:p>
    <w:p w14:paraId="1C836849">
      <w:pPr>
        <w:pStyle w:val="14"/>
        <w:adjustRightInd w:val="0"/>
        <w:snapToGrid w:val="0"/>
        <w:spacing w:line="560" w:lineRule="exact"/>
        <w:jc w:val="left"/>
        <w:rPr>
          <w:rFonts w:hint="eastAsia" w:ascii="Times New Roman" w:hAnsi="Times New Roman" w:eastAsia="仿宋_GB2312" w:cs="仿宋_GB2312"/>
          <w:sz w:val="28"/>
          <w:szCs w:val="32"/>
        </w:rPr>
      </w:pPr>
    </w:p>
    <w:p w14:paraId="5B6CB4F8">
      <w:pPr>
        <w:rPr>
          <w:sz w:val="20"/>
        </w:rPr>
      </w:pPr>
    </w:p>
    <w:sectPr>
      <w:footerReference r:id="rId5" w:type="default"/>
      <w:pgSz w:w="11906" w:h="16838"/>
      <w:pgMar w:top="1440" w:right="1800" w:bottom="1440" w:left="1800" w:header="851" w:footer="992" w:gutter="0"/>
      <w:pgNumType w:fmt="decimal"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80F3C52" w:usb2="00000016" w:usb3="00000000" w:csb0="0004001F" w:csb1="00000000"/>
  </w:font>
  <w:font w:name="方正小标宋简体">
    <w:altName w:val="黑体"/>
    <w:panose1 w:val="00000000000000000000"/>
    <w:charset w:val="86"/>
    <w:family w:val="script"/>
    <w:pitch w:val="default"/>
    <w:sig w:usb0="00000000" w:usb1="00000000" w:usb2="00000000" w:usb3="00000000" w:csb0="00040000"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0000000000000000000"/>
    <w:charset w:val="01"/>
    <w:family w:val="auto"/>
    <w:pitch w:val="default"/>
    <w:sig w:usb0="00000000" w:usb1="00000000" w:usb2="00000000" w:usb3="00000000" w:csb0="0000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Lucida Sans Unicode">
    <w:panose1 w:val="020B0602030504020204"/>
    <w:charset w:val="00"/>
    <w:family w:val="auto"/>
    <w:pitch w:val="default"/>
    <w:sig w:usb0="80001AFF" w:usb1="0000396B" w:usb2="00000000" w:usb3="00000000" w:csb0="200000BF" w:csb1="D7F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3A9C2">
    <w:pPr>
      <w:pStyle w:val="10"/>
      <w:jc w:val="center"/>
    </w:pPr>
  </w:p>
  <w:p w14:paraId="0319EB06">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CD378">
    <w:pPr>
      <w:pStyle w:val="10"/>
      <w:jc w:val="center"/>
    </w:pPr>
    <w:r>
      <w:rPr>
        <w:sz w:val="18"/>
      </w:rPr>
      <w:pict>
        <v:shape id="_x0000_s2053" o:spid="_x0000_s2053" o:spt="202" type="#_x0000_t202"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4C20F167">
                <w:pPr>
                  <w:pStyle w:val="10"/>
                </w:pPr>
                <w:r>
                  <w:fldChar w:fldCharType="begin"/>
                </w:r>
                <w:r>
                  <w:instrText xml:space="preserve"> PAGE  \* MERGEFORMAT </w:instrText>
                </w:r>
                <w:r>
                  <w:fldChar w:fldCharType="separate"/>
                </w:r>
                <w:r>
                  <w:t>- 1 -</w:t>
                </w:r>
                <w:r>
                  <w:fldChar w:fldCharType="end"/>
                </w:r>
              </w:p>
            </w:txbxContent>
          </v:textbox>
        </v:shape>
      </w:pict>
    </w:r>
  </w:p>
  <w:p w14:paraId="5E6ACAA3">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98C148">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134CD4D"/>
    <w:multiLevelType w:val="singleLevel"/>
    <w:tmpl w:val="3134CD4D"/>
    <w:lvl w:ilvl="0" w:tentative="0">
      <w:start w:val="1"/>
      <w:numFmt w:val="chineseCounting"/>
      <w:suff w:val="nothing"/>
      <w:lvlText w:val="%1、"/>
      <w:lvlJc w:val="left"/>
      <w:pPr>
        <w:tabs>
          <w:tab w:val="left" w:pos="0"/>
        </w:tabs>
        <w:ind w:left="0" w:firstLine="0"/>
      </w:pPr>
      <w:rPr>
        <w:rFonts w:hint="eastAsia"/>
      </w:rPr>
    </w:lvl>
  </w:abstractNum>
  <w:abstractNum w:abstractNumId="1">
    <w:nsid w:val="555810CB"/>
    <w:multiLevelType w:val="singleLevel"/>
    <w:tmpl w:val="555810CB"/>
    <w:lvl w:ilvl="0" w:tentative="0">
      <w:start w:val="1"/>
      <w:numFmt w:val="decimal"/>
      <w:lvlText w:val="%1."/>
      <w:lvlJc w:val="left"/>
      <w:pPr>
        <w:tabs>
          <w:tab w:val="left"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ulTrailSpace/>
    <w:doNotExpandShiftReturn/>
    <w:adjustLineHeightInTable/>
    <w:doNotWrapTextWithPunct/>
    <w:doNotUseEastAsianBreakRules/>
    <w:useFELayout/>
    <w:compatSetting w:name="compatibilityMode" w:uri="http://schemas.microsoft.com/office/word" w:val="12"/>
  </w:compat>
  <w:rsids>
    <w:rsidRoot w:val="00000000"/>
    <w:rsid w:val="0A312D88"/>
    <w:rsid w:val="0A343100"/>
    <w:rsid w:val="19547AC7"/>
    <w:rsid w:val="52BB0A0D"/>
    <w:rsid w:val="53A72D40"/>
    <w:rsid w:val="58F46A27"/>
    <w:rsid w:val="5AD16016"/>
    <w:rsid w:val="5ADC0ABD"/>
    <w:rsid w:val="679A2E90"/>
    <w:rsid w:val="6A85532E"/>
    <w:rsid w:val="6FA06B69"/>
    <w:rsid w:val="74381A6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keepNext/>
      <w:keepLines/>
      <w:widowControl w:val="0"/>
      <w:spacing w:before="340" w:after="330" w:line="578" w:lineRule="auto"/>
      <w:outlineLvl w:val="0"/>
    </w:pPr>
    <w:rPr>
      <w:b/>
      <w:bCs/>
      <w:kern w:val="44"/>
      <w:sz w:val="44"/>
      <w:szCs w:val="44"/>
    </w:rPr>
  </w:style>
  <w:style w:type="paragraph" w:styleId="3">
    <w:name w:val="heading 2"/>
    <w:basedOn w:val="1"/>
    <w:next w:val="1"/>
    <w:link w:val="21"/>
    <w:qFormat/>
    <w:uiPriority w:val="0"/>
    <w:pPr>
      <w:keepNext/>
      <w:keepLines/>
      <w:widowControl w:val="0"/>
      <w:spacing w:before="260" w:after="260" w:line="415" w:lineRule="auto"/>
      <w:outlineLvl w:val="1"/>
    </w:pPr>
    <w:rPr>
      <w:rFonts w:ascii="Cambria" w:hAnsi="Cambria" w:eastAsia="宋体" w:cs="Times New Roman"/>
      <w:b/>
      <w:bCs/>
      <w:sz w:val="32"/>
      <w:szCs w:val="32"/>
    </w:rPr>
  </w:style>
  <w:style w:type="paragraph" w:styleId="4">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6">
    <w:name w:val="Default Paragraph Font"/>
    <w:qFormat/>
    <w:uiPriority w:val="0"/>
  </w:style>
  <w:style w:type="table" w:default="1" w:styleId="15">
    <w:name w:val="Normal Table"/>
    <w:semiHidden/>
    <w:uiPriority w:val="0"/>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kern w:val="0"/>
      <w:sz w:val="30"/>
    </w:rPr>
  </w:style>
  <w:style w:type="paragraph" w:styleId="6">
    <w:name w:val="Body Text Indent"/>
    <w:basedOn w:val="1"/>
    <w:next w:val="7"/>
    <w:uiPriority w:val="0"/>
    <w:pPr>
      <w:spacing w:after="120"/>
      <w:ind w:left="200" w:leftChars="200"/>
    </w:pPr>
    <w:rPr>
      <w:rFonts w:ascii="仿宋_GB2312" w:hAnsi="仿宋_GB2312"/>
      <w:szCs w:val="32"/>
    </w:rPr>
  </w:style>
  <w:style w:type="paragraph" w:styleId="7">
    <w:name w:val="Body Text First Indent 2"/>
    <w:basedOn w:val="6"/>
    <w:qFormat/>
    <w:uiPriority w:val="0"/>
    <w:pPr>
      <w:ind w:firstLine="200" w:firstLineChars="200"/>
    </w:pPr>
  </w:style>
  <w:style w:type="paragraph" w:styleId="8">
    <w:name w:val="toc 3"/>
    <w:basedOn w:val="1"/>
    <w:next w:val="1"/>
    <w:uiPriority w:val="0"/>
    <w:pPr>
      <w:tabs>
        <w:tab w:val="right" w:leader="dot" w:pos="8296"/>
      </w:tabs>
      <w:ind w:left="400" w:leftChars="400"/>
    </w:p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qFormat/>
    <w:uiPriority w:val="0"/>
    <w:pPr>
      <w:tabs>
        <w:tab w:val="right" w:leader="dot" w:pos="8296"/>
      </w:tabs>
      <w:spacing w:before="93"/>
      <w:jc w:val="center"/>
    </w:pPr>
    <w:rPr>
      <w:rFonts w:ascii="仿宋" w:eastAsia="仿宋"/>
      <w:sz w:val="28"/>
      <w:szCs w:val="28"/>
    </w:rPr>
  </w:style>
  <w:style w:type="paragraph" w:styleId="13">
    <w:name w:val="footnote text"/>
    <w:basedOn w:val="1"/>
    <w:next w:val="7"/>
    <w:uiPriority w:val="0"/>
    <w:pPr>
      <w:snapToGrid w:val="0"/>
      <w:jc w:val="left"/>
    </w:pPr>
    <w:rPr>
      <w:sz w:val="18"/>
      <w:szCs w:val="18"/>
    </w:rPr>
  </w:style>
  <w:style w:type="paragraph" w:styleId="14">
    <w:name w:val="toc 2"/>
    <w:basedOn w:val="1"/>
    <w:next w:val="1"/>
    <w:qFormat/>
    <w:uiPriority w:val="0"/>
    <w:pPr>
      <w:tabs>
        <w:tab w:val="right" w:leader="dot" w:pos="8296"/>
      </w:tabs>
      <w:ind w:left="200" w:leftChars="200"/>
    </w:pPr>
  </w:style>
  <w:style w:type="character" w:styleId="17">
    <w:name w:val="Strong"/>
    <w:basedOn w:val="16"/>
    <w:qFormat/>
    <w:uiPriority w:val="0"/>
    <w:rPr>
      <w:b/>
    </w:rPr>
  </w:style>
  <w:style w:type="character" w:styleId="18">
    <w:name w:val="FollowedHyperlink"/>
    <w:basedOn w:val="16"/>
    <w:qFormat/>
    <w:uiPriority w:val="0"/>
    <w:rPr>
      <w:color w:val="800080"/>
      <w:u w:val="single"/>
    </w:rPr>
  </w:style>
  <w:style w:type="character" w:styleId="19">
    <w:name w:val="Hyperlink"/>
    <w:basedOn w:val="16"/>
    <w:uiPriority w:val="0"/>
    <w:rPr>
      <w:color w:val="0000FF"/>
      <w:u w:val="single"/>
    </w:rPr>
  </w:style>
  <w:style w:type="character" w:customStyle="1" w:styleId="20">
    <w:name w:val="heading 1 Char"/>
    <w:basedOn w:val="16"/>
    <w:link w:val="2"/>
    <w:qFormat/>
    <w:uiPriority w:val="0"/>
    <w:rPr>
      <w:rFonts w:ascii="Times New Roman" w:hAnsi="Times New Roman" w:eastAsia="宋体" w:cs="Times New Roman"/>
      <w:b/>
      <w:bCs/>
      <w:kern w:val="44"/>
      <w:sz w:val="44"/>
      <w:szCs w:val="44"/>
      <w:lang w:val="en-US" w:eastAsia="zh-CN" w:bidi="ar-SA"/>
    </w:rPr>
  </w:style>
  <w:style w:type="character" w:customStyle="1" w:styleId="21">
    <w:name w:val="heading 2 Char"/>
    <w:basedOn w:val="16"/>
    <w:link w:val="3"/>
    <w:qFormat/>
    <w:uiPriority w:val="0"/>
    <w:rPr>
      <w:rFonts w:ascii="Cambria" w:hAnsi="Cambria" w:eastAsia="宋体" w:cs="Times New Roman"/>
      <w:b/>
      <w:bCs/>
      <w:kern w:val="2"/>
      <w:sz w:val="32"/>
      <w:szCs w:val="32"/>
      <w:lang w:val="en-US" w:eastAsia="zh-CN" w:bidi="ar-SA"/>
    </w:rPr>
  </w:style>
  <w:style w:type="paragraph" w:customStyle="1" w:styleId="22">
    <w:name w:val="标题 5（有编号）（绿盟科技）"/>
    <w:next w:val="1"/>
    <w:uiPriority w:val="0"/>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3">
    <w:name w:val="Header Char"/>
    <w:basedOn w:val="16"/>
    <w:qFormat/>
    <w:uiPriority w:val="0"/>
    <w:rPr>
      <w:rFonts w:ascii="Times New Roman" w:hAnsi="Times New Roman"/>
      <w:sz w:val="18"/>
      <w:szCs w:val="18"/>
    </w:rPr>
  </w:style>
  <w:style w:type="character" w:customStyle="1" w:styleId="24">
    <w:name w:val="Footer Char"/>
    <w:basedOn w:val="16"/>
    <w:qFormat/>
    <w:uiPriority w:val="0"/>
    <w:rPr>
      <w:rFonts w:ascii="Times New Roman" w:hAnsi="Times New Roman"/>
      <w:sz w:val="18"/>
      <w:szCs w:val="18"/>
    </w:rPr>
  </w:style>
  <w:style w:type="character" w:customStyle="1" w:styleId="25">
    <w:name w:val="Body Text Char"/>
    <w:basedOn w:val="16"/>
    <w:uiPriority w:val="0"/>
    <w:rPr>
      <w:rFonts w:ascii="Times New Roman" w:hAnsi="Times New Roman"/>
      <w:szCs w:val="24"/>
    </w:rPr>
  </w:style>
  <w:style w:type="paragraph" w:customStyle="1" w:styleId="26">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7">
    <w:name w:val="List Paragraph"/>
    <w:basedOn w:val="1"/>
    <w:qFormat/>
    <w:uiPriority w:val="0"/>
    <w:pPr>
      <w:ind w:firstLine="200" w:firstLineChars="200"/>
    </w:pPr>
  </w:style>
  <w:style w:type="paragraph" w:customStyle="1" w:styleId="28">
    <w:name w:val="TOC 标题1"/>
    <w:basedOn w:val="2"/>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29">
    <w:name w:val="TOC 标题2"/>
    <w:basedOn w:val="2"/>
    <w:next w:val="1"/>
    <w:qFormat/>
    <w:uiPriority w:val="0"/>
    <w:pPr>
      <w:keepNext/>
      <w:keepLines/>
      <w:widowControl/>
      <w:spacing w:before="480" w:after="0" w:line="276" w:lineRule="auto"/>
      <w:jc w:val="left"/>
      <w:outlineLvl w:val="9"/>
    </w:pPr>
    <w:rPr>
      <w:rFonts w:ascii="Cambria" w:hAnsi="Cambria" w:eastAsia="宋体" w:cs="Times New Roman"/>
      <w:color w:val="366091"/>
      <w:kern w:val="0"/>
      <w:sz w:val="28"/>
      <w:szCs w:val="28"/>
    </w:rPr>
  </w:style>
  <w:style w:type="paragraph" w:customStyle="1" w:styleId="30">
    <w:name w:val="四号正文"/>
    <w:basedOn w:val="1"/>
    <w:qFormat/>
    <w:uiPriority w:val="0"/>
    <w:pPr>
      <w:spacing w:line="360" w:lineRule="auto"/>
    </w:pPr>
    <w:rPr>
      <w:rFonts w:ascii="??" w:hAnsi="??"/>
      <w:color w:val="000000"/>
      <w:kern w:val="0"/>
      <w:sz w:val="28"/>
      <w:szCs w:val="21"/>
      <w:lang w:val="zh-CN"/>
    </w:rPr>
  </w:style>
  <w:style w:type="character" w:customStyle="1" w:styleId="31">
    <w:name w:val="NormalCharacter"/>
    <w:qFormat/>
    <w:uiPriority w:val="0"/>
  </w:style>
  <w:style w:type="paragraph" w:customStyle="1" w:styleId="32">
    <w:name w:val="BodyTextIndent"/>
    <w:basedOn w:val="1"/>
    <w:next w:val="33"/>
    <w:qFormat/>
    <w:uiPriority w:val="0"/>
    <w:pPr>
      <w:spacing w:after="120"/>
      <w:ind w:left="200" w:leftChars="200"/>
    </w:pPr>
  </w:style>
  <w:style w:type="paragraph" w:customStyle="1" w:styleId="33">
    <w:name w:val="BodyText1I2"/>
    <w:basedOn w:val="32"/>
    <w:next w:val="1"/>
    <w:qFormat/>
    <w:uiPriority w:val="0"/>
    <w:pPr>
      <w:ind w:firstLine="200" w:firstLineChars="200"/>
    </w:pPr>
  </w:style>
  <w:style w:type="paragraph" w:customStyle="1" w:styleId="34">
    <w:name w:val="font5"/>
    <w:basedOn w:val="1"/>
    <w:qFormat/>
    <w:uiPriority w:val="0"/>
    <w:pPr>
      <w:widowControl/>
      <w:spacing w:before="100" w:beforeAutospacing="1" w:after="100" w:afterAutospacing="1"/>
      <w:jc w:val="left"/>
    </w:pPr>
    <w:rPr>
      <w:rFonts w:ascii="宋体" w:cs="宋体"/>
      <w:kern w:val="0"/>
      <w:sz w:val="18"/>
      <w:szCs w:val="18"/>
    </w:rPr>
  </w:style>
  <w:style w:type="paragraph" w:customStyle="1" w:styleId="35">
    <w:name w:val="xl6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cs="宋体"/>
      <w:color w:val="000000"/>
      <w:kern w:val="0"/>
      <w:sz w:val="18"/>
      <w:szCs w:val="18"/>
    </w:rPr>
  </w:style>
  <w:style w:type="paragraph" w:customStyle="1" w:styleId="36">
    <w:name w:val="xl64"/>
    <w:basedOn w:val="1"/>
    <w:qFormat/>
    <w:uiPriority w:val="0"/>
    <w:pPr>
      <w:widowControl/>
      <w:spacing w:before="100" w:beforeAutospacing="1" w:after="100" w:afterAutospacing="1"/>
      <w:jc w:val="left"/>
    </w:pPr>
    <w:rPr>
      <w:rFonts w:ascii="Arial" w:hAnsi="Arial" w:cs="Arial"/>
      <w:color w:val="000000"/>
      <w:kern w:val="0"/>
      <w:sz w:val="18"/>
      <w:szCs w:val="18"/>
    </w:rPr>
  </w:style>
  <w:style w:type="paragraph" w:customStyle="1" w:styleId="37">
    <w:name w:val="xl6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38">
    <w:name w:val="xl6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39">
    <w:name w:val="xl6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40">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微软雅黑" w:eastAsia="微软雅黑" w:cs="宋体"/>
      <w:i/>
      <w:iCs/>
      <w:color w:val="000000"/>
      <w:kern w:val="0"/>
      <w:sz w:val="16"/>
      <w:szCs w:val="16"/>
    </w:rPr>
  </w:style>
  <w:style w:type="paragraph" w:customStyle="1" w:styleId="41">
    <w:name w:val="xl69"/>
    <w:basedOn w:val="1"/>
    <w:qFormat/>
    <w:uiPriority w:val="0"/>
    <w:pPr>
      <w:widowControl/>
      <w:spacing w:before="100" w:beforeAutospacing="1" w:after="100" w:afterAutospacing="1"/>
      <w:jc w:val="left"/>
    </w:pPr>
    <w:rPr>
      <w:rFonts w:ascii="宋体" w:cs="宋体"/>
      <w:kern w:val="0"/>
      <w:sz w:val="18"/>
      <w:szCs w:val="18"/>
    </w:rPr>
  </w:style>
  <w:style w:type="paragraph" w:customStyle="1" w:styleId="42">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w:hAnsi="Arial" w:cs="Arial"/>
      <w:color w:val="000000"/>
      <w:kern w:val="0"/>
      <w:sz w:val="18"/>
      <w:szCs w:val="18"/>
    </w:rPr>
  </w:style>
  <w:style w:type="paragraph" w:customStyle="1" w:styleId="43">
    <w:name w:val="xl7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w:hAnsi="Arial" w:cs="Arial"/>
      <w:color w:val="000000"/>
      <w:kern w:val="0"/>
      <w:sz w:val="18"/>
      <w:szCs w:val="18"/>
    </w:rPr>
  </w:style>
  <w:style w:type="paragraph" w:customStyle="1" w:styleId="44">
    <w:name w:val="xl72"/>
    <w:basedOn w:val="1"/>
    <w:qFormat/>
    <w:uiPriority w:val="0"/>
    <w:pPr>
      <w:widowControl/>
      <w:spacing w:before="100" w:beforeAutospacing="1" w:after="100" w:afterAutospacing="1"/>
      <w:jc w:val="left"/>
    </w:pPr>
    <w:rPr>
      <w:rFonts w:ascii="宋体" w:cs="宋体"/>
      <w:color w:val="C0C0C0"/>
      <w:kern w:val="0"/>
      <w:sz w:val="20"/>
      <w:szCs w:val="20"/>
    </w:rPr>
  </w:style>
  <w:style w:type="paragraph" w:customStyle="1" w:styleId="45">
    <w:name w:val="xl73"/>
    <w:basedOn w:val="1"/>
    <w:qFormat/>
    <w:uiPriority w:val="0"/>
    <w:pPr>
      <w:widowControl/>
      <w:spacing w:before="100" w:beforeAutospacing="1" w:after="100" w:afterAutospacing="1"/>
      <w:jc w:val="left"/>
    </w:pPr>
    <w:rPr>
      <w:rFonts w:ascii="宋体" w:cs="宋体"/>
      <w:color w:val="000000"/>
      <w:kern w:val="0"/>
      <w:sz w:val="20"/>
      <w:szCs w:val="20"/>
    </w:rPr>
  </w:style>
  <w:style w:type="paragraph" w:customStyle="1" w:styleId="46">
    <w:name w:val="xl7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黑体" w:eastAsia="黑体" w:cs="宋体"/>
      <w:b/>
      <w:bCs/>
      <w:color w:val="000000"/>
      <w:kern w:val="0"/>
      <w:sz w:val="30"/>
      <w:szCs w:val="30"/>
    </w:rPr>
  </w:style>
  <w:style w:type="paragraph" w:customStyle="1" w:styleId="47">
    <w:name w:val="xl7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微软雅黑" w:eastAsia="微软雅黑" w:cs="宋体"/>
      <w:i/>
      <w:iCs/>
      <w:color w:val="000000"/>
      <w:kern w:val="0"/>
      <w:sz w:val="16"/>
      <w:szCs w:val="16"/>
    </w:rPr>
  </w:style>
  <w:style w:type="paragraph" w:customStyle="1" w:styleId="48">
    <w:name w:val="xl7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cs="宋体"/>
      <w:color w:val="000000"/>
      <w:kern w:val="0"/>
      <w:sz w:val="18"/>
      <w:szCs w:val="18"/>
    </w:rPr>
  </w:style>
  <w:style w:type="paragraph" w:customStyle="1" w:styleId="49">
    <w:name w:val="xl7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w:hAnsi="Arial" w:cs="Arial"/>
      <w:i/>
      <w:iCs/>
      <w:color w:val="000000"/>
      <w:kern w:val="0"/>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3.xml"/><Relationship Id="rId8" Type="http://schemas.openxmlformats.org/officeDocument/2006/relationships/chart" Target="charts/chart2.xml"/><Relationship Id="rId7" Type="http://schemas.openxmlformats.org/officeDocument/2006/relationships/chart" Target="charts/chart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chart" Target="charts/chart4.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人数</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delete val="1"/>
            </c:dLbl>
            <c:dLbl>
              <c:idx val="1"/>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'Sheet1'!$A$2:$A$3</c:f>
              <c:strCache>
                <c:ptCount val="2"/>
                <c:pt idx="0">
                  <c:v>参公</c:v>
                </c:pt>
                <c:pt idx="1">
                  <c:v>事业</c:v>
                </c:pt>
              </c:strCache>
            </c:strRef>
          </c:cat>
          <c:val>
            <c:numRef>
              <c:f>'Sheet1'!$B$2:$B$3</c:f>
              <c:numCache>
                <c:formatCode>General</c:formatCode>
                <c:ptCount val="2"/>
                <c:pt idx="0">
                  <c:v>13</c:v>
                </c:pt>
                <c:pt idx="1">
                  <c:v>2</c:v>
                </c:pt>
              </c:numCache>
            </c:numRef>
          </c:val>
        </c:ser>
        <c:dLbls>
          <c:showLegendKey val="0"/>
          <c:showVal val="0"/>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311427b6-fad7-48ef-9190-8caeefc5c421}"/>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24820609"/>
          <c:y val="0.10466507"/>
          <c:w val="0.94659454"/>
          <c:h val="0.87739235"/>
        </c:manualLayout>
      </c:layout>
      <c:pieChart>
        <c:varyColors val="1"/>
        <c:ser>
          <c:idx val="0"/>
          <c:order val="0"/>
          <c:tx>
            <c:strRef>
              <c:f>'Sheet1 (3)'!$B$1</c:f>
              <c:strCache>
                <c:ptCount val="1"/>
                <c:pt idx="0">
                  <c:v>金额</c:v>
                </c:pt>
              </c:strCache>
            </c:strRef>
          </c:tx>
          <c:spPr>
            <a:solidFill>
              <a:srgbClr val="4F81BD"/>
            </a:solidFill>
          </c:spPr>
          <c:explosion val="0"/>
          <c:dPt>
            <c:idx val="0"/>
            <c:bubble3D val="0"/>
            <c:spPr>
              <a:solidFill>
                <a:srgbClr val="4F81BD"/>
              </a:solidFill>
              <a:ln w="25400">
                <a:solidFill>
                  <a:srgbClr val="FFFFFF"/>
                </a:solidFill>
                <a:prstDash val="solid"/>
              </a:ln>
            </c:spPr>
          </c:dPt>
          <c:dPt>
            <c:idx val="1"/>
            <c:bubble3D val="0"/>
            <c:spPr>
              <a:solidFill>
                <a:srgbClr val="C0504D"/>
              </a:solidFill>
              <a:ln w="25400">
                <a:solidFill>
                  <a:srgbClr val="FFFFFF"/>
                </a:solidFill>
                <a:prstDash val="solid"/>
              </a:ln>
            </c:spPr>
          </c:dPt>
          <c:dPt>
            <c:idx val="2"/>
            <c:bubble3D val="0"/>
            <c:spPr>
              <a:solidFill>
                <a:srgbClr val="9BBB59"/>
              </a:solidFill>
              <a:ln w="25400">
                <a:solidFill>
                  <a:srgbClr val="FFFFFF"/>
                </a:solidFill>
                <a:prstDash val="solid"/>
              </a:ln>
            </c:spPr>
          </c:dPt>
          <c:dPt>
            <c:idx val="3"/>
            <c:bubble3D val="0"/>
            <c:spPr>
              <a:solidFill>
                <a:srgbClr val="8064A2"/>
              </a:solidFill>
              <a:ln w="25400">
                <a:solidFill>
                  <a:srgbClr val="FFFFFF"/>
                </a:solidFill>
                <a:prstDash val="solid"/>
              </a:ln>
            </c:spPr>
          </c:dPt>
          <c:dLbls>
            <c:dLbl>
              <c:idx val="0"/>
              <c:delete val="1"/>
            </c:dLbl>
            <c:dLbl>
              <c:idx val="1"/>
              <c:delete val="1"/>
            </c:dLbl>
            <c:dLbl>
              <c:idx val="2"/>
              <c:delete val="1"/>
            </c:dLbl>
            <c:dLbl>
              <c:idx val="3"/>
              <c:delete val="1"/>
            </c:dLbl>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(3)'!$A$2:$A$5</c:f>
              <c:strCache>
                <c:ptCount val="4"/>
                <c:pt idx="0">
                  <c:v>财政拨款收入</c:v>
                </c:pt>
                <c:pt idx="1">
                  <c:v>事业收入</c:v>
                </c:pt>
                <c:pt idx="2">
                  <c:v>经营收入</c:v>
                </c:pt>
                <c:pt idx="3">
                  <c:v>其他收入</c:v>
                </c:pt>
              </c:strCache>
            </c:strRef>
          </c:cat>
          <c:val>
            <c:numRef>
              <c:f>'Sheet1 (3)'!$B$2:$B$5</c:f>
              <c:numCache>
                <c:formatCode>General</c:formatCode>
                <c:ptCount val="4"/>
                <c:pt idx="0">
                  <c:v>342.22</c:v>
                </c:pt>
                <c:pt idx="1">
                  <c:v>0</c:v>
                </c:pt>
                <c:pt idx="2">
                  <c:v>0</c:v>
                </c:pt>
                <c:pt idx="3">
                  <c:v>0</c:v>
                </c:pt>
              </c:numCache>
            </c:numRef>
          </c:val>
        </c:ser>
        <c:dLbls>
          <c:showLegendKey val="0"/>
          <c:showVal val="0"/>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1029bbd5-c0b9-418a-b81b-5d2d438b11c4}"/>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5014677"/>
          <c:y val="0.24307036"/>
          <c:w val="0.946184"/>
          <c:h val="0.6792111"/>
        </c:manualLayout>
      </c:layout>
      <c:barChart>
        <c:barDir val="col"/>
        <c:grouping val="clustered"/>
        <c:varyColors val="0"/>
        <c:ser>
          <c:idx val="0"/>
          <c:order val="0"/>
          <c:tx>
            <c:strRef>
              <c:f>'Sheet1 (5)'!$B$1</c:f>
              <c:strCache>
                <c:ptCount val="1"/>
                <c:pt idx="0">
                  <c:v>2023</c:v>
                </c:pt>
              </c:strCache>
            </c:strRef>
          </c:tx>
          <c:spPr>
            <a:solidFill>
              <a:srgbClr val="4F81BD">
                <a:alpha val="85000"/>
              </a:srgbClr>
            </a:solidFill>
            <a:ln w="6350">
              <a:solidFill>
                <a:srgbClr val="FFFFFF"/>
              </a:solidFill>
              <a:prstDash val="solid"/>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收入总计</c:v>
                </c:pt>
                <c:pt idx="1">
                  <c:v>支出总计</c:v>
                </c:pt>
              </c:strCache>
            </c:strRef>
          </c:cat>
          <c:val>
            <c:numRef>
              <c:f>'Sheet1 (5)'!$B$2:$B$3</c:f>
              <c:numCache>
                <c:formatCode>General</c:formatCode>
                <c:ptCount val="2"/>
                <c:pt idx="0">
                  <c:v>233.3</c:v>
                </c:pt>
                <c:pt idx="1">
                  <c:v>233.3</c:v>
                </c:pt>
              </c:numCache>
            </c:numRef>
          </c:val>
        </c:ser>
        <c:ser>
          <c:idx val="1"/>
          <c:order val="1"/>
          <c:tx>
            <c:strRef>
              <c:f>'Sheet1 (5)'!$C$1</c:f>
              <c:strCache>
                <c:ptCount val="1"/>
                <c:pt idx="0">
                  <c:v>2024</c:v>
                </c:pt>
              </c:strCache>
            </c:strRef>
          </c:tx>
          <c:spPr>
            <a:solidFill>
              <a:srgbClr val="C0504D">
                <a:alpha val="85000"/>
              </a:srgbClr>
            </a:solidFill>
            <a:ln w="6350">
              <a:solidFill>
                <a:srgbClr val="FFFFFF"/>
              </a:solidFill>
              <a:prstDash val="solid"/>
            </a:ln>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1" i="0" u="none" strike="noStrike" kern="1200" baseline="0">
                    <a:solidFill>
                      <a:srgbClr val="FFFFFF"/>
                    </a:solidFill>
                    <a:latin typeface="AR PL UKai CN"/>
                    <a:ea typeface="AR PL UKai CN"/>
                    <a:cs typeface="Lucida San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(5)'!$A$2:$A$3</c:f>
              <c:strCache>
                <c:ptCount val="2"/>
                <c:pt idx="0">
                  <c:v>收入总计</c:v>
                </c:pt>
                <c:pt idx="1">
                  <c:v>支出总计</c:v>
                </c:pt>
              </c:strCache>
            </c:strRef>
          </c:cat>
          <c:val>
            <c:numRef>
              <c:f>'Sheet1 (5)'!$C$2:$C$3</c:f>
              <c:numCache>
                <c:formatCode>General</c:formatCode>
                <c:ptCount val="2"/>
                <c:pt idx="0">
                  <c:v>284.9</c:v>
                </c:pt>
                <c:pt idx="1">
                  <c:v>284.9</c:v>
                </c:pt>
              </c:numCache>
            </c:numRef>
          </c:val>
        </c:ser>
        <c:dLbls>
          <c:showLegendKey val="0"/>
          <c:showVal val="1"/>
          <c:showCatName val="0"/>
          <c:showSerName val="0"/>
          <c:showPercent val="0"/>
          <c:showBubbleSize val="0"/>
        </c:dLbls>
        <c:gapWidth val="65"/>
        <c:axId val="0"/>
        <c:axId val="1"/>
      </c:barChart>
      <c:catAx>
        <c:axId val="0"/>
        <c:scaling>
          <c:orientation val="minMax"/>
        </c:scaling>
        <c:delete val="0"/>
        <c:axPos val="b"/>
        <c:numFmt formatCode="General" sourceLinked="1"/>
        <c:majorTickMark val="none"/>
        <c:minorTickMark val="none"/>
        <c:tickLblPos val="nextTo"/>
        <c:spPr>
          <a:ln w="19050" cap="flat" cmpd="sng" algn="ctr">
            <a:solidFill>
              <a:srgbClr val="404040"/>
            </a:solidFill>
            <a:prstDash val="solid"/>
            <a:round/>
          </a:ln>
        </c:spPr>
        <c:txPr>
          <a:bodyPr rot="-60000000" spcFirstLastPara="0" vertOverflow="ellipsis" vert="horz" wrap="square" anchor="ctr" anchorCtr="1"/>
          <a:lstStyle/>
          <a:p>
            <a:pPr>
              <a:defRPr lang="zh-CN" sz="900" b="0" i="0" u="none" strike="noStrike" kern="1200" cap="all" baseline="0">
                <a:solidFill>
                  <a:srgbClr val="404040"/>
                </a:solidFill>
                <a:latin typeface="AR PL UKai CN"/>
                <a:ea typeface="AR PL UKai CN"/>
                <a:cs typeface="Lucida Sans"/>
              </a:defRPr>
            </a:pPr>
          </a:p>
        </c:txPr>
        <c:crossAx val="1"/>
        <c:crosses val="autoZero"/>
        <c:auto val="1"/>
        <c:lblAlgn val="ctr"/>
        <c:lblOffset val="100"/>
        <c:noMultiLvlLbl val="0"/>
      </c:catAx>
      <c:valAx>
        <c:axId val="1"/>
        <c:scaling>
          <c:orientation val="minMax"/>
        </c:scaling>
        <c:delete val="1"/>
        <c:axPos val="l"/>
        <c:majorGridlines>
          <c:spPr>
            <a:ln w="6350" cap="flat" cmpd="sng" algn="ctr">
              <a:solidFill>
                <a:srgbClr val="868686"/>
              </a:solidFill>
              <a:prstDash val="solid"/>
              <a:round/>
            </a:ln>
          </c:spPr>
        </c:majorGridlines>
        <c:numFmt formatCode="General" sourceLinked="1"/>
        <c:majorTickMark val="none"/>
        <c:minorTickMark val="none"/>
        <c:tickLblPos val="nextTo"/>
        <c:txPr>
          <a:bodyPr rot="-60000000" spcFirstLastPara="0" vertOverflow="ellipsis" vert="horz" wrap="square" anchor="ctr" anchorCtr="1"/>
          <a:lstStyle/>
          <a:p>
            <a:pPr>
              <a:defRPr lang="zh-CN" sz="1000" b="0" i="0" u="none" strike="noStrike" kern="1200" baseline="0">
                <a:solidFill>
                  <a:srgbClr val="000000"/>
                </a:solidFill>
                <a:latin typeface="AR PL UKai CN"/>
                <a:ea typeface="AR PL UKai CN"/>
                <a:cs typeface="Lucida Sans"/>
              </a:defRPr>
            </a:pPr>
          </a:p>
        </c:txPr>
        <c:crossAx val="0"/>
        <c:crossesAt val="1"/>
        <c:crossBetween val="between"/>
      </c:valAx>
      <c:spPr>
        <a:noFill/>
        <a:ln>
          <a:noFill/>
        </a:ln>
      </c:spPr>
    </c:plotArea>
    <c:legend>
      <c:legendPos val="b"/>
      <c:layout/>
      <c:overlay val="0"/>
      <c:spPr>
        <a:solidFill>
          <a:srgbClr val="F2F2F2">
            <a:alpha val="39000"/>
          </a:srgbClr>
        </a:solidFill>
        <a:ln>
          <a:noFill/>
        </a:ln>
      </c:spPr>
      <c:txPr>
        <a:bodyPr rot="0" spcFirstLastPara="0" vertOverflow="ellipsis" vert="horz" wrap="square" anchor="ctr" anchorCtr="1"/>
        <a:lstStyle/>
        <a:p>
          <a:pPr>
            <a:defRPr lang="zh-CN" sz="900" b="0" i="0" u="none" strike="noStrike" kern="1200" baseline="0">
              <a:solidFill>
                <a:srgbClr val="404040"/>
              </a:solidFill>
              <a:latin typeface="AR PL UKai CN"/>
              <a:ea typeface="AR PL UKai CN"/>
              <a:cs typeface="Lucida Sans"/>
            </a:defRPr>
          </a:pPr>
        </a:p>
      </c:txPr>
    </c:legend>
    <c:plotVisOnly val="1"/>
    <c:dispBlanksAs val="gap"/>
    <c:showDLblsOverMax val="0"/>
    <c:extLst>
      <c:ext uri="{0b15fc19-7d7d-44ad-8c2d-2c3a37ce22c3}">
        <chartProps xmlns="https://web.wps.cn/et/2018/main" chartId="{147bf2f8-02d2-4e78-adac-db8e6733bd61}"/>
      </c:ext>
    </c:extLst>
  </c:chart>
  <c:spPr>
    <a:gradFill rotWithShape="1">
      <a:gsLst>
        <a:gs pos="0">
          <a:srgbClr val="FFFFFF">
            <a:alpha val="100000"/>
          </a:srgbClr>
        </a:gs>
        <a:gs pos="39000">
          <a:srgbClr val="FFFFFF">
            <a:alpha val="100000"/>
          </a:srgbClr>
        </a:gs>
        <a:gs pos="100000">
          <a:srgbClr val="BFBFBF">
            <a:alpha val="100000"/>
          </a:srgbClr>
        </a:gs>
      </a:gsLst>
      <a:path path="circle">
        <a:fillToRect l="100000" t="100000"/>
      </a:path>
      <a:tileRect r="-100000" b="-100000"/>
    </a:gradFill>
    <a:ln w="6350" cap="flat" cmpd="sng" algn="ctr">
      <a:solidFill>
        <a:srgbClr val="BFBFBF"/>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27751757"/>
          <c:y val="0.06410879"/>
          <c:w val="0.647541"/>
          <c:h val="0.918407"/>
        </c:manualLayout>
      </c:layout>
      <c:pieChart>
        <c:varyColors val="1"/>
        <c:ser>
          <c:idx val="0"/>
          <c:order val="0"/>
          <c:tx>
            <c:strRef>
              <c:f>'Sheet1 (6)'!$B$1</c:f>
              <c:strCache>
                <c:ptCount val="1"/>
                <c:pt idx="0">
                  <c:v>列1</c:v>
                </c:pt>
              </c:strCache>
            </c:strRef>
          </c:tx>
          <c:spPr>
            <a:solidFill>
              <a:srgbClr val="4F81BD"/>
            </a:solidFill>
          </c:spPr>
          <c:explosion val="0"/>
          <c:dPt>
            <c:idx val="0"/>
            <c:bubble3D val="0"/>
            <c:spPr>
              <a:solidFill>
                <a:srgbClr val="4F81BD">
                  <a:alpha val="90000"/>
                </a:srgbClr>
              </a:solidFill>
              <a:ln w="19050">
                <a:solidFill>
                  <a:srgbClr val="376092"/>
                </a:solidFill>
                <a:prstDash val="solid"/>
              </a:ln>
            </c:spPr>
          </c:dPt>
          <c:dPt>
            <c:idx val="1"/>
            <c:bubble3D val="0"/>
            <c:spPr>
              <a:solidFill>
                <a:srgbClr val="C0504D">
                  <a:alpha val="90000"/>
                </a:srgbClr>
              </a:solidFill>
              <a:ln w="19050">
                <a:solidFill>
                  <a:srgbClr val="953735"/>
                </a:solidFill>
                <a:prstDash val="solid"/>
              </a:ln>
            </c:spPr>
          </c:dPt>
          <c:dPt>
            <c:idx val="2"/>
            <c:bubble3D val="0"/>
            <c:spPr>
              <a:solidFill>
                <a:srgbClr val="9BBB59">
                  <a:alpha val="90000"/>
                </a:srgbClr>
              </a:solidFill>
              <a:ln w="19050">
                <a:solidFill>
                  <a:srgbClr val="77933C"/>
                </a:solidFill>
                <a:prstDash val="solid"/>
              </a:ln>
            </c:spPr>
          </c:dPt>
          <c:dPt>
            <c:idx val="3"/>
            <c:bubble3D val="0"/>
            <c:spPr>
              <a:solidFill>
                <a:srgbClr val="8064A2">
                  <a:alpha val="90000"/>
                </a:srgbClr>
              </a:solidFill>
              <a:ln w="19050">
                <a:solidFill>
                  <a:srgbClr val="604A7B"/>
                </a:solidFill>
                <a:prstDash val="solid"/>
              </a:ln>
            </c:spPr>
          </c:dPt>
          <c:dLbls>
            <c:dLbl>
              <c:idx val="0"/>
              <c:delete val="1"/>
            </c:dLbl>
            <c:dLbl>
              <c:idx val="1"/>
              <c:delete val="1"/>
            </c:dLbl>
            <c:dLbl>
              <c:idx val="2"/>
              <c:delete val="1"/>
            </c:dLbl>
            <c:dLbl>
              <c:idx val="3"/>
              <c:delete val="1"/>
            </c:dLbl>
            <c:numFmt formatCode="0.00%"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rgbClr val="000000"/>
                    </a:solidFill>
                    <a:latin typeface="AR PL UKai CN"/>
                    <a:ea typeface="AR PL UKai CN"/>
                    <a:cs typeface="Lucida Sans"/>
                  </a:defRPr>
                </a:pPr>
              </a:p>
            </c:txPr>
            <c:dLblPos val="bestFit"/>
            <c:showLegendKey val="0"/>
            <c:showVal val="0"/>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'Sheet1 (6)'!$A$2:$A$5</c:f>
              <c:strCache>
                <c:ptCount val="4"/>
                <c:pt idx="0">
                  <c:v>社会保障和就业支出</c:v>
                </c:pt>
                <c:pt idx="1">
                  <c:v>卫生健康支出</c:v>
                </c:pt>
                <c:pt idx="2">
                  <c:v>住房保障支出</c:v>
                </c:pt>
                <c:pt idx="3">
                  <c:v>教育支出</c:v>
                </c:pt>
              </c:strCache>
            </c:strRef>
          </c:cat>
          <c:val>
            <c:numRef>
              <c:f>'Sheet1 (6)'!$B$2:$B$5</c:f>
              <c:numCache>
                <c:formatCode>0.00%</c:formatCode>
                <c:ptCount val="4"/>
                <c:pt idx="0">
                  <c:v>0.8698</c:v>
                </c:pt>
                <c:pt idx="1">
                  <c:v>0.0508</c:v>
                </c:pt>
                <c:pt idx="2">
                  <c:v>0.0768</c:v>
                </c:pt>
                <c:pt idx="3">
                  <c:v>0.0026</c:v>
                </c:pt>
              </c:numCache>
            </c:numRef>
          </c:val>
        </c:ser>
        <c:dLbls>
          <c:showLegendKey val="0"/>
          <c:showVal val="0"/>
          <c:showCatName val="0"/>
          <c:showSerName val="0"/>
          <c:showPercent val="0"/>
          <c:showBubbleSize val="0"/>
          <c:showLeaderLines val="1"/>
        </c:dLbls>
        <c:firstSliceAng val="0"/>
      </c:pieChart>
      <c:spPr>
        <a:noFill/>
        <a:ln>
          <a:noFill/>
        </a:ln>
      </c:spPr>
    </c:plotArea>
    <c:legend>
      <c:legendPos val="r"/>
      <c:layout/>
      <c:overlay val="0"/>
      <c:spPr>
        <a:noFill/>
        <a:ln>
          <a:noFill/>
        </a:ln>
      </c:spPr>
      <c:txPr>
        <a:bodyPr rot="0" spcFirstLastPara="0" vertOverflow="ellipsis" vert="horz" wrap="square" anchor="ctr" anchorCtr="1"/>
        <a:lstStyle/>
        <a:p>
          <a:pPr>
            <a:defRPr lang="zh-CN" sz="900" b="0" i="0" u="none" strike="noStrike" kern="1200" baseline="0">
              <a:solidFill>
                <a:srgbClr val="808080"/>
              </a:solidFill>
              <a:latin typeface="AR PL UKai CN"/>
              <a:ea typeface="AR PL UKai CN"/>
              <a:cs typeface="Lucida Sans"/>
            </a:defRPr>
          </a:pPr>
        </a:p>
      </c:txPr>
    </c:legend>
    <c:plotVisOnly val="1"/>
    <c:dispBlanksAs val="zero"/>
    <c:showDLblsOverMax val="0"/>
    <c:extLst>
      <c:ext uri="{0b15fc19-7d7d-44ad-8c2d-2c3a37ce22c3}">
        <chartProps xmlns="https://web.wps.cn/et/2018/main" chartId="{1f717e01-04fb-4e56-a524-0bac44509f7c}"/>
      </c:ext>
    </c:extLst>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20</Pages>
  <Words>7478</Words>
  <Characters>7940</Characters>
  <Lines>13212</Lines>
  <Paragraphs>4595</Paragraphs>
  <TotalTime>14</TotalTime>
  <ScaleCrop>false</ScaleCrop>
  <LinksUpToDate>false</LinksUpToDate>
  <CharactersWithSpaces>8031</CharactersWithSpaces>
  <Application>WPS Office_12.1.0.22529_F1E327BC-269C-435d-A152-05C5408002CA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多喝烫水。</cp:lastModifiedBy>
  <cp:lastPrinted>2025-08-06T17:34:00Z</cp:lastPrinted>
  <dcterms:modified xsi:type="dcterms:W3CDTF">2025-08-27T01:36:04Z</dcterms:modified>
  <dc:title>四川省***</dc:title>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04787F2533EB45DC91BCDE4AB213247F</vt:lpwstr>
  </property>
  <property fmtid="{D5CDD505-2E9C-101B-9397-08002B2CF9AE}" pid="4" name="KSOTemplateDocerSaveRecord">
    <vt:lpwstr>eyJoZGlkIjoiNWE4NGViZjU0MzVjNDA1ZWUyM2EwMDQ1ZWE5YThiMzYiLCJ1c2VySWQiOiI3MTE0Mjk0MzQifQ==</vt:lpwstr>
  </property>
</Properties>
</file>