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96475"/>
      <w:bookmarkStart w:id="1" w:name="_Toc15377193"/>
      <w:bookmarkStart w:id="2" w:name="_Toc15396597"/>
      <w:bookmarkStart w:id="3" w:name="_Toc15378441"/>
      <w:bookmarkStart w:id="4" w:name="_Toc15377425"/>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sz w:val="72"/>
          <w:szCs w:val="72"/>
        </w:rPr>
      </w:pPr>
      <w:bookmarkStart w:id="7" w:name="_Toc15377426"/>
      <w:bookmarkStart w:id="8" w:name="_Toc15396476"/>
      <w:bookmarkStart w:id="9" w:name="_Toc15396598"/>
      <w:bookmarkStart w:id="10" w:name="_Toc15378442"/>
      <w:bookmarkStart w:id="11" w:name="_Toc15306268"/>
      <w:bookmarkStart w:id="12" w:name="_Toc26843603"/>
      <w:bookmarkStart w:id="13" w:name="_Toc15377194"/>
      <w:bookmarkEnd w:id="5"/>
      <w:r>
        <w:rPr>
          <w:rFonts w:eastAsia="方正小标宋简体" w:cs="Times New Roman" w:hint="eastAsia"/>
          <w:sz w:val="72"/>
          <w:szCs w:val="72"/>
          <w:lang w:val="en-US" w:eastAsia="zh-CN"/>
        </w:rPr>
        <w:t>中共金川县委党校</w:t>
      </w:r>
      <w:r>
        <w:rPr>
          <w:rFonts w:ascii="Times New Roman" w:eastAsia="方正小标宋简体" w:cs="Times New Roman" w:hAnsi="Times New Roman"/>
          <w:sz w:val="72"/>
          <w:szCs w:val="72"/>
        </w:rPr>
        <w:t>部门</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4</w:t>
      </w:r>
      <w:r>
        <w:rPr>
          <w:rFonts w:ascii="Times New Roman" w:cs="Times New Roman" w:hAnsi="Times New Roman"/>
        </w:rPr>
        <w:t>日</w:t>
      </w: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cs="Times New Roman" w:hint="eastAsia"/>
          <w:sz w:val="24"/>
          <w:lang w:val="en-US" w:eastAsia="zh-CN"/>
        </w:rPr>
        <w:t>4</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cs="Times New Roman" w:hint="eastAsia"/>
          <w:sz w:val="24"/>
          <w:lang w:val="en-US" w:eastAsia="zh-CN"/>
        </w:rPr>
        <w:t>6</w:t>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hint="eastAsia"/>
          <w:sz w:val="24"/>
          <w:lang w:val="en-US" w:eastAsia="zh-CN"/>
        </w:rPr>
        <w:t>7</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cs="Times New Roman" w:hint="eastAsia"/>
          <w:sz w:val="24"/>
          <w:lang w:val="en-US" w:eastAsia="zh-CN"/>
        </w:rPr>
        <w:t>7</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end"/>
      </w:r>
      <w:r>
        <w:rPr>
          <w:rFonts w:cs="Times New Roman" w:hint="eastAsia"/>
          <w:sz w:val="24"/>
          <w:lang w:val="en-US" w:eastAsia="zh-CN"/>
        </w:rPr>
        <w:t>8</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cs="Times New Roman" w:hint="eastAsia"/>
          <w:sz w:val="24"/>
          <w:lang w:val="en-US" w:eastAsia="zh-CN"/>
        </w:rPr>
        <w:t>8</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cs="Times New Roman" w:hint="eastAsia"/>
          <w:sz w:val="24"/>
          <w:lang w:val="en-US" w:eastAsia="zh-CN"/>
        </w:rPr>
        <w:t>9</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1</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5</w:t>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6</w:t>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9</w:t>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23</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77196"/>
      <w:bookmarkStart w:id="15"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Fonts w:ascii="仿宋" w:eastAsia="仿宋" w:cs="仿宋" w:hint="eastAsia"/>
          <w:sz w:val="32"/>
          <w:szCs w:val="32"/>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Style w:val="1"/>
        <w:keepNext w:val="0"/>
        <w:keepLines w:val="0"/>
        <w:widowControl/>
        <w:suppressLineNumbers w:val="0"/>
        <w:spacing w:before="0" w:beforeAutospacing="0"/>
        <w:ind w:left="0"/>
        <w:jc w:val="center"/>
        <w:rPr>
          <w:rFonts w:ascii="仿宋" w:eastAsia="仿宋" w:cs="仿宋" w:hint="eastAsia"/>
          <w:sz w:val="32"/>
          <w:szCs w:val="32"/>
        </w:rPr>
      </w:pPr>
      <w:r>
        <w:rPr>
          <w:rFonts w:ascii="仿宋" w:eastAsia="仿宋" w:cs="仿宋" w:hint="eastAsia"/>
          <w:sz w:val="32"/>
          <w:szCs w:val="32"/>
          <w:shd w:val="clear" w:color="auto" w:fill="FFFFFF"/>
        </w:rPr>
        <w:t>第一部分 部门概况</w:t>
      </w:r>
    </w:p>
    <w:p>
      <w:pPr>
        <w:pStyle w:val="2"/>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一、基本职能及主要工作</w:t>
      </w:r>
    </w:p>
    <w:p>
      <w:pPr>
        <w:keepNext w:val="0"/>
        <w:keepLines w:val="0"/>
        <w:widowControl/>
        <w:suppressLineNumbers w:val="0"/>
        <w:snapToGrid w:val="0"/>
        <w:spacing w:before="0" w:beforeAutospacing="0" w:after="0" w:afterAutospacing="0"/>
        <w:ind w:left="0" w:right="0" w:firstLineChars="200" w:firstLine="640"/>
        <w:jc w:val="left"/>
        <w:rPr>
          <w:rFonts w:ascii="仿宋" w:eastAsia="仿宋" w:cs="仿宋" w:hint="eastAsia"/>
          <w:b w:val="0"/>
          <w:bCs w:val="0"/>
          <w:kern w:val="0"/>
          <w:sz w:val="32"/>
          <w:szCs w:val="32"/>
        </w:rPr>
      </w:pPr>
      <w:r>
        <w:rPr>
          <w:rFonts w:ascii="仿宋" w:eastAsia="仿宋" w:cs="仿宋" w:hint="eastAsia"/>
          <w:sz w:val="32"/>
          <w:szCs w:val="32"/>
          <w:shd w:val="clear" w:color="auto" w:fill="FFFFFF"/>
        </w:rPr>
        <w:t>（一）主要职能。</w:t>
      </w:r>
      <w:r>
        <w:rPr>
          <w:rFonts w:ascii="仿宋" w:eastAsia="仿宋" w:cs="仿宋" w:hint="eastAsia"/>
          <w:kern w:val="0"/>
          <w:sz w:val="32"/>
          <w:szCs w:val="32"/>
          <w:shd w:val="clear" w:color="auto" w:fill="FFFFFF"/>
          <w:lang w:val="en-US" w:eastAsia="zh-CN"/>
        </w:rPr>
        <w:t>（一）主要职能。</w:t>
      </w:r>
      <w:r>
        <w:rPr>
          <w:rFonts w:ascii="仿宋" w:eastAsia="仿宋" w:cs="仿宋" w:hint="eastAsia"/>
          <w:b w:val="0"/>
          <w:bCs w:val="0"/>
          <w:kern w:val="0"/>
          <w:sz w:val="32"/>
          <w:szCs w:val="32"/>
          <w:lang w:val="en-US" w:eastAsia="zh-CN"/>
        </w:rPr>
        <w:t>1．主要职能：</w:t>
      </w:r>
      <w:r>
        <w:rPr>
          <w:rFonts w:ascii="仿宋" w:eastAsia="仿宋" w:cs="仿宋" w:hint="eastAsia"/>
          <w:b w:val="0"/>
          <w:bCs w:val="0"/>
          <w:color w:val="000000"/>
          <w:spacing w:val="-14"/>
          <w:kern w:val="0"/>
          <w:sz w:val="32"/>
          <w:szCs w:val="32"/>
          <w:lang w:val="en-US" w:eastAsia="zh-CN"/>
        </w:rPr>
        <w:t>根据《党校工作条例》以及党和国家有党校工作的方针、政策、法规文件规定。</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color w:val="000000"/>
          <w:spacing w:val="-14"/>
          <w:kern w:val="0"/>
          <w:sz w:val="32"/>
          <w:szCs w:val="32"/>
        </w:rPr>
      </w:pPr>
      <w:r>
        <w:rPr>
          <w:rFonts w:ascii="仿宋" w:eastAsia="仿宋" w:cs="仿宋" w:hint="eastAsia"/>
          <w:b w:val="0"/>
          <w:bCs w:val="0"/>
          <w:color w:val="000000"/>
          <w:spacing w:val="-14"/>
          <w:kern w:val="0"/>
          <w:sz w:val="32"/>
          <w:szCs w:val="32"/>
          <w:lang w:val="en-US" w:eastAsia="zh-CN"/>
        </w:rPr>
        <w:t>（1）加强对基层党员、干部的理想信念教育、党性党风教育 。</w:t>
      </w:r>
      <w:r>
        <w:rPr>
          <w:rFonts w:ascii="仿宋" w:eastAsia="仿宋" w:cs="仿宋" w:hint="eastAsia"/>
          <w:b w:val="0"/>
          <w:bCs w:val="0"/>
          <w:kern w:val="0"/>
          <w:sz w:val="32"/>
          <w:szCs w:val="32"/>
          <w:lang w:val="en-US" w:eastAsia="zh-CN"/>
        </w:rPr>
        <w:t xml:space="preserve">     </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color w:val="000000"/>
          <w:spacing w:val="-14"/>
          <w:kern w:val="0"/>
          <w:sz w:val="32"/>
          <w:szCs w:val="32"/>
          <w:lang w:val="en-US" w:eastAsia="zh-CN"/>
        </w:rPr>
        <w:t>（2）培训入党积极分子、新党员。</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color w:val="000000"/>
          <w:spacing w:val="-14"/>
          <w:kern w:val="0"/>
          <w:sz w:val="32"/>
          <w:szCs w:val="32"/>
          <w:lang w:val="en-US" w:eastAsia="zh-CN"/>
        </w:rPr>
        <w:t>（3）协助并指导校镇搞好培训工作。</w:t>
      </w:r>
      <w:r>
        <w:rPr>
          <w:rFonts w:ascii="仿宋" w:eastAsia="仿宋" w:cs="仿宋" w:hint="eastAsia"/>
          <w:b w:val="0"/>
          <w:bCs w:val="0"/>
          <w:kern w:val="0"/>
          <w:sz w:val="32"/>
          <w:szCs w:val="32"/>
          <w:lang w:val="en-US" w:eastAsia="zh-CN"/>
        </w:rPr>
        <w:t xml:space="preserve">  </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color w:val="000000"/>
          <w:spacing w:val="-14"/>
          <w:kern w:val="0"/>
          <w:sz w:val="32"/>
          <w:szCs w:val="32"/>
          <w:lang w:val="en-US" w:eastAsia="zh-CN"/>
        </w:rPr>
        <w:t>（4）开展社会调研。</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color w:val="000000"/>
          <w:spacing w:val="-14"/>
          <w:kern w:val="0"/>
          <w:sz w:val="32"/>
          <w:szCs w:val="32"/>
          <w:lang w:val="en-US" w:eastAsia="zh-CN"/>
        </w:rPr>
        <w:t>（5）加强我县各种培训的理论培训和思想建设，以流动党校的形式把党方针、政策及法律、法规，宣传到群众中去。</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color w:val="000000"/>
          <w:spacing w:val="-14"/>
          <w:kern w:val="0"/>
          <w:sz w:val="32"/>
          <w:szCs w:val="32"/>
          <w:lang w:val="en-US" w:eastAsia="zh-CN"/>
        </w:rPr>
        <w:t xml:space="preserve">（6）制定全县党校事业发展的中长期规划和年度计划并组织实施。           </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kern w:val="0"/>
          <w:sz w:val="32"/>
          <w:szCs w:val="32"/>
        </w:rPr>
      </w:pPr>
      <w:r>
        <w:rPr>
          <w:rFonts w:ascii="仿宋" w:eastAsia="仿宋" w:cs="仿宋" w:hint="eastAsia"/>
          <w:b w:val="0"/>
          <w:bCs w:val="0"/>
          <w:spacing w:val="-14"/>
          <w:kern w:val="0"/>
          <w:sz w:val="32"/>
          <w:szCs w:val="32"/>
          <w:lang w:val="en-US" w:eastAsia="zh-CN"/>
        </w:rPr>
        <w:t>（7）承担县委、县政府和上级业务部门交办的其它事项。</w:t>
      </w:r>
    </w:p>
    <w:p>
      <w:pPr>
        <w:keepNext w:val="0"/>
        <w:keepLines w:val="0"/>
        <w:widowControl/>
        <w:suppressLineNumbers w:val="0"/>
        <w:snapToGrid w:val="0"/>
        <w:spacing w:before="0" w:beforeAutospacing="0" w:after="0" w:afterAutospacing="0"/>
        <w:ind w:left="0" w:right="0" w:firstLineChars="200" w:firstLine="640"/>
        <w:jc w:val="left"/>
        <w:rPr>
          <w:rFonts w:ascii="仿宋" w:eastAsia="仿宋" w:cs="仿宋" w:hint="eastAsia"/>
          <w:b w:val="0"/>
          <w:bCs w:val="0"/>
          <w:color w:val="000000"/>
          <w:spacing w:val="-14"/>
          <w:kern w:val="0"/>
          <w:sz w:val="32"/>
          <w:szCs w:val="32"/>
        </w:rPr>
      </w:pPr>
      <w:r>
        <w:rPr>
          <w:rFonts w:ascii="仿宋" w:eastAsia="仿宋" w:cs="仿宋" w:hint="eastAsia"/>
          <w:b w:val="0"/>
          <w:bCs w:val="0"/>
          <w:kern w:val="0"/>
          <w:sz w:val="32"/>
          <w:szCs w:val="32"/>
          <w:lang w:val="en-US" w:eastAsia="zh-CN"/>
        </w:rPr>
        <w:t>2、</w:t>
      </w:r>
      <w:r>
        <w:rPr>
          <w:rFonts w:ascii="仿宋" w:eastAsia="仿宋" w:cs="仿宋" w:hint="eastAsia"/>
          <w:b w:val="0"/>
          <w:bCs w:val="0"/>
          <w:color w:val="000000"/>
          <w:spacing w:val="-14"/>
          <w:kern w:val="0"/>
          <w:sz w:val="32"/>
          <w:szCs w:val="32"/>
          <w:lang w:val="en-US" w:eastAsia="zh-CN"/>
        </w:rPr>
        <w:t xml:space="preserve">本单位本年度纳入本套决算编制范围的独立编制机构数共1个，比上年增加0个，无变动；独立核算机构数共1个，比上年增加0个，无变动情况。  </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仿宋" w:hint="eastAsia"/>
          <w:b w:val="0"/>
          <w:bCs w:val="0"/>
          <w:color w:val="000000"/>
          <w:spacing w:val="-14"/>
          <w:kern w:val="0"/>
          <w:sz w:val="32"/>
          <w:szCs w:val="32"/>
        </w:rPr>
      </w:pPr>
      <w:r>
        <w:rPr>
          <w:rFonts w:ascii="仿宋" w:eastAsia="仿宋" w:cs="仿宋" w:hint="eastAsia"/>
          <w:b w:val="0"/>
          <w:bCs w:val="0"/>
          <w:color w:val="000000"/>
          <w:spacing w:val="-14"/>
          <w:kern w:val="0"/>
          <w:sz w:val="32"/>
          <w:szCs w:val="32"/>
          <w:lang w:val="en-US" w:eastAsia="zh-CN"/>
        </w:rPr>
        <w:t>3、本单位本年度年末实有人数为4人，无变动情况。</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 w:eastAsia="仿宋" w:cs="仿宋" w:hint="eastAsia"/>
          <w:b/>
          <w:bCs/>
          <w:kern w:val="0"/>
          <w:sz w:val="32"/>
          <w:szCs w:val="32"/>
        </w:rPr>
      </w:pPr>
      <w:r>
        <w:rPr>
          <w:rFonts w:ascii="仿宋" w:eastAsia="仿宋" w:cs="仿宋" w:hint="eastAsia"/>
          <w:b/>
          <w:bCs/>
          <w:kern w:val="0"/>
          <w:sz w:val="32"/>
          <w:szCs w:val="32"/>
          <w:lang w:val="en-US" w:eastAsia="zh-CN"/>
        </w:rPr>
        <w:t>（二）当年取得的主要事业成效</w:t>
      </w:r>
    </w:p>
    <w:p>
      <w:pPr>
        <w:keepNext w:val="0"/>
        <w:keepLines w:val="0"/>
        <w:widowControl w:val="0"/>
        <w:suppressLineNumbers w:val="0"/>
        <w:autoSpaceDE w:val="0"/>
        <w:autoSpaceDN/>
        <w:snapToGrid w:val="0"/>
        <w:spacing w:before="0" w:beforeAutospacing="0" w:after="0" w:afterAutospacing="0" w:line="560" w:lineRule="exact"/>
        <w:ind w:left="0" w:right="0" w:firstLineChars="200" w:firstLine="640"/>
        <w:jc w:val="left"/>
        <w:rPr>
          <w:rFonts w:ascii="仿宋" w:eastAsia="仿宋" w:cs="仿宋" w:hint="eastAsia"/>
          <w:b/>
          <w:bCs/>
          <w:kern w:val="0"/>
          <w:sz w:val="32"/>
          <w:szCs w:val="32"/>
        </w:rPr>
      </w:pPr>
      <w:r>
        <w:rPr>
          <w:rFonts w:ascii="仿宋" w:eastAsia="仿宋" w:cs="仿宋" w:hint="eastAsia"/>
          <w:b/>
          <w:bCs/>
          <w:kern w:val="0"/>
          <w:sz w:val="32"/>
          <w:szCs w:val="32"/>
          <w:lang w:val="en-US" w:eastAsia="zh-CN"/>
        </w:rPr>
        <w:t>1、坚持质量立校，在突显特色上强化高质量</w:t>
      </w:r>
    </w:p>
    <w:p>
      <w:pPr>
        <w:keepNext w:val="0"/>
        <w:keepLines w:val="0"/>
        <w:widowControl w:val="0"/>
        <w:suppressLineNumbers w:val="0"/>
        <w:autoSpaceDE w:val="0"/>
        <w:autoSpaceDN/>
        <w:snapToGrid w:val="0"/>
        <w:spacing w:before="0" w:beforeAutospacing="0" w:after="0" w:afterAutospacing="0" w:line="560" w:lineRule="exact"/>
        <w:ind w:left="0" w:right="0" w:firstLineChars="200" w:firstLine="640"/>
        <w:jc w:val="left"/>
        <w:rPr>
          <w:rFonts w:ascii="仿宋" w:eastAsia="仿宋" w:cs="仿宋" w:hint="eastAsia"/>
          <w:kern w:val="0"/>
          <w:sz w:val="32"/>
          <w:szCs w:val="32"/>
        </w:rPr>
      </w:pPr>
      <w:r>
        <w:rPr>
          <w:rFonts w:ascii="仿宋" w:eastAsia="仿宋" w:cs="仿宋" w:hint="eastAsia"/>
          <w:kern w:val="0"/>
          <w:sz w:val="32"/>
          <w:szCs w:val="32"/>
          <w:lang w:val="en-US" w:eastAsia="zh-CN"/>
        </w:rPr>
        <w:t>习近平总书记说：“质量兴则党校兴，质量强则党校强。”一年来，县委党校坚持质量立校，在抓理论、挖掘特色、提升基地等方面成效显著。</w:t>
      </w:r>
      <w:r>
        <w:rPr>
          <w:rFonts w:ascii="仿宋" w:eastAsia="仿宋" w:cs="仿宋" w:hint="eastAsia"/>
          <w:b/>
          <w:bCs/>
          <w:kern w:val="0"/>
          <w:sz w:val="32"/>
          <w:szCs w:val="32"/>
          <w:lang w:val="en-US" w:eastAsia="zh-CN"/>
        </w:rPr>
        <w:t>一是深化理论研究。</w:t>
      </w:r>
      <w:r>
        <w:rPr>
          <w:rFonts w:ascii="仿宋" w:eastAsia="仿宋" w:cs="仿宋" w:hint="eastAsia"/>
          <w:kern w:val="0"/>
          <w:sz w:val="32"/>
          <w:szCs w:val="32"/>
          <w:lang w:val="en-US" w:eastAsia="zh-CN"/>
        </w:rPr>
        <w:t>2022年来，我校围绕“三大行动”、“不忘初心</w:t>
      </w:r>
      <w:r>
        <w:rPr>
          <w:rFonts w:ascii="仿宋" w:eastAsia="仿宋" w:cs="仿宋"/>
          <w:kern w:val="0"/>
          <w:sz w:val="32"/>
          <w:szCs w:val="32"/>
          <w:lang w:val="en-US" w:eastAsia="zh-CN"/>
        </w:rPr>
        <w:t>、</w:t>
      </w:r>
      <w:r>
        <w:rPr>
          <w:rFonts w:ascii="仿宋" w:eastAsia="仿宋" w:cs="仿宋" w:hint="eastAsia"/>
          <w:kern w:val="0"/>
          <w:sz w:val="32"/>
          <w:szCs w:val="32"/>
          <w:lang w:val="en-US" w:eastAsia="zh-CN"/>
        </w:rPr>
        <w:t>牢记使命”、党风廉政建设等方面，给教研室出题目、交任务，研发了《不忘初心</w:t>
      </w:r>
      <w:r>
        <w:rPr>
          <w:rFonts w:ascii="仿宋" w:eastAsia="仿宋" w:cs="仿宋"/>
          <w:kern w:val="0"/>
          <w:sz w:val="32"/>
          <w:szCs w:val="32"/>
          <w:lang w:val="en-US" w:eastAsia="zh-CN"/>
        </w:rPr>
        <w:t>、</w:t>
      </w:r>
      <w:r>
        <w:rPr>
          <w:rFonts w:ascii="仿宋" w:eastAsia="仿宋" w:cs="仿宋" w:hint="eastAsia"/>
          <w:kern w:val="0"/>
          <w:sz w:val="32"/>
          <w:szCs w:val="32"/>
          <w:lang w:val="en-US" w:eastAsia="zh-CN"/>
        </w:rPr>
        <w:t>牢记使命—在红军长征精神中汲取前行力量》、《扬信念之帆 存敬畏之念》、《从习近平七年知青岁月看共产党员的初心》、《持之以恒正风肃纪 扎实推进党风廉政建设和反腐败斗争》等精品课程，有效发挥智库作用。</w:t>
      </w:r>
      <w:r>
        <w:rPr>
          <w:rFonts w:ascii="仿宋" w:eastAsia="仿宋" w:cs="仿宋" w:hint="eastAsia"/>
          <w:b/>
          <w:bCs/>
          <w:kern w:val="0"/>
          <w:sz w:val="32"/>
          <w:szCs w:val="32"/>
          <w:lang w:val="en-US" w:eastAsia="zh-CN"/>
        </w:rPr>
        <w:t>二是挖掘特色资源。</w:t>
      </w:r>
      <w:r>
        <w:rPr>
          <w:rFonts w:ascii="仿宋" w:eastAsia="仿宋" w:cs="仿宋" w:hint="eastAsia"/>
          <w:kern w:val="0"/>
          <w:sz w:val="32"/>
          <w:szCs w:val="32"/>
          <w:lang w:val="en-US" w:eastAsia="zh-CN"/>
        </w:rPr>
        <w:t>县委党校立足于金川丰富红色资源，深挖长征精神史实，以“红军大学”为办学特色，着力传承好长征精神、讲好红军长征感人故事，在重温长征记忆、传承长征精神的同时，推动学员汲取精神动力，为实现全面建成社会主义现代化建设而不断奋斗。我校以推进“用学术讲政治”教学改革为抓手，围绕“红军长征在金川”的史实，打造了《红色金川》课程、《红色记忆·红色金川》纪录片、《金川县长征精神数据库建设资源收集与开发》等特色课程。</w:t>
      </w:r>
      <w:r>
        <w:rPr>
          <w:rFonts w:ascii="仿宋" w:eastAsia="仿宋" w:cs="仿宋" w:hint="eastAsia"/>
          <w:b/>
          <w:bCs/>
          <w:kern w:val="0"/>
          <w:sz w:val="32"/>
          <w:szCs w:val="32"/>
          <w:lang w:val="en-US" w:eastAsia="zh-CN"/>
        </w:rPr>
        <w:t>三是建强教学基地。</w:t>
      </w:r>
      <w:r>
        <w:rPr>
          <w:rFonts w:ascii="仿宋" w:eastAsia="仿宋" w:cs="仿宋" w:hint="eastAsia"/>
          <w:kern w:val="0"/>
          <w:sz w:val="32"/>
          <w:szCs w:val="32"/>
          <w:lang w:val="en-US" w:eastAsia="zh-CN"/>
        </w:rPr>
        <w:t>我校高度重视现场教学基地建设和案例式教学，积极协调相关单位，完善基础设施。同时，在扎实做好现场教学基地品牌建设和资源开发的基础上，扎实做好资源挖掘和内涵提升，编制《红军长征在金川纪念馆方案》，完善“红军长征在金川”的现场教学路线，请州委党校三位高级讲师集体打造《“乾隆御碑”教学点教学套课》，推动教育教学资源的全面整合提升。</w:t>
      </w:r>
    </w:p>
    <w:p>
      <w:pPr>
        <w:keepNext w:val="0"/>
        <w:keepLines w:val="0"/>
        <w:widowControl w:val="0"/>
        <w:suppressLineNumbers w:val="0"/>
        <w:autoSpaceDE w:val="0"/>
        <w:autoSpaceDN/>
        <w:snapToGrid w:val="0"/>
        <w:spacing w:before="0" w:beforeAutospacing="0" w:after="0" w:afterAutospacing="0" w:line="560" w:lineRule="exact"/>
        <w:ind w:left="0" w:right="0" w:firstLineChars="200" w:firstLine="640"/>
        <w:jc w:val="left"/>
        <w:rPr>
          <w:rFonts w:ascii="仿宋" w:eastAsia="仿宋" w:cs="仿宋" w:hint="eastAsia"/>
          <w:b/>
          <w:bCs/>
          <w:kern w:val="0"/>
          <w:sz w:val="32"/>
          <w:szCs w:val="32"/>
        </w:rPr>
      </w:pPr>
      <w:r>
        <w:rPr>
          <w:rFonts w:ascii="仿宋" w:eastAsia="仿宋" w:cs="仿宋" w:hint="eastAsia"/>
          <w:b/>
          <w:bCs/>
          <w:kern w:val="0"/>
          <w:sz w:val="32"/>
          <w:szCs w:val="32"/>
          <w:lang w:val="en-US" w:eastAsia="zh-CN"/>
        </w:rPr>
        <w:t>2.坚持围绕中心，在服务大局上彰显高质量</w:t>
      </w:r>
    </w:p>
    <w:p>
      <w:pPr>
        <w:keepNext w:val="0"/>
        <w:keepLines w:val="0"/>
        <w:widowControl w:val="0"/>
        <w:suppressLineNumbers w:val="0"/>
        <w:autoSpaceDE w:val="0"/>
        <w:autoSpaceDN/>
        <w:snapToGrid w:val="0"/>
        <w:spacing w:before="0" w:beforeAutospacing="0" w:after="0" w:afterAutospacing="0" w:line="560" w:lineRule="exact"/>
        <w:ind w:left="0" w:right="0" w:firstLineChars="200" w:firstLine="640"/>
        <w:jc w:val="both"/>
        <w:rPr>
          <w:rFonts w:ascii="仿宋" w:eastAsia="仿宋" w:cs="仿宋" w:hint="eastAsia"/>
          <w:kern w:val="0"/>
          <w:sz w:val="32"/>
          <w:szCs w:val="32"/>
        </w:rPr>
      </w:pPr>
      <w:r>
        <w:rPr>
          <w:rFonts w:ascii="仿宋" w:eastAsia="仿宋" w:cs="仿宋" w:hint="eastAsia"/>
          <w:kern w:val="0"/>
          <w:sz w:val="32"/>
          <w:szCs w:val="32"/>
          <w:lang w:val="en-US" w:eastAsia="zh-CN"/>
        </w:rPr>
        <w:t>县委党校围绕县委县政府中心工作，主动作为，扎实开展培训工作。</w:t>
      </w:r>
      <w:r>
        <w:rPr>
          <w:rFonts w:ascii="仿宋" w:eastAsia="仿宋" w:cs="仿宋" w:hint="eastAsia"/>
          <w:b/>
          <w:bCs/>
          <w:kern w:val="0"/>
          <w:sz w:val="32"/>
          <w:szCs w:val="32"/>
          <w:lang w:val="en-US" w:eastAsia="zh-CN"/>
        </w:rPr>
        <w:t>一是发挥党性锤炼的主渠道作用。</w:t>
      </w:r>
      <w:r>
        <w:rPr>
          <w:rFonts w:ascii="仿宋" w:eastAsia="仿宋" w:cs="仿宋" w:hint="eastAsia"/>
          <w:kern w:val="0"/>
          <w:sz w:val="32"/>
          <w:szCs w:val="32"/>
          <w:lang w:val="en-US" w:eastAsia="zh-CN"/>
        </w:rPr>
        <w:t>一年来，县委党校注重锤炼党员干部的信念，依托现场教学基地-红军长征在金川纪念馆，举办37期，来自省、州、县机关单位、校镇、企业，共多个单位、850余人次。</w:t>
      </w:r>
      <w:r>
        <w:rPr>
          <w:rFonts w:ascii="仿宋" w:eastAsia="仿宋" w:cs="仿宋" w:hint="eastAsia"/>
          <w:b/>
          <w:bCs/>
          <w:kern w:val="0"/>
          <w:sz w:val="32"/>
          <w:szCs w:val="32"/>
          <w:lang w:val="en-US" w:eastAsia="zh-CN"/>
        </w:rPr>
        <w:t>二是发挥能力提升的主阵地作用。</w:t>
      </w:r>
      <w:r>
        <w:rPr>
          <w:rFonts w:ascii="仿宋" w:eastAsia="仿宋" w:cs="仿宋" w:hint="eastAsia"/>
          <w:kern w:val="0"/>
          <w:sz w:val="32"/>
          <w:szCs w:val="32"/>
          <w:lang w:val="en-US" w:eastAsia="zh-CN"/>
        </w:rPr>
        <w:t xml:space="preserve">聚焦着力解决基层一线干部的知识弱项、能力短板问题，围绕打好“三大攻坚战”、推进校村振兴、法律法规等方面，采取课堂讲授、现场教学、异地教学等方式，全年举办13期主体班培训，共计1000人次，提升了我县干部队伍专业化能力水平，较好推动了县委重大决策部署的贯彻落实。 </w:t>
      </w:r>
      <w:r>
        <w:rPr>
          <w:rFonts w:ascii="仿宋" w:eastAsia="仿宋" w:cs="仿宋" w:hint="eastAsia"/>
          <w:b/>
          <w:bCs/>
          <w:kern w:val="0"/>
          <w:sz w:val="32"/>
          <w:szCs w:val="32"/>
          <w:lang w:val="en-US" w:eastAsia="zh-CN"/>
        </w:rPr>
        <w:t>三是发挥理论宣讲的主力军作用。</w:t>
      </w:r>
      <w:r>
        <w:rPr>
          <w:rFonts w:ascii="仿宋" w:eastAsia="仿宋" w:cs="仿宋" w:hint="eastAsia"/>
          <w:kern w:val="0"/>
          <w:sz w:val="32"/>
          <w:szCs w:val="32"/>
          <w:lang w:val="en-US" w:eastAsia="zh-CN"/>
        </w:rPr>
        <w:t>县委党校是干部培训的主阵地，也是意识形态工作的最前沿。按照上级部门要求，围绕全国两会、党的十九届五中全会、中央第七次西藏工作座谈会精神、省委十一届七次八次全会、州委十一届九次十次全会、县委十三届九次十次全会，积极配合州委宣讲团和县委宣传部开展宣讲工作。一年来，我校老师已经被抽调三次。</w:t>
      </w:r>
      <w:r>
        <w:rPr>
          <w:rFonts w:ascii="仿宋" w:eastAsia="仿宋" w:cs="仿宋" w:hint="eastAsia"/>
          <w:kern w:val="0"/>
          <w:sz w:val="32"/>
          <w:szCs w:val="32"/>
          <w:shd w:val="clear" w:color="auto" w:fill="FFFFFF"/>
          <w:lang w:val="en-US" w:eastAsia="zh-CN"/>
        </w:rPr>
        <w:t xml:space="preserve"> </w:t>
      </w:r>
    </w:p>
    <w:p>
      <w:pPr>
        <w:pStyle w:val="2"/>
        <w:keepNext w:val="0"/>
        <w:keepLines w:val="0"/>
        <w:widowControl/>
        <w:numPr>
          <w:ilvl w:val="0"/>
          <w:numId w:val="1"/>
        </w:numPr>
        <w:suppressLineNumbers w:val="0"/>
        <w:spacing w:before="0" w:beforeAutospacing="0"/>
        <w:ind w:left="0"/>
        <w:jc w:val="left"/>
        <w:rPr>
          <w:rFonts w:ascii="仿宋" w:eastAsia="仿宋" w:cs="仿宋" w:hint="eastAsia"/>
          <w:b w:val="0"/>
          <w:bCs w:val="0"/>
          <w:kern w:val="0"/>
          <w:sz w:val="32"/>
          <w:szCs w:val="32"/>
          <w:lang w:val="en-US" w:eastAsia="zh-CN"/>
        </w:rPr>
      </w:pPr>
      <w:r>
        <w:rPr>
          <w:rFonts w:ascii="仿宋" w:eastAsia="仿宋" w:cs="仿宋" w:hint="eastAsia"/>
          <w:b w:val="0"/>
          <w:bCs w:val="0"/>
          <w:kern w:val="0"/>
          <w:sz w:val="32"/>
          <w:szCs w:val="32"/>
          <w:lang w:val="en-US" w:eastAsia="zh-CN"/>
        </w:rPr>
        <w:t>机构设置中共阿坝州金川县委党校下属二级单位1个，其中行政单位1个，参照公务员法管理的事业单位1个，其他事业单位1个。</w:t>
      </w:r>
    </w:p>
    <w:p>
      <w:pPr>
        <w:pStyle w:val="2"/>
        <w:keepNext w:val="0"/>
        <w:keepLines w:val="0"/>
        <w:widowControl/>
        <w:suppressLineNumbers w:val="0"/>
        <w:spacing w:before="0" w:beforeAutospacing="0"/>
        <w:ind w:left="0" w:firstLineChars="200" w:firstLine="640"/>
        <w:jc w:val="left"/>
        <w:rPr>
          <w:rFonts w:ascii="仿宋" w:eastAsia="仿宋" w:cs="仿宋" w:hint="eastAsia"/>
          <w:sz w:val="32"/>
          <w:szCs w:val="32"/>
        </w:rPr>
      </w:pPr>
      <w:r>
        <w:rPr>
          <w:rFonts w:ascii="仿宋" w:eastAsia="仿宋" w:cs="仿宋" w:hint="eastAsia"/>
          <w:sz w:val="32"/>
          <w:szCs w:val="32"/>
          <w:shd w:val="clear" w:color="auto" w:fill="FFFFFF"/>
        </w:rPr>
        <w:t>纳入中共阿坝州金川县委党校2022年度部门决算编制范围的二级预算单位包括：</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lang w:val="en-US" w:eastAsia="zh-CN"/>
        </w:rPr>
      </w:pPr>
      <w:r>
        <w:rPr>
          <w:rFonts w:ascii="仿宋" w:eastAsia="仿宋" w:cs="仿宋" w:hint="eastAsia"/>
          <w:sz w:val="32"/>
          <w:szCs w:val="32"/>
          <w:lang w:val="en-US" w:eastAsia="zh-CN"/>
        </w:rPr>
        <w:t>1、机构情况：中共今后窜县委党校有一个行政核算机构。</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lang w:val="en-US" w:eastAsia="zh-CN"/>
        </w:rPr>
        <w:t>2、人员情况： </w:t>
      </w:r>
      <w:r>
        <w:rPr>
          <w:rFonts w:ascii="仿宋" w:eastAsia="仿宋" w:cs="仿宋" w:hint="eastAsia"/>
          <w:bCs/>
          <w:kern w:val="0"/>
          <w:sz w:val="32"/>
          <w:szCs w:val="32"/>
          <w:shd w:val="clear" w:color="auto" w:fill="FFFFFF"/>
          <w:lang w:val="zh-CN"/>
        </w:rPr>
        <w:t>我</w:t>
      </w:r>
      <w:r>
        <w:rPr>
          <w:rFonts w:ascii="仿宋" w:eastAsia="仿宋" w:cs="仿宋" w:hint="eastAsia"/>
          <w:bCs/>
          <w:kern w:val="0"/>
          <w:sz w:val="32"/>
          <w:szCs w:val="32"/>
          <w:shd w:val="clear" w:color="auto" w:fill="FFFFFF"/>
          <w:lang w:val="en-US" w:eastAsia="zh-CN"/>
        </w:rPr>
        <w:t>校</w:t>
      </w:r>
      <w:r>
        <w:rPr>
          <w:rFonts w:ascii="仿宋" w:eastAsia="仿宋" w:cs="仿宋" w:hint="eastAsia"/>
          <w:bCs/>
          <w:kern w:val="0"/>
          <w:sz w:val="32"/>
          <w:szCs w:val="32"/>
          <w:shd w:val="clear" w:color="auto" w:fill="FFFFFF"/>
          <w:lang w:val="zh-CN"/>
        </w:rPr>
        <w:t>人员编制</w:t>
      </w:r>
      <w:r>
        <w:rPr>
          <w:rFonts w:ascii="仿宋" w:eastAsia="仿宋" w:cs="仿宋" w:hint="eastAsia"/>
          <w:bCs/>
          <w:kern w:val="0"/>
          <w:sz w:val="32"/>
          <w:szCs w:val="32"/>
          <w:shd w:val="clear" w:color="auto" w:fill="FFFFFF"/>
          <w:lang w:val="en-US" w:eastAsia="zh-CN"/>
        </w:rPr>
        <w:t>总数12</w:t>
      </w:r>
      <w:r>
        <w:rPr>
          <w:rFonts w:ascii="仿宋" w:eastAsia="仿宋" w:cs="仿宋" w:hint="eastAsia"/>
          <w:bCs/>
          <w:kern w:val="0"/>
          <w:sz w:val="32"/>
          <w:szCs w:val="32"/>
          <w:shd w:val="clear" w:color="auto" w:fill="FFFFFF"/>
          <w:lang w:val="zh-CN"/>
        </w:rPr>
        <w:t>名，其中：公务员编制</w:t>
      </w:r>
      <w:r>
        <w:rPr>
          <w:rFonts w:ascii="仿宋" w:eastAsia="仿宋" w:cs="仿宋" w:hint="eastAsia"/>
          <w:bCs/>
          <w:kern w:val="0"/>
          <w:sz w:val="32"/>
          <w:szCs w:val="32"/>
          <w:shd w:val="clear" w:color="auto" w:fill="FFFFFF"/>
          <w:lang w:val="en-US" w:eastAsia="zh-CN"/>
        </w:rPr>
        <w:t>4</w:t>
      </w:r>
      <w:r>
        <w:rPr>
          <w:rFonts w:ascii="仿宋" w:eastAsia="仿宋" w:cs="仿宋" w:hint="eastAsia"/>
          <w:bCs/>
          <w:kern w:val="0"/>
          <w:sz w:val="32"/>
          <w:szCs w:val="32"/>
          <w:shd w:val="clear" w:color="auto" w:fill="FFFFFF"/>
          <w:lang w:val="zh-CN"/>
        </w:rPr>
        <w:t>名，机关工勤编制</w:t>
      </w:r>
      <w:r>
        <w:rPr>
          <w:rFonts w:ascii="仿宋" w:eastAsia="仿宋" w:cs="仿宋" w:hint="eastAsia"/>
          <w:bCs/>
          <w:kern w:val="0"/>
          <w:sz w:val="32"/>
          <w:szCs w:val="32"/>
          <w:shd w:val="clear" w:color="auto" w:fill="FFFFFF"/>
          <w:lang w:val="en-US" w:eastAsia="zh-CN"/>
        </w:rPr>
        <w:t>1</w:t>
      </w:r>
      <w:r>
        <w:rPr>
          <w:rFonts w:ascii="仿宋" w:eastAsia="仿宋" w:cs="仿宋" w:hint="eastAsia"/>
          <w:bCs/>
          <w:kern w:val="0"/>
          <w:sz w:val="32"/>
          <w:szCs w:val="32"/>
          <w:shd w:val="clear" w:color="auto" w:fill="FFFFFF"/>
          <w:lang w:val="zh-CN"/>
        </w:rPr>
        <w:t>名</w:t>
      </w:r>
      <w:r>
        <w:rPr>
          <w:rFonts w:ascii="仿宋" w:eastAsia="仿宋" w:cs="仿宋" w:hint="eastAsia"/>
          <w:bCs/>
          <w:kern w:val="0"/>
          <w:sz w:val="32"/>
          <w:szCs w:val="32"/>
          <w:shd w:val="clear" w:color="auto" w:fill="FFFFFF"/>
          <w:lang w:val="zh-CN" w:eastAsia="zh-CN"/>
        </w:rPr>
        <w:t>，事业编</w:t>
      </w:r>
      <w:r>
        <w:rPr>
          <w:rFonts w:ascii="仿宋" w:eastAsia="仿宋" w:cs="仿宋" w:hint="eastAsia"/>
          <w:bCs/>
          <w:kern w:val="0"/>
          <w:sz w:val="32"/>
          <w:szCs w:val="32"/>
          <w:shd w:val="clear" w:color="auto" w:fill="FFFFFF"/>
          <w:lang w:val="en-US" w:eastAsia="zh-CN"/>
        </w:rPr>
        <w:t>7</w:t>
      </w:r>
      <w:r>
        <w:rPr>
          <w:rFonts w:ascii="仿宋" w:eastAsia="仿宋" w:cs="仿宋" w:hint="eastAsia"/>
          <w:bCs/>
          <w:kern w:val="0"/>
          <w:sz w:val="32"/>
          <w:szCs w:val="32"/>
          <w:shd w:val="clear" w:color="auto" w:fill="FFFFFF"/>
          <w:lang w:val="zh-CN" w:eastAsia="zh-CN"/>
        </w:rPr>
        <w:t>名。</w:t>
      </w:r>
      <w:r>
        <w:rPr>
          <w:rFonts w:ascii="仿宋" w:eastAsia="仿宋" w:cs="仿宋" w:hint="eastAsia"/>
          <w:sz w:val="32"/>
          <w:szCs w:val="32"/>
          <w:lang w:val="en-US" w:eastAsia="zh-CN"/>
        </w:rPr>
        <w:t> </w:t>
      </w:r>
      <w:r>
        <w:rPr>
          <w:rFonts w:ascii="仿宋" w:eastAsia="仿宋" w:cs="仿宋" w:hint="eastAsia"/>
          <w:bCs/>
          <w:kern w:val="0"/>
          <w:sz w:val="32"/>
          <w:szCs w:val="32"/>
          <w:shd w:val="clear" w:color="auto" w:fill="FFFFFF"/>
          <w:lang w:val="zh-CN" w:eastAsia="zh-CN"/>
        </w:rPr>
        <w:t>年末实有人数</w:t>
      </w:r>
      <w:r>
        <w:rPr>
          <w:rFonts w:ascii="仿宋" w:eastAsia="仿宋" w:cs="仿宋" w:hint="eastAsia"/>
          <w:bCs/>
          <w:kern w:val="0"/>
          <w:sz w:val="32"/>
          <w:szCs w:val="32"/>
          <w:shd w:val="clear" w:color="auto" w:fill="FFFFFF"/>
          <w:lang w:val="en-US" w:eastAsia="zh-CN"/>
        </w:rPr>
        <w:t>11名</w:t>
      </w:r>
      <w:r>
        <w:rPr>
          <w:rFonts w:ascii="仿宋" w:eastAsia="仿宋" w:cs="仿宋" w:hint="eastAsia"/>
          <w:bCs/>
          <w:kern w:val="0"/>
          <w:sz w:val="32"/>
          <w:szCs w:val="32"/>
          <w:shd w:val="clear" w:color="auto" w:fill="FFFFFF"/>
          <w:lang w:val="zh-CN" w:eastAsia="zh-CN"/>
        </w:rPr>
        <w:t>，其中：行政公务员</w:t>
      </w:r>
      <w:r>
        <w:rPr>
          <w:rFonts w:ascii="仿宋" w:eastAsia="仿宋" w:cs="仿宋" w:hint="eastAsia"/>
          <w:bCs/>
          <w:kern w:val="0"/>
          <w:sz w:val="32"/>
          <w:szCs w:val="32"/>
          <w:shd w:val="clear" w:color="auto" w:fill="FFFFFF"/>
          <w:lang w:val="en-US" w:eastAsia="zh-CN"/>
        </w:rPr>
        <w:t>4</w:t>
      </w:r>
      <w:r>
        <w:rPr>
          <w:rFonts w:ascii="仿宋" w:eastAsia="仿宋" w:cs="仿宋" w:hint="eastAsia"/>
          <w:bCs/>
          <w:kern w:val="0"/>
          <w:sz w:val="32"/>
          <w:szCs w:val="32"/>
          <w:shd w:val="clear" w:color="auto" w:fill="FFFFFF"/>
          <w:lang w:val="zh-CN" w:eastAsia="zh-CN"/>
        </w:rPr>
        <w:t>名，行政工勤</w:t>
      </w:r>
      <w:r>
        <w:rPr>
          <w:rFonts w:ascii="仿宋" w:eastAsia="仿宋" w:cs="仿宋" w:hint="eastAsia"/>
          <w:bCs/>
          <w:kern w:val="0"/>
          <w:sz w:val="32"/>
          <w:szCs w:val="32"/>
          <w:shd w:val="clear" w:color="auto" w:fill="FFFFFF"/>
          <w:lang w:val="en-US" w:eastAsia="zh-CN"/>
        </w:rPr>
        <w:t>1</w:t>
      </w:r>
      <w:r>
        <w:rPr>
          <w:rFonts w:ascii="仿宋" w:eastAsia="仿宋" w:cs="仿宋" w:hint="eastAsia"/>
          <w:bCs/>
          <w:kern w:val="0"/>
          <w:sz w:val="32"/>
          <w:szCs w:val="32"/>
          <w:shd w:val="clear" w:color="auto" w:fill="FFFFFF"/>
          <w:lang w:val="zh-CN" w:eastAsia="zh-CN"/>
        </w:rPr>
        <w:t>名，事业人员</w:t>
      </w:r>
      <w:r>
        <w:rPr>
          <w:rFonts w:ascii="仿宋" w:eastAsia="仿宋" w:cs="仿宋" w:hint="eastAsia"/>
          <w:bCs/>
          <w:kern w:val="0"/>
          <w:sz w:val="32"/>
          <w:szCs w:val="32"/>
          <w:shd w:val="clear" w:color="auto" w:fill="FFFFFF"/>
          <w:lang w:val="en-US" w:eastAsia="zh-CN"/>
        </w:rPr>
        <w:t>7</w:t>
      </w:r>
      <w:r>
        <w:rPr>
          <w:rFonts w:ascii="仿宋" w:eastAsia="仿宋" w:cs="仿宋" w:hint="eastAsia"/>
          <w:bCs/>
          <w:kern w:val="0"/>
          <w:sz w:val="32"/>
          <w:szCs w:val="32"/>
          <w:shd w:val="clear" w:color="auto" w:fill="FFFFFF"/>
          <w:lang w:val="zh-CN" w:eastAsia="zh-CN"/>
        </w:rPr>
        <w:t>名。</w:t>
      </w:r>
      <w:r>
        <w:rPr>
          <w:rFonts w:ascii="仿宋" w:eastAsia="仿宋" w:cs="仿宋" w:hint="eastAsia"/>
          <w:sz w:val="32"/>
          <w:szCs w:val="32"/>
          <w:lang w:val="en-US" w:eastAsia="zh-CN"/>
        </w:rPr>
        <w:t>2022年年初在职11人，年末在职11人.</w:t>
      </w:r>
      <w:r>
        <w:rPr>
          <w:rFonts w:ascii="仿宋" w:eastAsia="仿宋" w:cs="仿宋" w:hint="eastAsia"/>
          <w:sz w:val="32"/>
          <w:szCs w:val="32"/>
          <w:shd w:val="clear" w:color="auto" w:fill="FFFFFF"/>
        </w:rPr>
        <w:t> </w:t>
      </w:r>
    </w:p>
    <w:p>
      <w:pPr>
        <w:pStyle w:val="1"/>
        <w:keepNext w:val="0"/>
        <w:keepLines w:val="0"/>
        <w:widowControl/>
        <w:suppressLineNumbers w:val="0"/>
        <w:spacing w:before="0" w:beforeAutospacing="0"/>
        <w:ind w:left="0"/>
        <w:jc w:val="center"/>
        <w:rPr>
          <w:rFonts w:ascii="仿宋" w:eastAsia="仿宋" w:cs="仿宋" w:hint="eastAsia"/>
          <w:sz w:val="32"/>
          <w:szCs w:val="32"/>
        </w:rPr>
      </w:pPr>
      <w:r>
        <w:rPr>
          <w:rFonts w:ascii="仿宋" w:eastAsia="仿宋" w:cs="仿宋" w:hint="eastAsia"/>
          <w:sz w:val="32"/>
          <w:szCs w:val="32"/>
          <w:shd w:val="clear" w:color="auto" w:fill="FFFFFF"/>
        </w:rPr>
        <w:t>第二部分 2022年度部门决算情况说明</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一、收入支出决算总体情况说明</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shd w:val="clear" w:color="auto" w:fill="FFFFFF"/>
        </w:rPr>
        <w:t>2022年度收、支总计255.97万元。与2021年相比，收、支总计各增加255.97万元，增长0.00%。主要变动原因是本年度</w:t>
      </w:r>
      <w:r>
        <w:rPr>
          <w:rFonts w:ascii="仿宋" w:eastAsia="仿宋" w:cs="仿宋" w:hint="eastAsia"/>
          <w:sz w:val="32"/>
          <w:szCs w:val="32"/>
          <w:shd w:val="clear" w:color="auto" w:fill="FFFFFF"/>
          <w:lang w:val="en-US" w:eastAsia="zh-CN"/>
        </w:rPr>
        <w:t>人员经费增加。</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kern w:val="0"/>
          <w:sz w:val="32"/>
          <w:szCs w:val="32"/>
          <w:lang w:val="en-US" w:eastAsia="zh-CN"/>
        </w:rPr>
        <w:drawing>
          <wp:inline distT="0" distB="0" distL="114300" distR="114300">
            <wp:extent cx="5353050" cy="3257550"/>
            <wp:effectExtent l="0" t="0" r="13" b="45"/>
            <wp:docPr id="1" name="图片 7" descr="IMG_256"/>
            <wp:cNvGraphicFramePr>
              <a:graphicFrameLocks noChangeAspect="1"/>
            </wp:cNvGraphicFramePr>
            <a:graphic>
              <a:graphicData uri="http://schemas.openxmlformats.org/drawingml/2006/picture">
                <pic:pic>
                  <pic:nvPicPr>
                    <pic:cNvPr id="3" name="图片 7 3"/>
                    <pic:cNvPicPr/>
                  </pic:nvPicPr>
                  <pic:blipFill>
                    <a:blip r:embed="rId4"/>
                    <a:stretch>
                      <a:fillRect/>
                    </a:stretch>
                  </pic:blipFill>
                  <pic:spPr>
                    <a:xfrm rot="0">
                      <a:off x="0" y="0"/>
                      <a:ext cx="5353050" cy="3257550"/>
                    </a:xfrm>
                    <a:prstGeom prst="rect"/>
                    <a:noFill/>
                    <a:ln w="9525" cmpd="sng" cap="flat">
                      <a:noFill/>
                      <a:prstDash val="solid"/>
                      <a:round/>
                    </a:ln>
                  </pic:spPr>
                </pic:pic>
              </a:graphicData>
            </a:graphic>
          </wp:inline>
        </w:drawing>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二、收入决算情况说明</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本年收入合计255.97万元，其中：一般公共预算财政拨款收入255.97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w:t>
      </w:r>
      <w:r>
        <w:rPr>
          <w:rFonts w:ascii="仿宋" w:eastAsia="仿宋" w:cs="仿宋" w:hint="eastAsia"/>
          <w:kern w:val="0"/>
          <w:sz w:val="32"/>
          <w:szCs w:val="32"/>
          <w:lang w:val="en-US" w:eastAsia="zh-CN"/>
        </w:rPr>
        <w:drawing>
          <wp:inline distT="0" distB="0" distL="114300" distR="114300">
            <wp:extent cx="4274185" cy="2114550"/>
            <wp:effectExtent l="0" t="0" r="2" b="33"/>
            <wp:docPr id="4" name="图片 9" descr="IMG_258"/>
            <wp:cNvGraphicFramePr>
              <a:graphicFrameLocks noChangeAspect="1"/>
            </wp:cNvGraphicFramePr>
            <a:graphic>
              <a:graphicData uri="http://schemas.openxmlformats.org/drawingml/2006/picture">
                <pic:pic>
                  <pic:nvPicPr>
                    <pic:cNvPr id="6" name="图片 9 6"/>
                    <pic:cNvPicPr/>
                  </pic:nvPicPr>
                  <pic:blipFill>
                    <a:blip r:embed="rId5"/>
                    <a:stretch>
                      <a:fillRect/>
                    </a:stretch>
                  </pic:blipFill>
                  <pic:spPr>
                    <a:xfrm rot="0">
                      <a:off x="0" y="0"/>
                      <a:ext cx="4274185" cy="2114550"/>
                    </a:xfrm>
                    <a:prstGeom prst="rect"/>
                    <a:noFill/>
                    <a:ln w="9525" cmpd="sng" cap="flat">
                      <a:noFill/>
                      <a:prstDash val="solid"/>
                      <a:round/>
                    </a:ln>
                  </pic:spPr>
                </pic:pic>
              </a:graphicData>
            </a:graphic>
          </wp:inline>
        </w:drawing>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三、支出决算情况说明</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rPr>
      </w:pPr>
      <w:r>
        <w:rPr>
          <w:rFonts w:ascii="仿宋" w:eastAsia="仿宋" w:cs="仿宋" w:hint="eastAsia"/>
          <w:sz w:val="32"/>
          <w:szCs w:val="32"/>
          <w:lang w:val="en-US" w:eastAsia="zh-CN"/>
        </w:rPr>
        <w:drawing>
          <wp:anchor distT="0" distB="0" distL="114300" distR="114300" simplePos="0" relativeHeight="26" behindDoc="0" locked="0" layoutInCell="1" hidden="0" allowOverlap="1">
            <wp:simplePos x="0" y="0"/>
            <wp:positionH relativeFrom="column">
              <wp:posOffset>23495</wp:posOffset>
            </wp:positionH>
            <wp:positionV relativeFrom="paragraph">
              <wp:posOffset>694055</wp:posOffset>
            </wp:positionV>
            <wp:extent cx="3674745" cy="23120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 w:eastAsia="仿宋" w:cs="仿宋" w:hint="eastAsia"/>
          <w:sz w:val="32"/>
          <w:szCs w:val="32"/>
          <w:shd w:val="clear" w:color="auto" w:fill="FFFFFF"/>
        </w:rPr>
        <w:t>2022年本年支出合计255.97万元，其中：基本支出254.37万元，占99.37%；项目支出1.60万元，占0.63%；上缴上级支出0.00万元，占0.00%；经营支出0.00万元，占经营支出0.00万元，占 0.00%；对附属单位补助支出0.00万元，占0.00%。 </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四、财政拨款收入支出决算总体情况说明</w:t>
      </w:r>
    </w:p>
    <w:p>
      <w:pPr>
        <w:pStyle w:val="23"/>
        <w:keepNext w:val="0"/>
        <w:keepLines w:val="0"/>
        <w:widowControl/>
        <w:suppressLineNumbers w:val="0"/>
        <w:spacing w:before="0" w:beforeAutospacing="0"/>
        <w:ind w:left="0" w:firstLineChars="300" w:firstLine="960"/>
        <w:jc w:val="left"/>
        <w:rPr>
          <w:rFonts w:ascii="仿宋" w:eastAsia="仿宋" w:cs="仿宋" w:hint="eastAsia"/>
          <w:sz w:val="32"/>
          <w:szCs w:val="32"/>
          <w:shd w:val="clear" w:color="auto" w:fill="FFFFFF"/>
          <w:lang w:val="en-US" w:eastAsia="zh-CN"/>
        </w:rPr>
      </w:pPr>
      <w:r>
        <w:rPr>
          <w:rFonts w:ascii="仿宋" w:eastAsia="仿宋" w:cs="仿宋" w:hint="eastAsia"/>
          <w:sz w:val="32"/>
          <w:szCs w:val="32"/>
          <w:shd w:val="clear" w:color="auto" w:fill="FFFFFF"/>
        </w:rPr>
        <w:t>2022年财政拨款收、支总计255.97万元。与2021年相比，财政拨款收、支总计各增加/减少255.97万元，增长0.00%。主要变动原因</w:t>
      </w:r>
      <w:r>
        <w:rPr>
          <w:rFonts w:ascii="仿宋" w:eastAsia="仿宋" w:cs="仿宋" w:hint="eastAsia"/>
          <w:sz w:val="32"/>
          <w:szCs w:val="32"/>
          <w:shd w:val="clear" w:color="auto" w:fill="FFFFFF"/>
          <w:lang w:val="en-US" w:eastAsia="zh-CN"/>
        </w:rPr>
        <w:t>是本年度人员经费增加。</w:t>
      </w:r>
    </w:p>
    <w:p>
      <w:pPr>
        <w:pStyle w:val="23"/>
        <w:keepNext w:val="0"/>
        <w:keepLines w:val="0"/>
        <w:widowControl/>
        <w:suppressLineNumbers w:val="0"/>
        <w:spacing w:before="0" w:beforeAutospacing="0"/>
        <w:ind w:left="0" w:firstLineChars="300" w:firstLine="960"/>
        <w:jc w:val="left"/>
        <w:rPr>
          <w:rFonts w:ascii="仿宋" w:eastAsia="仿宋" w:cs="仿宋" w:hint="eastAsia"/>
          <w:sz w:val="32"/>
          <w:szCs w:val="32"/>
        </w:rPr>
      </w:pPr>
      <w:r>
        <w:rPr>
          <w:rFonts w:ascii="仿宋" w:eastAsia="仿宋" w:cs="仿宋" w:hint="eastAsia"/>
          <w:kern w:val="0"/>
          <w:sz w:val="32"/>
          <w:szCs w:val="32"/>
          <w:lang w:val="en-US" w:eastAsia="zh-CN"/>
        </w:rPr>
        <w:drawing>
          <wp:inline distT="0" distB="0" distL="114300" distR="114300">
            <wp:extent cx="5105400" cy="2971800"/>
            <wp:effectExtent l="0" t="0" r="17" b="46"/>
            <wp:docPr id="8" name="图片 11" descr="IMG_260"/>
            <wp:cNvGraphicFramePr>
              <a:graphicFrameLocks noChangeAspect="1"/>
            </wp:cNvGraphicFramePr>
            <a:graphic>
              <a:graphicData uri="http://schemas.openxmlformats.org/drawingml/2006/picture">
                <pic:pic>
                  <pic:nvPicPr>
                    <pic:cNvPr id="10" name="图片 11 10"/>
                    <pic:cNvPicPr/>
                  </pic:nvPicPr>
                  <pic:blipFill>
                    <a:blip r:embed="rId7"/>
                    <a:stretch>
                      <a:fillRect/>
                    </a:stretch>
                  </pic:blipFill>
                  <pic:spPr>
                    <a:xfrm rot="0">
                      <a:off x="0" y="0"/>
                      <a:ext cx="5105400" cy="2971800"/>
                    </a:xfrm>
                    <a:prstGeom prst="rect"/>
                    <a:noFill/>
                    <a:ln w="9525" cmpd="sng" cap="flat">
                      <a:noFill/>
                      <a:prstDash val="solid"/>
                      <a:round/>
                    </a:ln>
                  </pic:spPr>
                </pic:pic>
              </a:graphicData>
            </a:graphic>
          </wp:inline>
        </w:drawing>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五、</w:t>
      </w:r>
      <w:r>
        <w:rPr>
          <w:rStyle w:val="24"/>
          <w:rFonts w:ascii="仿宋" w:eastAsia="仿宋" w:cs="仿宋" w:hint="eastAsia"/>
          <w:sz w:val="32"/>
          <w:szCs w:val="32"/>
          <w:shd w:val="clear" w:color="auto" w:fill="FFFFFF"/>
        </w:rPr>
        <w:t>一</w:t>
      </w:r>
      <w:r>
        <w:rPr>
          <w:rFonts w:ascii="仿宋" w:eastAsia="仿宋" w:cs="仿宋" w:hint="eastAsia"/>
          <w:sz w:val="32"/>
          <w:szCs w:val="32"/>
          <w:shd w:val="clear" w:color="auto" w:fill="FFFFFF"/>
        </w:rPr>
        <w:t>般公共预算财政拨款支出决算情况说明</w:t>
      </w:r>
    </w:p>
    <w:p>
      <w:pPr>
        <w:pStyle w:val="23"/>
        <w:keepNext w:val="0"/>
        <w:keepLines w:val="0"/>
        <w:widowControl/>
        <w:suppressLineNumbers w:val="0"/>
        <w:spacing w:before="0" w:beforeAutospacing="0"/>
        <w:ind w:left="0"/>
        <w:jc w:val="left"/>
        <w:rPr>
          <w:rFonts w:ascii="仿宋" w:eastAsia="仿宋" w:cs="仿宋" w:hint="eastAsia"/>
          <w:sz w:val="32"/>
          <w:szCs w:val="32"/>
        </w:rPr>
      </w:pPr>
      <w:r>
        <w:rPr>
          <w:rStyle w:val="24"/>
          <w:rFonts w:ascii="仿宋" w:eastAsia="仿宋" w:cs="仿宋" w:hint="eastAsia"/>
          <w:sz w:val="32"/>
          <w:szCs w:val="32"/>
          <w:shd w:val="clear" w:color="auto" w:fill="FFFFFF"/>
        </w:rPr>
        <w:t>（一）一般公共预算财政拨款支出决算总体情况</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val="en-US" w:eastAsia="zh-CN"/>
        </w:rPr>
      </w:pPr>
      <w:r>
        <w:rPr>
          <w:rFonts w:ascii="仿宋" w:eastAsia="仿宋" w:cs="仿宋" w:hint="eastAsia"/>
          <w:sz w:val="32"/>
          <w:szCs w:val="32"/>
          <w:shd w:val="clear" w:color="auto" w:fill="FFFFFF"/>
        </w:rPr>
        <w:t>2022年一般公共预算财政拨款支出255.97万元，占本年支出合计的100.00%。与2021年相比，一般公共预算财政拨款支出增加255.97万元，增长0.00%。主要变动原因</w:t>
      </w:r>
      <w:r>
        <w:rPr>
          <w:rFonts w:ascii="仿宋" w:eastAsia="仿宋" w:cs="仿宋" w:hint="eastAsia"/>
          <w:sz w:val="32"/>
          <w:szCs w:val="32"/>
          <w:shd w:val="clear" w:color="auto" w:fill="FFFFFF"/>
          <w:lang w:val="en-US" w:eastAsia="zh-CN"/>
        </w:rPr>
        <w:t>本年度人员经费增加。</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328295</wp:posOffset>
            </wp:positionH>
            <wp:positionV relativeFrom="paragraph">
              <wp:posOffset>215265</wp:posOffset>
            </wp:positionV>
            <wp:extent cx="4036695" cy="2310765"/>
            <wp:effectExtent l="0" t="0" r="0" b="0"/>
            <wp:wrapTopAndBottom/>
            <wp:docPr id="11" name="图表 7"/>
            <wp:cNvGraphicFramePr>
              <a:graphicFrameLocks noChangeAspect="0"/>
            </wp:cNvGraphicFramePr>
            <a:graphic>
              <a:graphicData uri="http://schemas.openxmlformats.org/drawingml/2006/chart">
                <c:chart xmlns:c="http://schemas.openxmlformats.org/drawingml/2006/chart" r:id="rId8"/>
              </a:graphicData>
            </a:graphic>
          </wp:anchor>
        </w:drawing>
      </w:r>
      <w:r>
        <w:rPr>
          <w:rStyle w:val="24"/>
          <w:rFonts w:ascii="仿宋" w:eastAsia="仿宋" w:cs="仿宋" w:hint="eastAsia"/>
          <w:sz w:val="32"/>
          <w:szCs w:val="32"/>
          <w:shd w:val="clear" w:color="auto" w:fill="FFFFFF"/>
        </w:rPr>
        <w:t>（二）一般公共预算财政拨款支出决算结构情况</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2022年一般公共预算财政拨款支出255.97万元，主要用于以下方面:</w:t>
      </w:r>
      <w:r>
        <w:rPr>
          <w:rStyle w:val="24"/>
          <w:rFonts w:ascii="仿宋" w:eastAsia="仿宋" w:cs="仿宋" w:hint="eastAsia"/>
          <w:sz w:val="32"/>
          <w:szCs w:val="32"/>
          <w:shd w:val="clear" w:color="auto" w:fill="FFFFFF"/>
        </w:rPr>
        <w:t>一般公共服务（类）</w:t>
      </w:r>
      <w:r>
        <w:rPr>
          <w:rFonts w:ascii="仿宋" w:eastAsia="仿宋" w:cs="仿宋" w:hint="eastAsia"/>
          <w:sz w:val="32"/>
          <w:szCs w:val="32"/>
          <w:shd w:val="clear" w:color="auto" w:fill="FFFFFF"/>
        </w:rPr>
        <w:t>支出0.00万元，占0.00%；</w:t>
      </w:r>
      <w:r>
        <w:rPr>
          <w:rStyle w:val="24"/>
          <w:rFonts w:ascii="仿宋" w:eastAsia="仿宋" w:cs="仿宋" w:hint="eastAsia"/>
          <w:sz w:val="32"/>
          <w:szCs w:val="32"/>
          <w:shd w:val="clear" w:color="auto" w:fill="FFFFFF"/>
        </w:rPr>
        <w:t>教育支出（类）</w:t>
      </w:r>
      <w:r>
        <w:rPr>
          <w:rFonts w:ascii="仿宋" w:eastAsia="仿宋" w:cs="仿宋" w:hint="eastAsia"/>
          <w:sz w:val="32"/>
          <w:szCs w:val="32"/>
          <w:shd w:val="clear" w:color="auto" w:fill="FFFFFF"/>
        </w:rPr>
        <w:t>199.30万元，占77.86%；</w:t>
      </w:r>
      <w:r>
        <w:rPr>
          <w:rStyle w:val="24"/>
          <w:rFonts w:ascii="仿宋" w:eastAsia="仿宋" w:cs="仿宋" w:hint="eastAsia"/>
          <w:sz w:val="32"/>
          <w:szCs w:val="32"/>
          <w:shd w:val="clear" w:color="auto" w:fill="FFFFFF"/>
        </w:rPr>
        <w:t>科学技术（类）</w:t>
      </w:r>
      <w:r>
        <w:rPr>
          <w:rFonts w:ascii="仿宋" w:eastAsia="仿宋" w:cs="仿宋" w:hint="eastAsia"/>
          <w:sz w:val="32"/>
          <w:szCs w:val="32"/>
          <w:shd w:val="clear" w:color="auto" w:fill="FFFFFF"/>
        </w:rPr>
        <w:t>支出0.00万元，占0.00%；</w:t>
      </w:r>
      <w:r>
        <w:rPr>
          <w:rStyle w:val="24"/>
          <w:rFonts w:ascii="仿宋" w:eastAsia="仿宋" w:cs="仿宋" w:hint="eastAsia"/>
          <w:sz w:val="32"/>
          <w:szCs w:val="32"/>
          <w:shd w:val="clear" w:color="auto" w:fill="FFFFFF"/>
        </w:rPr>
        <w:t>文化旅游体育与传媒（类）支出0.00万元，占0.00%；社会保障和就业（类）</w:t>
      </w:r>
      <w:r>
        <w:rPr>
          <w:rFonts w:ascii="仿宋" w:eastAsia="仿宋" w:cs="仿宋" w:hint="eastAsia"/>
          <w:sz w:val="32"/>
          <w:szCs w:val="32"/>
          <w:shd w:val="clear" w:color="auto" w:fill="FFFFFF"/>
        </w:rPr>
        <w:t>支出28.84万元，占11.27%；</w:t>
      </w:r>
      <w:r>
        <w:rPr>
          <w:rStyle w:val="24"/>
          <w:rFonts w:ascii="仿宋" w:eastAsia="仿宋" w:cs="仿宋" w:hint="eastAsia"/>
          <w:sz w:val="32"/>
          <w:szCs w:val="32"/>
          <w:shd w:val="clear" w:color="auto" w:fill="FFFFFF"/>
        </w:rPr>
        <w:t>卫生健康支出</w:t>
      </w:r>
      <w:r>
        <w:rPr>
          <w:rFonts w:ascii="仿宋" w:eastAsia="仿宋" w:cs="仿宋" w:hint="eastAsia"/>
          <w:sz w:val="32"/>
          <w:szCs w:val="32"/>
          <w:shd w:val="clear" w:color="auto" w:fill="FFFFFF"/>
        </w:rPr>
        <w:t>11.74万元，占4.59%；住房保障支出16.10万元，占6.29%。</w:t>
      </w:r>
      <w:r>
        <w:rPr>
          <w:rFonts w:ascii="仿宋" w:eastAsia="仿宋" w:cs="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118745</wp:posOffset>
            </wp:positionH>
            <wp:positionV relativeFrom="paragraph">
              <wp:posOffset>56514</wp:posOffset>
            </wp:positionV>
            <wp:extent cx="4199890" cy="2132330"/>
            <wp:effectExtent l="0" t="0" r="0" b="0"/>
            <wp:wrapTopAndBottom/>
            <wp:docPr id="12" name="图表 1"/>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（三）一般公共预算财政拨款支出决算具体情况</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2022年一般公共预算支出决算数为255.97，完成预算100.00%。其中：</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lang w:eastAsia="zh-CN"/>
        </w:rPr>
      </w:pPr>
      <w:r>
        <w:rPr>
          <w:rFonts w:ascii="仿宋" w:eastAsia="仿宋" w:cs="仿宋" w:hint="eastAsia"/>
          <w:sz w:val="32"/>
          <w:szCs w:val="32"/>
          <w:shd w:val="clear" w:color="auto" w:fill="FFFFFF"/>
        </w:rPr>
        <w:t>1.一般公共服务（类（款（项）: 支出决算为</w:t>
      </w:r>
      <w:r>
        <w:rPr>
          <w:rFonts w:ascii="仿宋" w:eastAsia="仿宋" w:cs="仿宋" w:hint="eastAsia"/>
          <w:sz w:val="32"/>
          <w:szCs w:val="32"/>
          <w:shd w:val="clear" w:color="auto" w:fill="FFFFFF"/>
          <w:lang w:val="en-US" w:eastAsia="zh-CN"/>
        </w:rPr>
        <w:t>255.97</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100</w:t>
      </w:r>
      <w:r>
        <w:rPr>
          <w:rFonts w:ascii="仿宋" w:eastAsia="仿宋" w:cs="仿宋" w:hint="eastAsia"/>
          <w:sz w:val="32"/>
          <w:szCs w:val="32"/>
          <w:shd w:val="clear" w:color="auto" w:fill="FFFFFF"/>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2.教育（类）款）（项）: 支出决算为</w:t>
      </w:r>
      <w:r>
        <w:rPr>
          <w:rFonts w:ascii="仿宋" w:eastAsia="仿宋" w:cs="仿宋" w:hint="eastAsia"/>
          <w:sz w:val="32"/>
          <w:szCs w:val="32"/>
          <w:shd w:val="clear" w:color="auto" w:fill="FFFFFF"/>
          <w:lang w:val="en-US" w:eastAsia="zh-CN"/>
        </w:rPr>
        <w:t>199.30</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100</w:t>
      </w:r>
      <w:r>
        <w:rPr>
          <w:rFonts w:ascii="仿宋" w:eastAsia="仿宋" w:cs="仿宋" w:hint="eastAsia"/>
          <w:sz w:val="32"/>
          <w:szCs w:val="32"/>
          <w:shd w:val="clear" w:color="auto" w:fill="FFFFFF"/>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3.科学技术（类）（款）（项）: 支出决算为</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%，决算数小。</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lang w:eastAsia="zh-CN"/>
        </w:rPr>
      </w:pPr>
      <w:r>
        <w:rPr>
          <w:rFonts w:ascii="仿宋" w:eastAsia="仿宋" w:cs="仿宋" w:hint="eastAsia"/>
          <w:sz w:val="32"/>
          <w:szCs w:val="32"/>
          <w:shd w:val="clear" w:color="auto" w:fill="FFFFFF"/>
        </w:rPr>
        <w:t>4.文化旅游体育与传媒（类）（款）（项）: 支出决算为</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w:t>
      </w:r>
      <w:r>
        <w:rPr>
          <w:rFonts w:ascii="仿宋" w:eastAsia="仿宋" w:cs="仿宋" w:hint="eastAsia"/>
          <w:sz w:val="32"/>
          <w:szCs w:val="32"/>
          <w:shd w:val="clear" w:color="auto" w:fill="FFFFFF"/>
          <w:lang w:eastAsia="zh-CN"/>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5.社会保障和就业（类（款）（项）: 支出决算为</w:t>
      </w:r>
      <w:r>
        <w:rPr>
          <w:rFonts w:ascii="仿宋" w:eastAsia="仿宋" w:cs="仿宋" w:hint="eastAsia"/>
          <w:sz w:val="32"/>
          <w:szCs w:val="32"/>
          <w:shd w:val="clear" w:color="auto" w:fill="FFFFFF"/>
          <w:lang w:val="en-US" w:eastAsia="zh-CN"/>
        </w:rPr>
        <w:t>28.84</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100</w:t>
      </w:r>
      <w:r>
        <w:rPr>
          <w:rFonts w:ascii="仿宋" w:eastAsia="仿宋" w:cs="仿宋" w:hint="eastAsia"/>
          <w:sz w:val="32"/>
          <w:szCs w:val="32"/>
          <w:shd w:val="clear" w:color="auto" w:fill="FFFFFF"/>
        </w:rPr>
        <w:t>%，6.卫生健康（类）（款）（项）:支出决算为</w:t>
      </w:r>
      <w:r>
        <w:rPr>
          <w:rFonts w:ascii="仿宋" w:eastAsia="仿宋" w:cs="仿宋" w:hint="eastAsia"/>
          <w:sz w:val="32"/>
          <w:szCs w:val="32"/>
          <w:shd w:val="clear" w:color="auto" w:fill="FFFFFF"/>
          <w:lang w:val="en-US" w:eastAsia="zh-CN"/>
        </w:rPr>
        <w:t>11.74</w:t>
      </w:r>
      <w:r>
        <w:rPr>
          <w:rFonts w:ascii="仿宋" w:eastAsia="仿宋" w:cs="仿宋" w:hint="eastAsia"/>
          <w:sz w:val="32"/>
          <w:szCs w:val="32"/>
          <w:shd w:val="clear" w:color="auto" w:fill="FFFFFF"/>
        </w:rPr>
        <w:t>万元，完成预算</w:t>
      </w:r>
      <w:r>
        <w:rPr>
          <w:rFonts w:ascii="仿宋" w:eastAsia="仿宋" w:cs="仿宋" w:hint="eastAsia"/>
          <w:sz w:val="32"/>
          <w:szCs w:val="32"/>
          <w:shd w:val="clear" w:color="auto" w:fill="FFFFFF"/>
          <w:lang w:val="en-US" w:eastAsia="zh-CN"/>
        </w:rPr>
        <w:t>100</w:t>
      </w:r>
      <w:r>
        <w:rPr>
          <w:rFonts w:ascii="仿宋" w:eastAsia="仿宋" w:cs="仿宋" w:hint="eastAsia"/>
          <w:sz w:val="32"/>
          <w:szCs w:val="32"/>
          <w:shd w:val="clear" w:color="auto" w:fill="FFFFFF"/>
        </w:rPr>
        <w:t>%，</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（注：数据来源于财决01-1表和财决08表，仅罗列本部门涉及的全部功能分类科目，至项级。上述“预算”口径为全年预算数。增减变动原因为决算数和全年预算数比较，与预算数持平可以不写原因。） </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六</w:t>
      </w:r>
      <w:r>
        <w:rPr>
          <w:rStyle w:val="24"/>
          <w:rFonts w:ascii="仿宋" w:eastAsia="仿宋" w:cs="仿宋" w:hint="eastAsia"/>
          <w:sz w:val="32"/>
          <w:szCs w:val="32"/>
          <w:shd w:val="clear" w:color="auto" w:fill="FFFFFF"/>
        </w:rPr>
        <w:t>、一</w:t>
      </w:r>
      <w:r>
        <w:rPr>
          <w:rFonts w:ascii="仿宋" w:eastAsia="仿宋" w:cs="仿宋" w:hint="eastAsia"/>
          <w:sz w:val="32"/>
          <w:szCs w:val="32"/>
          <w:shd w:val="clear" w:color="auto" w:fill="FFFFFF"/>
        </w:rPr>
        <w:t>般公共预算财政拨款基本支出决算情况说明   </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rPr>
      </w:pPr>
      <w:r>
        <w:rPr>
          <w:rFonts w:ascii="仿宋" w:eastAsia="仿宋" w:cs="仿宋" w:hint="eastAsia"/>
          <w:sz w:val="32"/>
          <w:szCs w:val="32"/>
          <w:shd w:val="clear" w:color="auto" w:fill="FFFFFF"/>
        </w:rPr>
        <w:t>2022年一般公共预算财政拨款基本支出254.37万元，其中：人员经费241.40万元，主要包括：基本工资</w:t>
      </w:r>
      <w:r>
        <w:rPr>
          <w:rFonts w:ascii="仿宋" w:eastAsia="仿宋" w:cs="仿宋" w:hint="eastAsia"/>
          <w:sz w:val="32"/>
          <w:szCs w:val="32"/>
          <w:shd w:val="clear" w:color="auto" w:fill="FFFFFF"/>
          <w:lang w:val="en-US" w:eastAsia="zh-CN"/>
        </w:rPr>
        <w:t>50.57</w:t>
      </w:r>
      <w:r>
        <w:rPr>
          <w:rFonts w:ascii="仿宋" w:eastAsia="仿宋" w:cs="仿宋" w:hint="eastAsia"/>
          <w:sz w:val="32"/>
          <w:szCs w:val="32"/>
          <w:shd w:val="clear" w:color="auto" w:fill="FFFFFF"/>
        </w:rPr>
        <w:t>、津贴补贴</w:t>
      </w:r>
      <w:r>
        <w:rPr>
          <w:rFonts w:ascii="仿宋" w:eastAsia="仿宋" w:cs="仿宋" w:hint="eastAsia"/>
          <w:sz w:val="32"/>
          <w:szCs w:val="32"/>
          <w:shd w:val="clear" w:color="auto" w:fill="FFFFFF"/>
          <w:lang w:val="en-US" w:eastAsia="zh-CN"/>
        </w:rPr>
        <w:t>30.7</w:t>
      </w:r>
      <w:r>
        <w:rPr>
          <w:rFonts w:ascii="仿宋" w:eastAsia="仿宋" w:cs="仿宋" w:hint="eastAsia"/>
          <w:sz w:val="32"/>
          <w:szCs w:val="32"/>
          <w:shd w:val="clear" w:color="auto" w:fill="FFFFFF"/>
        </w:rPr>
        <w:t>、奖金、伙食补助费、绩效工资</w:t>
      </w:r>
      <w:r>
        <w:rPr>
          <w:rFonts w:ascii="仿宋" w:eastAsia="仿宋" w:cs="仿宋" w:hint="eastAsia"/>
          <w:sz w:val="32"/>
          <w:szCs w:val="32"/>
          <w:shd w:val="clear" w:color="auto" w:fill="FFFFFF"/>
          <w:lang w:val="en-US" w:eastAsia="zh-CN"/>
        </w:rPr>
        <w:t>18.6</w:t>
      </w:r>
      <w:r>
        <w:rPr>
          <w:rFonts w:ascii="仿宋" w:eastAsia="仿宋" w:cs="仿宋" w:hint="eastAsia"/>
          <w:sz w:val="32"/>
          <w:szCs w:val="32"/>
          <w:shd w:val="clear" w:color="auto" w:fill="FFFFFF"/>
        </w:rPr>
        <w:t>、机关事业单位基本养老保险缴费</w:t>
      </w:r>
      <w:r>
        <w:rPr>
          <w:rFonts w:ascii="仿宋" w:eastAsia="仿宋" w:cs="仿宋" w:hint="eastAsia"/>
          <w:sz w:val="32"/>
          <w:szCs w:val="32"/>
          <w:shd w:val="clear" w:color="auto" w:fill="FFFFFF"/>
          <w:lang w:val="en-US" w:eastAsia="zh-CN"/>
        </w:rPr>
        <w:t>19.22</w:t>
      </w:r>
      <w:r>
        <w:rPr>
          <w:rFonts w:ascii="仿宋" w:eastAsia="仿宋" w:cs="仿宋" w:hint="eastAsia"/>
          <w:sz w:val="32"/>
          <w:szCs w:val="32"/>
          <w:shd w:val="clear" w:color="auto" w:fill="FFFFFF"/>
        </w:rPr>
        <w:t>、职业年金缴</w:t>
      </w:r>
      <w:r>
        <w:rPr>
          <w:rFonts w:ascii="仿宋" w:eastAsia="仿宋" w:cs="仿宋" w:hint="eastAsia"/>
          <w:sz w:val="32"/>
          <w:szCs w:val="32"/>
          <w:shd w:val="clear" w:color="auto" w:fill="FFFFFF"/>
          <w:lang w:val="en-US" w:eastAsia="zh-CN"/>
        </w:rPr>
        <w:t>9.6.3</w:t>
      </w:r>
      <w:r>
        <w:rPr>
          <w:rFonts w:ascii="仿宋" w:eastAsia="仿宋" w:cs="仿宋" w:hint="eastAsia"/>
          <w:sz w:val="32"/>
          <w:szCs w:val="32"/>
          <w:shd w:val="clear" w:color="auto" w:fill="FFFFFF"/>
        </w:rPr>
        <w:t>、其他社会保障缴费</w:t>
      </w:r>
      <w:r>
        <w:rPr>
          <w:rFonts w:ascii="仿宋" w:eastAsia="仿宋" w:cs="仿宋" w:hint="eastAsia"/>
          <w:sz w:val="32"/>
          <w:szCs w:val="32"/>
          <w:shd w:val="clear" w:color="auto" w:fill="FFFFFF"/>
          <w:lang w:val="en-US" w:eastAsia="zh-CN"/>
        </w:rPr>
        <w:t>1.7</w:t>
      </w:r>
      <w:r>
        <w:rPr>
          <w:rFonts w:ascii="仿宋" w:eastAsia="仿宋" w:cs="仿宋" w:hint="eastAsia"/>
          <w:sz w:val="32"/>
          <w:szCs w:val="32"/>
          <w:shd w:val="clear" w:color="auto" w:fill="FFFFFF"/>
        </w:rPr>
        <w:t>、其他工资福利支出、离休费、退休费、抚恤金、生活补助</w:t>
      </w:r>
      <w:r>
        <w:rPr>
          <w:rFonts w:ascii="仿宋" w:eastAsia="仿宋" w:cs="仿宋" w:hint="eastAsia"/>
          <w:sz w:val="32"/>
          <w:szCs w:val="32"/>
          <w:shd w:val="clear" w:color="auto" w:fill="FFFFFF"/>
          <w:lang w:val="en-US" w:eastAsia="zh-CN"/>
        </w:rPr>
        <w:t>8.2</w:t>
      </w:r>
      <w:r>
        <w:rPr>
          <w:rFonts w:ascii="仿宋" w:eastAsia="仿宋" w:cs="仿宋" w:hint="eastAsia"/>
          <w:sz w:val="32"/>
          <w:szCs w:val="32"/>
          <w:shd w:val="clear" w:color="auto" w:fill="FFFFFF"/>
        </w:rPr>
        <w:t>、医疗费补助</w:t>
      </w:r>
      <w:r>
        <w:rPr>
          <w:rFonts w:ascii="仿宋" w:eastAsia="仿宋" w:cs="仿宋" w:hint="eastAsia"/>
          <w:sz w:val="32"/>
          <w:szCs w:val="32"/>
          <w:shd w:val="clear" w:color="auto" w:fill="FFFFFF"/>
          <w:lang w:val="en-US" w:eastAsia="zh-CN"/>
        </w:rPr>
        <w:t>1.6</w:t>
      </w:r>
      <w:r>
        <w:rPr>
          <w:rFonts w:ascii="仿宋" w:eastAsia="仿宋" w:cs="仿宋" w:hint="eastAsia"/>
          <w:sz w:val="32"/>
          <w:szCs w:val="32"/>
          <w:shd w:val="clear" w:color="auto" w:fill="FFFFFF"/>
        </w:rPr>
        <w:t>、奖励金</w:t>
      </w:r>
      <w:r>
        <w:rPr>
          <w:rFonts w:ascii="仿宋" w:eastAsia="仿宋" w:cs="仿宋" w:hint="eastAsia"/>
          <w:sz w:val="32"/>
          <w:szCs w:val="32"/>
          <w:shd w:val="clear" w:color="auto" w:fill="FFFFFF"/>
          <w:lang w:val="en-US" w:eastAsia="zh-CN"/>
        </w:rPr>
        <w:t>24.3</w:t>
      </w:r>
      <w:r>
        <w:rPr>
          <w:rFonts w:ascii="仿宋" w:eastAsia="仿宋" w:cs="仿宋" w:hint="eastAsia"/>
          <w:sz w:val="32"/>
          <w:szCs w:val="32"/>
          <w:shd w:val="clear" w:color="auto" w:fill="FFFFFF"/>
        </w:rPr>
        <w:t>、住房公积金</w:t>
      </w:r>
      <w:r>
        <w:rPr>
          <w:rFonts w:ascii="仿宋" w:eastAsia="仿宋" w:cs="仿宋" w:hint="eastAsia"/>
          <w:sz w:val="32"/>
          <w:szCs w:val="32"/>
          <w:shd w:val="clear" w:color="auto" w:fill="FFFFFF"/>
          <w:lang w:val="en-US" w:eastAsia="zh-CN"/>
        </w:rPr>
        <w:t>16.1</w:t>
      </w:r>
      <w:r>
        <w:rPr>
          <w:rFonts w:ascii="仿宋" w:eastAsia="仿宋" w:cs="仿宋" w:hint="eastAsia"/>
          <w:sz w:val="32"/>
          <w:szCs w:val="32"/>
          <w:shd w:val="clear" w:color="auto" w:fill="FFFFFF"/>
        </w:rPr>
        <w:t>、其他对个人和家庭的补助支出等。</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公用经费12.97万元，主要包括：办公费</w:t>
      </w:r>
      <w:r>
        <w:rPr>
          <w:rFonts w:ascii="仿宋" w:eastAsia="仿宋" w:cs="仿宋" w:hint="eastAsia"/>
          <w:sz w:val="32"/>
          <w:szCs w:val="32"/>
          <w:shd w:val="clear" w:color="auto" w:fill="FFFFFF"/>
          <w:lang w:val="en-US" w:eastAsia="zh-CN"/>
        </w:rPr>
        <w:t>5.3</w:t>
      </w:r>
      <w:r>
        <w:rPr>
          <w:rFonts w:ascii="仿宋" w:eastAsia="仿宋" w:cs="仿宋" w:hint="eastAsia"/>
          <w:sz w:val="32"/>
          <w:szCs w:val="32"/>
          <w:shd w:val="clear" w:color="auto" w:fill="FFFFFF"/>
        </w:rPr>
        <w:t>、印刷费</w:t>
      </w:r>
      <w:r>
        <w:rPr>
          <w:rFonts w:ascii="仿宋" w:eastAsia="仿宋" w:cs="仿宋" w:hint="eastAsia"/>
          <w:sz w:val="32"/>
          <w:szCs w:val="32"/>
          <w:shd w:val="clear" w:color="auto" w:fill="FFFFFF"/>
          <w:lang w:val="en-US" w:eastAsia="zh-CN"/>
        </w:rPr>
        <w:t>0.28</w:t>
      </w:r>
      <w:r>
        <w:rPr>
          <w:rFonts w:ascii="仿宋" w:eastAsia="仿宋" w:cs="仿宋" w:hint="eastAsia"/>
          <w:sz w:val="32"/>
          <w:szCs w:val="32"/>
          <w:shd w:val="clear" w:color="auto" w:fill="FFFFFF"/>
        </w:rPr>
        <w:t>、咨询费、手续费、水费、电费、邮电费、取暖费、物业管理费、差旅费</w:t>
      </w:r>
      <w:r>
        <w:rPr>
          <w:rFonts w:ascii="仿宋" w:eastAsia="仿宋" w:cs="仿宋" w:hint="eastAsia"/>
          <w:sz w:val="32"/>
          <w:szCs w:val="32"/>
          <w:shd w:val="clear" w:color="auto" w:fill="FFFFFF"/>
          <w:lang w:val="en-US" w:eastAsia="zh-CN"/>
        </w:rPr>
        <w:t>4.3</w:t>
      </w:r>
      <w:r>
        <w:rPr>
          <w:rFonts w:ascii="仿宋" w:eastAsia="仿宋" w:cs="仿宋" w:hint="eastAsia"/>
          <w:sz w:val="32"/>
          <w:szCs w:val="32"/>
          <w:shd w:val="clear" w:color="auto" w:fill="FFFFFF"/>
        </w:rPr>
        <w:t>、因公出国（境）费用、维修（护）费</w:t>
      </w:r>
      <w:r>
        <w:rPr>
          <w:rFonts w:ascii="仿宋" w:eastAsia="仿宋" w:cs="仿宋" w:hint="eastAsia"/>
          <w:sz w:val="32"/>
          <w:szCs w:val="32"/>
          <w:shd w:val="clear" w:color="auto" w:fill="FFFFFF"/>
          <w:lang w:val="en-US" w:eastAsia="zh-CN"/>
        </w:rPr>
        <w:t>2.6</w:t>
      </w:r>
      <w:r>
        <w:rPr>
          <w:rFonts w:ascii="仿宋" w:eastAsia="仿宋" w:cs="仿宋" w:hint="eastAsia"/>
          <w:sz w:val="32"/>
          <w:szCs w:val="32"/>
          <w:shd w:val="clear" w:color="auto" w:fill="FFFFFF"/>
        </w:rPr>
        <w:t>、租赁费、会议费、培训费、公务接待费、劳务费</w:t>
      </w:r>
      <w:r>
        <w:rPr>
          <w:rFonts w:ascii="仿宋" w:eastAsia="仿宋" w:cs="仿宋" w:hint="eastAsia"/>
          <w:sz w:val="32"/>
          <w:szCs w:val="32"/>
          <w:shd w:val="clear" w:color="auto" w:fill="FFFFFF"/>
          <w:lang w:val="en-US" w:eastAsia="zh-CN"/>
        </w:rPr>
        <w:t>0.1</w:t>
      </w:r>
      <w:r>
        <w:rPr>
          <w:rFonts w:ascii="仿宋" w:eastAsia="仿宋" w:cs="仿宋" w:hint="eastAsia"/>
          <w:sz w:val="32"/>
          <w:szCs w:val="32"/>
          <w:shd w:val="clear" w:color="auto" w:fill="FFFFFF"/>
        </w:rPr>
        <w:t>、委托业务费、工会经费、福利费、公务用车运行维护费</w:t>
      </w:r>
      <w:r>
        <w:rPr>
          <w:rFonts w:ascii="仿宋" w:eastAsia="仿宋" w:cs="仿宋" w:hint="eastAsia"/>
          <w:sz w:val="32"/>
          <w:szCs w:val="32"/>
          <w:shd w:val="clear" w:color="auto" w:fill="FFFFFF"/>
          <w:lang w:val="en-US" w:eastAsia="zh-CN"/>
        </w:rPr>
        <w:t>0.49</w:t>
      </w:r>
      <w:r>
        <w:rPr>
          <w:rFonts w:ascii="仿宋" w:eastAsia="仿宋" w:cs="仿宋" w:hint="eastAsia"/>
          <w:sz w:val="32"/>
          <w:szCs w:val="32"/>
          <w:shd w:val="clear" w:color="auto" w:fill="FFFFFF"/>
        </w:rPr>
        <w:t>、其他交通费</w:t>
      </w:r>
      <w:r>
        <w:rPr>
          <w:rFonts w:ascii="仿宋" w:eastAsia="仿宋" w:cs="仿宋" w:hint="eastAsia"/>
          <w:sz w:val="32"/>
          <w:szCs w:val="32"/>
          <w:shd w:val="clear" w:color="auto" w:fill="FFFFFF"/>
          <w:lang w:val="en-US" w:eastAsia="zh-CN"/>
        </w:rPr>
        <w:t>0.5</w:t>
      </w:r>
      <w:r>
        <w:rPr>
          <w:rFonts w:ascii="仿宋" w:eastAsia="仿宋" w:cs="仿宋" w:hint="eastAsia"/>
          <w:sz w:val="32"/>
          <w:szCs w:val="32"/>
          <w:shd w:val="clear" w:color="auto" w:fill="FFFFFF"/>
        </w:rPr>
        <w:t>、税金及附加费用、其他商品和服务支出、办公设备购置、专用设备购置、信息网络及软件购置更新、其他资本性支出等。 </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七、“三公”经费财政拨款支出决算情况说明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Style w:val="24"/>
          <w:rFonts w:ascii="仿宋" w:eastAsia="仿宋" w:cs="仿宋" w:hint="eastAsia"/>
          <w:sz w:val="32"/>
          <w:szCs w:val="32"/>
          <w:shd w:val="clear" w:color="auto" w:fill="FFFFFF"/>
        </w:rPr>
        <w:t>（一）“</w:t>
      </w:r>
      <w:r>
        <w:rPr>
          <w:rFonts w:ascii="仿宋" w:eastAsia="仿宋" w:cs="仿宋" w:hint="eastAsia"/>
          <w:sz w:val="32"/>
          <w:szCs w:val="32"/>
          <w:shd w:val="clear" w:color="auto" w:fill="FFFFFF"/>
        </w:rPr>
        <w:t>三公”经费财政拨款支出决算总体情况说明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2022年“三公”经费财政拨款支出决算为0.49万元，完成预算100.00%</w:t>
      </w:r>
      <w:r>
        <w:rPr>
          <w:rFonts w:ascii="仿宋" w:eastAsia="仿宋" w:cs="仿宋" w:hint="eastAsia"/>
          <w:sz w:val="32"/>
          <w:szCs w:val="32"/>
          <w:shd w:val="clear" w:color="auto" w:fill="FFFFFF"/>
          <w:lang w:eastAsia="zh-CN"/>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（二）“三公”经费财政拨款支出决算具体情况说明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71120</wp:posOffset>
            </wp:positionH>
            <wp:positionV relativeFrom="paragraph">
              <wp:posOffset>2917190</wp:posOffset>
            </wp:positionV>
            <wp:extent cx="4309109" cy="2223135"/>
            <wp:effectExtent l="0" t="0" r="0" b="0"/>
            <wp:wrapTopAndBottom/>
            <wp:docPr id="13" name="图表 2"/>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 w:eastAsia="仿宋" w:cs="仿宋" w:hint="eastAsia"/>
          <w:sz w:val="32"/>
          <w:szCs w:val="32"/>
          <w:shd w:val="clear" w:color="auto" w:fill="FFFFFF"/>
        </w:rPr>
        <w:t>2022年“三公”经费财政拨款支出决算中，因公出国（境）费支出决算0.00万元，占0.00%；公务用车购置及运行维护费支出决算0.49万元，占100.00%；公务接待费支出决算0.00万元，占0.00%。具体情况如下：</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（图7：“三公”经费财政拨款支出结构）（饼状图）</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1.因公出国（境）经费支出0.00万元，完成预算0.00%。全年安排因公出国（境）团组0次，出国（境）0人。。</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2.公务用车购置及运行维护费支出0.49万元,完成预算100.00%。公务用车购置及运行维护费支出决算比2021年增加0.49万元，增长0.00%。主要原因</w:t>
      </w:r>
      <w:r>
        <w:rPr>
          <w:rFonts w:ascii="仿宋" w:eastAsia="仿宋" w:cs="仿宋" w:hint="eastAsia"/>
          <w:sz w:val="32"/>
          <w:szCs w:val="32"/>
          <w:shd w:val="clear" w:color="auto" w:fill="FFFFFF"/>
          <w:lang w:val="en-US" w:eastAsia="zh-CN"/>
        </w:rPr>
        <w:t>是下乡次数增加</w:t>
      </w:r>
      <w:r>
        <w:rPr>
          <w:rFonts w:ascii="仿宋" w:eastAsia="仿宋" w:cs="仿宋" w:hint="eastAsia"/>
          <w:sz w:val="32"/>
          <w:szCs w:val="32"/>
          <w:shd w:val="clear" w:color="auto" w:fill="FFFFFF"/>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其中：公务用车购置支出0.00万元。全年按规定更新购置公务用车0辆，其中：轿车</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辆、金额</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万元，越野车</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辆、金额</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万元，载客汽车</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辆、金额</w:t>
      </w:r>
      <w:r>
        <w:rPr>
          <w:rFonts w:ascii="仿宋" w:eastAsia="仿宋" w:cs="仿宋" w:hint="eastAsia"/>
          <w:sz w:val="32"/>
          <w:szCs w:val="32"/>
          <w:shd w:val="clear" w:color="auto" w:fill="FFFFFF"/>
          <w:lang w:val="en-US" w:eastAsia="zh-CN"/>
        </w:rPr>
        <w:t>0</w:t>
      </w:r>
      <w:r>
        <w:rPr>
          <w:rFonts w:ascii="仿宋" w:eastAsia="仿宋" w:cs="仿宋" w:hint="eastAsia"/>
          <w:sz w:val="32"/>
          <w:szCs w:val="32"/>
          <w:shd w:val="clear" w:color="auto" w:fill="FFFFFF"/>
        </w:rPr>
        <w:t>万元。截至2021年12月底，单位共有公务用车1辆，</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公务用车运行维护费支出0.49万元。主要用于具体</w:t>
      </w:r>
      <w:r>
        <w:rPr>
          <w:rFonts w:ascii="仿宋" w:eastAsia="仿宋" w:cs="仿宋" w:hint="eastAsia"/>
          <w:sz w:val="32"/>
          <w:szCs w:val="32"/>
          <w:shd w:val="clear" w:color="auto" w:fill="FFFFFF"/>
          <w:lang w:val="en-US" w:eastAsia="zh-CN"/>
        </w:rPr>
        <w:t>下乡开会调研</w:t>
      </w:r>
      <w:r>
        <w:rPr>
          <w:rFonts w:ascii="仿宋" w:eastAsia="仿宋" w:cs="仿宋" w:hint="eastAsia"/>
          <w:sz w:val="32"/>
          <w:szCs w:val="32"/>
          <w:shd w:val="clear" w:color="auto" w:fill="FFFFFF"/>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3.公务接待费支出0.00万元，完成预算100%。</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lang w:eastAsia="zh-CN"/>
        </w:rPr>
      </w:pPr>
      <w:r>
        <w:rPr>
          <w:rFonts w:ascii="仿宋" w:eastAsia="仿宋" w:cs="仿宋" w:hint="eastAsia"/>
          <w:sz w:val="32"/>
          <w:szCs w:val="32"/>
          <w:shd w:val="clear" w:color="auto" w:fill="FFFFFF"/>
        </w:rPr>
        <w:t>外事接待支出0.</w:t>
      </w:r>
      <w:r>
        <w:rPr>
          <w:rFonts w:ascii="仿宋" w:eastAsia="仿宋" w:cs="仿宋" w:hint="eastAsia"/>
          <w:sz w:val="32"/>
          <w:szCs w:val="32"/>
          <w:shd w:val="clear" w:color="auto" w:fill="FFFFFF"/>
          <w:lang w:val="en-US" w:eastAsia="zh-CN"/>
        </w:rPr>
        <w:t>00</w:t>
      </w:r>
      <w:r>
        <w:rPr>
          <w:rFonts w:ascii="仿宋" w:eastAsia="仿宋" w:cs="仿宋" w:hint="eastAsia"/>
          <w:sz w:val="32"/>
          <w:szCs w:val="32"/>
          <w:shd w:val="clear" w:color="auto" w:fill="FFFFFF"/>
        </w:rPr>
        <w:t>万元，外事接待0批次，0人，共计支出0.00万元 </w:t>
      </w:r>
      <w:r>
        <w:rPr>
          <w:rFonts w:ascii="仿宋" w:eastAsia="仿宋" w:cs="仿宋" w:hint="eastAsia"/>
          <w:sz w:val="32"/>
          <w:szCs w:val="32"/>
          <w:shd w:val="clear" w:color="auto" w:fill="FFFFFF"/>
          <w:lang w:eastAsia="zh-CN"/>
        </w:rPr>
        <w:t>。</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八、政府性基金预算支出决算情况说明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2022年政府性基金预算财政拨款支出0.00万元。</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九、国有资本经营预算支出决算情况说明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2022年国有资本经营预算财政拨款支出0.00万元。 </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十、其他重要事项的情况说明</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（一）机关运行经费支出情况</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2022年，中共阿坝州金川县委党校机关运行经费支出5.16万元，比2021年增加5.16万元，增长0.00%（或与2021年决算数持平）。</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（二）政府采购支出情况</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2022年，中共阿坝州金川县委党校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 （三）国有资产占有使用情况</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截至2022年12月31日，中共阿坝州金川县委党校共有车辆1辆，其中：主要领导干部用车0辆、机要通信用车0辆、应急保障用车0辆、其他用车1辆其他用车主要是用单价100万元（含）以上设备（不含车辆）0台（套）。</w:t>
      </w:r>
    </w:p>
    <w:p>
      <w:pPr>
        <w:pStyle w:val="23"/>
        <w:keepNext w:val="0"/>
        <w:keepLines w:val="0"/>
        <w:widowControl/>
        <w:suppressLineNumbers w:val="0"/>
        <w:spacing w:before="0" w:beforeAutospacing="0"/>
        <w:ind w:left="0"/>
        <w:jc w:val="left"/>
        <w:rPr>
          <w:rFonts w:ascii="仿宋" w:eastAsia="仿宋" w:cs="仿宋" w:hint="eastAsia"/>
          <w:sz w:val="32"/>
          <w:szCs w:val="32"/>
          <w:shd w:val="clear" w:color="auto" w:fill="FFFFFF"/>
        </w:rPr>
      </w:pPr>
      <w:r>
        <w:rPr>
          <w:rFonts w:ascii="仿宋" w:eastAsia="仿宋" w:cs="仿宋" w:hint="eastAsia"/>
          <w:sz w:val="32"/>
          <w:szCs w:val="32"/>
          <w:shd w:val="clear" w:color="auto" w:fill="FFFFFF"/>
        </w:rPr>
        <w:t>（四）预算绩效管理情况</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根据预算绩效管理要求，本部门在2022年度预算编制阶段，组织对项目（项目名称）等个项目开展了预算事前绩效评估，对个项目编制了绩效目标，预算执行过程中，选取个项目开展绩效监控。</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rPr>
      </w:pPr>
      <w:r>
        <w:rPr>
          <w:rFonts w:ascii="仿宋" w:eastAsia="仿宋" w:cs="仿宋" w:hint="eastAsia"/>
          <w:sz w:val="32"/>
          <w:szCs w:val="32"/>
          <w:shd w:val="clear" w:color="auto" w:fill="FFFFFF"/>
        </w:rPr>
        <w:t>组织对2022年度一般公共预算、政府性基金预算、国有资本经营预算、社会保险基金预算以及资本资产、债券资金等全面开展绩效自评，形成</w:t>
      </w:r>
      <w:r>
        <w:rPr>
          <w:rFonts w:ascii="仿宋" w:eastAsia="仿宋" w:cs="仿宋" w:hint="eastAsia"/>
          <w:sz w:val="32"/>
          <w:szCs w:val="32"/>
          <w:shd w:val="clear" w:color="auto" w:fill="FFFFFF"/>
          <w:lang w:val="en-US" w:eastAsia="zh-CN"/>
        </w:rPr>
        <w:t>2022</w:t>
      </w:r>
      <w:r>
        <w:rPr>
          <w:rFonts w:ascii="仿宋" w:eastAsia="仿宋" w:cs="仿宋" w:hint="eastAsia"/>
          <w:sz w:val="32"/>
          <w:szCs w:val="32"/>
          <w:shd w:val="clear" w:color="auto" w:fill="FFFFFF"/>
        </w:rPr>
        <w:t>部门整体（含部门预算项目）绩效自评报告、</w:t>
      </w:r>
      <w:r>
        <w:rPr>
          <w:rFonts w:ascii="仿宋" w:eastAsia="仿宋" w:cs="仿宋" w:hint="eastAsia"/>
          <w:sz w:val="32"/>
          <w:szCs w:val="32"/>
          <w:shd w:val="clear" w:color="auto" w:fill="FFFFFF"/>
          <w:lang w:val="en-US" w:eastAsia="zh-CN"/>
        </w:rPr>
        <w:t>2022</w:t>
      </w:r>
      <w:r>
        <w:rPr>
          <w:rFonts w:ascii="仿宋" w:eastAsia="仿宋" w:cs="仿宋" w:hint="eastAsia"/>
          <w:sz w:val="32"/>
          <w:szCs w:val="32"/>
          <w:shd w:val="clear" w:color="auto" w:fill="FFFFFF"/>
        </w:rPr>
        <w:t>等专项预算项目绩效自评报告，其中，</w:t>
      </w:r>
      <w:r>
        <w:rPr>
          <w:rFonts w:ascii="仿宋" w:eastAsia="仿宋" w:cs="仿宋" w:hint="eastAsia"/>
          <w:sz w:val="32"/>
          <w:szCs w:val="32"/>
          <w:shd w:val="clear" w:color="auto" w:fill="FFFFFF"/>
          <w:lang w:val="en-US" w:eastAsia="zh-CN"/>
        </w:rPr>
        <w:t>2022</w:t>
      </w:r>
      <w:r>
        <w:rPr>
          <w:rFonts w:ascii="仿宋" w:eastAsia="仿宋" w:cs="仿宋" w:hint="eastAsia"/>
          <w:sz w:val="32"/>
          <w:szCs w:val="32"/>
          <w:shd w:val="clear" w:color="auto" w:fill="FFFFFF"/>
        </w:rPr>
        <w:t>部门整体（含部门预算项目）绩效自评得分为分，绩效自评综述专项预算项目绩效自评得分为分，绩效自评综述绩效自评报告详见附件。（如不涉及，可根据实际修改表述。）</w:t>
      </w:r>
    </w:p>
    <w:p>
      <w:pPr>
        <w:pStyle w:val="23"/>
        <w:keepNext w:val="0"/>
        <w:keepLines w:val="0"/>
        <w:widowControl/>
        <w:suppressLineNumbers w:val="0"/>
        <w:spacing w:before="0" w:beforeAutospacing="0"/>
        <w:ind w:left="0"/>
        <w:jc w:val="center"/>
        <w:rPr>
          <w:rFonts w:ascii="仿宋" w:eastAsia="仿宋" w:cs="仿宋" w:hint="eastAsia"/>
          <w:sz w:val="32"/>
          <w:szCs w:val="32"/>
        </w:rPr>
      </w:pPr>
      <w:r>
        <w:rPr>
          <w:rStyle w:val="24"/>
          <w:rFonts w:ascii="仿宋" w:eastAsia="仿宋" w:cs="仿宋" w:hint="eastAsia"/>
          <w:sz w:val="32"/>
          <w:szCs w:val="32"/>
          <w:shd w:val="clear" w:color="auto" w:fill="FFFFFF"/>
        </w:rPr>
        <w:t>第三部分 名词解释</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sz w:val="32"/>
          <w:szCs w:val="32"/>
          <w:shd w:val="clear" w:color="auto" w:fill="FFFFFF"/>
        </w:rPr>
        <w:t> </w:t>
      </w:r>
      <w:r>
        <w:rPr>
          <w:rFonts w:ascii="仿宋" w:eastAsia="仿宋" w:cs="仿宋" w:hint="eastAsia"/>
          <w:color w:val="auto"/>
          <w:sz w:val="32"/>
          <w:szCs w:val="32"/>
        </w:rPr>
        <w:t>1.财政拨款收入：指单位从同级财政部门取得的财政预算资金。</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2.事业收入：指事业单位开展专业业务活动及辅助活动取得的收入。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3.经营收入：指事业单位在专业业务活动及其辅助活动之外开展非独立核算经营活动取得的收入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 xml:space="preserve">4.其他收入：指单位取得的除上述收入以外的各项收入。主要是利息收入等。 </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 xml:space="preserve">5.使用非财政拨款结余：指事业单位使用以前年度积累的非财政拨款结余弥补当年收支差额的金额。 </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 xml:space="preserve">6.年初结转和结余：指以前年度尚未完成、结转到本年按有关规定继续使用的资金。 </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7.结余分配：指事业单位按照会计制度规定缴纳的所得税、提取的专用结余以及转入非财政拨款结余的金额等。</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9.</w:t>
      </w:r>
      <w:r>
        <w:rPr>
          <w:rFonts w:ascii="仿宋" w:eastAsia="仿宋" w:cs="仿宋" w:hint="eastAsia"/>
          <w:bCs/>
          <w:kern w:val="0"/>
          <w:sz w:val="32"/>
          <w:szCs w:val="32"/>
        </w:rPr>
        <w:t>一般公共服务：行政运行</w:t>
      </w:r>
      <w:r>
        <w:rPr>
          <w:rFonts w:ascii="仿宋" w:eastAsia="仿宋" w:cs="仿宋" w:hint="eastAsia"/>
          <w:bCs/>
          <w:kern w:val="0"/>
          <w:sz w:val="32"/>
          <w:szCs w:val="32"/>
          <w:lang w:eastAsia="zh-CN"/>
        </w:rPr>
        <w:t>，</w:t>
      </w:r>
      <w:r>
        <w:rPr>
          <w:rFonts w:ascii="仿宋" w:eastAsia="仿宋" w:cs="仿宋" w:hint="eastAsia"/>
          <w:bCs/>
          <w:kern w:val="0"/>
          <w:sz w:val="32"/>
          <w:szCs w:val="32"/>
        </w:rPr>
        <w:t>反映党委办公厅（室）及相关机构的支出；一般行政管理事务</w:t>
      </w:r>
      <w:r>
        <w:rPr>
          <w:rFonts w:ascii="仿宋" w:eastAsia="仿宋" w:cs="仿宋" w:hint="eastAsia"/>
          <w:bCs/>
          <w:kern w:val="0"/>
          <w:sz w:val="32"/>
          <w:szCs w:val="32"/>
          <w:lang w:eastAsia="zh-CN"/>
        </w:rPr>
        <w:t>，</w:t>
      </w:r>
      <w:r>
        <w:rPr>
          <w:rFonts w:ascii="仿宋" w:eastAsia="仿宋" w:cs="仿宋" w:hint="eastAsia"/>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10.</w:t>
      </w:r>
      <w:r>
        <w:rPr>
          <w:rFonts w:ascii="仿宋" w:eastAsia="仿宋" w:cs="仿宋" w:hint="eastAsia"/>
          <w:bCs/>
          <w:kern w:val="0"/>
          <w:sz w:val="32"/>
          <w:szCs w:val="32"/>
        </w:rPr>
        <w:t>社会保障和就业：反映政府在社会保障与就业方面的支出</w:t>
      </w:r>
      <w:r>
        <w:rPr>
          <w:rFonts w:ascii="仿宋" w:eastAsia="仿宋" w:cs="仿宋" w:hint="eastAsia"/>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11.</w:t>
      </w:r>
      <w:r>
        <w:rPr>
          <w:rFonts w:ascii="仿宋" w:eastAsia="仿宋" w:cs="仿宋" w:hint="eastAsia"/>
          <w:bCs/>
          <w:sz w:val="32"/>
          <w:szCs w:val="32"/>
        </w:rPr>
        <w:t>医疗卫生与计划生育：反映政府医疗卫生计划生育管理方面的支出</w:t>
      </w:r>
      <w:r>
        <w:rPr>
          <w:rFonts w:ascii="仿宋" w:eastAsia="仿宋" w:cs="仿宋" w:hint="eastAsia"/>
          <w:bCs/>
          <w:sz w:val="32"/>
          <w:szCs w:val="32"/>
          <w:lang w:eastAsia="zh-CN"/>
        </w:rPr>
        <w:t>。</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15.经营支出：指事业单位在专业业务活动及其辅助活动之外开展非独立核算经营活动发生的支出。</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pageBreakBefore w:val="0"/>
        <w:widowControl w:val="0"/>
        <w:kinsoku/>
        <w:wordWrap/>
        <w:overflowPunct/>
        <w:topLinePunct w:val="0"/>
        <w:autoSpaceDE w:val="0"/>
        <w:autoSpaceDN w:val="0"/>
        <w:bidi w:val="0"/>
        <w:spacing w:line="576"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lang w:val="en-US" w:eastAsia="zh-CN"/>
        </w:rPr>
        <w:t>18</w:t>
      </w:r>
      <w:r>
        <w:rPr>
          <w:rFonts w:ascii="仿宋" w:eastAsia="仿宋" w:cs="仿宋" w:hint="eastAsia"/>
          <w:sz w:val="32"/>
          <w:szCs w:val="32"/>
          <w:shd w:val="clear" w:color="auto" w:fill="FFFFFF"/>
        </w:rPr>
        <w:t>.基本支出：指为保障机构正常运转、完成日常工作任务而发生的人员支出和公用支出。</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lang w:val="en-US" w:eastAsia="zh-CN"/>
        </w:rPr>
        <w:t>19</w:t>
      </w:r>
      <w:r>
        <w:rPr>
          <w:rFonts w:ascii="仿宋" w:eastAsia="仿宋" w:cs="仿宋" w:hint="eastAsia"/>
          <w:sz w:val="32"/>
          <w:szCs w:val="32"/>
          <w:shd w:val="clear" w:color="auto" w:fill="FFFFFF"/>
        </w:rPr>
        <w:t>项目支出：指在基本支出之外为完成特定行政任务和事业发展目标所发生的支出。</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lang w:val="en-US" w:eastAsia="zh-CN"/>
        </w:rPr>
        <w:t>20</w:t>
      </w:r>
      <w:r>
        <w:rPr>
          <w:rFonts w:ascii="仿宋" w:eastAsia="仿宋" w:cs="仿宋" w:hint="eastAsia"/>
          <w:sz w:val="32"/>
          <w:szCs w:val="32"/>
          <w:shd w:val="clear" w:color="auto" w:fill="FFFFFF"/>
        </w:rPr>
        <w:t>.经营支出：指事业单位在专业业务活动及其辅助活动之外开展非独立核算经营活动发生的支出。</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lang w:val="en-US" w:eastAsia="zh-CN"/>
        </w:rPr>
        <w:t>21</w:t>
      </w:r>
      <w:r>
        <w:rPr>
          <w:rFonts w:ascii="仿宋" w:eastAsia="仿宋" w:cs="仿宋" w:hint="eastAsia"/>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lang w:val="en-US" w:eastAsia="zh-CN"/>
        </w:rPr>
        <w:t>22</w:t>
      </w:r>
      <w:r>
        <w:rPr>
          <w:rFonts w:ascii="仿宋" w:eastAsia="仿宋" w:cs="仿宋" w:hint="eastAsia"/>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center"/>
        <w:rPr>
          <w:rFonts w:ascii="仿宋" w:eastAsia="仿宋" w:cs="仿宋" w:hint="eastAsia"/>
          <w:sz w:val="32"/>
          <w:szCs w:val="32"/>
        </w:rPr>
      </w:pPr>
      <w:r>
        <w:rPr>
          <w:rStyle w:val="24"/>
          <w:rFonts w:ascii="仿宋" w:eastAsia="仿宋" w:cs="仿宋" w:hint="eastAsia"/>
          <w:sz w:val="32"/>
          <w:szCs w:val="32"/>
          <w:shd w:val="clear" w:color="auto" w:fill="FFFFFF"/>
        </w:rPr>
        <w:t>第四部分 附件</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附件</w:t>
      </w:r>
    </w:p>
    <w:p>
      <w:pPr>
        <w:pStyle w:val="23"/>
        <w:keepNext w:val="0"/>
        <w:keepLines w:val="0"/>
        <w:widowControl/>
        <w:suppressLineNumbers w:val="0"/>
        <w:spacing w:before="0" w:beforeAutospacing="0"/>
        <w:ind w:left="0"/>
        <w:jc w:val="center"/>
        <w:rPr>
          <w:rFonts w:ascii="仿宋" w:eastAsia="仿宋" w:cs="仿宋" w:hint="eastAsia"/>
          <w:sz w:val="32"/>
          <w:szCs w:val="32"/>
        </w:rPr>
      </w:pPr>
      <w:r>
        <w:rPr>
          <w:rFonts w:ascii="仿宋" w:eastAsia="仿宋" w:cs="仿宋" w:hint="eastAsia"/>
          <w:sz w:val="32"/>
          <w:szCs w:val="32"/>
          <w:shd w:val="clear" w:color="auto" w:fill="FFFFFF"/>
        </w:rPr>
        <w:t>2022年</w:t>
      </w:r>
      <w:r>
        <w:rPr>
          <w:rFonts w:ascii="仿宋" w:eastAsia="仿宋" w:cs="仿宋" w:hint="eastAsia"/>
          <w:sz w:val="32"/>
          <w:szCs w:val="32"/>
          <w:shd w:val="clear" w:color="auto" w:fill="FFFFFF"/>
          <w:lang w:val="en-US" w:eastAsia="zh-CN"/>
        </w:rPr>
        <w:t>党校</w:t>
      </w:r>
      <w:r>
        <w:rPr>
          <w:rFonts w:ascii="仿宋" w:eastAsia="仿宋" w:cs="仿宋" w:hint="eastAsia"/>
          <w:sz w:val="32"/>
          <w:szCs w:val="32"/>
          <w:shd w:val="clear" w:color="auto" w:fill="FFFFFF"/>
        </w:rPr>
        <w:t>部门整体绩效评价报告</w:t>
      </w:r>
    </w:p>
    <w:p>
      <w:pPr>
        <w:pStyle w:val="23"/>
        <w:keepNext w:val="0"/>
        <w:keepLines w:val="0"/>
        <w:widowControl/>
        <w:suppressLineNumbers w:val="0"/>
        <w:spacing w:before="0" w:beforeAutospacing="0"/>
        <w:ind w:left="0"/>
        <w:jc w:val="center"/>
        <w:rPr>
          <w:rFonts w:ascii="仿宋" w:eastAsia="仿宋" w:cs="仿宋" w:hint="eastAsia"/>
          <w:sz w:val="32"/>
          <w:szCs w:val="32"/>
        </w:rPr>
      </w:pPr>
      <w:r>
        <w:rPr>
          <w:rFonts w:ascii="仿宋" w:eastAsia="仿宋" w:cs="仿宋" w:hint="eastAsia"/>
          <w:sz w:val="32"/>
          <w:szCs w:val="32"/>
          <w:shd w:val="clear" w:color="auto" w:fill="FFFFFF"/>
        </w:rPr>
        <w:t>（报告范围包括机关和下属单位）</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一、部门（单位）基本情况</w:t>
      </w:r>
    </w:p>
    <w:p>
      <w:pPr>
        <w:keepNext w:val="0"/>
        <w:keepLines w:val="0"/>
        <w:widowControl/>
        <w:suppressLineNumbers w:val="0"/>
        <w:snapToGrid w:val="0"/>
        <w:spacing w:before="0" w:beforeAutospacing="0" w:after="0" w:afterAutospacing="0" w:line="360" w:lineRule="auto"/>
        <w:ind w:left="0" w:right="0" w:firstLineChars="200" w:firstLine="640"/>
        <w:jc w:val="left"/>
        <w:outlineLvl w:val="1"/>
        <w:rPr>
          <w:rFonts w:ascii="仿宋_GB2312" w:eastAsia="仿宋_GB2312" w:cs="仿宋_GB2312"/>
          <w:kern w:val="0"/>
          <w:sz w:val="32"/>
          <w:szCs w:val="32"/>
        </w:rPr>
      </w:pPr>
      <w:r>
        <w:rPr>
          <w:rFonts w:ascii="仿宋" w:eastAsia="仿宋" w:cs="仿宋" w:hint="eastAsia"/>
          <w:sz w:val="32"/>
          <w:szCs w:val="32"/>
          <w:shd w:val="clear" w:color="auto" w:fill="FFFFFF"/>
        </w:rPr>
        <w:t>（一）机构组成。</w:t>
      </w:r>
      <w:r>
        <w:rPr>
          <w:rFonts w:ascii="仿宋_GB2312" w:eastAsia="仿宋_GB2312" w:cs="仿宋_GB2312"/>
          <w:kern w:val="0"/>
          <w:sz w:val="32"/>
          <w:szCs w:val="32"/>
          <w:lang w:val="en-US" w:eastAsia="zh-CN"/>
        </w:rPr>
        <w:t>贯彻执行党和国家关于预算、税收、行政事业单位国有资产、财务、会计等法律、法规、规章和方针、政策。根据我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集沐发展的新局面。</w:t>
      </w:r>
    </w:p>
    <w:p>
      <w:pPr>
        <w:keepNext w:val="0"/>
        <w:keepLines w:val="0"/>
        <w:widowControl/>
        <w:suppressLineNumbers w:val="0"/>
        <w:snapToGrid w:val="0"/>
        <w:spacing w:before="0" w:beforeAutospacing="0" w:after="0" w:afterAutospacing="0"/>
        <w:ind w:left="0" w:right="0" w:firstLineChars="150" w:firstLine="480"/>
        <w:jc w:val="left"/>
        <w:rPr>
          <w:rFonts w:ascii="仿宋_GB2312" w:eastAsia="仿宋_GB2312" w:cs="仿宋_GB2312"/>
          <w:b w:val="0"/>
          <w:bCs w:val="0"/>
          <w:color w:val="000000"/>
          <w:spacing w:val="-14"/>
          <w:kern w:val="0"/>
          <w:sz w:val="32"/>
          <w:szCs w:val="32"/>
        </w:rPr>
      </w:pPr>
      <w:r>
        <w:rPr>
          <w:rFonts w:ascii="仿宋" w:eastAsia="仿宋" w:cs="仿宋" w:hint="eastAsia"/>
          <w:color w:val="000000"/>
          <w:kern w:val="0"/>
          <w:sz w:val="32"/>
          <w:szCs w:val="32"/>
          <w:lang w:val="en-US" w:eastAsia="zh-CN"/>
        </w:rPr>
        <w:t>2.机构情况</w:t>
      </w:r>
      <w:r>
        <w:rPr>
          <w:rFonts w:ascii="仿宋_GB2312" w:eastAsia="仿宋_GB2312" w:cs="仿宋_GB2312"/>
          <w:b w:val="0"/>
          <w:bCs w:val="0"/>
          <w:color w:val="000000"/>
          <w:spacing w:val="-14"/>
          <w:kern w:val="0"/>
          <w:sz w:val="32"/>
          <w:szCs w:val="32"/>
          <w:lang w:val="en-US" w:eastAsia="zh-CN"/>
        </w:rPr>
        <w:t xml:space="preserve">本单位本年度纳入本套决算编制范围的独立编制机构数共1个，比上年增加0个，无变动；独立核算机构数共1个，比上年增加0个，无变动情况。  </w:t>
      </w:r>
    </w:p>
    <w:p>
      <w:pPr>
        <w:keepNext w:val="0"/>
        <w:keepLines w:val="0"/>
        <w:widowControl/>
        <w:suppressLineNumbers w:val="0"/>
        <w:snapToGrid w:val="0"/>
        <w:spacing w:before="0" w:beforeAutospacing="0" w:after="0" w:afterAutospacing="0"/>
        <w:ind w:left="0" w:right="0" w:firstLineChars="200" w:firstLine="584"/>
        <w:jc w:val="left"/>
        <w:rPr>
          <w:rFonts w:ascii="仿宋" w:eastAsia="仿宋" w:cs="宋体" w:hint="eastAsia"/>
          <w:color w:val="000000"/>
          <w:kern w:val="0"/>
          <w:sz w:val="32"/>
          <w:szCs w:val="32"/>
        </w:rPr>
      </w:pPr>
      <w:r>
        <w:rPr>
          <w:rFonts w:ascii="仿宋_GB2312" w:eastAsia="仿宋_GB2312" w:cs="仿宋_GB2312"/>
          <w:b w:val="0"/>
          <w:bCs w:val="0"/>
          <w:color w:val="000000"/>
          <w:spacing w:val="-14"/>
          <w:kern w:val="0"/>
          <w:sz w:val="32"/>
          <w:szCs w:val="32"/>
          <w:lang w:val="en-US" w:eastAsia="zh-CN"/>
        </w:rPr>
        <w:t>3、本单位本年度年末实有人数为4人，无变动情况。</w:t>
      </w:r>
    </w:p>
    <w:p>
      <w:pPr>
        <w:keepNext w:val="0"/>
        <w:keepLines w:val="0"/>
        <w:widowControl/>
        <w:suppressLineNumbers w:val="0"/>
        <w:adjustRightInd w:val="0"/>
        <w:snapToGrid w:val="0"/>
        <w:spacing w:before="0" w:beforeAutospacing="0" w:after="0" w:afterAutospacing="0" w:line="540" w:lineRule="exact"/>
        <w:ind w:left="0" w:right="0" w:firstLineChars="150" w:firstLine="480"/>
        <w:jc w:val="left"/>
        <w:rPr>
          <w:rFonts w:ascii="黑体" w:eastAsia="黑体" w:cs="宋体" w:hint="eastAsia"/>
          <w:color w:val="000000"/>
          <w:kern w:val="0"/>
          <w:sz w:val="32"/>
          <w:szCs w:val="32"/>
        </w:rPr>
      </w:pPr>
      <w:r>
        <w:rPr>
          <w:rFonts w:ascii="黑体" w:eastAsia="黑体" w:cs="黑体" w:hint="eastAsia"/>
          <w:color w:val="000000"/>
          <w:kern w:val="0"/>
          <w:sz w:val="32"/>
          <w:szCs w:val="32"/>
          <w:lang w:val="en-US" w:eastAsia="zh-CN"/>
        </w:rPr>
        <w:t>二、部门财政资金收支情况</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_GB2312" w:eastAsia="仿宋_GB2312" w:cs="仿宋_GB2312"/>
          <w:b/>
          <w:bCs/>
          <w:kern w:val="0"/>
          <w:sz w:val="32"/>
          <w:szCs w:val="32"/>
        </w:rPr>
      </w:pPr>
      <w:r>
        <w:rPr>
          <w:rFonts w:ascii="仿宋_GB2312" w:eastAsia="仿宋_GB2312" w:cs="仿宋_GB2312"/>
          <w:b/>
          <w:bCs/>
          <w:kern w:val="0"/>
          <w:sz w:val="32"/>
          <w:szCs w:val="32"/>
          <w:lang w:val="en-US" w:eastAsia="zh-CN"/>
        </w:rPr>
        <w:t>（一）收入支出预算安排情况</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仿宋_GB2312"/>
          <w:kern w:val="2"/>
          <w:sz w:val="32"/>
          <w:szCs w:val="32"/>
          <w:shd w:val="clear" w:color="auto" w:fill="FFFFFF"/>
        </w:rPr>
      </w:pPr>
      <w:r>
        <w:rPr>
          <w:rFonts w:ascii="仿宋_GB2312" w:eastAsia="仿宋_GB2312" w:cs="仿宋_GB2312"/>
          <w:kern w:val="2"/>
          <w:sz w:val="32"/>
          <w:szCs w:val="32"/>
          <w:shd w:val="clear" w:color="auto" w:fill="FFFFFF"/>
          <w:lang w:val="en-US" w:eastAsia="zh-CN"/>
        </w:rPr>
        <w:t>本单位本年度总收入为255.97万元。其中：一般公共预算财政拨款收入为255.97万元，占比100.00%；本年度总支出为255.97万元。其中：教育支出为254.37万元，占比77.36%；社会保障和就业支出为13.49万元，占比10.66%；卫生健康支出为11.74万元，占比4.54%；住房保障支出为16.10万元，占比7.43%。</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宋体"/>
          <w:color w:val="000000"/>
          <w:kern w:val="0"/>
          <w:sz w:val="32"/>
          <w:szCs w:val="32"/>
        </w:rPr>
      </w:pPr>
      <w:r>
        <w:rPr>
          <w:rFonts w:ascii="仿宋" w:eastAsia="仿宋" w:cs="仿宋" w:hint="eastAsia"/>
          <w:color w:val="000000"/>
          <w:kern w:val="0"/>
          <w:sz w:val="32"/>
          <w:szCs w:val="32"/>
          <w:lang w:val="en-US" w:eastAsia="zh-CN"/>
        </w:rPr>
        <w:t>（二）</w:t>
      </w:r>
      <w:r>
        <w:rPr>
          <w:rFonts w:ascii="仿宋_GB2312" w:eastAsia="仿宋_GB2312" w:cs="仿宋_GB2312"/>
          <w:kern w:val="0"/>
          <w:sz w:val="32"/>
          <w:szCs w:val="32"/>
          <w:shd w:val="clear" w:color="auto" w:fill="FFFFFF"/>
          <w:lang w:val="en-US" w:eastAsia="zh-CN"/>
        </w:rPr>
        <w:t>本年度一般公共预算财政拨款支出255.97万元，教育支出199.30万元，社会保障和就业支出28.84万元，卫生健康支出11.74万元，住房保障支出16.10万元</w:t>
      </w:r>
    </w:p>
    <w:p>
      <w:pPr>
        <w:keepNext w:val="0"/>
        <w:keepLines w:val="0"/>
        <w:widowControl/>
        <w:suppressLineNumbers w:val="0"/>
        <w:adjustRightInd w:val="0"/>
        <w:snapToGrid w:val="0"/>
        <w:spacing w:before="0" w:beforeAutospacing="0" w:after="0" w:afterAutospacing="0" w:line="540" w:lineRule="exact"/>
        <w:ind w:left="0" w:right="0" w:firstLineChars="150" w:firstLine="480"/>
        <w:jc w:val="left"/>
        <w:rPr>
          <w:rFonts w:ascii="黑体" w:eastAsia="黑体" w:cs="宋体" w:hint="eastAsia"/>
          <w:color w:val="000000"/>
          <w:kern w:val="0"/>
          <w:sz w:val="32"/>
          <w:szCs w:val="32"/>
        </w:rPr>
      </w:pPr>
      <w:r>
        <w:rPr>
          <w:rFonts w:ascii="黑体" w:eastAsia="黑体" w:cs="黑体" w:hint="eastAsia"/>
          <w:color w:val="000000"/>
          <w:kern w:val="0"/>
          <w:sz w:val="32"/>
          <w:szCs w:val="32"/>
          <w:lang w:val="en-US" w:eastAsia="zh-CN"/>
        </w:rPr>
        <w:t>三、部门财政支出管理情况</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_GB2312" w:eastAsia="仿宋_GB2312" w:cs="仿宋_GB2312"/>
          <w:color w:val="000000"/>
          <w:kern w:val="0"/>
          <w:sz w:val="32"/>
          <w:szCs w:val="32"/>
        </w:rPr>
      </w:pPr>
      <w:r>
        <w:rPr>
          <w:rFonts w:ascii="仿宋_GB2312" w:eastAsia="仿宋_GB2312" w:cs="仿宋_GB2312"/>
          <w:color w:val="000000"/>
          <w:kern w:val="0"/>
          <w:sz w:val="32"/>
          <w:szCs w:val="32"/>
          <w:lang w:val="en-US" w:eastAsia="zh-CN"/>
        </w:rPr>
        <w:t>（一）预算编制情况。</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仿宋_GB2312"/>
          <w:kern w:val="2"/>
          <w:sz w:val="32"/>
          <w:szCs w:val="32"/>
          <w:shd w:val="clear" w:color="auto" w:fill="FFFFFF"/>
        </w:rPr>
      </w:pPr>
      <w:r>
        <w:rPr>
          <w:rFonts w:ascii="仿宋" w:eastAsia="仿宋" w:cs="仿宋" w:hint="eastAsia"/>
          <w:color w:val="000000"/>
          <w:kern w:val="0"/>
          <w:sz w:val="32"/>
          <w:szCs w:val="32"/>
          <w:lang w:val="en-US" w:eastAsia="zh-CN"/>
        </w:rPr>
        <w:t>(1)预算编制质量：</w:t>
      </w:r>
      <w:r>
        <w:rPr>
          <w:rFonts w:ascii="仿宋_GB2312" w:eastAsia="仿宋_GB2312" w:cs="仿宋_GB2312"/>
          <w:kern w:val="2"/>
          <w:sz w:val="32"/>
          <w:szCs w:val="32"/>
          <w:shd w:val="clear" w:color="auto" w:fill="FFFFFF"/>
          <w:lang w:val="en-US" w:eastAsia="zh-CN"/>
        </w:rPr>
        <w:t>本单位本年度收入调整预算数为255.97万元，收入决算数为255.97万元，预算完成度为100.00%，上年度收入调整预算数为255.97万元，收入决算数为255.97万元，预算完成度为100.00%，存在差异的主要原因为人员增加，增加了经费。本年度支出调整预算数为255.97万元，支出决算数为255.97万元，预算完成度为100.00%，上年度预算完成度为100.00%。</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 w:eastAsia="仿宋" w:cs="仿宋_GB2312" w:hint="eastAsia"/>
          <w:color w:val="000000"/>
          <w:kern w:val="0"/>
          <w:sz w:val="32"/>
          <w:szCs w:val="32"/>
        </w:rPr>
      </w:pPr>
      <w:r>
        <w:rPr>
          <w:rFonts w:ascii="仿宋" w:eastAsia="仿宋" w:cs="仿宋" w:hint="eastAsia"/>
          <w:color w:val="000000"/>
          <w:kern w:val="0"/>
          <w:sz w:val="32"/>
          <w:szCs w:val="32"/>
          <w:lang w:val="en-US" w:eastAsia="zh-CN"/>
        </w:rPr>
        <w:t>（2）绩效目标填报：项目申报严格按照上级要求，明确绩效目标，控制支行成本，提高项目发挥作用。并根据财政局统一要求编制了我校整体绩效目标报告及项目整体绩效目标表，并报县财政局。</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_GB2312" w:eastAsia="仿宋_GB2312" w:cs="仿宋_GB2312"/>
          <w:color w:val="000000"/>
          <w:kern w:val="0"/>
          <w:sz w:val="32"/>
          <w:szCs w:val="32"/>
        </w:rPr>
      </w:pPr>
      <w:r>
        <w:rPr>
          <w:rFonts w:ascii="仿宋_GB2312" w:eastAsia="仿宋_GB2312" w:cs="仿宋_GB2312"/>
          <w:color w:val="000000"/>
          <w:kern w:val="0"/>
          <w:sz w:val="32"/>
          <w:szCs w:val="32"/>
          <w:lang w:val="en-US" w:eastAsia="zh-CN"/>
        </w:rPr>
        <w:t xml:space="preserve">（二）执行管理情况。 </w:t>
      </w:r>
    </w:p>
    <w:p>
      <w:pPr>
        <w:keepNext w:val="0"/>
        <w:keepLines w:val="0"/>
        <w:widowControl/>
        <w:suppressLineNumbers w:val="0"/>
        <w:snapToGrid w:val="0"/>
        <w:spacing w:before="0" w:beforeAutospacing="0" w:after="0" w:afterAutospacing="0"/>
        <w:ind w:left="0" w:right="0" w:firstLine="709"/>
        <w:jc w:val="left"/>
        <w:rPr>
          <w:rFonts w:ascii="仿宋" w:eastAsia="仿宋" w:cs="宋体" w:hint="eastAsia"/>
          <w:bCs/>
          <w:kern w:val="0"/>
          <w:sz w:val="32"/>
          <w:szCs w:val="32"/>
        </w:rPr>
      </w:pPr>
      <w:r>
        <w:rPr>
          <w:rFonts w:ascii="仿宋" w:eastAsia="仿宋" w:cs="仿宋" w:hint="eastAsia"/>
          <w:color w:val="000000"/>
          <w:kern w:val="0"/>
          <w:sz w:val="32"/>
          <w:szCs w:val="32"/>
          <w:lang w:val="en-US" w:eastAsia="zh-CN"/>
        </w:rPr>
        <w:t>部门预算执行情况良好，但基本集中在下半年。支出情况中期评估不足，</w:t>
      </w:r>
      <w:r>
        <w:rPr>
          <w:rFonts w:ascii="仿宋" w:eastAsia="仿宋" w:cs="仿宋" w:hint="eastAsia"/>
          <w:bCs/>
          <w:kern w:val="0"/>
          <w:sz w:val="32"/>
          <w:szCs w:val="32"/>
          <w:lang w:val="en-US" w:eastAsia="zh-CN"/>
        </w:rPr>
        <w:t>2022年我单位“三公”经费支出总额为1万元。主要是公务用车运行维护费0.49万元。2022年我单位公务用车运行维护费年初预算数为0.49万元，决算数为1万元。</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_GB2312" w:eastAsia="仿宋_GB2312" w:cs="仿宋_GB2312"/>
          <w:kern w:val="0"/>
          <w:sz w:val="32"/>
          <w:szCs w:val="32"/>
        </w:rPr>
      </w:pPr>
      <w:r>
        <w:rPr>
          <w:rFonts w:ascii="仿宋_GB2312" w:eastAsia="仿宋_GB2312" w:cs="仿宋_GB2312"/>
          <w:kern w:val="0"/>
          <w:sz w:val="32"/>
          <w:szCs w:val="32"/>
          <w:lang w:val="en-US" w:eastAsia="zh-CN"/>
        </w:rPr>
        <w:t>（三）综合管理情况。</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 w:eastAsia="仿宋" w:cs="仿宋_GB2312" w:hint="eastAsia"/>
          <w:color w:val="000000"/>
          <w:kern w:val="0"/>
          <w:sz w:val="32"/>
          <w:szCs w:val="32"/>
        </w:rPr>
      </w:pPr>
      <w:r>
        <w:rPr>
          <w:rFonts w:ascii="仿宋" w:eastAsia="仿宋" w:cs="仿宋" w:hint="eastAsia"/>
          <w:color w:val="000000"/>
          <w:kern w:val="0"/>
          <w:sz w:val="32"/>
          <w:szCs w:val="32"/>
          <w:lang w:val="en-US" w:eastAsia="zh-CN"/>
        </w:rPr>
        <w:t>我校2022年无预算、支出政府采购。所有国有资产纳入资产管理系统，及时准确上报并做好资产的管理工作。根据相关要求，单位使用预算资金基本符合相关的预算财务管理制度。我校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_GB2312" w:eastAsia="仿宋_GB2312" w:cs="仿宋_GB2312"/>
          <w:color w:val="000000"/>
          <w:kern w:val="0"/>
          <w:sz w:val="32"/>
          <w:szCs w:val="32"/>
        </w:rPr>
      </w:pPr>
      <w:r>
        <w:rPr>
          <w:rFonts w:ascii="仿宋_GB2312" w:eastAsia="仿宋_GB2312" w:cs="仿宋_GB2312"/>
          <w:color w:val="000000"/>
          <w:kern w:val="0"/>
          <w:sz w:val="32"/>
          <w:szCs w:val="32"/>
          <w:lang w:val="en-US" w:eastAsia="zh-CN"/>
        </w:rPr>
        <w:t>（四）整体绩效。</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 w:eastAsia="仿宋" w:cs="仿宋_GB2312" w:hint="eastAsia"/>
          <w:color w:val="000000"/>
          <w:kern w:val="0"/>
          <w:sz w:val="32"/>
          <w:szCs w:val="32"/>
        </w:rPr>
      </w:pPr>
      <w:r>
        <w:rPr>
          <w:rFonts w:ascii="仿宋" w:eastAsia="仿宋" w:cs="仿宋" w:hint="eastAsia"/>
          <w:color w:val="000000"/>
          <w:kern w:val="0"/>
          <w:sz w:val="32"/>
          <w:szCs w:val="32"/>
          <w:lang w:val="en-US" w:eastAsia="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widowControl/>
        <w:suppressLineNumbers w:val="0"/>
        <w:adjustRightInd w:val="0"/>
        <w:snapToGrid w:val="0"/>
        <w:spacing w:before="0" w:beforeAutospacing="0" w:after="0" w:afterAutospacing="0" w:line="540" w:lineRule="exact"/>
        <w:ind w:left="0" w:right="0"/>
        <w:jc w:val="left"/>
        <w:rPr>
          <w:rFonts w:ascii="黑体" w:eastAsia="黑体" w:cs="宋体" w:hint="eastAsia"/>
          <w:color w:val="000000"/>
          <w:kern w:val="0"/>
          <w:sz w:val="32"/>
          <w:szCs w:val="32"/>
        </w:rPr>
      </w:pPr>
      <w:r>
        <w:rPr>
          <w:rFonts w:ascii="黑体" w:eastAsia="黑体" w:cs="黑体" w:hint="eastAsia"/>
          <w:color w:val="000000"/>
          <w:kern w:val="0"/>
          <w:sz w:val="32"/>
          <w:szCs w:val="32"/>
          <w:lang w:val="en-US" w:eastAsia="zh-CN"/>
        </w:rPr>
        <w:t>四、评价结论及建议</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仿宋_GB2312"/>
          <w:b/>
          <w:bCs/>
          <w:kern w:val="0"/>
          <w:sz w:val="32"/>
          <w:szCs w:val="32"/>
        </w:rPr>
      </w:pPr>
      <w:r>
        <w:rPr>
          <w:rFonts w:ascii="仿宋_GB2312" w:eastAsia="仿宋_GB2312" w:cs="仿宋_GB2312"/>
          <w:b/>
          <w:bCs/>
          <w:kern w:val="0"/>
          <w:sz w:val="32"/>
          <w:szCs w:val="32"/>
          <w:lang w:val="en-US" w:eastAsia="zh-CN"/>
        </w:rPr>
        <w:t>（一）评价结论</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 w:eastAsia="仿宋" w:cs="仿宋_GB2312" w:hint="eastAsia"/>
          <w:color w:val="000000"/>
          <w:kern w:val="0"/>
          <w:sz w:val="32"/>
          <w:szCs w:val="32"/>
        </w:rPr>
      </w:pPr>
      <w:r>
        <w:rPr>
          <w:rFonts w:ascii="仿宋" w:eastAsia="仿宋" w:cs="仿宋" w:hint="eastAsia"/>
          <w:color w:val="000000"/>
          <w:kern w:val="0"/>
          <w:sz w:val="32"/>
          <w:szCs w:val="32"/>
          <w:shd w:val="clear" w:color="auto" w:fill="FFFFFF"/>
          <w:lang w:val="en-US" w:eastAsia="zh-CN"/>
        </w:rPr>
        <w:t>在自评过程发现问题，查找原因，及时纠正偏差，为下一步工作夯实基础。</w:t>
      </w:r>
      <w:r>
        <w:rPr>
          <w:rFonts w:ascii="仿宋" w:eastAsia="仿宋" w:cs="仿宋" w:hint="eastAsia"/>
          <w:color w:val="000000"/>
          <w:kern w:val="0"/>
          <w:sz w:val="32"/>
          <w:szCs w:val="32"/>
          <w:lang w:val="en-US" w:eastAsia="zh-CN"/>
        </w:rPr>
        <w:t>整体评价良好，预算支出和决算支出情况相符。</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仿宋_GB2312"/>
          <w:b/>
          <w:bCs/>
          <w:kern w:val="0"/>
          <w:sz w:val="32"/>
          <w:szCs w:val="32"/>
        </w:rPr>
      </w:pPr>
      <w:r>
        <w:rPr>
          <w:rFonts w:ascii="仿宋_GB2312" w:eastAsia="仿宋_GB2312" w:cs="仿宋_GB2312"/>
          <w:b/>
          <w:bCs/>
          <w:kern w:val="0"/>
          <w:sz w:val="32"/>
          <w:szCs w:val="32"/>
          <w:lang w:val="en-US" w:eastAsia="zh-CN"/>
        </w:rPr>
        <w:t>（二）存在问题</w:t>
      </w:r>
    </w:p>
    <w:p>
      <w:pPr>
        <w:keepNext w:val="0"/>
        <w:keepLines w:val="0"/>
        <w:widowControl/>
        <w:suppressLineNumbers w:val="0"/>
        <w:snapToGrid w:val="0"/>
        <w:spacing w:before="0" w:beforeAutospacing="0" w:after="0" w:afterAutospacing="0" w:line="540" w:lineRule="exact"/>
        <w:ind w:left="0" w:right="0" w:firstLineChars="200" w:firstLine="640"/>
        <w:jc w:val="left"/>
        <w:rPr>
          <w:rFonts w:ascii="仿宋" w:eastAsia="仿宋" w:cs="仿宋_GB2312" w:hint="eastAsia"/>
          <w:color w:val="000000"/>
          <w:kern w:val="0"/>
          <w:sz w:val="32"/>
          <w:szCs w:val="32"/>
          <w:shd w:val="clear" w:color="auto" w:fill="FFFFFF"/>
        </w:rPr>
      </w:pPr>
      <w:r>
        <w:rPr>
          <w:rFonts w:ascii="仿宋" w:eastAsia="仿宋" w:cs="仿宋_GB2312" w:hint="eastAsia"/>
          <w:b/>
          <w:bCs/>
          <w:color w:val="000000"/>
          <w:kern w:val="0"/>
          <w:sz w:val="32"/>
          <w:szCs w:val="32"/>
          <w:lang w:val="en-US" w:eastAsia="zh-CN"/>
        </w:rPr>
        <w:t xml:space="preserve"> </w:t>
      </w:r>
      <w:r>
        <w:rPr>
          <w:rFonts w:ascii="仿宋" w:eastAsia="仿宋" w:cs="仿宋" w:hint="eastAsia"/>
          <w:color w:val="000000"/>
          <w:kern w:val="0"/>
          <w:sz w:val="32"/>
          <w:szCs w:val="32"/>
          <w:shd w:val="clear" w:color="auto" w:fill="FFFFFF"/>
          <w:lang w:val="en-US" w:eastAsia="zh-CN"/>
        </w:rPr>
        <w:t>一是资金使用效益有待进一步提高。二是绩效目标设立不够明确、细化和量化。虽然设立了项目资金绩效目标，但目标不够明确、细化和量化。</w:t>
      </w:r>
      <w:r>
        <w:rPr>
          <w:rFonts w:ascii="仿宋" w:eastAsia="仿宋" w:cs="仿宋_GB2312" w:hint="eastAsia"/>
          <w:color w:val="000000"/>
          <w:kern w:val="0"/>
          <w:sz w:val="32"/>
          <w:szCs w:val="32"/>
          <w:shd w:val="clear" w:color="auto" w:fill="FFFFFF"/>
          <w:lang w:val="en-US" w:eastAsia="zh-CN"/>
        </w:rPr>
        <w:t xml:space="preserve">        </w:t>
      </w:r>
    </w:p>
    <w:p>
      <w:pPr>
        <w:keepNext w:val="0"/>
        <w:keepLines w:val="0"/>
        <w:widowControl/>
        <w:suppressLineNumbers w:val="0"/>
        <w:snapToGrid w:val="0"/>
        <w:spacing w:before="0" w:beforeAutospacing="0" w:after="0" w:afterAutospacing="0" w:line="520" w:lineRule="exact"/>
        <w:ind w:left="0" w:right="0" w:firstLineChars="200" w:firstLine="640"/>
        <w:jc w:val="left"/>
        <w:rPr>
          <w:rFonts w:ascii="仿宋_GB2312" w:eastAsia="仿宋_GB2312" w:cs="仿宋_GB2312"/>
          <w:b/>
          <w:bCs/>
          <w:kern w:val="0"/>
          <w:sz w:val="32"/>
          <w:szCs w:val="32"/>
        </w:rPr>
      </w:pPr>
      <w:r>
        <w:rPr>
          <w:rFonts w:ascii="仿宋_GB2312" w:eastAsia="仿宋_GB2312" w:cs="仿宋_GB2312"/>
          <w:b/>
          <w:bCs/>
          <w:kern w:val="0"/>
          <w:sz w:val="32"/>
          <w:szCs w:val="32"/>
          <w:lang w:val="en-US" w:eastAsia="zh-CN"/>
        </w:rPr>
        <w:t>（三）改进建议</w:t>
      </w:r>
    </w:p>
    <w:p>
      <w:pPr>
        <w:pStyle w:val="23"/>
        <w:keepNext w:val="0"/>
        <w:keepLines w:val="0"/>
        <w:widowControl/>
        <w:suppressLineNumbers w:val="0"/>
        <w:shd w:val="clear" w:color="auto" w:fill="FFFFFF"/>
        <w:snapToGrid w:val="0"/>
        <w:spacing w:before="0" w:beforeAutospacing="1" w:after="0" w:afterAutospacing="1" w:line="576" w:lineRule="exact"/>
        <w:ind w:left="0" w:right="0" w:firstLineChars="200" w:firstLine="640"/>
        <w:jc w:val="left"/>
        <w:rPr>
          <w:rFonts w:ascii="仿宋" w:eastAsia="仿宋" w:cs="仿宋_GB2312" w:hint="eastAsia"/>
          <w:color w:val="000000"/>
          <w:kern w:val="0"/>
          <w:sz w:val="32"/>
          <w:szCs w:val="32"/>
          <w:shd w:val="clear" w:color="auto" w:fill="FFFFFF"/>
        </w:rPr>
      </w:pPr>
      <w:r>
        <w:rPr>
          <w:rFonts w:ascii="仿宋" w:eastAsia="仿宋" w:cs="仿宋" w:hint="eastAsia"/>
          <w:color w:val="000000"/>
          <w:kern w:val="0"/>
          <w:sz w:val="32"/>
          <w:szCs w:val="32"/>
          <w:shd w:val="clear" w:color="auto" w:fill="FFFFFF"/>
          <w:lang w:val="en-US" w:eastAsia="zh-CN"/>
        </w:rPr>
        <w:t>一是合理规范使用财政预算资金。二是进一步规范绩效目标编制。在编制项目资金绩效目标时要求指向明确、细化量化、合理可行、相应匹配。三是不断加强新《</w:t>
      </w:r>
      <w:r>
        <w:rPr>
          <w:rFonts w:ascii="仿宋" w:eastAsia="仿宋" w:cs="仿宋"/>
          <w:color w:val="000000"/>
          <w:kern w:val="0"/>
          <w:sz w:val="32"/>
          <w:szCs w:val="32"/>
          <w:shd w:val="clear" w:color="auto" w:fill="FFFFFF"/>
          <w:lang w:val="en-US" w:eastAsia="zh-CN"/>
        </w:rPr>
        <w:t>中华人民共和国</w:t>
      </w:r>
      <w:bookmarkStart w:id="17" w:name="_GoBack"/>
      <w:bookmarkEnd w:id="17"/>
      <w:r>
        <w:rPr>
          <w:rFonts w:ascii="仿宋" w:eastAsia="仿宋" w:cs="仿宋" w:hint="eastAsia"/>
          <w:color w:val="000000"/>
          <w:kern w:val="0"/>
          <w:sz w:val="32"/>
          <w:szCs w:val="32"/>
          <w:shd w:val="clear" w:color="auto" w:fill="FFFFFF"/>
          <w:lang w:val="en-US" w:eastAsia="zh-CN"/>
        </w:rPr>
        <w:t>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23"/>
        <w:keepNext w:val="0"/>
        <w:keepLines w:val="0"/>
        <w:widowControl/>
        <w:suppressLineNumbers w:val="0"/>
        <w:spacing w:before="0" w:beforeAutospacing="0"/>
        <w:ind w:left="0"/>
        <w:jc w:val="left"/>
        <w:rPr>
          <w:rFonts w:ascii="仿宋" w:eastAsia="仿宋" w:cs="仿宋" w:hint="eastAsia"/>
          <w:sz w:val="32"/>
          <w:szCs w:val="32"/>
        </w:rPr>
      </w:pP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sz w:val="32"/>
          <w:szCs w:val="32"/>
          <w:shd w:val="clear" w:color="auto" w:fill="FFFFFF"/>
        </w:rPr>
        <w:t> </w:t>
      </w:r>
    </w:p>
    <w:p>
      <w:pPr>
        <w:pStyle w:val="23"/>
        <w:keepNext w:val="0"/>
        <w:keepLines w:val="0"/>
        <w:widowControl/>
        <w:suppressLineNumbers w:val="0"/>
        <w:spacing w:before="0" w:beforeAutospacing="0"/>
        <w:ind w:left="0"/>
        <w:jc w:val="center"/>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第五部分 附表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一、收入支出决算总表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二、收入决算表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三、支出决算表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四、财政拨款收入支出决算总表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五、财政拨款支出决算明细表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六、一般公共预算财政拨款支出决算表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七、一般公共预算财政拨款支出决算明细表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八、一般公共预算财政拨款基本支出决算表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九、一般公共预算财政拨款项目支出决算表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十、政府性基金预算财政拨款收入支出决算表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十一、国有资本经营预算财政拨款收入支出决算表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十二、国有资本经营预算财政拨款支出决算表</w:t>
      </w:r>
    </w:p>
    <w:p>
      <w:pPr>
        <w:pStyle w:val="2"/>
        <w:keepNext w:val="0"/>
        <w:keepLines w:val="0"/>
        <w:widowControl/>
        <w:suppressLineNumbers w:val="0"/>
        <w:spacing w:before="0" w:beforeAutospacing="0"/>
        <w:ind w:left="0"/>
        <w:jc w:val="left"/>
        <w:rPr>
          <w:rFonts w:ascii="仿宋" w:eastAsia="仿宋" w:cs="仿宋" w:hint="eastAsia"/>
          <w:b w:val="0"/>
          <w:bCs/>
          <w:color w:val="000000"/>
          <w:kern w:val="0"/>
          <w:sz w:val="36"/>
          <w:szCs w:val="36"/>
          <w:lang w:val="en-US" w:eastAsia="zh-CN"/>
        </w:rPr>
      </w:pPr>
      <w:r>
        <w:rPr>
          <w:rFonts w:ascii="仿宋" w:eastAsia="仿宋" w:cs="仿宋" w:hint="eastAsia"/>
          <w:b w:val="0"/>
          <w:bCs/>
          <w:color w:val="000000"/>
          <w:kern w:val="0"/>
          <w:sz w:val="36"/>
          <w:szCs w:val="36"/>
          <w:lang w:val="en-US" w:eastAsia="zh-CN"/>
        </w:rPr>
        <w:t>十三、财政拨款“三公”经费支出决算表</w:t>
      </w:r>
    </w:p>
    <w:p>
      <w:pPr>
        <w:rPr>
          <w:rFonts w:ascii="仿宋" w:eastAsia="仿宋" w:cs="仿宋" w:hint="eastAsia"/>
          <w:b w:val="0"/>
          <w:bCs/>
          <w:color w:val="000000"/>
          <w:kern w:val="0"/>
          <w:sz w:val="36"/>
          <w:szCs w:val="36"/>
          <w:lang w:val="en-US" w:eastAsia="zh-CN"/>
        </w:rPr>
      </w:pPr>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altName w:val="黑体"/>
    <w:panose1 w:val="02010601030101010101"/>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50"/>
    <w:family w:val="auto"/>
    <w:pitch w:val="variable"/>
    <w:sig w:usb0="00000003" w:usb1="288F0000" w:usb2="0000000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31003733"/>
    </w:sdtPr>
    <w:sdtContent>
      <w:p>
        <w:pPr>
          <w:pStyle w:val="19"/>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683A3E"/>
    <w:multiLevelType w:val="singleLevel"/>
    <w:tmpl w:val="AA683A3E"/>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WM1NDc2MjRkZjQxMzJlZTE0M2RkMTEwMDk2ZjNiNG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spacing w:before="0" w:beforeAutospacing="1" w:after="0" w:afterAutospacing="1"/>
      <w:ind w:left="0" w:right="0"/>
      <w:jc w:val="left"/>
    </w:pPr>
    <w:rPr>
      <w:kern w:val="0"/>
      <w:sz w:val="24"/>
      <w:lang w:val="en-US" w:eastAsia="zh-CN"/>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chart" Target="charts/chart1.xml"/><Relationship Id="rId7" Type="http://schemas.openxmlformats.org/officeDocument/2006/relationships/image" Target="media/9.png"/><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chart" Target="charts/chart4.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2022年支出</a:t>
            </a:r>
          </a:p>
        </c:rich>
      </c:tx>
      <c:layout>
        <c:manualLayout>
          <c:xMode val="edge"/>
          <c:yMode val="edge"/>
          <c:x val="0.36677036"/>
          <c:y val="0.028838232"/>
        </c:manualLayout>
      </c:layout>
      <c:overlay val="0"/>
      <c:spPr>
        <a:noFill/>
        <a:ln>
          <a:noFill/>
        </a:ln>
      </c:spPr>
    </c:title>
    <c:autoTitleDeleted val="1"/>
    <c:plotArea>
      <c:layout>
        <c:manualLayout>
          <c:layoutTarget val="inner"/>
          <c:xMode val="edge"/>
          <c:yMode val="edge"/>
          <c:x val="0.30940038"/>
          <c:y val="0.20516342"/>
          <c:w val="0.38119924"/>
          <c:h val="0.6058775"/>
        </c:manualLayout>
      </c:layout>
      <c:pieChart>
        <c:varyColors val="1"/>
        <c:ser>
          <c:idx val="0"/>
          <c:order val="0"/>
          <c:tx>
            <c:strRef>
              <c:f>'Sheet1 (3)'!$B$1</c:f>
              <c:strCache>
                <c:ptCount val="1"/>
                <c:pt idx="0">
                  <c:v>2022年支出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561.81</c:v>
                </c:pt>
                <c:pt idx="1">
                  <c:v>142.35</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manualLayout>
          <c:layoutTarget val="inner"/>
          <c:xMode val="edge"/>
          <c:yMode val="edge"/>
          <c:x val="0.12553091"/>
          <c:y val="0.25465655"/>
          <c:w val="0.86427146"/>
          <c:h val="0.6187702"/>
        </c:manualLayout>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(4)'!$B$2:$C$2</c:f>
              <c:numCache>
                <c:formatCode>General</c:formatCode>
                <c:ptCount val="2"/>
                <c:pt idx="0">
                  <c:v>255.97</c:v>
                </c:pt>
                <c:pt idx="1">
                  <c:v>255.97</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(4)'!$B$3:$C$3</c:f>
              <c:numCache>
                <c:formatCode>General</c:formatCode>
                <c:ptCount val="2"/>
              </c:numCache>
            </c:numRef>
          </c:val>
        </c:ser>
        <c:overlap val="-27"/>
        <c:gapWidth val="219"/>
        <c:axId val="0"/>
        <c:axId val="1"/>
      </c:barChart>
      <c:date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0"/>
        <c:lblOffset val="100"/>
        <c:baseTimeUnit val="days"/>
        <c:crossAx val="1"/>
      </c:date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 val="autoZero"/>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一般公共服务</c:v>
                </c:pt>
                <c:pt idx="1">
                  <c:v>社会保障和就业</c:v>
                </c:pt>
                <c:pt idx="2">
                  <c:v>卫生健康支出</c:v>
                </c:pt>
                <c:pt idx="3">
                  <c:v>住房保障支出</c:v>
                </c:pt>
              </c:strCache>
            </c:strRef>
          </c:cat>
          <c:val>
            <c:numRef>
              <c:f>'Sheet1 (6)'!$B$2:$B$5</c:f>
              <c:numCache>
                <c:formatCode>General</c:formatCode>
                <c:ptCount val="4"/>
                <c:pt idx="0">
                  <c:v>199.3</c:v>
                </c:pt>
                <c:pt idx="1">
                  <c:v>28.84</c:v>
                </c:pt>
                <c:pt idx="2">
                  <c:v>11.74</c:v>
                </c:pt>
                <c:pt idx="3">
                  <c:v>16.1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manualLayout>
          <c:layoutTarget val="inner"/>
          <c:xMode val="edge"/>
          <c:yMode val="edge"/>
          <c:x val="0.4151783"/>
          <c:y val="0.49123108"/>
          <c:w val="0.25806072"/>
          <c:h val="0.5001999"/>
        </c:manualLayout>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0.49</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24</Pages>
  <Words>7890</Words>
  <Characters>8673</Characters>
  <Lines>428</Lines>
  <Paragraphs>174</Paragraphs>
  <CharactersWithSpaces>8795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2023-08-29T02:55:00Z</cp:lastPrinted>
  <dcterms:created xsi:type="dcterms:W3CDTF">2020-08-05T01:49:00Z</dcterms:created>
  <dcterms:modified xsi:type="dcterms:W3CDTF">2023-08-30T08:13:05Z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F51BAC99946045628F4BDFF051507904_13</vt:lpwstr>
  </property>
</Properties>
</file>