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outlineLvl w:val="0"/>
        <w:rPr>
          <w:rFonts w:ascii="方正小标宋简体" w:eastAsia="方正小标宋简体" w:hint="eastAsia"/>
          <w:color w:val="000000"/>
          <w:sz w:val="72"/>
          <w:szCs w:val="72"/>
          <w:lang w:val="en-US" w:eastAsia="zh-CN"/>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96597"/>
      <w:bookmarkStart w:id="3" w:name="_Toc15396475"/>
      <w:bookmarkStart w:id="4" w:name="_Toc15377425"/>
      <w:bookmarkStart w:id="5" w:name="_Toc12796"/>
      <w:bookmarkStart w:id="6" w:name="_Toc15378441"/>
      <w:r>
        <w:rPr>
          <w:rFonts w:ascii="黑体" w:eastAsia="黑体"/>
          <w:color w:val="000000"/>
          <w:sz w:val="72"/>
          <w:szCs w:val="72"/>
        </w:rPr>
        <w:t>202</w:t>
      </w:r>
      <w:r>
        <w:rPr>
          <w:rFonts w:ascii="黑体" w:eastAsia="黑体" w:hint="eastAsia"/>
          <w:color w:val="000000"/>
          <w:sz w:val="72"/>
          <w:szCs w:val="72"/>
          <w:lang w:val="en-US" w:eastAsia="zh-CN"/>
        </w:rPr>
        <w:t>1</w:t>
      </w:r>
      <w:r>
        <w:rPr>
          <w:rFonts w:ascii="方正小标宋简体" w:eastAsia="方正小标宋简体" w:hint="eastAsia"/>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olor w:val="000000"/>
          <w:sz w:val="72"/>
          <w:szCs w:val="72"/>
        </w:rPr>
      </w:pPr>
      <w:bookmarkStart w:id="7" w:name="_Toc15377194"/>
      <w:bookmarkStart w:id="8" w:name="_Toc15396598"/>
      <w:bookmarkStart w:id="9" w:name="_Toc15396476"/>
      <w:bookmarkStart w:id="10" w:name="_Toc6811"/>
      <w:bookmarkStart w:id="11" w:name="_Toc15377426"/>
      <w:bookmarkStart w:id="12" w:name="_Toc15378442"/>
      <w:r>
        <w:rPr>
          <w:rFonts w:ascii="方正小标宋简体" w:eastAsia="方正小标宋简体" w:hint="eastAsia"/>
          <w:color w:val="000000"/>
          <w:sz w:val="72"/>
          <w:szCs w:val="72"/>
        </w:rPr>
        <w:t>四川省</w:t>
      </w:r>
      <w:bookmarkStart w:id="13" w:name="_Toc15306268"/>
      <w:bookmarkEnd w:id="0"/>
      <w:r>
        <w:rPr>
          <w:rFonts w:ascii="方正小标宋简体" w:eastAsia="方正小标宋简体" w:hint="eastAsia"/>
          <w:color w:val="000000"/>
          <w:sz w:val="72"/>
          <w:szCs w:val="72"/>
          <w:lang w:val="en-US" w:eastAsia="zh-CN"/>
        </w:rPr>
        <w:t>中共</w:t>
      </w:r>
      <w:r>
        <w:rPr>
          <w:rFonts w:ascii="方正小标宋简体" w:eastAsia="方正小标宋简体" w:hint="eastAsia"/>
          <w:color w:val="000000"/>
          <w:sz w:val="72"/>
          <w:szCs w:val="72"/>
        </w:rPr>
        <w:t>金川县</w:t>
      </w:r>
      <w:r>
        <w:rPr>
          <w:rFonts w:ascii="方正小标宋简体" w:eastAsia="方正小标宋简体" w:hint="eastAsia"/>
          <w:color w:val="000000"/>
          <w:sz w:val="72"/>
          <w:szCs w:val="72"/>
          <w:lang w:val="en-US" w:eastAsia="zh-CN"/>
        </w:rPr>
        <w:t>委党校</w:t>
      </w:r>
      <w:r>
        <w:rPr>
          <w:rFonts w:ascii="方正小标宋简体" w:eastAsia="方正小标宋简体" w:hint="eastAsia"/>
          <w:color w:val="000000"/>
          <w:sz w:val="72"/>
          <w:szCs w:val="72"/>
        </w:rPr>
        <w:t>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bookmarkStart w:id="14" w:name="_Toc15377196"/>
      <w:r>
        <w:rPr>
          <w:rFonts w:ascii="黑体" w:eastAsia="黑体" w:hint="eastAsia"/>
          <w:color w:val="000000"/>
          <w:sz w:val="48"/>
          <w:szCs w:val="48"/>
        </w:rPr>
        <w:t>目录</w:t>
      </w:r>
    </w:p>
    <w:p>
      <w:pPr>
        <w:widowControl/>
        <w:jc w:val="cente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
      <w:pPr>
        <w:pStyle w:val="21"/>
        <w:tabs>
          <w:tab w:val="right" w:leader="dot" w:pos="8296"/>
        </w:tabs>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22"/>
        <w:tabs>
          <w:tab w:val="right" w:leader="dot" w:pos="8296"/>
        </w:tabs>
        <w:rPr>
          <w:rFonts w:ascii="仿宋" w:eastAsia="仿宋" w:cs="Arial"/>
          <w:sz w:val="28"/>
          <w:szCs w:val="28"/>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rPr>
        <w:t>4</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"_Toc15396601" </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rPr>
        <w:t>6</w:t>
      </w:r>
      <w:r>
        <w:rPr>
          <w:rFonts w:ascii="仿宋" w:eastAsia="仿宋" w:hint="eastAsia"/>
          <w:sz w:val="28"/>
          <w:szCs w:val="28"/>
        </w:rPr>
        <w:fldChar w:fldCharType="end"/>
      </w:r>
    </w:p>
    <w:p>
      <w:pPr>
        <w:pStyle w:val="21"/>
        <w:tabs>
          <w:tab w:val="right" w:leader="dot" w:pos="8296"/>
        </w:tabs>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6</w:t>
      </w:r>
      <w:r>
        <w:rPr>
          <w:rFonts w:hint="eastAsia"/>
        </w:rPr>
        <w:fldChar w:fldCharType="end"/>
      </w:r>
    </w:p>
    <w:p>
      <w:pPr>
        <w:pStyle w:val="22"/>
        <w:tabs>
          <w:tab w:val="right" w:leader="dot" w:pos="8296"/>
        </w:tabs>
        <w:rPr>
          <w:rFonts w:ascii="仿宋" w:eastAsia="仿宋" w:cs="Arial"/>
          <w:sz w:val="28"/>
          <w:szCs w:val="28"/>
        </w:rPr>
      </w:pPr>
      <w:r>
        <w:fldChar w:fldCharType="begin"/>
      </w:r>
      <w:r>
        <w:instrText xml:space="preserve"> HYPERLINK \l "_Toc15396603" </w:instrText>
      </w:r>
      <w:r>
        <w:fldChar w:fldCharType="separate"/>
      </w:r>
      <w:r>
        <w:rPr>
          <w:rFonts w:ascii="仿宋" w:eastAsia="仿宋" w:hint="eastAsia"/>
          <w:bCs/>
          <w:sz w:val="28"/>
          <w:szCs w:val="28"/>
        </w:rPr>
        <w:t>一、</w:t>
      </w:r>
      <w:r>
        <w:rPr>
          <w:rFonts w:ascii="仿宋" w:eastAsia="仿宋" w:hint="eastAsia"/>
          <w:sz w:val="28"/>
          <w:szCs w:val="28"/>
        </w:rPr>
        <w:t>收</w:t>
      </w:r>
      <w:r>
        <w:rPr>
          <w:rFonts w:ascii="仿宋" w:eastAsia="仿宋" w:hint="eastAsia"/>
          <w:bCs/>
          <w:sz w:val="28"/>
          <w:szCs w:val="28"/>
        </w:rPr>
        <w:t>入支出决算总体情况说明</w:t>
      </w:r>
      <w:r>
        <w:rPr>
          <w:rFonts w:ascii="仿宋" w:eastAsia="仿宋"/>
          <w:sz w:val="28"/>
          <w:szCs w:val="28"/>
        </w:rPr>
        <w:tab/>
      </w:r>
      <w:r>
        <w:rPr>
          <w:rFonts w:ascii="仿宋" w:eastAsia="仿宋" w:hint="eastAsia"/>
          <w:sz w:val="28"/>
          <w:szCs w:val="28"/>
          <w:lang w:val="en-US" w:eastAsia="zh-CN"/>
        </w:rPr>
        <w:t>7</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"_Toc15396604" </w:instrText>
      </w:r>
      <w:r>
        <w:fldChar w:fldCharType="separate"/>
      </w:r>
      <w:r>
        <w:rPr>
          <w:rFonts w:ascii="仿宋" w:eastAsia="仿宋" w:hint="eastAsia"/>
          <w:bCs/>
          <w:sz w:val="28"/>
          <w:szCs w:val="28"/>
        </w:rPr>
        <w:t>二、</w:t>
      </w:r>
      <w:r>
        <w:rPr>
          <w:rFonts w:ascii="仿宋" w:eastAsia="仿宋" w:hint="eastAsia"/>
          <w:sz w:val="28"/>
          <w:szCs w:val="28"/>
        </w:rPr>
        <w:t>收</w:t>
      </w:r>
      <w:r>
        <w:rPr>
          <w:rFonts w:ascii="仿宋" w:eastAsia="仿宋" w:hint="eastAsia"/>
          <w:bCs/>
          <w:sz w:val="28"/>
          <w:szCs w:val="28"/>
        </w:rPr>
        <w:t>入决算情况说明</w:t>
      </w:r>
      <w:r>
        <w:rPr>
          <w:rFonts w:ascii="仿宋" w:eastAsia="仿宋"/>
          <w:sz w:val="28"/>
          <w:szCs w:val="28"/>
        </w:rPr>
        <w:tab/>
      </w:r>
      <w:r>
        <w:rPr>
          <w:rFonts w:ascii="仿宋" w:eastAsia="仿宋" w:hint="eastAsia"/>
          <w:sz w:val="28"/>
          <w:szCs w:val="28"/>
        </w:rPr>
        <w:t>7</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"_Toc15396605" </w:instrText>
      </w:r>
      <w:r>
        <w:fldChar w:fldCharType="separate"/>
      </w:r>
      <w:r>
        <w:rPr>
          <w:rFonts w:ascii="仿宋" w:eastAsia="仿宋" w:hint="eastAsia"/>
          <w:bCs/>
          <w:sz w:val="28"/>
          <w:szCs w:val="28"/>
        </w:rPr>
        <w:t>三、</w:t>
      </w:r>
      <w:r>
        <w:rPr>
          <w:rFonts w:ascii="仿宋" w:eastAsia="仿宋" w:hint="eastAsia"/>
          <w:sz w:val="28"/>
          <w:szCs w:val="28"/>
        </w:rPr>
        <w:t>支</w:t>
      </w:r>
      <w:r>
        <w:rPr>
          <w:rFonts w:ascii="仿宋" w:eastAsia="仿宋" w:hint="eastAsia"/>
          <w:bCs/>
          <w:sz w:val="28"/>
          <w:szCs w:val="28"/>
        </w:rPr>
        <w:t>出决算情况说明</w:t>
      </w:r>
      <w:r>
        <w:rPr>
          <w:rFonts w:ascii="仿宋" w:eastAsia="仿宋"/>
          <w:sz w:val="28"/>
          <w:szCs w:val="28"/>
        </w:rPr>
        <w:tab/>
      </w:r>
      <w:r>
        <w:rPr>
          <w:rFonts w:ascii="仿宋" w:eastAsia="仿宋" w:hint="eastAsia"/>
          <w:sz w:val="28"/>
          <w:szCs w:val="28"/>
        </w:rPr>
        <w:t>8</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"_Toc15396606" </w:instrText>
      </w:r>
      <w:r>
        <w:fldChar w:fldCharType="separate"/>
      </w:r>
      <w:r>
        <w:rPr>
          <w:rFonts w:ascii="仿宋" w:eastAsia="仿宋" w:hint="eastAsia"/>
          <w:sz w:val="28"/>
          <w:szCs w:val="28"/>
        </w:rPr>
        <w:t>四、财</w:t>
      </w:r>
      <w:r>
        <w:rPr>
          <w:rFonts w:ascii="仿宋" w:eastAsia="仿宋" w:hint="eastAsia"/>
          <w:bCs/>
          <w:sz w:val="28"/>
          <w:szCs w:val="28"/>
        </w:rPr>
        <w:t>政拨款收入支出决算总体情况说明</w:t>
      </w:r>
      <w:r>
        <w:rPr>
          <w:rFonts w:ascii="仿宋" w:eastAsia="仿宋"/>
          <w:sz w:val="28"/>
          <w:szCs w:val="28"/>
        </w:rPr>
        <w:tab/>
      </w:r>
      <w:r>
        <w:rPr>
          <w:rFonts w:ascii="仿宋" w:eastAsia="仿宋" w:hint="eastAsia"/>
          <w:sz w:val="28"/>
          <w:szCs w:val="28"/>
        </w:rPr>
        <w:t>9</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hint="eastAsia"/>
          <w:bCs/>
          <w:sz w:val="28"/>
          <w:szCs w:val="28"/>
        </w:rPr>
        <w:t>般公共预算财政拨款支出决算情况说明</w:t>
      </w:r>
      <w:r>
        <w:rPr>
          <w:rFonts w:ascii="仿宋" w:eastAsia="仿宋"/>
          <w:sz w:val="28"/>
          <w:szCs w:val="28"/>
        </w:rPr>
        <w:tab/>
      </w:r>
      <w:r>
        <w:rPr>
          <w:rFonts w:ascii="仿宋" w:eastAsia="仿宋" w:hint="eastAsia"/>
          <w:sz w:val="28"/>
          <w:szCs w:val="28"/>
        </w:rPr>
        <w:t>9</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"_Toc15396608" </w:instrText>
      </w:r>
      <w:r>
        <w:fldChar w:fldCharType="separate"/>
      </w:r>
      <w:r>
        <w:rPr>
          <w:rFonts w:ascii="仿宋" w:eastAsia="仿宋" w:hint="eastAsia"/>
          <w:sz w:val="28"/>
          <w:szCs w:val="28"/>
        </w:rPr>
        <w:t>六、一</w:t>
      </w:r>
      <w:r>
        <w:rPr>
          <w:rFonts w:ascii="仿宋" w:eastAsia="仿宋" w:hint="eastAsia"/>
          <w:bCs/>
          <w:sz w:val="28"/>
          <w:szCs w:val="28"/>
        </w:rPr>
        <w:t>般公共预算财政拨款基本支出决算情况说明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2</w:t>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sz w:val="28"/>
          <w:szCs w:val="28"/>
        </w:rPr>
        <w:t>“</w:t>
      </w:r>
      <w:r>
        <w:rPr>
          <w:rFonts w:ascii="仿宋" w:eastAsia="仿宋" w:hint="eastAsia"/>
          <w:bCs/>
          <w:sz w:val="28"/>
          <w:szCs w:val="28"/>
        </w:rPr>
        <w:t>三公”经费财政拨款支出决算情况说明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lang w:val="en-US" w:eastAsia="zh-CN"/>
        </w:rPr>
        <w:t>2</w:t>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"_Toc15396610" </w:instrText>
      </w:r>
      <w:r>
        <w:fldChar w:fldCharType="separate"/>
      </w:r>
      <w:r>
        <w:rPr>
          <w:rFonts w:ascii="仿宋" w:eastAsia="仿宋" w:hint="eastAsia"/>
          <w:sz w:val="28"/>
          <w:szCs w:val="28"/>
        </w:rPr>
        <w:t>八、</w:t>
      </w:r>
      <w:r>
        <w:rPr>
          <w:rFonts w:ascii="仿宋" w:eastAsia="仿宋" w:hint="eastAsia"/>
          <w:bCs/>
          <w:sz w:val="28"/>
          <w:szCs w:val="28"/>
        </w:rPr>
        <w:t>政府性基金预算支出决算情况说明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lang w:val="en-US" w:eastAsia="zh-CN"/>
        </w:rPr>
        <w:t>3</w:t>
      </w:r>
    </w:p>
    <w:p>
      <w:pPr>
        <w:pStyle w:val="22"/>
        <w:tabs>
          <w:tab w:val="right" w:leader="dot" w:pos="8296"/>
        </w:tabs>
        <w:rPr>
          <w:rFonts w:ascii="仿宋" w:eastAsia="仿宋" w:hint="eastAsia"/>
          <w:sz w:val="28"/>
          <w:szCs w:val="28"/>
          <w:lang w:val="en-US" w:eastAsia="zh-CN"/>
        </w:rPr>
      </w:pPr>
      <w:r>
        <w:fldChar w:fldCharType="begin"/>
      </w:r>
      <w:r>
        <w:instrText xml:space="preserve"> HYPERLINK \l "_Toc15396611" </w:instrText>
      </w:r>
      <w:r>
        <w:fldChar w:fldCharType="separate"/>
      </w:r>
      <w:r>
        <w:rPr>
          <w:rFonts w:ascii="仿宋" w:eastAsia="仿宋" w:hint="eastAsia"/>
          <w:bCs/>
          <w:sz w:val="28"/>
          <w:szCs w:val="28"/>
        </w:rPr>
        <w:t>九、</w:t>
      </w:r>
      <w:r>
        <w:rPr>
          <w:rFonts w:ascii="仿宋" w:eastAsia="仿宋" w:hint="eastAsia"/>
          <w:sz w:val="28"/>
          <w:szCs w:val="28"/>
        </w:rPr>
        <w:t xml:space="preserve"> 国</w:t>
      </w:r>
      <w:r>
        <w:rPr>
          <w:rFonts w:ascii="仿宋" w:eastAsia="仿宋" w:hint="eastAsia"/>
          <w:bCs/>
          <w:sz w:val="28"/>
          <w:szCs w:val="28"/>
        </w:rPr>
        <w:t>有资本经营预算支出决算情况说明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lang w:val="en-US" w:eastAsia="zh-CN"/>
        </w:rPr>
        <w:t>3</w:t>
      </w:r>
    </w:p>
    <w:p>
      <w:pPr>
        <w:pStyle w:val="22"/>
        <w:tabs>
          <w:tab w:val="right" w:leader="dot" w:pos="8296"/>
        </w:tabs>
        <w:rPr>
          <w:rStyle w:val="25"/>
          <w:rFonts w:ascii="仿宋" w:eastAsia="仿宋" w:hint="eastAsia"/>
          <w:bCs/>
          <w:sz w:val="28"/>
          <w:szCs w:val="28"/>
          <w:lang w:val="en-US" w:eastAsia="zh-CN"/>
        </w:rPr>
      </w:pPr>
      <w:r>
        <w:rPr>
          <w:rStyle w:val="25"/>
          <w:rFonts w:ascii="仿宋" w:eastAsia="仿宋" w:hint="eastAsia"/>
          <w:bCs/>
          <w:sz w:val="28"/>
          <w:szCs w:val="28"/>
        </w:rPr>
        <w:t xml:space="preserve"> 十、预算绩效情况说明..................................1</w:t>
      </w:r>
      <w:r>
        <w:rPr>
          <w:rStyle w:val="25"/>
          <w:rFonts w:ascii="仿宋" w:eastAsia="仿宋" w:hint="eastAsia"/>
          <w:bCs/>
          <w:sz w:val="28"/>
          <w:szCs w:val="28"/>
          <w:lang w:val="en-US" w:eastAsia="zh-CN"/>
        </w:rPr>
        <w:t>3</w:t>
      </w:r>
    </w:p>
    <w:p>
      <w:pPr>
        <w:rPr>
          <w:rFonts w:hint="eastAsia"/>
          <w:lang w:val="en-US" w:eastAsia="zh-CN"/>
        </w:rPr>
      </w:pPr>
      <w:r>
        <w:rPr>
          <w:rStyle w:val="25"/>
          <w:rFonts w:ascii="仿宋" w:eastAsia="仿宋" w:hint="eastAsia"/>
          <w:bCs/>
          <w:sz w:val="28"/>
          <w:szCs w:val="28"/>
          <w:lang w:val="en-US" w:eastAsia="zh-CN"/>
        </w:rPr>
        <w:t xml:space="preserve">   十一、其他重要事项情况说明</w:t>
      </w:r>
      <w:r>
        <w:rPr>
          <w:rStyle w:val="25"/>
          <w:rFonts w:ascii="仿宋" w:eastAsia="仿宋" w:hint="eastAsia"/>
          <w:bCs/>
          <w:sz w:val="28"/>
          <w:szCs w:val="28"/>
        </w:rPr>
        <w:t>.............................</w:t>
      </w:r>
      <w:r>
        <w:rPr>
          <w:rStyle w:val="25"/>
          <w:rFonts w:ascii="仿宋" w:eastAsia="仿宋" w:hint="eastAsia"/>
          <w:bCs/>
          <w:sz w:val="28"/>
          <w:szCs w:val="28"/>
          <w:lang w:val="en-US" w:eastAsia="zh-CN"/>
        </w:rPr>
        <w:t>14</w:t>
      </w:r>
    </w:p>
    <w:p>
      <w:pPr>
        <w:pStyle w:val="21"/>
        <w:tabs>
          <w:tab w:val="right" w:leader="dot" w:pos="8296"/>
        </w:tabs>
        <w:jc w:val="both"/>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1</w:t>
      </w:r>
      <w:r>
        <w:rPr>
          <w:rFonts w:hint="eastAsia"/>
        </w:rPr>
        <w:fldChar w:fldCharType="end"/>
      </w:r>
      <w:r>
        <w:rPr>
          <w:rFonts w:hint="eastAsia"/>
          <w:lang w:val="en-US" w:eastAsia="zh-CN"/>
        </w:rPr>
        <w:t>6</w:t>
      </w:r>
      <w:r>
        <w:rPr>
          <w:color w:val="000000"/>
          <w:sz w:val="24"/>
        </w:rPr>
        <w:fldChar w:fldCharType="end"/>
      </w:r>
    </w:p>
    <w:p>
      <w:pPr>
        <w:widowControl/>
        <w:spacing w:line="480" w:lineRule="exact"/>
        <w:jc w:val="both"/>
        <w:rPr>
          <w:rFonts w:ascii="方正小标宋简体" w:eastAsia="仿宋" w:cs="方正小标宋简体" w:hAnsi="方正小标宋简体"/>
          <w:sz w:val="44"/>
          <w:szCs w:val="44"/>
          <w:lang w:val="en-US" w:eastAsia="zh-CN"/>
        </w:rPr>
      </w:pPr>
      <w:bookmarkEnd w:id="14"/>
      <w:r>
        <w:rPr>
          <w:rFonts w:ascii="仿宋" w:eastAsia="仿宋" w:cs="Times New Roman" w:hint="eastAsia"/>
          <w:kern w:val="2"/>
          <w:sz w:val="28"/>
          <w:szCs w:val="28"/>
          <w:lang w:val="en-US" w:eastAsia="zh-CN" w:bidi="ar-SA"/>
        </w:rPr>
        <w:t xml:space="preserve">第四部分 2021年整体支出绩效报告  .....................19                      </w:t>
      </w:r>
      <w:r>
        <w:tab/>
      </w:r>
    </w:p>
    <w:p>
      <w:pPr>
        <w:rPr>
          <w:rFonts w:ascii="仿宋" w:eastAsia="仿宋"/>
          <w:color w:val="000000"/>
          <w:lang w:val="en-US" w:eastAsia="zh-CN"/>
        </w:rPr>
      </w:pPr>
    </w:p>
    <w:p>
      <w:pPr>
        <w:pStyle w:val="26"/>
        <w:rPr>
          <w:rFonts w:ascii="仿宋" w:eastAsia="仿宋"/>
          <w:color w:val="000000"/>
        </w:rPr>
      </w:pPr>
    </w:p>
    <w:p>
      <w:pPr>
        <w:snapToGrid w:val="0"/>
        <w:spacing w:line="520" w:lineRule="exact"/>
        <w:ind w:firstLineChars="200" w:firstLine="640"/>
        <w:rPr>
          <w:rFonts w:ascii="黑体" w:eastAsia="黑体" w:cs="黑体" w:hint="eastAsia"/>
          <w:b w:val="0"/>
          <w:bCs w:val="0"/>
          <w:sz w:val="32"/>
          <w:szCs w:val="32"/>
        </w:rPr>
      </w:pPr>
    </w:p>
    <w:p>
      <w:pPr>
        <w:snapToGrid w:val="0"/>
        <w:spacing w:line="520" w:lineRule="exact"/>
        <w:ind w:firstLineChars="200" w:firstLine="640"/>
        <w:rPr>
          <w:rFonts w:ascii="黑体" w:eastAsia="黑体" w:cs="黑体" w:hint="eastAsia"/>
          <w:b w:val="0"/>
          <w:bCs w:val="0"/>
          <w:sz w:val="32"/>
          <w:szCs w:val="32"/>
        </w:rPr>
      </w:pPr>
    </w:p>
    <w:p>
      <w:pPr>
        <w:snapToGrid w:val="0"/>
        <w:spacing w:line="520" w:lineRule="exact"/>
        <w:ind w:firstLineChars="200" w:firstLine="640"/>
        <w:rPr>
          <w:rFonts w:ascii="黑体" w:eastAsia="黑体" w:cs="黑体" w:hint="eastAsia"/>
          <w:b w:val="0"/>
          <w:bCs w:val="0"/>
          <w:sz w:val="32"/>
          <w:szCs w:val="32"/>
        </w:rPr>
      </w:pPr>
      <w:r>
        <w:rPr>
          <w:rFonts w:ascii="黑体" w:eastAsia="黑体" w:cs="黑体" w:hint="eastAsia"/>
          <w:b w:val="0"/>
          <w:bCs w:val="0"/>
          <w:sz w:val="32"/>
          <w:szCs w:val="32"/>
        </w:rPr>
        <w:t>一、单位情况</w:t>
      </w:r>
    </w:p>
    <w:p>
      <w:pPr>
        <w:snapToGrid w:val="0"/>
        <w:spacing w:line="520" w:lineRule="exact"/>
        <w:ind w:firstLineChars="200" w:firstLine="640"/>
        <w:rPr>
          <w:rFonts w:ascii="仿宋_GB2312" w:eastAsia="仿宋_GB2312" w:cs="仿宋_GB2312" w:hint="eastAsia"/>
          <w:b/>
          <w:bCs/>
          <w:sz w:val="32"/>
          <w:szCs w:val="32"/>
          <w:lang w:eastAsia="zh-CN"/>
        </w:rPr>
      </w:pPr>
      <w:r>
        <w:rPr>
          <w:rFonts w:ascii="仿宋_GB2312" w:eastAsia="仿宋_GB2312" w:cs="仿宋_GB2312" w:hint="eastAsia"/>
          <w:b/>
          <w:bCs/>
          <w:sz w:val="32"/>
          <w:szCs w:val="32"/>
        </w:rPr>
        <w:t>（一）</w:t>
      </w:r>
      <w:r>
        <w:rPr>
          <w:rFonts w:ascii="仿宋_GB2312" w:eastAsia="仿宋_GB2312" w:cs="仿宋_GB2312" w:hint="eastAsia"/>
          <w:b/>
          <w:bCs/>
          <w:sz w:val="32"/>
          <w:szCs w:val="32"/>
          <w:lang w:val="en-US" w:eastAsia="zh-CN"/>
        </w:rPr>
        <w:t>部门概况</w:t>
      </w:r>
    </w:p>
    <w:p>
      <w:pPr>
        <w:ind w:firstLineChars="200" w:firstLine="640"/>
        <w:rPr>
          <w:rFonts w:ascii="仿宋_GB2312" w:eastAsia="仿宋_GB2312" w:cs="仿宋_GB2312" w:hint="eastAsia"/>
          <w:b w:val="0"/>
          <w:bCs w:val="0"/>
          <w:sz w:val="32"/>
          <w:szCs w:val="32"/>
        </w:rPr>
      </w:pPr>
      <w:r>
        <w:rPr>
          <w:rFonts w:ascii="仿宋_GB2312" w:eastAsia="仿宋_GB2312" w:cs="仿宋_GB2312" w:hint="eastAsia"/>
          <w:b w:val="0"/>
          <w:bCs w:val="0"/>
          <w:sz w:val="32"/>
          <w:szCs w:val="32"/>
        </w:rPr>
        <w:t>1．主要职能</w:t>
      </w:r>
      <w:r>
        <w:rPr>
          <w:rFonts w:ascii="仿宋_GB2312" w:eastAsia="仿宋_GB2312" w:cs="仿宋_GB2312" w:hint="eastAsia"/>
          <w:b w:val="0"/>
          <w:bCs w:val="0"/>
          <w:sz w:val="32"/>
          <w:szCs w:val="32"/>
          <w:lang w:eastAsia="zh-CN"/>
        </w:rPr>
        <w:t>：</w:t>
      </w:r>
      <w:r>
        <w:rPr>
          <w:rFonts w:ascii="仿宋_GB2312" w:eastAsia="仿宋_GB2312" w:cs="仿宋_GB2312" w:hint="eastAsia"/>
          <w:b w:val="0"/>
          <w:bCs w:val="0"/>
          <w:color w:val="000000"/>
          <w:spacing w:val="-14"/>
          <w:kern w:val="0"/>
          <w:sz w:val="32"/>
          <w:szCs w:val="32"/>
        </w:rPr>
        <w:t>根据《党校工作条例》以及党和国家有党校工作的方针、政策、法规文件规定。</w:t>
      </w:r>
    </w:p>
    <w:p>
      <w:pPr>
        <w:ind w:firstLineChars="200" w:firstLine="584"/>
        <w:rPr>
          <w:rFonts w:ascii="仿宋_GB2312" w:eastAsia="仿宋_GB2312" w:cs="仿宋_GB2312" w:hint="eastAsia"/>
          <w:b w:val="0"/>
          <w:bCs w:val="0"/>
          <w:color w:val="000000"/>
          <w:spacing w:val="-14"/>
          <w:kern w:val="0"/>
          <w:sz w:val="32"/>
          <w:szCs w:val="32"/>
        </w:rPr>
      </w:pP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lang w:val="en-US" w:eastAsia="zh-CN"/>
        </w:rPr>
        <w:t>1）</w:t>
      </w:r>
      <w:r>
        <w:rPr>
          <w:rFonts w:ascii="仿宋_GB2312" w:eastAsia="仿宋_GB2312" w:cs="仿宋_GB2312" w:hint="eastAsia"/>
          <w:b w:val="0"/>
          <w:bCs w:val="0"/>
          <w:color w:val="000000"/>
          <w:spacing w:val="-14"/>
          <w:kern w:val="0"/>
          <w:sz w:val="32"/>
          <w:szCs w:val="32"/>
        </w:rPr>
        <w:t>加强对基层党员、干部的理想信念教育、党性党风教育 。</w:t>
      </w:r>
      <w:r>
        <w:rPr>
          <w:rFonts w:ascii="仿宋_GB2312" w:eastAsia="仿宋_GB2312" w:cs="仿宋_GB2312" w:hint="eastAsia"/>
          <w:b w:val="0"/>
          <w:bCs w:val="0"/>
          <w:sz w:val="32"/>
          <w:szCs w:val="32"/>
        </w:rPr>
        <w:t xml:space="preserve">     </w:t>
      </w:r>
    </w:p>
    <w:p>
      <w:pPr>
        <w:ind w:firstLineChars="200" w:firstLine="584"/>
        <w:rPr>
          <w:rFonts w:ascii="仿宋_GB2312" w:eastAsia="仿宋_GB2312" w:cs="仿宋_GB2312" w:hint="eastAsia"/>
          <w:b w:val="0"/>
          <w:bCs w:val="0"/>
          <w:sz w:val="32"/>
          <w:szCs w:val="32"/>
        </w:rPr>
      </w:pP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rPr>
        <w:t>2</w:t>
      </w: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rPr>
        <w:t>培训入党积极分子、新党员。</w:t>
      </w:r>
    </w:p>
    <w:p>
      <w:pPr>
        <w:ind w:firstLineChars="200" w:firstLine="584"/>
        <w:rPr>
          <w:rFonts w:ascii="仿宋_GB2312" w:eastAsia="仿宋_GB2312" w:cs="仿宋_GB2312" w:hint="eastAsia"/>
          <w:b w:val="0"/>
          <w:bCs w:val="0"/>
          <w:sz w:val="32"/>
          <w:szCs w:val="32"/>
        </w:rPr>
      </w:pP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rPr>
        <w:t>3</w:t>
      </w: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rPr>
        <w:t>协助并指导乡镇搞好培训工作。</w:t>
      </w:r>
      <w:r>
        <w:rPr>
          <w:rFonts w:ascii="仿宋_GB2312" w:eastAsia="仿宋_GB2312" w:cs="仿宋_GB2312" w:hint="eastAsia"/>
          <w:b w:val="0"/>
          <w:bCs w:val="0"/>
          <w:sz w:val="32"/>
          <w:szCs w:val="32"/>
        </w:rPr>
        <w:t xml:space="preserve">　 </w:t>
      </w:r>
    </w:p>
    <w:p>
      <w:pPr>
        <w:ind w:firstLineChars="200" w:firstLine="584"/>
        <w:rPr>
          <w:rFonts w:ascii="仿宋_GB2312" w:eastAsia="仿宋_GB2312" w:cs="仿宋_GB2312" w:hint="eastAsia"/>
          <w:b w:val="0"/>
          <w:bCs w:val="0"/>
          <w:sz w:val="32"/>
          <w:szCs w:val="32"/>
        </w:rPr>
      </w:pP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rPr>
        <w:t>4</w:t>
      </w: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rPr>
        <w:t>开展社会调研。</w:t>
      </w:r>
    </w:p>
    <w:p>
      <w:pPr>
        <w:ind w:firstLineChars="200" w:firstLine="584"/>
        <w:rPr>
          <w:rFonts w:ascii="仿宋_GB2312" w:eastAsia="仿宋_GB2312" w:cs="仿宋_GB2312" w:hint="eastAsia"/>
          <w:b w:val="0"/>
          <w:bCs w:val="0"/>
          <w:sz w:val="32"/>
          <w:szCs w:val="32"/>
        </w:rPr>
      </w:pP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rPr>
        <w:t>5</w:t>
      </w: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rPr>
        <w:t>加强我县各种培训的理论培训和思想建设，以流动党校的形式把党方针、政策及法律、法规，宣传到群众中去。</w:t>
      </w:r>
    </w:p>
    <w:p>
      <w:pPr>
        <w:ind w:firstLineChars="200" w:firstLine="584"/>
        <w:rPr>
          <w:rFonts w:ascii="仿宋_GB2312" w:eastAsia="仿宋_GB2312" w:cs="仿宋_GB2312" w:hint="eastAsia"/>
          <w:b w:val="0"/>
          <w:bCs w:val="0"/>
          <w:sz w:val="32"/>
          <w:szCs w:val="32"/>
        </w:rPr>
      </w:pP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rPr>
        <w:t>6</w:t>
      </w: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rPr>
        <w:t>制定全县党校事业发展的中长期规划和年度计划并组织</w:t>
      </w:r>
      <w:r>
        <w:rPr>
          <w:rFonts w:ascii="仿宋_GB2312" w:eastAsia="仿宋_GB2312" w:cs="仿宋_GB2312" w:hint="eastAsia"/>
          <w:b w:val="0"/>
          <w:bCs w:val="0"/>
          <w:color w:val="000000"/>
          <w:spacing w:val="-14"/>
          <w:kern w:val="0"/>
          <w:sz w:val="32"/>
          <w:szCs w:val="32"/>
          <w:lang w:eastAsia="zh-CN"/>
        </w:rPr>
        <w:t>实施。</w:t>
      </w:r>
      <w:r>
        <w:rPr>
          <w:rFonts w:ascii="仿宋_GB2312" w:eastAsia="仿宋_GB2312" w:cs="仿宋_GB2312" w:hint="eastAsia"/>
          <w:b w:val="0"/>
          <w:bCs w:val="0"/>
          <w:color w:val="000000"/>
          <w:spacing w:val="-14"/>
          <w:kern w:val="0"/>
          <w:sz w:val="32"/>
          <w:szCs w:val="32"/>
        </w:rPr>
        <w:t xml:space="preserve">           </w:t>
      </w:r>
    </w:p>
    <w:p>
      <w:pPr>
        <w:ind w:firstLineChars="200" w:firstLine="584"/>
        <w:rPr>
          <w:rFonts w:ascii="仿宋_GB2312" w:eastAsia="仿宋_GB2312" w:cs="仿宋_GB2312" w:hint="eastAsia"/>
          <w:b w:val="0"/>
          <w:bCs w:val="0"/>
          <w:sz w:val="32"/>
          <w:szCs w:val="32"/>
          <w:lang w:eastAsia="zh-CN"/>
        </w:rPr>
      </w:pPr>
      <w:r>
        <w:rPr>
          <w:rFonts w:ascii="仿宋_GB2312" w:eastAsia="仿宋_GB2312" w:cs="仿宋_GB2312" w:hint="eastAsia"/>
          <w:b w:val="0"/>
          <w:bCs w:val="0"/>
          <w:spacing w:val="-14"/>
          <w:sz w:val="32"/>
          <w:szCs w:val="32"/>
          <w:lang w:eastAsia="zh-CN"/>
        </w:rPr>
        <w:t>（</w:t>
      </w:r>
      <w:r>
        <w:rPr>
          <w:rFonts w:ascii="仿宋_GB2312" w:eastAsia="仿宋_GB2312" w:cs="仿宋_GB2312" w:hint="eastAsia"/>
          <w:b w:val="0"/>
          <w:bCs w:val="0"/>
          <w:spacing w:val="-14"/>
          <w:sz w:val="32"/>
          <w:szCs w:val="32"/>
        </w:rPr>
        <w:t>7</w:t>
      </w:r>
      <w:r>
        <w:rPr>
          <w:rFonts w:ascii="仿宋_GB2312" w:eastAsia="仿宋_GB2312" w:cs="仿宋_GB2312" w:hint="eastAsia"/>
          <w:b w:val="0"/>
          <w:bCs w:val="0"/>
          <w:spacing w:val="-14"/>
          <w:sz w:val="32"/>
          <w:szCs w:val="32"/>
          <w:lang w:eastAsia="zh-CN"/>
        </w:rPr>
        <w:t>）</w:t>
      </w:r>
      <w:r>
        <w:rPr>
          <w:rFonts w:ascii="仿宋_GB2312" w:eastAsia="仿宋_GB2312" w:cs="仿宋_GB2312" w:hint="eastAsia"/>
          <w:b w:val="0"/>
          <w:bCs w:val="0"/>
          <w:spacing w:val="-14"/>
          <w:sz w:val="32"/>
          <w:szCs w:val="32"/>
        </w:rPr>
        <w:t>承担县委、县政府和上级业务部门交办的其它事项</w:t>
      </w:r>
      <w:r>
        <w:rPr>
          <w:rFonts w:ascii="仿宋_GB2312" w:eastAsia="仿宋_GB2312" w:cs="仿宋_GB2312" w:hint="eastAsia"/>
          <w:b w:val="0"/>
          <w:bCs w:val="0"/>
          <w:spacing w:val="-14"/>
          <w:sz w:val="32"/>
          <w:szCs w:val="32"/>
          <w:lang w:eastAsia="zh-CN"/>
        </w:rPr>
        <w:t>。</w:t>
      </w:r>
    </w:p>
    <w:p>
      <w:pPr>
        <w:ind w:firstLineChars="200" w:firstLine="640"/>
        <w:rPr>
          <w:rFonts w:ascii="仿宋_GB2312" w:eastAsia="仿宋_GB2312" w:cs="仿宋_GB2312" w:hint="eastAsia"/>
          <w:b w:val="0"/>
          <w:bCs w:val="0"/>
          <w:color w:val="000000"/>
          <w:spacing w:val="-14"/>
          <w:kern w:val="0"/>
          <w:sz w:val="32"/>
          <w:szCs w:val="32"/>
          <w:lang w:val="en-US" w:eastAsia="zh-CN"/>
        </w:rPr>
      </w:pPr>
      <w:r>
        <w:rPr>
          <w:rFonts w:ascii="仿宋_GB2312" w:eastAsia="仿宋_GB2312" w:cs="仿宋_GB2312" w:hint="eastAsia"/>
          <w:b w:val="0"/>
          <w:bCs w:val="0"/>
          <w:sz w:val="32"/>
          <w:szCs w:val="32"/>
          <w:lang w:val="en-US" w:eastAsia="zh-CN"/>
        </w:rPr>
        <w:t>2</w:t>
      </w:r>
      <w:r>
        <w:rPr>
          <w:rFonts w:ascii="仿宋_GB2312" w:eastAsia="仿宋_GB2312" w:cs="仿宋_GB2312" w:hint="eastAsia"/>
          <w:b w:val="0"/>
          <w:bCs w:val="0"/>
          <w:sz w:val="32"/>
          <w:szCs w:val="32"/>
        </w:rPr>
        <w:t>、</w:t>
      </w:r>
      <w:r>
        <w:rPr>
          <w:rFonts w:ascii="仿宋_GB2312" w:eastAsia="仿宋_GB2312" w:cs="仿宋_GB2312" w:hint="eastAsia"/>
          <w:b w:val="0"/>
          <w:bCs w:val="0"/>
          <w:color w:val="000000"/>
          <w:spacing w:val="-14"/>
          <w:kern w:val="0"/>
          <w:sz w:val="32"/>
          <w:szCs w:val="32"/>
        </w:rPr>
        <w:t>本单位本年度纳入本套决算编制范围的独立编制机构数共1个，比上年增加0个，</w:t>
      </w:r>
      <w:r>
        <w:rPr>
          <w:rFonts w:ascii="仿宋_GB2312" w:eastAsia="仿宋_GB2312" w:cs="仿宋_GB2312" w:hint="eastAsia"/>
          <w:b w:val="0"/>
          <w:bCs w:val="0"/>
          <w:color w:val="000000"/>
          <w:spacing w:val="-14"/>
          <w:kern w:val="0"/>
          <w:sz w:val="32"/>
          <w:szCs w:val="32"/>
          <w:lang w:val="en-US" w:eastAsia="zh-CN"/>
        </w:rPr>
        <w:t>无</w:t>
      </w:r>
      <w:r>
        <w:rPr>
          <w:rFonts w:ascii="仿宋_GB2312" w:eastAsia="仿宋_GB2312" w:cs="仿宋_GB2312" w:hint="eastAsia"/>
          <w:b w:val="0"/>
          <w:bCs w:val="0"/>
          <w:color w:val="000000"/>
          <w:spacing w:val="-14"/>
          <w:kern w:val="0"/>
          <w:sz w:val="32"/>
          <w:szCs w:val="32"/>
        </w:rPr>
        <w:t>变动；独立核算机构数共1个，比上年增加0个，</w:t>
      </w:r>
      <w:r>
        <w:rPr>
          <w:rFonts w:ascii="仿宋_GB2312" w:eastAsia="仿宋_GB2312" w:cs="仿宋_GB2312" w:hint="eastAsia"/>
          <w:b w:val="0"/>
          <w:bCs w:val="0"/>
          <w:color w:val="000000"/>
          <w:spacing w:val="-14"/>
          <w:kern w:val="0"/>
          <w:sz w:val="32"/>
          <w:szCs w:val="32"/>
          <w:lang w:val="en-US" w:eastAsia="zh-CN"/>
        </w:rPr>
        <w:t>无</w:t>
      </w:r>
      <w:r>
        <w:rPr>
          <w:rFonts w:ascii="仿宋_GB2312" w:eastAsia="仿宋_GB2312" w:cs="仿宋_GB2312" w:hint="eastAsia"/>
          <w:b w:val="0"/>
          <w:bCs w:val="0"/>
          <w:color w:val="000000"/>
          <w:spacing w:val="-14"/>
          <w:kern w:val="0"/>
          <w:sz w:val="32"/>
          <w:szCs w:val="32"/>
        </w:rPr>
        <w:t xml:space="preserve">变动情况。 </w:t>
      </w:r>
      <w:r>
        <w:rPr>
          <w:rFonts w:ascii="仿宋_GB2312" w:eastAsia="仿宋_GB2312" w:cs="仿宋_GB2312" w:hint="eastAsia"/>
          <w:b w:val="0"/>
          <w:bCs w:val="0"/>
          <w:color w:val="000000"/>
          <w:spacing w:val="-14"/>
          <w:kern w:val="0"/>
          <w:sz w:val="32"/>
          <w:szCs w:val="32"/>
          <w:lang w:val="en-US" w:eastAsia="zh-CN"/>
        </w:rPr>
        <w:t xml:space="preserve"> </w:t>
      </w:r>
    </w:p>
    <w:p>
      <w:pPr>
        <w:ind w:firstLineChars="200" w:firstLine="584"/>
        <w:rPr>
          <w:rFonts w:ascii="仿宋_GB2312" w:eastAsia="仿宋_GB2312" w:cs="仿宋_GB2312" w:hint="eastAsia"/>
          <w:b w:val="0"/>
          <w:bCs w:val="0"/>
          <w:color w:val="000000"/>
          <w:spacing w:val="-14"/>
          <w:kern w:val="0"/>
          <w:sz w:val="32"/>
          <w:szCs w:val="32"/>
        </w:rPr>
      </w:pPr>
      <w:r>
        <w:rPr>
          <w:rFonts w:ascii="仿宋_GB2312" w:eastAsia="仿宋_GB2312" w:cs="仿宋_GB2312" w:hint="eastAsia"/>
          <w:b w:val="0"/>
          <w:bCs w:val="0"/>
          <w:color w:val="000000"/>
          <w:spacing w:val="-14"/>
          <w:kern w:val="0"/>
          <w:sz w:val="32"/>
          <w:szCs w:val="32"/>
          <w:lang w:val="en-US" w:eastAsia="zh-CN"/>
        </w:rPr>
        <w:t>3</w:t>
      </w:r>
      <w:r>
        <w:rPr>
          <w:rFonts w:ascii="仿宋_GB2312" w:eastAsia="仿宋_GB2312" w:cs="仿宋_GB2312" w:hint="eastAsia"/>
          <w:b w:val="0"/>
          <w:bCs w:val="0"/>
          <w:color w:val="000000"/>
          <w:spacing w:val="-14"/>
          <w:kern w:val="0"/>
          <w:sz w:val="32"/>
          <w:szCs w:val="32"/>
        </w:rPr>
        <w:t>、本单位本年度年末实有人数为1</w:t>
      </w:r>
      <w:r>
        <w:rPr>
          <w:rFonts w:ascii="仿宋_GB2312" w:eastAsia="仿宋_GB2312" w:cs="仿宋_GB2312" w:hint="eastAsia"/>
          <w:b w:val="0"/>
          <w:bCs w:val="0"/>
          <w:color w:val="000000"/>
          <w:spacing w:val="-14"/>
          <w:kern w:val="0"/>
          <w:sz w:val="32"/>
          <w:szCs w:val="32"/>
          <w:lang w:val="en-US" w:eastAsia="zh-CN"/>
        </w:rPr>
        <w:t>1</w:t>
      </w:r>
      <w:r>
        <w:rPr>
          <w:rFonts w:ascii="仿宋_GB2312" w:eastAsia="仿宋_GB2312" w:cs="仿宋_GB2312" w:hint="eastAsia"/>
          <w:b w:val="0"/>
          <w:bCs w:val="0"/>
          <w:color w:val="000000"/>
          <w:spacing w:val="-14"/>
          <w:kern w:val="0"/>
          <w:sz w:val="32"/>
          <w:szCs w:val="32"/>
        </w:rPr>
        <w:t>人，比上年增加1人</w:t>
      </w:r>
      <w:r>
        <w:rPr>
          <w:rFonts w:ascii="仿宋_GB2312" w:eastAsia="仿宋_GB2312" w:cs="仿宋_GB2312" w:hint="eastAsia"/>
          <w:b w:val="0"/>
          <w:bCs w:val="0"/>
          <w:color w:val="000000"/>
          <w:spacing w:val="-14"/>
          <w:kern w:val="0"/>
          <w:sz w:val="32"/>
          <w:szCs w:val="32"/>
          <w:lang w:val="en-US" w:eastAsia="zh-CN"/>
        </w:rPr>
        <w:t>,</w:t>
      </w:r>
      <w:r>
        <w:rPr>
          <w:rFonts w:ascii="仿宋_GB2312" w:eastAsia="仿宋_GB2312" w:cs="仿宋_GB2312" w:hint="eastAsia"/>
          <w:b w:val="0"/>
          <w:bCs w:val="0"/>
          <w:color w:val="000000"/>
          <w:spacing w:val="-14"/>
          <w:kern w:val="0"/>
          <w:sz w:val="32"/>
          <w:szCs w:val="32"/>
        </w:rPr>
        <w:t>变动情况及原因为</w:t>
      </w: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lang w:val="en-US" w:eastAsia="zh-CN"/>
        </w:rPr>
        <w:t>9月直招一名教师</w:t>
      </w:r>
      <w:r>
        <w:rPr>
          <w:rFonts w:ascii="仿宋_GB2312" w:eastAsia="仿宋_GB2312" w:cs="仿宋_GB2312" w:hint="eastAsia"/>
          <w:b w:val="0"/>
          <w:bCs w:val="0"/>
          <w:color w:val="000000"/>
          <w:spacing w:val="-14"/>
          <w:kern w:val="0"/>
          <w:sz w:val="32"/>
          <w:szCs w:val="32"/>
        </w:rPr>
        <w:t>；年末实有离退休人数为</w:t>
      </w:r>
      <w:r>
        <w:rPr>
          <w:rFonts w:ascii="仿宋_GB2312" w:eastAsia="仿宋_GB2312" w:cs="仿宋_GB2312" w:hint="eastAsia"/>
          <w:b w:val="0"/>
          <w:bCs w:val="0"/>
          <w:color w:val="000000"/>
          <w:spacing w:val="-14"/>
          <w:kern w:val="0"/>
          <w:sz w:val="32"/>
          <w:szCs w:val="32"/>
          <w:lang w:val="en-US" w:eastAsia="zh-CN"/>
        </w:rPr>
        <w:t>7</w:t>
      </w:r>
      <w:r>
        <w:rPr>
          <w:rFonts w:ascii="仿宋_GB2312" w:eastAsia="仿宋_GB2312" w:cs="仿宋_GB2312" w:hint="eastAsia"/>
          <w:b w:val="0"/>
          <w:bCs w:val="0"/>
          <w:color w:val="000000"/>
          <w:spacing w:val="-14"/>
          <w:kern w:val="0"/>
          <w:sz w:val="32"/>
          <w:szCs w:val="32"/>
        </w:rPr>
        <w:t>人，</w:t>
      </w:r>
      <w:r>
        <w:rPr>
          <w:rFonts w:ascii="仿宋_GB2312" w:eastAsia="仿宋_GB2312" w:cs="仿宋_GB2312" w:hint="eastAsia"/>
          <w:b w:val="0"/>
          <w:bCs w:val="0"/>
          <w:color w:val="000000"/>
          <w:spacing w:val="-14"/>
          <w:kern w:val="0"/>
          <w:sz w:val="32"/>
          <w:szCs w:val="32"/>
          <w:lang w:val="en-US" w:eastAsia="zh-CN"/>
        </w:rPr>
        <w:t>无</w:t>
      </w:r>
      <w:r>
        <w:rPr>
          <w:rFonts w:ascii="仿宋_GB2312" w:eastAsia="仿宋_GB2312" w:cs="仿宋_GB2312" w:hint="eastAsia"/>
          <w:b w:val="0"/>
          <w:bCs w:val="0"/>
          <w:color w:val="000000"/>
          <w:spacing w:val="-14"/>
          <w:kern w:val="0"/>
          <w:sz w:val="32"/>
          <w:szCs w:val="32"/>
        </w:rPr>
        <w:t>变动。年末实有其他人数为0人，比上年增加0人；</w:t>
      </w:r>
      <w:r>
        <w:rPr>
          <w:rFonts w:ascii="仿宋_GB2312" w:eastAsia="仿宋_GB2312" w:cs="仿宋_GB2312" w:hint="eastAsia"/>
          <w:b w:val="0"/>
          <w:bCs w:val="0"/>
          <w:color w:val="000000"/>
          <w:spacing w:val="-14"/>
          <w:kern w:val="0"/>
          <w:sz w:val="32"/>
          <w:szCs w:val="32"/>
          <w:lang w:val="en-US" w:eastAsia="zh-CN"/>
        </w:rPr>
        <w:t>无</w:t>
      </w:r>
      <w:r>
        <w:rPr>
          <w:rFonts w:ascii="仿宋_GB2312" w:eastAsia="仿宋_GB2312" w:cs="仿宋_GB2312" w:hint="eastAsia"/>
          <w:b w:val="0"/>
          <w:bCs w:val="0"/>
          <w:color w:val="000000"/>
          <w:spacing w:val="-14"/>
          <w:kern w:val="0"/>
          <w:sz w:val="32"/>
          <w:szCs w:val="32"/>
        </w:rPr>
        <w:t>变动情况。</w:t>
      </w:r>
    </w:p>
    <w:p>
      <w:pPr>
        <w:spacing w:line="480" w:lineRule="auto"/>
        <w:ind w:firstLineChars="200" w:firstLine="640"/>
        <w:jc w:val="left"/>
        <w:rPr>
          <w:rFonts w:ascii="仿宋_GB2312" w:eastAsia="仿宋_GB2312" w:cs="仿宋_GB2312" w:hint="eastAsia"/>
          <w:b w:val="0"/>
          <w:bCs w:val="0"/>
          <w:sz w:val="32"/>
          <w:szCs w:val="32"/>
        </w:rPr>
      </w:pPr>
    </w:p>
    <w:p>
      <w:pPr>
        <w:snapToGrid w:val="0"/>
        <w:spacing w:line="520" w:lineRule="exact"/>
        <w:ind w:firstLineChars="200" w:firstLine="640"/>
        <w:rPr>
          <w:rFonts w:ascii="仿宋_GB2312" w:eastAsia="仿宋_GB2312" w:cs="仿宋_GB2312" w:hint="eastAsia"/>
          <w:b/>
          <w:bCs/>
          <w:sz w:val="32"/>
          <w:szCs w:val="32"/>
        </w:rPr>
      </w:pPr>
      <w:r>
        <w:rPr>
          <w:rFonts w:ascii="仿宋_GB2312" w:eastAsia="仿宋_GB2312" w:cs="仿宋_GB2312" w:hint="eastAsia"/>
          <w:b/>
          <w:bCs/>
          <w:sz w:val="32"/>
          <w:szCs w:val="32"/>
        </w:rPr>
        <w:t>（二）当年取得的主要事业成效</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2312" w:eastAsia="方正仿宋_GB2312" w:cs="方正仿宋_GB2312" w:hint="eastAsia"/>
          <w:b/>
          <w:bCs/>
          <w:sz w:val="32"/>
          <w:szCs w:val="32"/>
          <w:lang w:val="en-US" w:eastAsia="zh-CN"/>
        </w:rPr>
      </w:pPr>
      <w:bookmarkStart w:id="15" w:name="YS060102"/>
      <w:r>
        <w:rPr>
          <w:rFonts w:ascii="方正仿宋_GB2312" w:eastAsia="方正仿宋_GB2312" w:cs="方正仿宋_GB2312" w:hint="eastAsia"/>
          <w:b/>
          <w:bCs/>
          <w:sz w:val="32"/>
          <w:szCs w:val="32"/>
          <w:lang w:val="en-US" w:eastAsia="zh-CN"/>
        </w:rPr>
        <w:t>1、坚持质量立校，在突显特色上强化高质量</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left"/>
        <w:textAlignment w:val="auto"/>
        <w:rPr>
          <w:rFonts w:ascii="方正仿宋_GB2312" w:eastAsia="方正仿宋_GB2312" w:cs="方正仿宋_GB2312" w:hint="eastAsia"/>
          <w:sz w:val="32"/>
          <w:szCs w:val="32"/>
          <w:lang w:val="en-US" w:eastAsia="zh-CN"/>
        </w:rPr>
      </w:pPr>
      <w:r>
        <w:rPr>
          <w:rFonts w:ascii="方正仿宋_GB2312" w:eastAsia="方正仿宋_GB2312" w:cs="方正仿宋_GB2312" w:hint="eastAsia"/>
          <w:sz w:val="32"/>
          <w:szCs w:val="32"/>
          <w:lang w:val="en-US" w:eastAsia="zh-CN"/>
        </w:rPr>
        <w:t>习近平总书记说：“质量兴则党校兴，质量强则党校强。”一年来，县委党校坚持质量立校，在抓理论、挖掘特色、提升基地等方面成效显著。</w:t>
      </w:r>
      <w:r>
        <w:rPr>
          <w:rFonts w:ascii="方正仿宋_GB2312" w:eastAsia="方正仿宋_GB2312" w:cs="方正仿宋_GB2312" w:hint="eastAsia"/>
          <w:b/>
          <w:bCs/>
          <w:sz w:val="32"/>
          <w:szCs w:val="32"/>
          <w:lang w:val="en-US" w:eastAsia="zh-CN"/>
        </w:rPr>
        <w:t>一是深化理论研究。</w:t>
      </w:r>
      <w:r>
        <w:rPr>
          <w:rFonts w:ascii="方正仿宋_GB2312" w:eastAsia="方正仿宋_GB2312" w:cs="方正仿宋_GB2312" w:hint="eastAsia"/>
          <w:sz w:val="32"/>
          <w:szCs w:val="32"/>
          <w:lang w:val="en-US" w:eastAsia="zh-CN"/>
        </w:rPr>
        <w:t>2021年来，我校围绕“三大行动”、“不忘初心 牢记使命”、党风廉政建设等方面，给教研室出题目、交任务，研发了《不忘初心 牢记使命—在红军长征精神中汲取前行力量》、《扬信念之帆 存敬畏之念》、《从习近平七年知青岁月看共产党员的初心》、《持之以恒正风肃纪 扎实推进党风廉政建设和反腐败斗争》等精品课程，有效发挥智库作用。</w:t>
      </w:r>
      <w:r>
        <w:rPr>
          <w:rFonts w:ascii="方正仿宋_GB2312" w:eastAsia="方正仿宋_GB2312" w:cs="方正仿宋_GB2312" w:hint="eastAsia"/>
          <w:b/>
          <w:bCs/>
          <w:sz w:val="32"/>
          <w:szCs w:val="32"/>
          <w:lang w:val="en-US" w:eastAsia="zh-CN"/>
        </w:rPr>
        <w:t>二是挖掘特色资源。</w:t>
      </w:r>
      <w:r>
        <w:rPr>
          <w:rFonts w:ascii="方正仿宋_GB2312" w:eastAsia="方正仿宋_GB2312" w:cs="方正仿宋_GB2312" w:hint="eastAsia"/>
          <w:sz w:val="32"/>
          <w:szCs w:val="32"/>
          <w:lang w:val="en-US" w:eastAsia="zh-CN"/>
        </w:rPr>
        <w:t>县委党校立足于金川丰富红色资源，深挖长征精神史实，以“红军大学”为办学特色，着力传承好长征精神、讲好红军长征感人故事，在重温长征记忆、传承长征精神的同时，推动学员汲取精神动力，为实现全面建成社会主义现代化建设而不断奋斗。我校以推进“用学术讲政治”教学改革为抓手，围绕“红军长征在金川”的史实，打造了《红色金川》课程、《红色记忆·红色金川》纪录片、《金川县长征精神数据库建设资源收集与开发》等特色课程。</w:t>
      </w:r>
      <w:r>
        <w:rPr>
          <w:rFonts w:ascii="方正仿宋_GB2312" w:eastAsia="方正仿宋_GB2312" w:cs="方正仿宋_GB2312" w:hint="eastAsia"/>
          <w:b/>
          <w:bCs/>
          <w:sz w:val="32"/>
          <w:szCs w:val="32"/>
          <w:lang w:val="en-US" w:eastAsia="zh-CN"/>
        </w:rPr>
        <w:t>三是建强教学基地。</w:t>
      </w:r>
      <w:r>
        <w:rPr>
          <w:rFonts w:ascii="方正仿宋_GB2312" w:eastAsia="方正仿宋_GB2312" w:cs="方正仿宋_GB2312" w:hint="eastAsia"/>
          <w:sz w:val="32"/>
          <w:szCs w:val="32"/>
          <w:lang w:val="en-US" w:eastAsia="zh-CN"/>
        </w:rPr>
        <w:t>我校高度重视现场教学基地建设和案例式教学，积极协调相关单位，完善基础设施。同时，在扎实做好现场教学基地品牌建设和资源开发的基础上，扎实做好资源挖掘和内涵提升，编制《红军长征在金川纪念馆方案》，完善“红军长征在金川”的现场教学路线，请州委党校三位高级讲师集体打造《“乾隆御碑”教学点教学套课》，推动教育教学资源的全面整合提升。</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left"/>
        <w:textAlignment w:val="auto"/>
        <w:rPr>
          <w:rFonts w:ascii="方正仿宋_GB2312" w:eastAsia="方正仿宋_GB2312" w:cs="方正仿宋_GB2312" w:hint="eastAsia"/>
          <w:b/>
          <w:bCs/>
          <w:sz w:val="32"/>
          <w:szCs w:val="32"/>
          <w:lang w:val="en-US" w:eastAsia="zh-CN"/>
        </w:rPr>
      </w:pPr>
      <w:r>
        <w:rPr>
          <w:rFonts w:ascii="方正仿宋_GB2312" w:eastAsia="方正仿宋_GB2312" w:cs="方正仿宋_GB2312" w:hint="eastAsia"/>
          <w:b/>
          <w:bCs/>
          <w:sz w:val="32"/>
          <w:szCs w:val="32"/>
          <w:lang w:val="en-US" w:eastAsia="zh-CN"/>
        </w:rPr>
        <w:t>2.坚持围绕中心，在服务大局上彰显高质量</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both"/>
        <w:textAlignment w:val="auto"/>
        <w:rPr>
          <w:rFonts w:ascii="方正仿宋_GB2312" w:eastAsia="方正仿宋_GB2312" w:cs="方正仿宋_GB2312" w:hint="eastAsia"/>
          <w:sz w:val="32"/>
          <w:szCs w:val="32"/>
          <w:lang w:val="en-US" w:eastAsia="zh-CN"/>
        </w:rPr>
      </w:pPr>
      <w:r>
        <w:rPr>
          <w:rFonts w:ascii="方正仿宋_GB2312" w:eastAsia="方正仿宋_GB2312" w:cs="方正仿宋_GB2312" w:hint="eastAsia"/>
          <w:sz w:val="32"/>
          <w:szCs w:val="32"/>
          <w:lang w:val="en-US" w:eastAsia="zh-CN"/>
        </w:rPr>
        <w:t>县委党校围绕县委县政府中心工作，主动作为，扎实开展培训工作。</w:t>
      </w:r>
      <w:r>
        <w:rPr>
          <w:rFonts w:ascii="方正仿宋_GB2312" w:eastAsia="方正仿宋_GB2312" w:cs="方正仿宋_GB2312" w:hint="eastAsia"/>
          <w:b/>
          <w:bCs/>
          <w:sz w:val="32"/>
          <w:szCs w:val="32"/>
          <w:lang w:val="en-US" w:eastAsia="zh-CN"/>
        </w:rPr>
        <w:t>一是发挥党性锤炼的主渠道作用。</w:t>
      </w:r>
      <w:r>
        <w:rPr>
          <w:rFonts w:ascii="方正仿宋_GB2312" w:eastAsia="方正仿宋_GB2312" w:cs="方正仿宋_GB2312" w:hint="eastAsia"/>
          <w:sz w:val="32"/>
          <w:szCs w:val="32"/>
          <w:lang w:val="en-US" w:eastAsia="zh-CN"/>
        </w:rPr>
        <w:t>一年来，县委党校注重锤炼党员干部的信念，依托现场教学基地-红军长征在金川纪念馆，举办34期，来自省、州、县机关单位、乡镇、企业，共65多个单位、850余人次。</w:t>
      </w:r>
      <w:r>
        <w:rPr>
          <w:rFonts w:ascii="方正仿宋_GB2312" w:eastAsia="方正仿宋_GB2312" w:cs="方正仿宋_GB2312" w:hint="eastAsia"/>
          <w:b/>
          <w:bCs/>
          <w:sz w:val="32"/>
          <w:szCs w:val="32"/>
          <w:lang w:val="en-US" w:eastAsia="zh-CN"/>
        </w:rPr>
        <w:t>二是发挥能力提升的主阵地作用。</w:t>
      </w:r>
      <w:r>
        <w:rPr>
          <w:rFonts w:ascii="方正仿宋_GB2312" w:eastAsia="方正仿宋_GB2312" w:cs="方正仿宋_GB2312" w:hint="eastAsia"/>
          <w:sz w:val="32"/>
          <w:szCs w:val="32"/>
          <w:lang w:val="en-US" w:eastAsia="zh-CN"/>
        </w:rPr>
        <w:t xml:space="preserve">聚焦着力解决基层一线干部的知识弱项、能力短板问题，围绕打好“三大攻坚战”、推进乡村振兴、法律法规等方面，采取课堂讲授、现场教学、异地教学等方式，全年举办13期主体班培训，共计1000人次，提升了我县干部队伍专业化能力水平，较好推动了县委重大决策部署的贯彻落实。 </w:t>
      </w:r>
      <w:r>
        <w:rPr>
          <w:rFonts w:ascii="方正仿宋_GB2312" w:eastAsia="方正仿宋_GB2312" w:cs="方正仿宋_GB2312" w:hint="eastAsia"/>
          <w:b/>
          <w:bCs/>
          <w:sz w:val="32"/>
          <w:szCs w:val="32"/>
          <w:lang w:val="en-US" w:eastAsia="zh-CN"/>
        </w:rPr>
        <w:t>三是发挥理论宣讲的主力军作用。</w:t>
      </w:r>
      <w:r>
        <w:rPr>
          <w:rFonts w:ascii="方正仿宋_GB2312" w:eastAsia="方正仿宋_GB2312" w:cs="方正仿宋_GB2312" w:hint="eastAsia"/>
          <w:sz w:val="32"/>
          <w:szCs w:val="32"/>
          <w:lang w:val="en-US" w:eastAsia="zh-CN"/>
        </w:rPr>
        <w:t>县委党校是干部培训的主阵地，也是意识形态工作的最前沿。按照上级部门要求，围绕全国两会、党的十九届五中全会、中央第七次西藏工作座谈会精神、省委十一届七次八次全会、州委十一届九次十次全会、县委十二届九次十次全会，积极配合州委宣讲团和县委宣传部开展宣讲工作。一年来，我校老师已经被抽调三次，4人到县委宣讲团，</w:t>
      </w:r>
    </w:p>
    <w:p>
      <w:pPr>
        <w:pStyle w:val="1"/>
        <w:ind w:right="440"/>
        <w:jc w:val="right"/>
      </w:pPr>
      <w:r>
        <w:rPr>
          <w:rFonts w:ascii="黑体" w:eastAsia="黑体" w:cs="黑体" w:hint="eastAsia"/>
          <w:sz w:val="32"/>
          <w:szCs w:val="32"/>
          <w:lang w:val="en-US" w:eastAsia="zh-CN"/>
        </w:rPr>
        <w:t>二、</w:t>
      </w:r>
      <w:bookmarkStart w:id="16" w:name="_Toc32723"/>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b w:val="0"/>
          <w:bCs w:val="0"/>
        </w:rPr>
        <w:t>202</w:t>
      </w:r>
      <w:r>
        <w:rPr>
          <w:rStyle w:val="1Char"/>
          <w:rFonts w:ascii="黑体" w:eastAsia="黑体" w:hint="eastAsia"/>
          <w:b w:val="0"/>
          <w:bCs w:val="0"/>
          <w:lang w:val="en-US"/>
        </w:rPr>
        <w:t>1</w:t>
      </w:r>
      <w:r>
        <w:rPr>
          <w:rStyle w:val="1Char"/>
          <w:rFonts w:ascii="黑体" w:eastAsia="黑体" w:hint="eastAsia"/>
          <w:b w:val="0"/>
          <w:bCs w:val="0"/>
        </w:rPr>
        <w:t>年度部门决算情况说明</w:t>
      </w:r>
      <w:bookmarkEnd w:id="16"/>
    </w:p>
    <w:p>
      <w:pPr>
        <w:snapToGrid w:val="0"/>
        <w:spacing w:line="520" w:lineRule="exact"/>
        <w:rPr>
          <w:rFonts w:ascii="仿宋_GB2312" w:eastAsia="仿宋_GB2312" w:cs="仿宋_GB2312" w:hint="eastAsia"/>
          <w:b w:val="0"/>
          <w:bCs w:val="0"/>
          <w:sz w:val="32"/>
          <w:szCs w:val="32"/>
        </w:rPr>
      </w:pPr>
      <w:bookmarkEnd w:id="15"/>
      <w:r>
        <w:rPr>
          <w:rFonts w:ascii="仿宋_GB2312" w:eastAsia="仿宋_GB2312" w:cs="仿宋_GB2312" w:hint="eastAsia"/>
          <w:b/>
          <w:bCs/>
          <w:sz w:val="32"/>
          <w:szCs w:val="32"/>
        </w:rPr>
        <w:t>（一）收入支出预算安排情况</w:t>
      </w:r>
    </w:p>
    <w:p>
      <w:pPr>
        <w:snapToGrid w:val="0"/>
        <w:spacing w:line="520" w:lineRule="exact"/>
        <w:ind w:firstLineChars="200" w:firstLine="640"/>
        <w:rPr>
          <w:rFonts w:ascii="仿宋_GB2312" w:eastAsia="仿宋_GB2312" w:cs="仿宋_GB2312" w:hint="eastAsia"/>
          <w:b w:val="0"/>
          <w:bCs w:val="0"/>
          <w:sz w:val="32"/>
          <w:szCs w:val="32"/>
        </w:rPr>
      </w:pPr>
      <w:r>
        <w:rPr>
          <w:rFonts w:ascii="仿宋_GB2312" w:eastAsia="仿宋_GB2312" w:cs="仿宋_GB2312" w:hint="eastAsia"/>
          <w:sz w:val="32"/>
          <w:szCs w:val="32"/>
          <w:shd w:val="clear" w:color="auto" w:fill="FFFFFF"/>
        </w:rPr>
        <w:t>本单位本年度收入的年初预算数为</w:t>
      </w:r>
      <w:r>
        <w:rPr>
          <w:rFonts w:ascii="仿宋_GB2312" w:eastAsia="仿宋_GB2312" w:cs="仿宋_GB2312" w:hint="eastAsia"/>
          <w:sz w:val="32"/>
          <w:szCs w:val="32"/>
          <w:shd w:val="clear" w:color="auto" w:fill="FFFFFF"/>
          <w:lang w:val="en-US" w:eastAsia="zh-CN"/>
        </w:rPr>
        <w:t>157.69</w:t>
      </w:r>
      <w:r>
        <w:rPr>
          <w:rFonts w:ascii="仿宋_GB2312" w:eastAsia="仿宋_GB2312" w:cs="仿宋_GB2312" w:hint="eastAsia"/>
          <w:sz w:val="32"/>
          <w:szCs w:val="32"/>
          <w:shd w:val="clear" w:color="auto" w:fill="FFFFFF"/>
        </w:rPr>
        <w:t>万元，上年度收入的年初预算数为170.46万元，差异为</w:t>
      </w:r>
      <w:r>
        <w:rPr>
          <w:rFonts w:ascii="仿宋_GB2312" w:eastAsia="仿宋_GB2312" w:cs="仿宋_GB2312" w:hint="eastAsia"/>
          <w:sz w:val="32"/>
          <w:szCs w:val="32"/>
          <w:shd w:val="clear" w:color="auto" w:fill="FFFFFF"/>
          <w:lang w:val="en-US" w:eastAsia="zh-CN"/>
        </w:rPr>
        <w:t>12.77</w:t>
      </w:r>
      <w:r>
        <w:rPr>
          <w:rFonts w:ascii="仿宋_GB2312" w:eastAsia="仿宋_GB2312" w:cs="仿宋_GB2312" w:hint="eastAsia"/>
          <w:sz w:val="32"/>
          <w:szCs w:val="32"/>
          <w:shd w:val="clear" w:color="auto" w:fill="FFFFFF"/>
        </w:rPr>
        <w:t>万元；</w:t>
      </w:r>
      <w:r>
        <w:rPr>
          <w:rStyle w:val="24"/>
          <w:rFonts w:ascii="仿宋_GB2312" w:eastAsia="仿宋_GB2312" w:cs="仿宋_GB2312" w:hint="eastAsia"/>
          <w:b w:val="0"/>
          <w:bCs w:val="0"/>
          <w:sz w:val="32"/>
          <w:szCs w:val="32"/>
          <w:shd w:val="clear" w:color="auto" w:fill="FFFFFF"/>
        </w:rPr>
        <w:t>主要原因为</w:t>
      </w:r>
      <w:r>
        <w:rPr>
          <w:rStyle w:val="24"/>
          <w:rFonts w:ascii="仿宋_GB2312" w:eastAsia="仿宋_GB2312" w:cs="仿宋_GB2312" w:hint="eastAsia"/>
          <w:b w:val="0"/>
          <w:bCs w:val="0"/>
          <w:sz w:val="32"/>
          <w:szCs w:val="32"/>
          <w:shd w:val="clear" w:color="auto" w:fill="FFFFFF"/>
          <w:lang w:val="en-US" w:eastAsia="zh-CN"/>
        </w:rPr>
        <w:t>本年度无采购经费，预算收入减少</w:t>
      </w:r>
      <w:r>
        <w:rPr>
          <w:rFonts w:ascii="仿宋_GB2312" w:eastAsia="仿宋_GB2312" w:cs="仿宋_GB2312" w:hint="eastAsia"/>
          <w:b w:val="0"/>
          <w:bCs w:val="0"/>
          <w:sz w:val="32"/>
          <w:szCs w:val="32"/>
          <w:shd w:val="clear" w:color="auto" w:fill="FFFFFF"/>
        </w:rPr>
        <w:t>。</w:t>
      </w:r>
      <w:r>
        <w:rPr>
          <w:rFonts w:ascii="仿宋_GB2312" w:eastAsia="仿宋_GB2312" w:cs="仿宋_GB2312" w:hint="eastAsia"/>
          <w:sz w:val="32"/>
          <w:szCs w:val="32"/>
          <w:shd w:val="clear" w:color="auto" w:fill="FFFFFF"/>
        </w:rPr>
        <w:t>本年度支出的年初预算数为</w:t>
      </w:r>
      <w:r>
        <w:rPr>
          <w:rFonts w:ascii="仿宋_GB2312" w:eastAsia="仿宋_GB2312" w:cs="仿宋_GB2312" w:hint="eastAsia"/>
          <w:sz w:val="32"/>
          <w:szCs w:val="32"/>
          <w:shd w:val="clear" w:color="auto" w:fill="FFFFFF"/>
          <w:lang w:val="en-US" w:eastAsia="zh-CN"/>
        </w:rPr>
        <w:t>157.69</w:t>
      </w:r>
      <w:r>
        <w:rPr>
          <w:rFonts w:ascii="仿宋_GB2312" w:eastAsia="仿宋_GB2312" w:cs="仿宋_GB2312" w:hint="eastAsia"/>
          <w:sz w:val="32"/>
          <w:szCs w:val="32"/>
          <w:shd w:val="clear" w:color="auto" w:fill="FFFFFF"/>
        </w:rPr>
        <w:t>万元，上年度支出的年初预算数为</w:t>
      </w:r>
      <w:r>
        <w:rPr>
          <w:rFonts w:ascii="仿宋_GB2312" w:eastAsia="仿宋_GB2312" w:cs="仿宋_GB2312" w:hint="eastAsia"/>
          <w:sz w:val="32"/>
          <w:szCs w:val="32"/>
          <w:shd w:val="clear" w:color="auto" w:fill="FFFFFF"/>
          <w:lang w:val="en-US" w:eastAsia="zh-CN"/>
        </w:rPr>
        <w:t>170.46</w:t>
      </w:r>
      <w:r>
        <w:rPr>
          <w:rFonts w:ascii="仿宋_GB2312" w:eastAsia="仿宋_GB2312" w:cs="仿宋_GB2312" w:hint="eastAsia"/>
          <w:sz w:val="32"/>
          <w:szCs w:val="32"/>
          <w:shd w:val="clear" w:color="auto" w:fill="FFFFFF"/>
        </w:rPr>
        <w:t>万元，差异为</w:t>
      </w:r>
      <w:r>
        <w:rPr>
          <w:rFonts w:ascii="仿宋_GB2312" w:eastAsia="仿宋_GB2312" w:cs="仿宋_GB2312" w:hint="eastAsia"/>
          <w:sz w:val="32"/>
          <w:szCs w:val="32"/>
          <w:shd w:val="clear" w:color="auto" w:fill="FFFFFF"/>
          <w:lang w:val="en-US" w:eastAsia="zh-CN"/>
        </w:rPr>
        <w:t>12.77</w:t>
      </w:r>
      <w:r>
        <w:rPr>
          <w:rFonts w:ascii="仿宋_GB2312" w:eastAsia="仿宋_GB2312" w:cs="仿宋_GB2312" w:hint="eastAsia"/>
          <w:sz w:val="32"/>
          <w:szCs w:val="32"/>
          <w:shd w:val="clear" w:color="auto" w:fill="FFFFFF"/>
        </w:rPr>
        <w:t>万元；</w:t>
      </w:r>
      <w:r>
        <w:rPr>
          <w:rStyle w:val="24"/>
          <w:rFonts w:ascii="仿宋_GB2312" w:eastAsia="仿宋_GB2312" w:cs="仿宋_GB2312" w:hint="eastAsia"/>
          <w:b w:val="0"/>
          <w:bCs w:val="0"/>
          <w:sz w:val="32"/>
          <w:szCs w:val="32"/>
          <w:shd w:val="clear" w:color="auto" w:fill="FFFFFF"/>
        </w:rPr>
        <w:t>主要原因为原因</w:t>
      </w:r>
      <w:r>
        <w:rPr>
          <w:rStyle w:val="24"/>
          <w:rFonts w:ascii="仿宋_GB2312" w:eastAsia="仿宋_GB2312" w:cs="仿宋_GB2312" w:hint="eastAsia"/>
          <w:b w:val="0"/>
          <w:bCs w:val="0"/>
          <w:sz w:val="32"/>
          <w:szCs w:val="32"/>
          <w:shd w:val="clear" w:color="auto" w:fill="FFFFFF"/>
          <w:lang w:val="en-US" w:eastAsia="zh-CN"/>
        </w:rPr>
        <w:t>本年度无采购经费，预算支</w:t>
      </w:r>
      <w:r>
        <w:rPr>
          <w:rFonts w:ascii="仿宋_GB2312" w:eastAsia="仿宋_GB2312" w:cs="仿宋_GB2312" w:hint="eastAsia"/>
          <w:b w:val="0"/>
          <w:bCs w:val="0"/>
          <w:sz w:val="32"/>
          <w:szCs w:val="32"/>
          <w:lang w:val="en-US" w:eastAsia="zh-CN"/>
        </w:rPr>
        <w:t>出减少</w:t>
      </w:r>
      <w:r>
        <w:rPr>
          <w:rFonts w:ascii="仿宋_GB2312" w:eastAsia="仿宋_GB2312" w:cs="仿宋_GB2312" w:hint="eastAsia"/>
          <w:b w:val="0"/>
          <w:bCs w:val="0"/>
          <w:sz w:val="32"/>
          <w:szCs w:val="32"/>
        </w:rPr>
        <w:t>。(可用柱形图或折线图)</w:t>
      </w:r>
    </w:p>
    <w:p>
      <w:pPr>
        <w:snapToGrid w:val="0"/>
        <w:spacing w:line="520" w:lineRule="exact"/>
        <w:ind w:firstLineChars="200" w:firstLine="640"/>
        <w:rPr>
          <w:rFonts w:ascii="仿宋_GB2312" w:eastAsia="仿宋_GB2312" w:cs="仿宋_GB2312" w:hint="eastAsia"/>
          <w:b w:val="0"/>
          <w:bCs w:val="0"/>
          <w:sz w:val="32"/>
          <w:szCs w:val="32"/>
        </w:rPr>
      </w:pPr>
      <w:r>
        <w:rPr>
          <w:rFonts w:ascii="仿宋_GB2312" w:eastAsia="仿宋_GB2312" w:cs="仿宋_GB2312" w:hint="eastAsia"/>
          <w:b w:val="0"/>
          <w:bCs w:val="0"/>
          <w:sz w:val="32"/>
          <w:szCs w:val="32"/>
        </w:rPr>
        <w:t>当年收入</w:t>
      </w:r>
      <w:r>
        <w:rPr>
          <w:rFonts w:ascii="仿宋_GB2312" w:eastAsia="仿宋_GB2312" w:cs="仿宋_GB2312" w:hint="eastAsia"/>
          <w:b w:val="0"/>
          <w:bCs w:val="0"/>
          <w:sz w:val="32"/>
          <w:szCs w:val="32"/>
          <w:lang w:eastAsia="zh-CN"/>
        </w:rPr>
        <w:t>、</w:t>
      </w:r>
      <w:r>
        <w:rPr>
          <w:rFonts w:ascii="仿宋_GB2312" w:eastAsia="仿宋_GB2312" w:cs="仿宋_GB2312" w:hint="eastAsia"/>
          <w:b w:val="0"/>
          <w:bCs w:val="0"/>
          <w:sz w:val="32"/>
          <w:szCs w:val="32"/>
        </w:rPr>
        <w:t>支出</w:t>
      </w:r>
      <w:r>
        <w:rPr>
          <w:rFonts w:ascii="仿宋_GB2312" w:eastAsia="仿宋_GB2312" w:cs="仿宋_GB2312" w:hint="eastAsia"/>
          <w:b w:val="0"/>
          <w:bCs w:val="0"/>
          <w:sz w:val="32"/>
          <w:szCs w:val="32"/>
          <w:lang w:eastAsia="zh-CN"/>
        </w:rPr>
        <w:t>年初预算安排</w:t>
      </w:r>
      <w:r>
        <w:rPr>
          <w:rFonts w:ascii="仿宋_GB2312" w:eastAsia="仿宋_GB2312" w:cs="仿宋_GB2312" w:hint="eastAsia"/>
          <w:b w:val="0"/>
          <w:bCs w:val="0"/>
          <w:sz w:val="32"/>
          <w:szCs w:val="32"/>
        </w:rPr>
        <w:t>情况，与上年度对比情况，用柱形图表示如下：</w:t>
      </w:r>
    </w:p>
    <w:p>
      <w:pPr>
        <w:snapToGrid w:val="0"/>
        <w:spacing w:line="560" w:lineRule="exact"/>
        <w:ind w:firstLineChars="200" w:firstLine="640"/>
        <w:rPr>
          <w:rFonts w:ascii="仿宋_GB2312" w:eastAsia="仿宋_GB2312" w:cs="仿宋_GB2312" w:hint="eastAsia"/>
          <w:b w:val="0"/>
          <w:bCs w:val="0"/>
          <w:sz w:val="32"/>
          <w:szCs w:val="32"/>
          <w:lang w:eastAsia="zh-CN"/>
        </w:rPr>
      </w:pPr>
      <w:r>
        <w:rPr>
          <w:rFonts w:ascii="仿宋_GB2312" w:eastAsia="仿宋_GB2312" w:cs="仿宋_GB2312" w:hint="eastAsia"/>
          <w:b w:val="0"/>
          <w:bCs w:val="0"/>
          <w:sz w:val="32"/>
          <w:szCs w:val="32"/>
          <w:lang w:eastAsia="zh-CN"/>
        </w:rPr>
        <w:t>单位：万元</w:t>
      </w:r>
    </w:p>
    <w:p>
      <w:pPr>
        <w:snapToGrid w:val="0"/>
        <w:spacing w:line="560" w:lineRule="exact"/>
        <w:ind w:firstLineChars="200" w:firstLine="420"/>
        <w:rPr>
          <w:rFonts w:ascii="楷体" w:eastAsia="楷体" w:cs="楷体" w:hint="eastAsia"/>
          <w:b/>
          <w:bCs/>
          <w:sz w:val="32"/>
          <w:szCs w:val="32"/>
        </w:rPr>
      </w:pPr>
      <w:r>
        <w:drawing>
          <wp:anchor distT="0" distB="0" distL="114300" distR="114300" simplePos="0" relativeHeight="19" behindDoc="0" locked="0" layoutInCell="1" hidden="0" allowOverlap="1">
            <wp:simplePos x="0" y="0"/>
            <wp:positionH relativeFrom="column">
              <wp:posOffset>276860</wp:posOffset>
            </wp:positionH>
            <wp:positionV relativeFrom="page">
              <wp:posOffset>3308350</wp:posOffset>
            </wp:positionV>
            <wp:extent cx="4572000" cy="2785109"/>
            <wp:effectExtent l="0" t="0" r="0" b="0"/>
            <wp:wrapTopAndBottom/>
            <wp:docPr id="1" name="图表 3"/>
            <wp:cNvGraphicFramePr>
              <a:graphicFrameLocks noChangeAspect="0"/>
            </wp:cNvGraphicFramePr>
            <a:graphic>
              <a:graphicData uri="http://schemas.openxmlformats.org/drawingml/2006/chart">
                <c:chart xmlns:c="http://schemas.openxmlformats.org/drawingml/2006/chart" r:id="rId4"/>
              </a:graphicData>
            </a:graphic>
          </wp:anchor>
        </w:drawing>
      </w:r>
      <w:r>
        <w:rPr>
          <w:rFonts w:ascii="楷体" w:eastAsia="楷体" w:cs="楷体" w:hint="eastAsia"/>
          <w:b/>
          <w:bCs/>
          <w:sz w:val="32"/>
          <w:szCs w:val="32"/>
          <w:lang w:eastAsia="zh-CN"/>
        </w:rPr>
        <w:t>（</w:t>
      </w:r>
      <w:r>
        <w:rPr>
          <w:rFonts w:ascii="楷体" w:eastAsia="楷体" w:cs="楷体" w:hint="eastAsia"/>
          <w:b/>
          <w:bCs/>
          <w:sz w:val="32"/>
          <w:szCs w:val="32"/>
        </w:rPr>
        <w:t>二）收入支出预算执行情况</w:t>
      </w:r>
    </w:p>
    <w:p>
      <w:pPr>
        <w:snapToGrid w:val="0"/>
        <w:spacing w:line="520" w:lineRule="exact"/>
        <w:ind w:firstLineChars="200" w:firstLine="640"/>
        <w:rPr>
          <w:rFonts w:ascii="仿宋_GB2312" w:eastAsia="仿宋_GB2312" w:cs="仿宋_GB2312" w:hint="eastAsia"/>
          <w:kern w:val="2"/>
          <w:sz w:val="32"/>
          <w:szCs w:val="32"/>
          <w:shd w:val="clear" w:color="auto" w:fill="FFFFFF"/>
          <w:lang w:val="en-US" w:eastAsia="zh-CN" w:bidi="ar-SA"/>
        </w:rPr>
      </w:pPr>
      <w:r>
        <w:rPr>
          <w:rFonts w:ascii="仿宋_GB2312" w:eastAsia="仿宋_GB2312" w:cs="仿宋_GB2312" w:hint="eastAsia"/>
          <w:kern w:val="2"/>
          <w:sz w:val="32"/>
          <w:szCs w:val="32"/>
          <w:shd w:val="clear" w:color="auto" w:fill="FFFFFF"/>
          <w:lang w:val="en-US" w:eastAsia="zh-CN" w:bidi="ar-SA"/>
        </w:rPr>
        <w:t>本单位本年度收入调整预算数为221.59万元，收入决算数为221.59万元，预算完成度为100.00%，上年度收入调整预算数为217.81万元，收入决算数为217.81万元，预算完成度为100.00%，存在差异的主要原因为人员增加，增加了经费。本年度支出调整预算数为221.59万元，支出决算数为221.59万元，预算完成度为100.00%，上年度预算完成度为100.00%。</w:t>
      </w:r>
    </w:p>
    <w:p>
      <w:pPr>
        <w:snapToGrid w:val="0"/>
        <w:spacing w:line="520" w:lineRule="exact"/>
        <w:ind w:firstLineChars="200" w:firstLine="640"/>
        <w:rPr>
          <w:rFonts w:ascii="仿宋_GB2312" w:eastAsia="仿宋_GB2312" w:cs="仿宋_GB2312" w:hint="eastAsia"/>
          <w:kern w:val="2"/>
          <w:sz w:val="32"/>
          <w:szCs w:val="32"/>
          <w:shd w:val="clear" w:color="auto" w:fill="FFFFFF"/>
          <w:lang w:val="en-US" w:eastAsia="zh-CN" w:bidi="ar-SA"/>
        </w:rPr>
      </w:pPr>
      <w:r>
        <w:rPr>
          <w:rFonts w:ascii="仿宋_GB2312" w:eastAsia="仿宋_GB2312" w:cs="仿宋_GB2312" w:hint="eastAsia"/>
          <w:kern w:val="2"/>
          <w:sz w:val="32"/>
          <w:szCs w:val="32"/>
          <w:shd w:val="clear" w:color="auto" w:fill="FFFFFF"/>
          <w:lang w:val="en-US" w:eastAsia="zh-CN" w:bidi="ar-SA"/>
        </w:rPr>
        <w:t xml:space="preserve">当年收入、支出年初预算执行情况，与上年度对比情况，用柱形图表示如下：  </w:t>
      </w:r>
    </w:p>
    <w:p>
      <w:pPr>
        <w:snapToGrid w:val="0"/>
        <w:spacing w:line="520" w:lineRule="exact"/>
        <w:ind w:firstLineChars="200" w:firstLine="640"/>
        <w:rPr>
          <w:rFonts w:ascii="仿宋_GB2312" w:eastAsia="仿宋_GB2312" w:cs="仿宋_GB2312" w:hint="eastAsia"/>
          <w:b w:val="0"/>
          <w:bCs w:val="0"/>
          <w:sz w:val="32"/>
          <w:szCs w:val="32"/>
        </w:rPr>
      </w:pPr>
      <w:r>
        <w:rPr>
          <w:rFonts w:ascii="仿宋_GB2312" w:eastAsia="仿宋_GB2312" w:cs="仿宋_GB2312" w:hint="eastAsia"/>
          <w:kern w:val="2"/>
          <w:sz w:val="32"/>
          <w:szCs w:val="32"/>
          <w:shd w:val="clear" w:color="auto" w:fill="FFFFFF"/>
          <w:lang w:val="en-US" w:eastAsia="zh-CN" w:bidi="ar-SA"/>
        </w:rPr>
        <w:t>单位：万元</w:t>
      </w:r>
      <w:r>
        <w:drawing>
          <wp:anchor distT="0" distB="0" distL="114300" distR="114300" simplePos="0" relativeHeight="21" behindDoc="0" locked="0" layoutInCell="1" hidden="0" allowOverlap="1">
            <wp:simplePos x="0" y="0"/>
            <wp:positionH relativeFrom="column">
              <wp:posOffset>324485</wp:posOffset>
            </wp:positionH>
            <wp:positionV relativeFrom="page">
              <wp:posOffset>1365885</wp:posOffset>
            </wp:positionV>
            <wp:extent cx="4572000" cy="2757170"/>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p>
    <w:p>
      <w:pPr>
        <w:spacing w:line="560" w:lineRule="exact"/>
        <w:ind w:firstLineChars="200" w:firstLine="640"/>
        <w:rPr>
          <w:rFonts w:ascii="仿宋_GB2312" w:eastAsia="仿宋_GB2312" w:cs="仿宋_GB2312" w:hint="eastAsia"/>
          <w:b/>
          <w:bCs/>
          <w:sz w:val="32"/>
          <w:szCs w:val="32"/>
        </w:rPr>
      </w:pPr>
      <w:r>
        <w:rPr>
          <w:rFonts w:ascii="仿宋_GB2312" w:eastAsia="仿宋_GB2312" w:cs="仿宋_GB2312" w:hint="eastAsia"/>
          <w:b/>
          <w:bCs/>
          <w:sz w:val="32"/>
          <w:szCs w:val="32"/>
        </w:rPr>
        <w:t>1．收入支出与预算对比分析。</w:t>
      </w:r>
    </w:p>
    <w:p>
      <w:pPr>
        <w:spacing w:line="560" w:lineRule="exact"/>
        <w:ind w:firstLineChars="200" w:firstLine="640"/>
        <w:rPr>
          <w:rFonts w:ascii="仿宋_GB2312" w:eastAsia="仿宋_GB2312" w:cs="仿宋_GB2312" w:hint="eastAsia"/>
          <w:b w:val="0"/>
          <w:bCs w:val="0"/>
          <w:sz w:val="32"/>
          <w:szCs w:val="32"/>
        </w:rPr>
      </w:pPr>
      <w:r>
        <w:rPr>
          <w:rFonts w:ascii="仿宋_GB2312" w:eastAsia="仿宋_GB2312" w:cs="仿宋_GB2312" w:hint="eastAsia"/>
          <w:b w:val="0"/>
          <w:bCs w:val="0"/>
          <w:sz w:val="32"/>
          <w:szCs w:val="32"/>
        </w:rPr>
        <w:t>（1）预、决算差异情况，可分收入支出功能科目、分单位、分收入支出具体项目逐项对比，用表格表示如下：</w:t>
      </w:r>
    </w:p>
    <w:p>
      <w:pPr>
        <w:snapToGrid w:val="0"/>
        <w:spacing w:line="520" w:lineRule="exact"/>
        <w:ind w:firstLineChars="200" w:firstLine="640"/>
        <w:rPr>
          <w:rFonts w:ascii="仿宋_GB2312" w:eastAsia="仿宋_GB2312" w:cs="仿宋_GB2312" w:hint="eastAsia"/>
          <w:b w:val="0"/>
          <w:bCs w:val="0"/>
          <w:sz w:val="32"/>
          <w:szCs w:val="32"/>
        </w:rPr>
      </w:pPr>
      <w:r>
        <w:rPr>
          <w:rFonts w:ascii="仿宋_GB2312" w:eastAsia="仿宋_GB2312" w:cs="仿宋_GB2312" w:hint="eastAsia"/>
          <w:b w:val="0"/>
          <w:bCs w:val="0"/>
          <w:sz w:val="32"/>
          <w:szCs w:val="32"/>
        </w:rPr>
        <w:t>单位；万元</w:t>
      </w:r>
    </w:p>
    <w:tbl>
      <w:tblPr>
        <w:jc w:val="left"/>
        <w:tblInd w:w="211" w:type="dxa"/>
        <w:tblW w:w="7768" w:type="dxa"/>
        <w:tblCellSpacing w:w="0" w:type="dxa"/>
        <w:tblBorders>
          <w:top w:val="outset" w:sz="6" w:space="0" w:color="auto"/>
          <w:left w:val="outset" w:sz="6" w:space="0" w:color="auto"/>
          <w:bottom w:val="outset" w:sz="6" w:space="0" w:color="auto"/>
          <w:right w:val="outset" w:sz="6" w:space="0" w:color="auto"/>
        </w:tblBorders>
        <w:tblLayout w:type="fixed"/>
        <w:tblCellMar>
          <w:top w:w="0" w:type="dxa"/>
          <w:left w:w="0" w:type="dxa"/>
          <w:bottom w:w="0" w:type="dxa"/>
          <w:right w:w="0" w:type="dxa"/>
        </w:tblCellMar>
      </w:tblPr>
      <w:tblGrid>
        <w:gridCol w:w="2561"/>
        <w:gridCol w:w="1872"/>
        <w:gridCol w:w="1872"/>
        <w:gridCol w:w="1463"/>
      </w:tblGrid>
      <w:tr>
        <w:trPr>
          <w:trHeight w:val="524"/>
        </w:trPr>
        <w:tc>
          <w:tcPr>
            <w:tcW w:w="2561"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jc w:val="center"/>
              <w:rPr>
                <w:rFonts w:ascii="仿宋_GB2312" w:eastAsia="仿宋_GB2312" w:cs="仿宋_GB2312" w:hint="eastAsia"/>
                <w:b w:val="0"/>
                <w:bCs w:val="0"/>
                <w:color w:val="333333"/>
                <w:kern w:val="0"/>
                <w:sz w:val="32"/>
                <w:szCs w:val="32"/>
              </w:rPr>
            </w:pPr>
            <w:r>
              <w:rPr>
                <w:rFonts w:ascii="仿宋_GB2312" w:eastAsia="仿宋_GB2312" w:cs="仿宋_GB2312" w:hint="eastAsia"/>
                <w:b w:val="0"/>
                <w:bCs w:val="0"/>
                <w:color w:val="333333"/>
                <w:kern w:val="0"/>
                <w:sz w:val="32"/>
                <w:szCs w:val="32"/>
              </w:rPr>
              <w:t>项  目</w:t>
            </w:r>
          </w:p>
        </w:tc>
        <w:tc>
          <w:tcPr>
            <w:tcW w:w="1872"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jc w:val="center"/>
              <w:rPr>
                <w:rFonts w:ascii="仿宋_GB2312" w:eastAsia="仿宋_GB2312" w:cs="仿宋_GB2312" w:hint="eastAsia"/>
                <w:b w:val="0"/>
                <w:bCs w:val="0"/>
                <w:color w:val="333333"/>
                <w:kern w:val="0"/>
                <w:sz w:val="32"/>
                <w:szCs w:val="32"/>
                <w:lang w:val="en-US" w:eastAsia="zh-CN" w:bidi="ar-SA"/>
              </w:rPr>
            </w:pPr>
            <w:r>
              <w:rPr>
                <w:rFonts w:ascii="仿宋_GB2312" w:eastAsia="仿宋_GB2312" w:cs="仿宋_GB2312" w:hint="eastAsia"/>
                <w:b w:val="0"/>
                <w:bCs w:val="0"/>
                <w:color w:val="333333"/>
                <w:kern w:val="0"/>
                <w:sz w:val="32"/>
                <w:szCs w:val="32"/>
              </w:rPr>
              <w:t>20</w:t>
            </w:r>
            <w:r>
              <w:rPr>
                <w:rFonts w:ascii="仿宋_GB2312" w:eastAsia="仿宋_GB2312" w:cs="仿宋_GB2312" w:hint="eastAsia"/>
                <w:b w:val="0"/>
                <w:bCs w:val="0"/>
                <w:color w:val="333333"/>
                <w:kern w:val="0"/>
                <w:sz w:val="32"/>
                <w:szCs w:val="32"/>
                <w:lang w:val="en-US" w:eastAsia="zh-CN"/>
              </w:rPr>
              <w:t>20</w:t>
            </w:r>
            <w:r>
              <w:rPr>
                <w:rFonts w:ascii="仿宋_GB2312" w:eastAsia="仿宋_GB2312" w:cs="仿宋_GB2312" w:hint="eastAsia"/>
                <w:b w:val="0"/>
                <w:bCs w:val="0"/>
                <w:color w:val="333333"/>
                <w:kern w:val="0"/>
                <w:sz w:val="32"/>
                <w:szCs w:val="32"/>
              </w:rPr>
              <w:t>年</w:t>
            </w:r>
          </w:p>
        </w:tc>
        <w:tc>
          <w:tcPr>
            <w:tcW w:w="1872"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jc w:val="center"/>
              <w:rPr>
                <w:rFonts w:ascii="仿宋_GB2312" w:eastAsia="仿宋_GB2312" w:cs="仿宋_GB2312" w:hint="eastAsia"/>
                <w:b w:val="0"/>
                <w:bCs w:val="0"/>
                <w:color w:val="333333"/>
                <w:kern w:val="0"/>
                <w:sz w:val="32"/>
                <w:szCs w:val="32"/>
              </w:rPr>
            </w:pPr>
            <w:r>
              <w:rPr>
                <w:rFonts w:ascii="仿宋_GB2312" w:eastAsia="仿宋_GB2312" w:cs="仿宋_GB2312" w:hint="eastAsia"/>
                <w:b w:val="0"/>
                <w:bCs w:val="0"/>
                <w:color w:val="333333"/>
                <w:kern w:val="0"/>
                <w:sz w:val="32"/>
                <w:szCs w:val="32"/>
              </w:rPr>
              <w:t>20</w:t>
            </w:r>
            <w:r>
              <w:rPr>
                <w:rFonts w:ascii="仿宋_GB2312" w:eastAsia="仿宋_GB2312" w:cs="仿宋_GB2312" w:hint="eastAsia"/>
                <w:b w:val="0"/>
                <w:bCs w:val="0"/>
                <w:color w:val="333333"/>
                <w:kern w:val="0"/>
                <w:sz w:val="32"/>
                <w:szCs w:val="32"/>
                <w:lang w:val="en-US" w:eastAsia="zh-CN"/>
              </w:rPr>
              <w:t>21</w:t>
            </w:r>
            <w:r>
              <w:rPr>
                <w:rFonts w:ascii="仿宋_GB2312" w:eastAsia="仿宋_GB2312" w:cs="仿宋_GB2312" w:hint="eastAsia"/>
                <w:b w:val="0"/>
                <w:bCs w:val="0"/>
                <w:color w:val="333333"/>
                <w:kern w:val="0"/>
                <w:sz w:val="32"/>
                <w:szCs w:val="32"/>
              </w:rPr>
              <w:t>年</w:t>
            </w:r>
          </w:p>
        </w:tc>
        <w:tc>
          <w:tcPr>
            <w:tcW w:w="1463"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jc w:val="center"/>
              <w:rPr>
                <w:rFonts w:ascii="仿宋_GB2312" w:eastAsia="仿宋_GB2312" w:cs="仿宋_GB2312" w:hint="eastAsia"/>
                <w:b w:val="0"/>
                <w:bCs w:val="0"/>
                <w:color w:val="333333"/>
                <w:kern w:val="0"/>
                <w:sz w:val="32"/>
                <w:szCs w:val="32"/>
              </w:rPr>
            </w:pPr>
            <w:r>
              <w:rPr>
                <w:rFonts w:ascii="仿宋_GB2312" w:eastAsia="仿宋_GB2312" w:cs="仿宋_GB2312" w:hint="eastAsia"/>
                <w:b w:val="0"/>
                <w:bCs w:val="0"/>
                <w:color w:val="333333"/>
                <w:kern w:val="0"/>
                <w:sz w:val="32"/>
                <w:szCs w:val="32"/>
              </w:rPr>
              <w:t>差 额</w:t>
            </w:r>
          </w:p>
        </w:tc>
      </w:tr>
      <w:tr>
        <w:trPr>
          <w:trHeight w:val="432"/>
        </w:trPr>
        <w:tc>
          <w:tcPr>
            <w:tcW w:w="2561"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jc w:val="center"/>
              <w:rPr>
                <w:rFonts w:ascii="仿宋_GB2312" w:eastAsia="仿宋_GB2312" w:cs="仿宋_GB2312" w:hint="eastAsia"/>
                <w:b w:val="0"/>
                <w:bCs w:val="0"/>
                <w:color w:val="333333"/>
                <w:kern w:val="0"/>
                <w:sz w:val="32"/>
                <w:szCs w:val="32"/>
              </w:rPr>
            </w:pPr>
            <w:r>
              <w:rPr>
                <w:rFonts w:ascii="仿宋_GB2312" w:eastAsia="仿宋_GB2312" w:cs="仿宋_GB2312" w:hint="eastAsia"/>
                <w:b w:val="0"/>
                <w:bCs w:val="0"/>
                <w:color w:val="333333"/>
                <w:kern w:val="0"/>
                <w:sz w:val="32"/>
                <w:szCs w:val="32"/>
              </w:rPr>
              <w:t>总收入</w:t>
            </w:r>
          </w:p>
        </w:tc>
        <w:tc>
          <w:tcPr>
            <w:tcW w:w="1872"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ind w:right="420"/>
              <w:jc w:val="center"/>
              <w:rPr>
                <w:rFonts w:ascii="仿宋_GB2312" w:eastAsia="仿宋_GB2312" w:cs="仿宋_GB2312" w:hint="eastAsia"/>
                <w:b w:val="0"/>
                <w:bCs w:val="0"/>
                <w:color w:val="333333"/>
                <w:kern w:val="0"/>
                <w:sz w:val="32"/>
                <w:szCs w:val="32"/>
                <w:lang w:val="en-US" w:eastAsia="zh-CN" w:bidi="ar-SA"/>
              </w:rPr>
            </w:pPr>
            <w:r>
              <w:rPr>
                <w:rFonts w:ascii="仿宋_GB2312" w:eastAsia="仿宋_GB2312" w:cs="仿宋_GB2312" w:hint="eastAsia"/>
                <w:b w:val="0"/>
                <w:bCs w:val="0"/>
                <w:color w:val="333333"/>
                <w:kern w:val="0"/>
                <w:sz w:val="32"/>
                <w:szCs w:val="32"/>
                <w:lang w:val="en-US" w:eastAsia="zh-CN"/>
              </w:rPr>
              <w:t>170.46</w:t>
            </w:r>
          </w:p>
        </w:tc>
        <w:tc>
          <w:tcPr>
            <w:tcW w:w="1872"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ind w:right="420"/>
              <w:jc w:val="center"/>
              <w:rPr>
                <w:rFonts w:ascii="仿宋_GB2312" w:eastAsia="仿宋_GB2312" w:cs="仿宋_GB2312"/>
                <w:b w:val="0"/>
                <w:bCs w:val="0"/>
                <w:color w:val="333333"/>
                <w:kern w:val="0"/>
                <w:sz w:val="32"/>
                <w:szCs w:val="32"/>
                <w:lang w:val="en-US" w:eastAsia="zh-CN"/>
              </w:rPr>
            </w:pPr>
            <w:r>
              <w:rPr>
                <w:rFonts w:ascii="仿宋_GB2312" w:eastAsia="仿宋_GB2312" w:cs="仿宋_GB2312" w:hint="eastAsia"/>
                <w:b w:val="0"/>
                <w:bCs w:val="0"/>
                <w:color w:val="333333"/>
                <w:kern w:val="0"/>
                <w:sz w:val="32"/>
                <w:szCs w:val="32"/>
                <w:lang w:val="en-US" w:eastAsia="zh-CN"/>
              </w:rPr>
              <w:t>157.69</w:t>
            </w:r>
          </w:p>
        </w:tc>
        <w:tc>
          <w:tcPr>
            <w:tcW w:w="1463"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jc w:val="center"/>
              <w:rPr>
                <w:rFonts w:ascii="仿宋_GB2312" w:eastAsia="仿宋_GB2312" w:cs="仿宋_GB2312"/>
                <w:b w:val="0"/>
                <w:bCs w:val="0"/>
                <w:color w:val="333333"/>
                <w:kern w:val="0"/>
                <w:sz w:val="32"/>
                <w:szCs w:val="32"/>
                <w:lang w:val="en-US" w:eastAsia="zh-CN"/>
              </w:rPr>
            </w:pPr>
            <w:r>
              <w:rPr>
                <w:rFonts w:ascii="仿宋_GB2312" w:eastAsia="仿宋_GB2312" w:cs="仿宋_GB2312" w:hint="eastAsia"/>
                <w:b w:val="0"/>
                <w:bCs w:val="0"/>
                <w:color w:val="333333"/>
                <w:kern w:val="0"/>
                <w:sz w:val="32"/>
                <w:szCs w:val="32"/>
                <w:lang w:val="en-US" w:eastAsia="zh-CN"/>
              </w:rPr>
              <w:t>-12.77</w:t>
            </w:r>
          </w:p>
        </w:tc>
      </w:tr>
      <w:tr>
        <w:trPr>
          <w:trHeight w:val="359"/>
        </w:trPr>
        <w:tc>
          <w:tcPr>
            <w:tcW w:w="2561"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jc w:val="center"/>
              <w:rPr>
                <w:rFonts w:ascii="仿宋_GB2312" w:eastAsia="仿宋_GB2312" w:cs="仿宋_GB2312" w:hint="eastAsia"/>
                <w:b w:val="0"/>
                <w:bCs w:val="0"/>
                <w:color w:val="333333"/>
                <w:kern w:val="0"/>
                <w:sz w:val="32"/>
                <w:szCs w:val="32"/>
              </w:rPr>
            </w:pPr>
            <w:r>
              <w:rPr>
                <w:rFonts w:ascii="仿宋_GB2312" w:eastAsia="仿宋_GB2312" w:cs="仿宋_GB2312" w:hint="eastAsia"/>
                <w:b w:val="0"/>
                <w:bCs w:val="0"/>
                <w:color w:val="333333"/>
                <w:kern w:val="0"/>
                <w:sz w:val="32"/>
                <w:szCs w:val="32"/>
              </w:rPr>
              <w:t>财政拨款收入</w:t>
            </w:r>
          </w:p>
        </w:tc>
        <w:tc>
          <w:tcPr>
            <w:tcW w:w="1872"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jc w:val="center"/>
              <w:rPr>
                <w:rFonts w:ascii="仿宋_GB2312" w:eastAsia="仿宋_GB2312" w:cs="仿宋_GB2312" w:hint="eastAsia"/>
                <w:b w:val="0"/>
                <w:bCs w:val="0"/>
                <w:color w:val="333333"/>
                <w:kern w:val="0"/>
                <w:sz w:val="32"/>
                <w:szCs w:val="32"/>
                <w:lang w:val="en-US" w:eastAsia="zh-CN" w:bidi="ar-SA"/>
              </w:rPr>
            </w:pPr>
            <w:r>
              <w:rPr>
                <w:rFonts w:ascii="仿宋_GB2312" w:eastAsia="仿宋_GB2312" w:cs="仿宋_GB2312" w:hint="eastAsia"/>
                <w:b w:val="0"/>
                <w:bCs w:val="0"/>
                <w:color w:val="333333"/>
                <w:kern w:val="0"/>
                <w:sz w:val="32"/>
                <w:szCs w:val="32"/>
                <w:lang w:val="en-US" w:eastAsia="zh-CN"/>
              </w:rPr>
              <w:t>170.46</w:t>
            </w:r>
          </w:p>
        </w:tc>
        <w:tc>
          <w:tcPr>
            <w:tcW w:w="1872"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jc w:val="center"/>
              <w:rPr>
                <w:rFonts w:ascii="仿宋_GB2312" w:eastAsia="仿宋_GB2312" w:cs="仿宋_GB2312"/>
                <w:b w:val="0"/>
                <w:bCs w:val="0"/>
                <w:color w:val="333333"/>
                <w:kern w:val="0"/>
                <w:sz w:val="32"/>
                <w:szCs w:val="32"/>
                <w:lang w:val="en-US" w:eastAsia="zh-CN"/>
              </w:rPr>
            </w:pPr>
            <w:r>
              <w:rPr>
                <w:rFonts w:ascii="仿宋_GB2312" w:eastAsia="仿宋_GB2312" w:cs="仿宋_GB2312" w:hint="eastAsia"/>
                <w:b w:val="0"/>
                <w:bCs w:val="0"/>
                <w:color w:val="333333"/>
                <w:kern w:val="0"/>
                <w:sz w:val="32"/>
                <w:szCs w:val="32"/>
                <w:lang w:val="en-US" w:eastAsia="zh-CN"/>
              </w:rPr>
              <w:t>157.69</w:t>
            </w:r>
          </w:p>
        </w:tc>
        <w:tc>
          <w:tcPr>
            <w:tcW w:w="1463" w:type="dxa"/>
            <w:tcBorders>
              <w:top w:val="outset" w:sz="6" w:space="0" w:color="auto"/>
              <w:left w:val="outset" w:sz="6" w:space="0" w:color="auto"/>
              <w:bottom w:val="outset" w:sz="6" w:space="0" w:color="auto"/>
              <w:right w:val="outset" w:sz="6" w:space="0" w:color="auto"/>
            </w:tcBorders>
            <w:noWrap/>
          </w:tcPr>
          <w:p>
            <w:pPr>
              <w:jc w:val="center"/>
              <w:rPr>
                <w:rFonts w:ascii="仿宋_GB2312" w:eastAsia="仿宋_GB2312" w:cs="仿宋_GB2312"/>
                <w:b w:val="0"/>
                <w:bCs w:val="0"/>
                <w:sz w:val="32"/>
                <w:szCs w:val="32"/>
                <w:lang w:val="en-US" w:eastAsia="zh-CN"/>
              </w:rPr>
            </w:pPr>
            <w:r>
              <w:rPr>
                <w:rFonts w:ascii="仿宋_GB2312" w:eastAsia="仿宋_GB2312" w:cs="仿宋_GB2312" w:hint="eastAsia"/>
                <w:b w:val="0"/>
                <w:bCs w:val="0"/>
                <w:sz w:val="32"/>
                <w:szCs w:val="32"/>
                <w:lang w:val="en-US" w:eastAsia="zh-CN"/>
              </w:rPr>
              <w:t>-12.77</w:t>
            </w:r>
          </w:p>
        </w:tc>
      </w:tr>
      <w:tr>
        <w:trPr>
          <w:trHeight w:val="516"/>
        </w:trPr>
        <w:tc>
          <w:tcPr>
            <w:tcW w:w="2561"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jc w:val="center"/>
              <w:rPr>
                <w:rFonts w:ascii="仿宋_GB2312" w:eastAsia="仿宋_GB2312" w:cs="仿宋_GB2312" w:hint="eastAsia"/>
                <w:b w:val="0"/>
                <w:bCs w:val="0"/>
                <w:color w:val="333333"/>
                <w:kern w:val="0"/>
                <w:sz w:val="32"/>
                <w:szCs w:val="32"/>
              </w:rPr>
            </w:pPr>
            <w:r>
              <w:rPr>
                <w:rFonts w:ascii="仿宋_GB2312" w:eastAsia="仿宋_GB2312" w:cs="仿宋_GB2312" w:hint="eastAsia"/>
                <w:b w:val="0"/>
                <w:bCs w:val="0"/>
                <w:color w:val="333333"/>
                <w:kern w:val="0"/>
                <w:sz w:val="32"/>
                <w:szCs w:val="32"/>
              </w:rPr>
              <w:t>总支出</w:t>
            </w:r>
          </w:p>
        </w:tc>
        <w:tc>
          <w:tcPr>
            <w:tcW w:w="1872"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jc w:val="center"/>
              <w:rPr>
                <w:rFonts w:ascii="仿宋_GB2312" w:eastAsia="仿宋_GB2312" w:cs="仿宋_GB2312" w:hint="eastAsia"/>
                <w:b w:val="0"/>
                <w:bCs w:val="0"/>
                <w:color w:val="333333"/>
                <w:kern w:val="0"/>
                <w:sz w:val="32"/>
                <w:szCs w:val="32"/>
                <w:lang w:val="en-US" w:eastAsia="zh-CN" w:bidi="ar-SA"/>
              </w:rPr>
            </w:pPr>
            <w:r>
              <w:rPr>
                <w:rFonts w:ascii="仿宋_GB2312" w:eastAsia="仿宋_GB2312" w:cs="仿宋_GB2312" w:hint="eastAsia"/>
                <w:b w:val="0"/>
                <w:bCs w:val="0"/>
                <w:color w:val="333333"/>
                <w:kern w:val="0"/>
                <w:sz w:val="32"/>
                <w:szCs w:val="32"/>
                <w:lang w:val="en-US" w:eastAsia="zh-CN"/>
              </w:rPr>
              <w:t>217.81</w:t>
            </w:r>
          </w:p>
        </w:tc>
        <w:tc>
          <w:tcPr>
            <w:tcW w:w="1872"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jc w:val="center"/>
              <w:rPr>
                <w:rFonts w:ascii="仿宋_GB2312" w:eastAsia="仿宋_GB2312" w:cs="仿宋_GB2312"/>
                <w:b w:val="0"/>
                <w:bCs w:val="0"/>
                <w:color w:val="333333"/>
                <w:kern w:val="0"/>
                <w:sz w:val="32"/>
                <w:szCs w:val="32"/>
                <w:lang w:val="en-US" w:eastAsia="zh-CN"/>
              </w:rPr>
            </w:pPr>
            <w:r>
              <w:rPr>
                <w:rFonts w:ascii="仿宋_GB2312" w:eastAsia="仿宋_GB2312" w:cs="仿宋_GB2312" w:hint="eastAsia"/>
                <w:b w:val="0"/>
                <w:bCs w:val="0"/>
                <w:color w:val="333333"/>
                <w:kern w:val="0"/>
                <w:sz w:val="32"/>
                <w:szCs w:val="32"/>
                <w:lang w:val="en-US" w:eastAsia="zh-CN"/>
              </w:rPr>
              <w:t>221.59</w:t>
            </w:r>
          </w:p>
        </w:tc>
        <w:tc>
          <w:tcPr>
            <w:tcW w:w="1463" w:type="dxa"/>
            <w:tcBorders>
              <w:top w:val="outset" w:sz="6" w:space="0" w:color="auto"/>
              <w:left w:val="outset" w:sz="6" w:space="0" w:color="auto"/>
              <w:bottom w:val="outset" w:sz="6" w:space="0" w:color="auto"/>
              <w:right w:val="outset" w:sz="6" w:space="0" w:color="auto"/>
            </w:tcBorders>
            <w:noWrap/>
          </w:tcPr>
          <w:p>
            <w:pPr>
              <w:jc w:val="center"/>
              <w:rPr>
                <w:rFonts w:ascii="仿宋_GB2312" w:eastAsia="仿宋_GB2312" w:cs="仿宋_GB2312"/>
                <w:b w:val="0"/>
                <w:bCs w:val="0"/>
                <w:sz w:val="32"/>
                <w:szCs w:val="32"/>
                <w:lang w:val="en-US" w:eastAsia="zh-CN"/>
              </w:rPr>
            </w:pPr>
            <w:r>
              <w:rPr>
                <w:rFonts w:ascii="仿宋_GB2312" w:eastAsia="仿宋_GB2312" w:cs="仿宋_GB2312" w:hint="eastAsia"/>
                <w:b w:val="0"/>
                <w:bCs w:val="0"/>
                <w:sz w:val="32"/>
                <w:szCs w:val="32"/>
                <w:lang w:val="en-US" w:eastAsia="zh-CN"/>
              </w:rPr>
              <w:t>3.78</w:t>
            </w:r>
          </w:p>
        </w:tc>
      </w:tr>
      <w:tr>
        <w:trPr>
          <w:trHeight w:val="440"/>
        </w:trPr>
        <w:tc>
          <w:tcPr>
            <w:tcW w:w="2561"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jc w:val="center"/>
              <w:rPr>
                <w:rFonts w:ascii="仿宋_GB2312" w:eastAsia="仿宋_GB2312" w:cs="仿宋_GB2312" w:hint="eastAsia"/>
                <w:b w:val="0"/>
                <w:bCs w:val="0"/>
                <w:color w:val="333333"/>
                <w:kern w:val="0"/>
                <w:sz w:val="32"/>
                <w:szCs w:val="32"/>
              </w:rPr>
            </w:pPr>
            <w:r>
              <w:rPr>
                <w:rFonts w:ascii="仿宋_GB2312" w:eastAsia="仿宋_GB2312" w:cs="仿宋_GB2312" w:hint="eastAsia"/>
                <w:b w:val="0"/>
                <w:bCs w:val="0"/>
                <w:color w:val="333333"/>
                <w:kern w:val="0"/>
                <w:sz w:val="32"/>
                <w:szCs w:val="32"/>
              </w:rPr>
              <w:t>工资福利支出</w:t>
            </w:r>
          </w:p>
        </w:tc>
        <w:tc>
          <w:tcPr>
            <w:tcW w:w="1872"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jc w:val="center"/>
              <w:rPr>
                <w:rFonts w:ascii="仿宋_GB2312" w:eastAsia="仿宋_GB2312" w:cs="仿宋_GB2312" w:hint="eastAsia"/>
                <w:b w:val="0"/>
                <w:bCs w:val="0"/>
                <w:color w:val="333333"/>
                <w:kern w:val="0"/>
                <w:sz w:val="32"/>
                <w:szCs w:val="32"/>
                <w:lang w:val="en-US" w:eastAsia="zh-CN" w:bidi="ar-SA"/>
              </w:rPr>
            </w:pPr>
            <w:r>
              <w:rPr>
                <w:rFonts w:ascii="仿宋_GB2312" w:eastAsia="仿宋_GB2312" w:cs="仿宋_GB2312" w:hint="eastAsia"/>
                <w:b w:val="0"/>
                <w:bCs w:val="0"/>
                <w:color w:val="333333"/>
                <w:kern w:val="0"/>
                <w:sz w:val="32"/>
                <w:szCs w:val="32"/>
                <w:lang w:val="en-US" w:eastAsia="zh-CN"/>
              </w:rPr>
              <w:t>153.87</w:t>
            </w:r>
          </w:p>
        </w:tc>
        <w:tc>
          <w:tcPr>
            <w:tcW w:w="1872"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jc w:val="center"/>
              <w:rPr>
                <w:rFonts w:ascii="仿宋_GB2312" w:eastAsia="仿宋_GB2312" w:cs="仿宋_GB2312"/>
                <w:b w:val="0"/>
                <w:bCs w:val="0"/>
                <w:color w:val="333333"/>
                <w:kern w:val="0"/>
                <w:sz w:val="32"/>
                <w:szCs w:val="32"/>
                <w:lang w:val="en-US" w:eastAsia="zh-CN"/>
              </w:rPr>
            </w:pPr>
            <w:r>
              <w:rPr>
                <w:rFonts w:ascii="仿宋_GB2312" w:eastAsia="仿宋_GB2312" w:cs="仿宋_GB2312" w:hint="eastAsia"/>
                <w:b w:val="0"/>
                <w:bCs w:val="0"/>
                <w:color w:val="333333"/>
                <w:kern w:val="0"/>
                <w:sz w:val="32"/>
                <w:szCs w:val="32"/>
                <w:lang w:val="en-US" w:eastAsia="zh-CN"/>
              </w:rPr>
              <w:t>152.12</w:t>
            </w:r>
          </w:p>
        </w:tc>
        <w:tc>
          <w:tcPr>
            <w:tcW w:w="1463"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ind w:right="420"/>
              <w:jc w:val="center"/>
              <w:rPr>
                <w:rFonts w:ascii="仿宋_GB2312" w:eastAsia="仿宋_GB2312" w:cs="仿宋_GB2312"/>
                <w:b w:val="0"/>
                <w:bCs w:val="0"/>
                <w:color w:val="333333"/>
                <w:kern w:val="0"/>
                <w:sz w:val="32"/>
                <w:szCs w:val="32"/>
                <w:lang w:val="en-US" w:eastAsia="zh-CN"/>
              </w:rPr>
            </w:pPr>
            <w:r>
              <w:rPr>
                <w:rFonts w:ascii="仿宋_GB2312" w:eastAsia="仿宋_GB2312" w:cs="仿宋_GB2312" w:hint="eastAsia"/>
                <w:b w:val="0"/>
                <w:bCs w:val="0"/>
                <w:color w:val="333333"/>
                <w:kern w:val="0"/>
                <w:sz w:val="32"/>
                <w:szCs w:val="32"/>
                <w:lang w:val="en-US" w:eastAsia="zh-CN"/>
              </w:rPr>
              <w:t>-1.75</w:t>
            </w:r>
          </w:p>
        </w:tc>
      </w:tr>
      <w:tr>
        <w:trPr>
          <w:trHeight w:val="435"/>
        </w:trPr>
        <w:tc>
          <w:tcPr>
            <w:tcW w:w="2561"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jc w:val="center"/>
              <w:rPr>
                <w:rFonts w:ascii="仿宋_GB2312" w:eastAsia="仿宋_GB2312" w:cs="仿宋_GB2312" w:hint="eastAsia"/>
                <w:b w:val="0"/>
                <w:bCs w:val="0"/>
                <w:color w:val="333333"/>
                <w:kern w:val="0"/>
                <w:sz w:val="32"/>
                <w:szCs w:val="32"/>
              </w:rPr>
            </w:pPr>
            <w:r>
              <w:rPr>
                <w:rFonts w:ascii="仿宋_GB2312" w:eastAsia="仿宋_GB2312" w:cs="仿宋_GB2312" w:hint="eastAsia"/>
                <w:b w:val="0"/>
                <w:bCs w:val="0"/>
                <w:color w:val="333333"/>
                <w:kern w:val="0"/>
                <w:sz w:val="32"/>
                <w:szCs w:val="32"/>
              </w:rPr>
              <w:t>商品服务支出</w:t>
            </w:r>
          </w:p>
        </w:tc>
        <w:tc>
          <w:tcPr>
            <w:tcW w:w="1872"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ind w:right="210"/>
              <w:jc w:val="center"/>
              <w:rPr>
                <w:rFonts w:ascii="仿宋_GB2312" w:eastAsia="仿宋_GB2312" w:cs="仿宋_GB2312" w:hint="eastAsia"/>
                <w:b w:val="0"/>
                <w:bCs w:val="0"/>
                <w:color w:val="333333"/>
                <w:kern w:val="0"/>
                <w:sz w:val="32"/>
                <w:szCs w:val="32"/>
                <w:lang w:val="en-US" w:eastAsia="zh-CN" w:bidi="ar-SA"/>
              </w:rPr>
            </w:pPr>
            <w:r>
              <w:rPr>
                <w:rFonts w:ascii="仿宋_GB2312" w:eastAsia="仿宋_GB2312" w:cs="仿宋_GB2312" w:hint="eastAsia"/>
                <w:b w:val="0"/>
                <w:bCs w:val="0"/>
                <w:color w:val="333333"/>
                <w:kern w:val="0"/>
                <w:sz w:val="32"/>
                <w:szCs w:val="32"/>
                <w:lang w:val="en-US" w:eastAsia="zh-CN"/>
              </w:rPr>
              <w:t>16.19</w:t>
            </w:r>
          </w:p>
        </w:tc>
        <w:tc>
          <w:tcPr>
            <w:tcW w:w="1872"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ind w:right="210"/>
              <w:jc w:val="center"/>
              <w:rPr>
                <w:rFonts w:ascii="仿宋_GB2312" w:eastAsia="仿宋_GB2312" w:cs="仿宋_GB2312"/>
                <w:b w:val="0"/>
                <w:bCs w:val="0"/>
                <w:color w:val="333333"/>
                <w:kern w:val="0"/>
                <w:sz w:val="32"/>
                <w:szCs w:val="32"/>
                <w:lang w:val="en-US" w:eastAsia="zh-CN"/>
              </w:rPr>
            </w:pPr>
            <w:r>
              <w:rPr>
                <w:rFonts w:ascii="仿宋_GB2312" w:eastAsia="仿宋_GB2312" w:cs="仿宋_GB2312" w:hint="eastAsia"/>
                <w:b w:val="0"/>
                <w:bCs w:val="0"/>
                <w:color w:val="333333"/>
                <w:kern w:val="0"/>
                <w:sz w:val="32"/>
                <w:szCs w:val="32"/>
                <w:lang w:val="en-US" w:eastAsia="zh-CN"/>
              </w:rPr>
              <w:t>14.53</w:t>
            </w:r>
          </w:p>
        </w:tc>
        <w:tc>
          <w:tcPr>
            <w:tcW w:w="1463"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ind w:right="420"/>
              <w:jc w:val="center"/>
              <w:rPr>
                <w:rFonts w:ascii="仿宋_GB2312" w:eastAsia="仿宋_GB2312" w:cs="仿宋_GB2312"/>
                <w:b w:val="0"/>
                <w:bCs w:val="0"/>
                <w:color w:val="333333"/>
                <w:kern w:val="0"/>
                <w:sz w:val="32"/>
                <w:szCs w:val="32"/>
                <w:lang w:val="en-US" w:eastAsia="zh-CN"/>
              </w:rPr>
            </w:pPr>
            <w:r>
              <w:rPr>
                <w:rFonts w:ascii="仿宋_GB2312" w:eastAsia="仿宋_GB2312" w:cs="仿宋_GB2312" w:hint="eastAsia"/>
                <w:b w:val="0"/>
                <w:bCs w:val="0"/>
                <w:color w:val="333333"/>
                <w:kern w:val="0"/>
                <w:sz w:val="32"/>
                <w:szCs w:val="32"/>
                <w:lang w:val="en-US" w:eastAsia="zh-CN"/>
              </w:rPr>
              <w:t>-1.66</w:t>
            </w:r>
          </w:p>
        </w:tc>
      </w:tr>
      <w:tr>
        <w:trPr>
          <w:trHeight w:val="442"/>
        </w:trPr>
        <w:tc>
          <w:tcPr>
            <w:tcW w:w="2561"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jc w:val="center"/>
              <w:rPr>
                <w:rFonts w:ascii="仿宋_GB2312" w:eastAsia="仿宋_GB2312" w:cs="仿宋_GB2312" w:hint="eastAsia"/>
                <w:b w:val="0"/>
                <w:bCs w:val="0"/>
                <w:color w:val="333333"/>
                <w:kern w:val="0"/>
                <w:sz w:val="32"/>
                <w:szCs w:val="32"/>
              </w:rPr>
            </w:pPr>
            <w:r>
              <w:rPr>
                <w:rFonts w:ascii="仿宋_GB2312" w:eastAsia="仿宋_GB2312" w:cs="仿宋_GB2312" w:hint="eastAsia"/>
                <w:b w:val="0"/>
                <w:bCs w:val="0"/>
                <w:color w:val="333333"/>
                <w:kern w:val="0"/>
                <w:sz w:val="32"/>
                <w:szCs w:val="32"/>
              </w:rPr>
              <w:t>对个人和家庭的补助</w:t>
            </w:r>
          </w:p>
        </w:tc>
        <w:tc>
          <w:tcPr>
            <w:tcW w:w="1872"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ind w:right="105"/>
              <w:jc w:val="center"/>
              <w:rPr>
                <w:rFonts w:ascii="仿宋_GB2312" w:eastAsia="仿宋_GB2312" w:cs="仿宋_GB2312" w:hint="eastAsia"/>
                <w:b w:val="0"/>
                <w:bCs w:val="0"/>
                <w:color w:val="333333"/>
                <w:kern w:val="0"/>
                <w:sz w:val="32"/>
                <w:szCs w:val="32"/>
                <w:lang w:val="en-US" w:eastAsia="zh-CN" w:bidi="ar-SA"/>
              </w:rPr>
            </w:pPr>
            <w:r>
              <w:rPr>
                <w:rFonts w:ascii="仿宋_GB2312" w:eastAsia="仿宋_GB2312" w:cs="仿宋_GB2312" w:hint="eastAsia"/>
                <w:b w:val="0"/>
                <w:bCs w:val="0"/>
                <w:color w:val="333333"/>
                <w:kern w:val="0"/>
                <w:sz w:val="32"/>
                <w:szCs w:val="32"/>
                <w:lang w:val="en-US" w:eastAsia="zh-CN"/>
              </w:rPr>
              <w:t>30.25</w:t>
            </w:r>
          </w:p>
        </w:tc>
        <w:tc>
          <w:tcPr>
            <w:tcW w:w="1872"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ind w:right="105"/>
              <w:jc w:val="center"/>
              <w:rPr>
                <w:rFonts w:ascii="仿宋_GB2312" w:eastAsia="仿宋_GB2312" w:cs="仿宋_GB2312"/>
                <w:b w:val="0"/>
                <w:bCs w:val="0"/>
                <w:color w:val="333333"/>
                <w:kern w:val="0"/>
                <w:sz w:val="32"/>
                <w:szCs w:val="32"/>
                <w:lang w:val="en-US" w:eastAsia="zh-CN"/>
              </w:rPr>
            </w:pPr>
            <w:r>
              <w:rPr>
                <w:rFonts w:ascii="仿宋_GB2312" w:eastAsia="仿宋_GB2312" w:cs="仿宋_GB2312" w:hint="eastAsia"/>
                <w:b w:val="0"/>
                <w:bCs w:val="0"/>
                <w:color w:val="333333"/>
                <w:kern w:val="0"/>
                <w:sz w:val="32"/>
                <w:szCs w:val="32"/>
                <w:lang w:val="en-US" w:eastAsia="zh-CN"/>
              </w:rPr>
              <w:t>54.94</w:t>
            </w:r>
          </w:p>
        </w:tc>
        <w:tc>
          <w:tcPr>
            <w:tcW w:w="1463"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ind w:right="420"/>
              <w:jc w:val="center"/>
              <w:rPr>
                <w:rFonts w:ascii="仿宋_GB2312" w:eastAsia="仿宋_GB2312" w:cs="仿宋_GB2312"/>
                <w:b w:val="0"/>
                <w:bCs w:val="0"/>
                <w:color w:val="333333"/>
                <w:kern w:val="0"/>
                <w:sz w:val="32"/>
                <w:szCs w:val="32"/>
                <w:lang w:val="en-US" w:eastAsia="zh-CN"/>
              </w:rPr>
            </w:pPr>
            <w:r>
              <w:rPr>
                <w:rFonts w:ascii="仿宋_GB2312" w:eastAsia="仿宋_GB2312" w:cs="仿宋_GB2312" w:hint="eastAsia"/>
                <w:b w:val="0"/>
                <w:bCs w:val="0"/>
                <w:color w:val="333333"/>
                <w:kern w:val="0"/>
                <w:sz w:val="32"/>
                <w:szCs w:val="32"/>
                <w:lang w:val="en-US" w:eastAsia="zh-CN"/>
              </w:rPr>
              <w:t>24.69</w:t>
            </w:r>
          </w:p>
        </w:tc>
      </w:tr>
      <w:tr>
        <w:trPr>
          <w:trHeight w:val="442"/>
        </w:trPr>
        <w:tc>
          <w:tcPr>
            <w:tcW w:w="2561"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jc w:val="center"/>
              <w:rPr>
                <w:rFonts w:ascii="仿宋_GB2312" w:eastAsia="仿宋_GB2312" w:cs="仿宋_GB2312" w:hint="eastAsia"/>
                <w:b w:val="0"/>
                <w:bCs w:val="0"/>
                <w:color w:val="333333"/>
                <w:kern w:val="0"/>
                <w:sz w:val="32"/>
                <w:szCs w:val="32"/>
                <w:lang w:val="en-US" w:eastAsia="zh-CN"/>
              </w:rPr>
            </w:pPr>
            <w:r>
              <w:rPr>
                <w:rFonts w:ascii="仿宋_GB2312" w:eastAsia="仿宋_GB2312" w:cs="仿宋_GB2312" w:hint="eastAsia"/>
                <w:b w:val="0"/>
                <w:bCs w:val="0"/>
                <w:color w:val="333333"/>
                <w:kern w:val="0"/>
                <w:sz w:val="32"/>
                <w:szCs w:val="32"/>
                <w:lang w:val="en-US" w:eastAsia="zh-CN"/>
              </w:rPr>
              <w:t>资本性支出</w:t>
            </w:r>
          </w:p>
        </w:tc>
        <w:tc>
          <w:tcPr>
            <w:tcW w:w="1872"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ind w:right="105"/>
              <w:jc w:val="center"/>
              <w:rPr>
                <w:rFonts w:ascii="仿宋_GB2312" w:eastAsia="仿宋_GB2312" w:cs="仿宋_GB2312"/>
                <w:b w:val="0"/>
                <w:bCs w:val="0"/>
                <w:color w:val="333333"/>
                <w:kern w:val="0"/>
                <w:sz w:val="32"/>
                <w:szCs w:val="32"/>
                <w:lang w:val="en-US" w:eastAsia="zh-CN"/>
              </w:rPr>
            </w:pPr>
            <w:r>
              <w:rPr>
                <w:rFonts w:ascii="仿宋_GB2312" w:eastAsia="仿宋_GB2312" w:cs="仿宋_GB2312" w:hint="eastAsia"/>
                <w:b w:val="0"/>
                <w:bCs w:val="0"/>
                <w:color w:val="333333"/>
                <w:kern w:val="0"/>
                <w:sz w:val="32"/>
                <w:szCs w:val="32"/>
                <w:lang w:val="en-US" w:eastAsia="zh-CN"/>
              </w:rPr>
              <w:t>17.50</w:t>
            </w:r>
          </w:p>
        </w:tc>
        <w:tc>
          <w:tcPr>
            <w:tcW w:w="1872"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ind w:right="105"/>
              <w:jc w:val="center"/>
              <w:rPr>
                <w:rFonts w:ascii="仿宋_GB2312" w:eastAsia="仿宋_GB2312" w:cs="仿宋_GB2312"/>
                <w:b w:val="0"/>
                <w:bCs w:val="0"/>
                <w:color w:val="333333"/>
                <w:kern w:val="0"/>
                <w:sz w:val="32"/>
                <w:szCs w:val="32"/>
                <w:lang w:val="en-US" w:eastAsia="zh-CN"/>
              </w:rPr>
            </w:pPr>
            <w:r>
              <w:rPr>
                <w:rFonts w:ascii="仿宋_GB2312" w:eastAsia="仿宋_GB2312" w:cs="仿宋_GB2312" w:hint="eastAsia"/>
                <w:b w:val="0"/>
                <w:bCs w:val="0"/>
                <w:color w:val="333333"/>
                <w:kern w:val="0"/>
                <w:sz w:val="32"/>
                <w:szCs w:val="32"/>
                <w:lang w:val="en-US" w:eastAsia="zh-CN"/>
              </w:rPr>
              <w:t>0</w:t>
            </w:r>
          </w:p>
        </w:tc>
        <w:tc>
          <w:tcPr>
            <w:tcW w:w="1463" w:type="dxa"/>
            <w:tcBorders>
              <w:top w:val="outset" w:sz="6" w:space="0" w:color="auto"/>
              <w:left w:val="outset" w:sz="6" w:space="0" w:color="auto"/>
              <w:bottom w:val="outset" w:sz="6" w:space="0" w:color="auto"/>
              <w:right w:val="outset" w:sz="6" w:space="0" w:color="auto"/>
            </w:tcBorders>
            <w:noWrap/>
            <w:vAlign w:val="center"/>
          </w:tcPr>
          <w:p>
            <w:pPr>
              <w:widowControl/>
              <w:spacing w:before="100" w:beforeAutospacing="1" w:after="100" w:afterAutospacing="1"/>
              <w:ind w:right="420"/>
              <w:jc w:val="center"/>
              <w:rPr>
                <w:rFonts w:ascii="仿宋_GB2312" w:eastAsia="仿宋_GB2312" w:cs="仿宋_GB2312"/>
                <w:b w:val="0"/>
                <w:bCs w:val="0"/>
                <w:color w:val="333333"/>
                <w:kern w:val="0"/>
                <w:sz w:val="32"/>
                <w:szCs w:val="32"/>
                <w:lang w:val="en-US" w:eastAsia="zh-CN"/>
              </w:rPr>
            </w:pPr>
            <w:r>
              <w:rPr>
                <w:rFonts w:ascii="仿宋_GB2312" w:eastAsia="仿宋_GB2312" w:cs="仿宋_GB2312" w:hint="eastAsia"/>
                <w:b w:val="0"/>
                <w:bCs w:val="0"/>
                <w:color w:val="333333"/>
                <w:kern w:val="0"/>
                <w:sz w:val="32"/>
                <w:szCs w:val="32"/>
                <w:lang w:val="en-US" w:eastAsia="zh-CN"/>
              </w:rPr>
              <w:t>-17.5</w:t>
            </w:r>
          </w:p>
        </w:tc>
      </w:tr>
    </w:tbl>
    <w:p>
      <w:pPr>
        <w:snapToGrid w:val="0"/>
        <w:spacing w:line="520" w:lineRule="exact"/>
        <w:rPr>
          <w:rFonts w:ascii="仿宋_GB2312" w:eastAsia="仿宋_GB2312" w:cs="仿宋_GB2312" w:hint="eastAsia"/>
          <w:b w:val="0"/>
          <w:bCs w:val="0"/>
          <w:sz w:val="32"/>
          <w:szCs w:val="32"/>
        </w:rPr>
      </w:pPr>
    </w:p>
    <w:p>
      <w:pPr>
        <w:snapToGrid w:val="0"/>
        <w:spacing w:line="520" w:lineRule="exact"/>
        <w:ind w:firstLineChars="200" w:firstLine="640"/>
        <w:rPr>
          <w:rFonts w:ascii="仿宋_GB2312" w:eastAsia="仿宋_GB2312" w:cs="仿宋_GB2312" w:hint="eastAsia"/>
          <w:kern w:val="2"/>
          <w:sz w:val="32"/>
          <w:szCs w:val="32"/>
          <w:shd w:val="clear" w:color="auto" w:fill="FFFFFF"/>
          <w:lang w:val="en-US" w:eastAsia="zh-CN" w:bidi="ar-SA"/>
        </w:rPr>
      </w:pPr>
      <w:r>
        <w:rPr>
          <w:rFonts w:ascii="仿宋_GB2312" w:eastAsia="仿宋_GB2312" w:cs="仿宋_GB2312" w:hint="eastAsia"/>
          <w:kern w:val="2"/>
          <w:sz w:val="32"/>
          <w:szCs w:val="32"/>
          <w:shd w:val="clear" w:color="auto" w:fill="FFFFFF"/>
          <w:lang w:val="en-US" w:eastAsia="zh-CN" w:bidi="ar-SA"/>
        </w:rPr>
        <w:t>（2）差异原因分析：增加了</w:t>
      </w:r>
      <w:r>
        <w:rPr>
          <w:rFonts w:ascii="仿宋_GB2312" w:eastAsia="仿宋_GB2312" w:cs="仿宋_GB2312" w:hint="eastAsia"/>
          <w:b w:val="0"/>
          <w:bCs w:val="0"/>
          <w:color w:val="333333"/>
          <w:kern w:val="0"/>
          <w:sz w:val="32"/>
          <w:szCs w:val="32"/>
        </w:rPr>
        <w:t>对个人和家庭的补助</w:t>
      </w:r>
      <w:r>
        <w:rPr>
          <w:rFonts w:ascii="仿宋_GB2312" w:eastAsia="仿宋_GB2312" w:cs="仿宋_GB2312" w:hint="eastAsia"/>
          <w:kern w:val="2"/>
          <w:sz w:val="32"/>
          <w:szCs w:val="32"/>
          <w:shd w:val="clear" w:color="auto" w:fill="FFFFFF"/>
          <w:lang w:val="en-US" w:eastAsia="zh-CN" w:bidi="ar-SA"/>
        </w:rPr>
        <w:t>支出，总支出比去年增加3.78万元（原因：增加了奖励金）。</w:t>
      </w:r>
    </w:p>
    <w:p>
      <w:pPr>
        <w:snapToGrid w:val="0"/>
        <w:spacing w:line="520" w:lineRule="exact"/>
        <w:ind w:firstLineChars="200" w:firstLine="640"/>
        <w:rPr>
          <w:rFonts w:ascii="仿宋_GB2312" w:eastAsia="仿宋_GB2312" w:cs="仿宋_GB2312" w:hint="eastAsia"/>
          <w:b/>
          <w:bCs/>
          <w:kern w:val="2"/>
          <w:sz w:val="32"/>
          <w:szCs w:val="32"/>
          <w:shd w:val="clear" w:color="auto" w:fill="FFFFFF"/>
          <w:lang w:val="en-US" w:eastAsia="zh-CN" w:bidi="ar-SA"/>
        </w:rPr>
      </w:pPr>
      <w:r>
        <w:rPr>
          <w:rFonts w:ascii="仿宋_GB2312" w:eastAsia="仿宋_GB2312" w:cs="仿宋_GB2312" w:hint="eastAsia"/>
          <w:b/>
          <w:bCs/>
          <w:kern w:val="2"/>
          <w:sz w:val="32"/>
          <w:szCs w:val="32"/>
          <w:shd w:val="clear" w:color="auto" w:fill="FFFFFF"/>
          <w:lang w:val="en-US" w:eastAsia="zh-CN" w:bidi="ar-SA"/>
        </w:rPr>
        <w:t>2．收入支出结构分析。</w:t>
      </w:r>
    </w:p>
    <w:p>
      <w:pPr>
        <w:snapToGrid w:val="0"/>
        <w:spacing w:line="520" w:lineRule="exact"/>
        <w:ind w:firstLineChars="200" w:firstLine="640"/>
        <w:rPr>
          <w:rFonts w:ascii="仿宋_GB2312" w:eastAsia="仿宋_GB2312" w:cs="仿宋_GB2312" w:hint="eastAsia"/>
          <w:kern w:val="2"/>
          <w:sz w:val="32"/>
          <w:szCs w:val="32"/>
          <w:shd w:val="clear" w:color="auto" w:fill="FFFFFF"/>
          <w:lang w:val="en-US" w:eastAsia="zh-CN" w:bidi="ar-SA"/>
        </w:rPr>
      </w:pPr>
      <w:r>
        <w:rPr>
          <w:rFonts w:ascii="仿宋_GB2312" w:eastAsia="仿宋_GB2312" w:cs="仿宋_GB2312" w:hint="eastAsia"/>
          <w:kern w:val="2"/>
          <w:sz w:val="32"/>
          <w:szCs w:val="32"/>
          <w:shd w:val="clear" w:color="auto" w:fill="FFFFFF"/>
          <w:lang w:val="en-US" w:eastAsia="zh-CN" w:bidi="ar-SA"/>
        </w:rPr>
        <w:t>（1）本单位本年度总收入为221.59万元。其中：一般公共预算财政拨款收入为221.59万元，占比100.00%；本年度总支出为221.59万元。其中：教育支出为171.43万元，占比77.36%；社会保障和就业支出为23.62万元，占比10.66%；卫生健康支出为10.07万元，占比4.54%；住房保障支出为16.47万元，占比7.43%。（可分别制作饼状图）</w:t>
      </w:r>
    </w:p>
    <w:p>
      <w:pPr>
        <w:snapToGrid w:val="0"/>
        <w:spacing w:line="520" w:lineRule="exact"/>
        <w:ind w:firstLineChars="200" w:firstLine="640"/>
        <w:rPr>
          <w:rFonts w:ascii="仿宋_GB2312" w:eastAsia="仿宋_GB2312" w:cs="仿宋_GB2312" w:hint="eastAsia"/>
          <w:b w:val="0"/>
          <w:bCs w:val="0"/>
          <w:kern w:val="2"/>
          <w:sz w:val="32"/>
          <w:szCs w:val="32"/>
          <w:lang w:val="en-US" w:eastAsia="zh-CN" w:bidi="ar-SA"/>
        </w:rPr>
      </w:pPr>
      <w:r>
        <w:rPr>
          <w:rFonts w:ascii="仿宋_GB2312" w:eastAsia="仿宋_GB2312" w:cs="仿宋_GB2312" w:hint="eastAsia"/>
          <w:kern w:val="2"/>
          <w:sz w:val="32"/>
          <w:szCs w:val="32"/>
          <w:shd w:val="clear" w:color="auto" w:fill="FFFFFF"/>
          <w:lang w:val="en-US" w:eastAsia="zh-CN" w:bidi="ar-SA"/>
        </w:rPr>
        <w:t>2021年各项收入占总收入的比重，用饼状图表示如下：</w:t>
      </w:r>
    </w:p>
    <w:p>
      <w:pPr>
        <w:pStyle w:val="23"/>
        <w:keepNext w:val="0"/>
        <w:keepLines w:val="0"/>
        <w:widowControl/>
        <w:suppressLineNumbers w:val="0"/>
        <w:spacing w:before="0" w:beforeAutospacing="0"/>
        <w:ind w:left="0" w:firstLineChars="200" w:firstLine="480"/>
        <w:jc w:val="left"/>
        <w:rPr>
          <w:rFonts w:ascii="仿宋_GB2312" w:eastAsia="仿宋_GB2312" w:cs="仿宋_GB2312" w:hint="eastAsia"/>
          <w:b w:val="0"/>
          <w:bCs w:val="0"/>
          <w:kern w:val="2"/>
          <w:sz w:val="32"/>
          <w:szCs w:val="32"/>
          <w:lang w:val="en-US" w:eastAsia="zh-CN" w:bidi="ar-SA"/>
        </w:rPr>
      </w:pPr>
      <w:r>
        <w:drawing>
          <wp:inline distT="0" distB="0" distL="114300" distR="114300">
            <wp:extent cx="4572000" cy="2647950"/>
            <wp:effectExtent l="0" t="0" r="0" b="0"/>
            <wp:docPr id="3" name="图表 4"/>
            <wp:cNvGraphicFramePr>
              <a:graphicFrameLocks noChangeAspect="0"/>
            </wp:cNvGraphicFramePr>
            <a:graphic>
              <a:graphicData uri="http://schemas.openxmlformats.org/drawingml/2006/chart">
                <c:chart xmlns:c="http://schemas.openxmlformats.org/drawingml/2006/chart" r:id="rId6"/>
              </a:graphicData>
            </a:graphic>
          </wp:inline>
        </w:drawing>
      </w:r>
    </w:p>
    <w:p>
      <w:pPr>
        <w:snapToGrid w:val="0"/>
        <w:spacing w:line="520" w:lineRule="exact"/>
        <w:ind w:firstLineChars="200" w:firstLine="640"/>
        <w:rPr>
          <w:rFonts w:ascii="仿宋_GB2312" w:eastAsia="仿宋_GB2312" w:cs="仿宋_GB2312" w:hint="eastAsia"/>
          <w:sz w:val="32"/>
          <w:szCs w:val="32"/>
          <w:shd w:val="clear" w:color="auto" w:fill="FFFFFF"/>
          <w:lang w:val="en-US" w:eastAsia="zh-CN"/>
        </w:rPr>
      </w:pPr>
      <w:r>
        <w:rPr>
          <w:rFonts w:ascii="仿宋_GB2312" w:eastAsia="仿宋_GB2312" w:cs="仿宋_GB2312" w:hint="eastAsia"/>
          <w:kern w:val="2"/>
          <w:sz w:val="32"/>
          <w:szCs w:val="32"/>
          <w:shd w:val="clear" w:color="auto" w:fill="FFFFFF"/>
          <w:lang w:val="en-US" w:eastAsia="zh-CN" w:bidi="ar-SA"/>
        </w:rPr>
        <w:t>（</w:t>
      </w:r>
      <w:r>
        <w:rPr>
          <w:rFonts w:ascii="仿宋_GB2312" w:eastAsia="仿宋_GB2312" w:cs="仿宋_GB2312" w:hint="eastAsia"/>
          <w:sz w:val="32"/>
          <w:szCs w:val="32"/>
          <w:shd w:val="clear" w:color="auto" w:fill="FFFFFF"/>
          <w:lang w:val="en-US" w:eastAsia="zh-CN"/>
        </w:rPr>
        <w:t>2）本年度一般公共预算财政拨款支出221.59万元，教育支出171.43万元，社会保障和就业支出23.62万元，卫生健康支出10.07万元，住房保障支出16.47万元，(可用柱形图或折线图)</w:t>
      </w:r>
    </w:p>
    <w:p>
      <w:pPr>
        <w:snapToGrid w:val="0"/>
        <w:spacing w:line="520" w:lineRule="exact"/>
        <w:ind w:firstLineChars="200" w:firstLine="640"/>
        <w:rPr>
          <w:rFonts w:ascii="仿宋_GB2312" w:eastAsia="仿宋_GB2312" w:cs="仿宋_GB2312" w:hint="eastAsia"/>
          <w:kern w:val="2"/>
          <w:sz w:val="32"/>
          <w:szCs w:val="32"/>
          <w:shd w:val="clear" w:color="auto" w:fill="FFFFFF"/>
          <w:lang w:val="en-US" w:eastAsia="zh-CN" w:bidi="ar-SA"/>
        </w:rPr>
      </w:pPr>
      <w:r>
        <w:rPr>
          <w:rFonts w:ascii="仿宋_GB2312" w:eastAsia="仿宋_GB2312" w:cs="仿宋_GB2312" w:hint="eastAsia"/>
          <w:sz w:val="32"/>
          <w:szCs w:val="32"/>
          <w:shd w:val="clear" w:color="auto" w:fill="FFFFFF"/>
          <w:lang w:val="en-US" w:eastAsia="zh-CN"/>
        </w:rPr>
        <w:t>2021年各项支出占总支出的比重，用饼状图表示如下：</w:t>
      </w:r>
      <w:r>
        <w:drawing>
          <wp:anchor distT="0" distB="0" distL="114300" distR="114300" simplePos="0" relativeHeight="23" behindDoc="0" locked="0" layoutInCell="1" hidden="0" allowOverlap="1">
            <wp:simplePos x="0" y="0"/>
            <wp:positionH relativeFrom="column">
              <wp:posOffset>201295</wp:posOffset>
            </wp:positionH>
            <wp:positionV relativeFrom="page">
              <wp:posOffset>1433195</wp:posOffset>
            </wp:positionV>
            <wp:extent cx="4572000" cy="2743200"/>
            <wp:effectExtent l="0" t="0" r="0" b="0"/>
            <wp:wrapTopAndBottom/>
            <wp:docPr id="4" name="图表 6"/>
            <wp:cNvGraphicFramePr>
              <a:graphicFrameLocks noChangeAspect="1"/>
            </wp:cNvGraphicFramePr>
            <a:graphic>
              <a:graphicData uri="http://schemas.openxmlformats.org/drawingml/2006/chart">
                <c:chart xmlns:c="http://schemas.openxmlformats.org/drawingml/2006/chart" r:id="rId7"/>
              </a:graphicData>
            </a:graphic>
          </wp:anchor>
        </w:drawing>
      </w:r>
    </w:p>
    <w:p>
      <w:pPr>
        <w:snapToGrid w:val="0"/>
        <w:spacing w:line="560" w:lineRule="exact"/>
        <w:rPr>
          <w:rFonts w:ascii="仿宋_GB2312" w:eastAsia="仿宋_GB2312" w:cs="仿宋_GB2312" w:hint="eastAsia"/>
          <w:sz w:val="32"/>
          <w:szCs w:val="32"/>
          <w:shd w:val="clear" w:color="auto" w:fill="FFFFFF"/>
        </w:rPr>
      </w:pPr>
      <w:r>
        <w:rPr>
          <w:rFonts w:ascii="仿宋_GB2312" w:eastAsia="仿宋_GB2312" w:cs="仿宋_GB2312" w:hint="eastAsia"/>
          <w:kern w:val="2"/>
          <w:sz w:val="32"/>
          <w:szCs w:val="32"/>
          <w:shd w:val="clear" w:color="auto" w:fill="FFFFFF"/>
          <w:lang w:val="en-US" w:eastAsia="zh-CN" w:bidi="ar-SA"/>
        </w:rPr>
        <w:t xml:space="preserve">  </w:t>
      </w:r>
      <w:r>
        <w:rPr>
          <w:rFonts w:ascii="仿宋_GB2312" w:eastAsia="仿宋_GB2312" w:cs="仿宋_GB2312" w:hint="eastAsia"/>
          <w:sz w:val="32"/>
          <w:szCs w:val="32"/>
          <w:shd w:val="clear" w:color="auto" w:fill="FFFFFF"/>
          <w:lang w:eastAsia="zh-CN"/>
        </w:rPr>
        <w:t>（</w:t>
      </w:r>
      <w:r>
        <w:rPr>
          <w:rFonts w:ascii="仿宋_GB2312" w:eastAsia="仿宋_GB2312" w:cs="仿宋_GB2312" w:hint="eastAsia"/>
          <w:sz w:val="32"/>
          <w:szCs w:val="32"/>
          <w:shd w:val="clear" w:color="auto" w:fill="FFFFFF"/>
          <w:lang w:val="en-US" w:eastAsia="zh-CN"/>
        </w:rPr>
        <w:t>2</w:t>
      </w:r>
      <w:r>
        <w:rPr>
          <w:rFonts w:ascii="仿宋_GB2312" w:eastAsia="仿宋_GB2312" w:cs="仿宋_GB2312" w:hint="eastAsia"/>
          <w:sz w:val="32"/>
          <w:szCs w:val="32"/>
          <w:shd w:val="clear" w:color="auto" w:fill="FFFFFF"/>
          <w:lang w:eastAsia="zh-CN"/>
        </w:rPr>
        <w:t>）</w:t>
      </w:r>
      <w:r>
        <w:rPr>
          <w:rFonts w:ascii="仿宋_GB2312" w:eastAsia="仿宋_GB2312" w:cs="仿宋_GB2312" w:hint="eastAsia"/>
          <w:sz w:val="32"/>
          <w:szCs w:val="32"/>
          <w:shd w:val="clear" w:color="auto" w:fill="FFFFFF"/>
        </w:rPr>
        <w:t>收入支出与上年度对比情况及原因分析</w:t>
      </w:r>
      <w:r>
        <w:rPr>
          <w:rFonts w:ascii="仿宋_GB2312" w:eastAsia="仿宋_GB2312" w:cs="仿宋_GB2312" w:hint="eastAsia"/>
          <w:sz w:val="32"/>
          <w:szCs w:val="32"/>
          <w:shd w:val="clear" w:color="auto" w:fill="FFFFFF"/>
          <w:lang w:eastAsia="zh-CN"/>
        </w:rPr>
        <w:t>：</w:t>
      </w:r>
      <w:r>
        <w:rPr>
          <w:rFonts w:ascii="仿宋_GB2312" w:eastAsia="仿宋_GB2312" w:cs="仿宋_GB2312" w:hint="eastAsia"/>
          <w:sz w:val="32"/>
          <w:szCs w:val="32"/>
          <w:shd w:val="clear" w:color="auto" w:fill="FFFFFF"/>
        </w:rPr>
        <w:t>(可用柱形图或折线图)。</w:t>
      </w:r>
    </w:p>
    <w:p>
      <w:pPr>
        <w:snapToGrid w:val="0"/>
        <w:spacing w:line="520" w:lineRule="exact"/>
        <w:ind w:firstLineChars="200" w:firstLine="640"/>
        <w:rPr>
          <w:rFonts w:ascii="仿宋_GB2312" w:eastAsia="仿宋_GB2312" w:cs="仿宋_GB2312" w:hint="eastAsia"/>
          <w:b w:val="0"/>
          <w:bCs w:val="0"/>
          <w:sz w:val="32"/>
          <w:szCs w:val="32"/>
          <w:lang w:eastAsia="zh-CN"/>
        </w:rPr>
      </w:pPr>
      <w:r>
        <w:rPr>
          <w:rFonts w:ascii="仿宋_GB2312" w:eastAsia="仿宋_GB2312" w:cs="仿宋_GB2312"/>
          <w:sz w:val="32"/>
          <w:szCs w:val="32"/>
          <w:shd w:val="clear" w:color="auto" w:fill="FFFFFF"/>
          <w:lang w:eastAsia="zh-CN"/>
        </w:rPr>
        <w:t>①</w:t>
      </w:r>
      <w:r>
        <w:rPr>
          <w:rFonts w:ascii="仿宋_GB2312" w:eastAsia="仿宋_GB2312" w:cs="仿宋_GB2312" w:hint="eastAsia"/>
          <w:sz w:val="32"/>
          <w:szCs w:val="32"/>
          <w:shd w:val="clear" w:color="auto" w:fill="FFFFFF"/>
        </w:rPr>
        <w:t>日用公用经费变动原因：</w:t>
      </w:r>
      <w:r>
        <w:rPr>
          <w:rFonts w:ascii="仿宋_GB2312" w:eastAsia="仿宋_GB2312" w:cs="仿宋_GB2312" w:hint="eastAsia"/>
          <w:sz w:val="32"/>
          <w:szCs w:val="32"/>
          <w:shd w:val="clear" w:color="auto" w:fill="FFFFFF"/>
          <w:lang w:eastAsia="zh-CN"/>
        </w:rPr>
        <w:t>日常公用经费</w:t>
      </w:r>
      <w:r>
        <w:rPr>
          <w:rFonts w:ascii="仿宋_GB2312" w:eastAsia="仿宋_GB2312" w:cs="仿宋_GB2312" w:hint="eastAsia"/>
          <w:sz w:val="32"/>
          <w:szCs w:val="32"/>
          <w:shd w:val="clear" w:color="auto" w:fill="FFFFFF"/>
          <w:lang w:val="en-US" w:eastAsia="zh-CN"/>
        </w:rPr>
        <w:t>较上年减少1.66</w:t>
      </w:r>
      <w:r>
        <w:rPr>
          <w:rFonts w:ascii="仿宋_GB2312" w:eastAsia="仿宋_GB2312" w:cs="仿宋_GB2312" w:hint="eastAsia"/>
          <w:sz w:val="32"/>
          <w:szCs w:val="32"/>
          <w:shd w:val="clear" w:color="auto" w:fill="FFFFFF"/>
        </w:rPr>
        <w:t>万元</w:t>
      </w:r>
      <w:r>
        <w:rPr>
          <w:rFonts w:ascii="仿宋_GB2312" w:eastAsia="仿宋_GB2312" w:cs="仿宋_GB2312" w:hint="eastAsia"/>
          <w:sz w:val="32"/>
          <w:szCs w:val="32"/>
          <w:shd w:val="clear" w:color="auto" w:fill="FFFFFF"/>
          <w:lang w:eastAsia="zh-CN"/>
        </w:rPr>
        <w:t>（</w:t>
      </w:r>
      <w:r>
        <w:rPr>
          <w:rFonts w:ascii="仿宋_GB2312" w:eastAsia="仿宋_GB2312" w:cs="仿宋_GB2312" w:hint="eastAsia"/>
          <w:sz w:val="32"/>
          <w:szCs w:val="32"/>
          <w:shd w:val="clear" w:color="auto" w:fill="FFFFFF"/>
          <w:lang w:val="en-US" w:eastAsia="zh-CN"/>
        </w:rPr>
        <w:t>原因：减少了办公设备的购置，</w:t>
      </w:r>
      <w:r>
        <w:rPr>
          <w:rFonts w:ascii="仿宋_GB2312" w:eastAsia="仿宋_GB2312" w:cs="仿宋_GB2312" w:hint="eastAsia"/>
          <w:b w:val="0"/>
          <w:bCs w:val="0"/>
          <w:sz w:val="32"/>
          <w:szCs w:val="32"/>
          <w:lang w:val="en-US" w:eastAsia="zh-CN"/>
        </w:rPr>
        <w:t>减少公用经费</w:t>
      </w:r>
      <w:r>
        <w:rPr>
          <w:rFonts w:ascii="仿宋_GB2312" w:eastAsia="仿宋_GB2312" w:cs="仿宋_GB2312" w:hint="eastAsia"/>
          <w:b w:val="0"/>
          <w:bCs w:val="0"/>
          <w:sz w:val="32"/>
          <w:szCs w:val="32"/>
          <w:lang w:eastAsia="zh-CN"/>
        </w:rPr>
        <w:t>）。</w:t>
      </w:r>
    </w:p>
    <w:p>
      <w:pPr>
        <w:spacing w:line="460" w:lineRule="exact"/>
        <w:ind w:firstLineChars="196" w:firstLine="627"/>
        <w:rPr>
          <w:rFonts w:ascii="仿宋_GB2312" w:eastAsia="仿宋_GB2312" w:cs="仿宋_GB2312" w:hint="eastAsia"/>
          <w:b w:val="0"/>
          <w:bCs w:val="0"/>
          <w:sz w:val="32"/>
          <w:szCs w:val="32"/>
          <w:highlight w:val="auto"/>
        </w:rPr>
      </w:pPr>
      <w:r>
        <w:rPr>
          <w:rFonts w:ascii="Calibri" w:eastAsia="仿宋_GB2312" w:cs="Calibri" w:hAnsi="Calibri"/>
          <w:b w:val="0"/>
          <w:bCs w:val="0"/>
          <w:sz w:val="32"/>
          <w:szCs w:val="32"/>
          <w:lang w:eastAsia="zh-CN"/>
          <w:highlight w:val="auto"/>
        </w:rPr>
        <w:t>②</w:t>
      </w:r>
      <w:r>
        <w:rPr>
          <w:rFonts w:ascii="仿宋_GB2312" w:eastAsia="仿宋_GB2312" w:cs="仿宋_GB2312" w:hint="eastAsia"/>
          <w:b w:val="0"/>
          <w:bCs w:val="0"/>
          <w:sz w:val="32"/>
          <w:szCs w:val="32"/>
          <w:highlight w:val="auto"/>
        </w:rPr>
        <w:t>公务用车运行维护费</w:t>
      </w:r>
      <w:r>
        <w:rPr>
          <w:rFonts w:ascii="仿宋_GB2312" w:eastAsia="仿宋_GB2312" w:cs="仿宋_GB2312" w:hint="eastAsia"/>
          <w:b w:val="0"/>
          <w:bCs w:val="0"/>
          <w:sz w:val="32"/>
          <w:szCs w:val="32"/>
          <w:lang w:val="en-US" w:eastAsia="zh-CN"/>
          <w:highlight w:val="auto"/>
        </w:rPr>
        <w:t>1</w:t>
      </w:r>
      <w:r>
        <w:rPr>
          <w:rFonts w:ascii="仿宋_GB2312" w:eastAsia="仿宋_GB2312" w:cs="仿宋_GB2312" w:hint="eastAsia"/>
          <w:b w:val="0"/>
          <w:bCs w:val="0"/>
          <w:sz w:val="32"/>
          <w:szCs w:val="32"/>
          <w:highlight w:val="auto"/>
        </w:rPr>
        <w:t>万元、比</w:t>
      </w:r>
      <w:r>
        <w:rPr>
          <w:rFonts w:ascii="仿宋_GB2312" w:eastAsia="仿宋_GB2312" w:cs="仿宋_GB2312" w:hint="eastAsia"/>
          <w:b w:val="0"/>
          <w:bCs w:val="0"/>
          <w:sz w:val="32"/>
          <w:szCs w:val="32"/>
          <w:lang w:val="en-US" w:eastAsia="zh-CN"/>
          <w:highlight w:val="auto"/>
        </w:rPr>
        <w:t>上</w:t>
      </w:r>
      <w:r>
        <w:rPr>
          <w:rFonts w:ascii="仿宋_GB2312" w:eastAsia="仿宋_GB2312" w:cs="仿宋_GB2312" w:hint="eastAsia"/>
          <w:b w:val="0"/>
          <w:bCs w:val="0"/>
          <w:sz w:val="32"/>
          <w:szCs w:val="32"/>
          <w:highlight w:val="auto"/>
        </w:rPr>
        <w:t>年</w:t>
      </w:r>
      <w:r>
        <w:rPr>
          <w:rFonts w:ascii="仿宋_GB2312" w:eastAsia="仿宋_GB2312" w:cs="仿宋_GB2312" w:hint="eastAsia"/>
          <w:b w:val="0"/>
          <w:bCs w:val="0"/>
          <w:sz w:val="32"/>
          <w:szCs w:val="32"/>
          <w:lang w:val="en-US" w:eastAsia="zh-CN"/>
          <w:highlight w:val="auto"/>
        </w:rPr>
        <w:t>无增长</w:t>
      </w:r>
      <w:r>
        <w:rPr>
          <w:rFonts w:ascii="仿宋_GB2312" w:eastAsia="仿宋_GB2312" w:cs="仿宋_GB2312" w:hint="eastAsia"/>
          <w:b w:val="0"/>
          <w:bCs w:val="0"/>
          <w:sz w:val="32"/>
          <w:szCs w:val="32"/>
          <w:highlight w:val="auto"/>
        </w:rPr>
        <w:t>。</w:t>
      </w:r>
    </w:p>
    <w:p>
      <w:pPr>
        <w:spacing w:line="460" w:lineRule="exact"/>
        <w:ind w:firstLineChars="300" w:firstLine="630"/>
        <w:rPr>
          <w:rFonts w:ascii="仿宋_GB2312" w:eastAsia="仿宋_GB2312" w:cs="仿宋_GB2312" w:hint="eastAsia"/>
          <w:b w:val="0"/>
          <w:bCs w:val="0"/>
          <w:sz w:val="32"/>
          <w:szCs w:val="32"/>
          <w:lang w:eastAsia="zh-CN"/>
        </w:rPr>
      </w:pPr>
      <w:r>
        <w:drawing>
          <wp:anchor distT="0" distB="0" distL="114300" distR="114300" simplePos="0" relativeHeight="25" behindDoc="0" locked="0" layoutInCell="1" hidden="0" allowOverlap="1">
            <wp:simplePos x="0" y="0"/>
            <wp:positionH relativeFrom="column">
              <wp:posOffset>366395</wp:posOffset>
            </wp:positionH>
            <wp:positionV relativeFrom="page">
              <wp:posOffset>7230109</wp:posOffset>
            </wp:positionV>
            <wp:extent cx="4572000" cy="2385058"/>
            <wp:effectExtent l="0" t="0" r="0" b="0"/>
            <wp:wrapTopAndBottom/>
            <wp:docPr id="5" name="图表 7"/>
            <wp:cNvGraphicFramePr>
              <a:graphicFrameLocks noChangeAspect="0"/>
            </wp:cNvGraphicFramePr>
            <a:graphic>
              <a:graphicData uri="http://schemas.openxmlformats.org/drawingml/2006/chart">
                <c:chart xmlns:c="http://schemas.openxmlformats.org/drawingml/2006/chart" r:id="rId8"/>
              </a:graphicData>
            </a:graphic>
          </wp:anchor>
        </w:drawing>
      </w:r>
      <w:r>
        <w:rPr>
          <w:rFonts w:ascii="Calibri" w:eastAsia="仿宋_GB2312" w:cs="Calibri" w:hAnsi="Calibri"/>
          <w:b w:val="0"/>
          <w:bCs w:val="0"/>
          <w:sz w:val="32"/>
          <w:szCs w:val="32"/>
          <w:lang w:eastAsia="zh-CN"/>
          <w:highlight w:val="auto"/>
        </w:rPr>
        <w:t>③</w:t>
      </w:r>
      <w:r>
        <w:rPr>
          <w:rFonts w:ascii="仿宋_GB2312" w:eastAsia="仿宋_GB2312" w:cs="仿宋_GB2312" w:hint="eastAsia"/>
          <w:b w:val="0"/>
          <w:bCs w:val="0"/>
          <w:sz w:val="32"/>
          <w:szCs w:val="32"/>
          <w:highlight w:val="auto"/>
        </w:rPr>
        <w:t>人员经费变动的原因：</w:t>
      </w:r>
      <w:r>
        <w:rPr>
          <w:rFonts w:ascii="仿宋_GB2312" w:eastAsia="仿宋_GB2312" w:cs="仿宋_GB2312" w:hint="eastAsia"/>
          <w:b w:val="0"/>
          <w:bCs w:val="0"/>
          <w:sz w:val="32"/>
          <w:szCs w:val="32"/>
          <w:lang w:val="en-US" w:eastAsia="zh-CN"/>
          <w:highlight w:val="auto"/>
        </w:rPr>
        <w:t>2020年人员经费为183.80 万元，2021年人员经费为207.06万元，</w:t>
      </w:r>
      <w:r>
        <w:rPr>
          <w:rFonts w:ascii="仿宋_GB2312" w:eastAsia="仿宋_GB2312" w:cs="仿宋_GB2312" w:hint="eastAsia"/>
          <w:b w:val="0"/>
          <w:bCs w:val="0"/>
          <w:sz w:val="32"/>
          <w:szCs w:val="32"/>
          <w:highlight w:val="auto"/>
        </w:rPr>
        <w:t>比</w:t>
      </w:r>
      <w:r>
        <w:rPr>
          <w:rFonts w:ascii="仿宋_GB2312" w:eastAsia="仿宋_GB2312" w:cs="仿宋_GB2312" w:hint="eastAsia"/>
          <w:b w:val="0"/>
          <w:bCs w:val="0"/>
          <w:sz w:val="32"/>
          <w:szCs w:val="32"/>
          <w:lang w:val="en-US" w:eastAsia="zh-CN"/>
          <w:highlight w:val="auto"/>
        </w:rPr>
        <w:t>上</w:t>
      </w:r>
      <w:r>
        <w:rPr>
          <w:rFonts w:ascii="仿宋_GB2312" w:eastAsia="仿宋_GB2312" w:cs="仿宋_GB2312" w:hint="eastAsia"/>
          <w:b w:val="0"/>
          <w:bCs w:val="0"/>
          <w:sz w:val="32"/>
          <w:szCs w:val="32"/>
          <w:highlight w:val="auto"/>
        </w:rPr>
        <w:t>年增加</w:t>
      </w:r>
      <w:r>
        <w:rPr>
          <w:rFonts w:ascii="仿宋_GB2312" w:eastAsia="仿宋_GB2312" w:cs="仿宋_GB2312" w:hint="eastAsia"/>
          <w:b w:val="0"/>
          <w:bCs w:val="0"/>
          <w:sz w:val="32"/>
          <w:szCs w:val="32"/>
          <w:lang w:val="en-US" w:eastAsia="zh-CN"/>
        </w:rPr>
        <w:t>23.26</w:t>
      </w:r>
      <w:r>
        <w:rPr>
          <w:rFonts w:ascii="仿宋_GB2312" w:eastAsia="仿宋_GB2312" w:cs="仿宋_GB2312" w:hint="eastAsia"/>
          <w:b w:val="0"/>
          <w:bCs w:val="0"/>
          <w:sz w:val="32"/>
          <w:szCs w:val="32"/>
        </w:rPr>
        <w:t>万元（原因</w:t>
      </w:r>
      <w:r>
        <w:rPr>
          <w:rFonts w:ascii="仿宋_GB2312" w:eastAsia="仿宋_GB2312" w:cs="仿宋_GB2312" w:hint="eastAsia"/>
          <w:b w:val="0"/>
          <w:bCs w:val="0"/>
          <w:sz w:val="32"/>
          <w:szCs w:val="32"/>
          <w:lang w:eastAsia="zh-CN"/>
        </w:rPr>
        <w:t>：</w:t>
      </w:r>
      <w:r>
        <w:rPr>
          <w:rFonts w:ascii="仿宋_GB2312" w:eastAsia="仿宋_GB2312" w:cs="仿宋_GB2312" w:hint="eastAsia"/>
          <w:b w:val="0"/>
          <w:bCs w:val="0"/>
          <w:sz w:val="32"/>
          <w:szCs w:val="32"/>
          <w:lang w:val="en-US" w:eastAsia="zh-CN"/>
        </w:rPr>
        <w:t>人员增加，正常晋级，高海拔调整，增加了人员经费</w:t>
      </w:r>
      <w:r>
        <w:rPr>
          <w:rFonts w:ascii="仿宋_GB2312" w:eastAsia="仿宋_GB2312" w:cs="仿宋_GB2312" w:hint="eastAsia"/>
          <w:b w:val="0"/>
          <w:bCs w:val="0"/>
          <w:sz w:val="32"/>
          <w:szCs w:val="32"/>
        </w:rPr>
        <w:t>）</w:t>
      </w:r>
      <w:r>
        <w:rPr>
          <w:rFonts w:ascii="仿宋_GB2312" w:eastAsia="仿宋_GB2312" w:cs="仿宋_GB2312" w:hint="eastAsia"/>
          <w:b w:val="0"/>
          <w:bCs w:val="0"/>
          <w:sz w:val="32"/>
          <w:szCs w:val="32"/>
          <w:lang w:eastAsia="zh-CN"/>
        </w:rPr>
        <w:t>。</w:t>
      </w:r>
    </w:p>
    <w:p>
      <w:pPr>
        <w:snapToGrid w:val="0"/>
        <w:spacing w:line="520" w:lineRule="exact"/>
        <w:ind w:firstLineChars="200" w:firstLine="640"/>
        <w:rPr>
          <w:rFonts w:ascii="仿宋_GB2312" w:eastAsia="仿宋_GB2312" w:cs="仿宋_GB2312" w:hint="eastAsia"/>
          <w:b/>
          <w:bCs/>
          <w:sz w:val="32"/>
          <w:szCs w:val="32"/>
        </w:rPr>
      </w:pPr>
      <w:r>
        <w:rPr>
          <w:rFonts w:ascii="仿宋_GB2312" w:eastAsia="仿宋_GB2312" w:cs="仿宋_GB2312" w:hint="eastAsia"/>
          <w:b/>
          <w:bCs/>
          <w:sz w:val="32"/>
          <w:szCs w:val="32"/>
        </w:rPr>
        <w:t>3．</w:t>
      </w:r>
      <w:r>
        <w:rPr>
          <w:rFonts w:ascii="仿宋_GB2312" w:eastAsia="仿宋_GB2312" w:cs="仿宋_GB2312" w:hint="eastAsia"/>
          <w:b/>
          <w:bCs/>
          <w:sz w:val="32"/>
          <w:szCs w:val="32"/>
          <w:lang w:val="en-US" w:eastAsia="zh-CN"/>
        </w:rPr>
        <w:t>一般</w:t>
      </w:r>
      <w:r>
        <w:rPr>
          <w:rFonts w:ascii="仿宋_GB2312" w:eastAsia="仿宋_GB2312" w:cs="仿宋_GB2312" w:hint="eastAsia"/>
          <w:b/>
          <w:bCs/>
          <w:sz w:val="32"/>
          <w:szCs w:val="32"/>
        </w:rPr>
        <w:t>支出按经济分类科目分析。</w:t>
      </w:r>
    </w:p>
    <w:p>
      <w:pPr>
        <w:snapToGrid w:val="0"/>
        <w:spacing w:line="520" w:lineRule="exact"/>
        <w:ind w:firstLineChars="200" w:firstLine="640"/>
        <w:rPr>
          <w:rFonts w:ascii="仿宋_GB2312" w:eastAsia="仿宋_GB2312" w:cs="仿宋_GB2312" w:hint="eastAsia"/>
          <w:b w:val="0"/>
          <w:bCs w:val="0"/>
          <w:sz w:val="32"/>
          <w:szCs w:val="32"/>
        </w:rPr>
      </w:pPr>
      <w:r>
        <w:rPr>
          <w:rFonts w:ascii="仿宋_GB2312" w:eastAsia="仿宋_GB2312" w:cs="仿宋_GB2312" w:hint="eastAsia"/>
          <w:sz w:val="32"/>
          <w:szCs w:val="32"/>
          <w:shd w:val="clear" w:color="auto" w:fill="FFFFFF"/>
        </w:rPr>
        <w:t>（1）“三公”经费支出情况：本单位本年度“三公”经费支出决算数为1.00万元。其中:公务用车购置及运行维护费支出决算数为1.00万元，相比上年度</w:t>
      </w:r>
      <w:r>
        <w:rPr>
          <w:rFonts w:ascii="仿宋_GB2312" w:eastAsia="仿宋_GB2312" w:cs="仿宋_GB2312" w:hint="eastAsia"/>
          <w:sz w:val="32"/>
          <w:szCs w:val="32"/>
          <w:shd w:val="clear" w:color="auto" w:fill="FFFFFF"/>
          <w:lang w:val="en-US" w:eastAsia="zh-CN"/>
        </w:rPr>
        <w:t>无增减。</w:t>
      </w:r>
      <w:r>
        <w:rPr>
          <w:rFonts w:ascii="仿宋_GB2312" w:eastAsia="仿宋_GB2312" w:cs="仿宋_GB2312" w:hint="eastAsia"/>
          <w:sz w:val="32"/>
          <w:szCs w:val="32"/>
          <w:shd w:val="clear" w:color="auto" w:fill="FFFFFF"/>
        </w:rPr>
        <w:t>本年度“三公”经费支出预算数为1.00万元，决算数为1.00万元，预</w:t>
      </w:r>
      <w:r>
        <w:rPr>
          <w:rFonts w:ascii="仿宋_GB2312" w:eastAsia="仿宋_GB2312" w:cs="仿宋_GB2312" w:hint="eastAsia"/>
          <w:b w:val="0"/>
          <w:bCs w:val="0"/>
          <w:sz w:val="32"/>
          <w:szCs w:val="32"/>
        </w:rPr>
        <w:t>算完成度为100.00%。公务用车购置及运行维护费人均支出为0.10万元</w:t>
      </w:r>
      <w:r>
        <w:rPr>
          <w:rFonts w:ascii="仿宋_GB2312" w:eastAsia="仿宋_GB2312" w:cs="仿宋_GB2312" w:hint="eastAsia"/>
          <w:b w:val="0"/>
          <w:bCs w:val="0"/>
          <w:sz w:val="32"/>
          <w:szCs w:val="32"/>
          <w:lang w:eastAsia="zh-CN"/>
        </w:rPr>
        <w:t>。</w:t>
      </w:r>
    </w:p>
    <w:p>
      <w:pPr>
        <w:snapToGrid w:val="0"/>
        <w:spacing w:line="520" w:lineRule="exact"/>
        <w:ind w:leftChars="304" w:left="638" w:firstLine="0"/>
        <w:rPr>
          <w:rFonts w:ascii="仿宋_GB2312" w:eastAsia="仿宋_GB2312" w:cs="仿宋_GB2312" w:hint="eastAsia"/>
          <w:b w:val="0"/>
          <w:bCs w:val="0"/>
          <w:sz w:val="32"/>
          <w:szCs w:val="32"/>
        </w:rPr>
      </w:pPr>
      <w:r>
        <w:rPr>
          <w:rFonts w:ascii="仿宋_GB2312" w:eastAsia="仿宋_GB2312" w:cs="仿宋_GB2312" w:hint="eastAsia"/>
          <w:b w:val="0"/>
          <w:bCs w:val="0"/>
          <w:sz w:val="32"/>
          <w:szCs w:val="32"/>
        </w:rPr>
        <w:t>（2）会议费支出情况：</w:t>
      </w:r>
      <w:r>
        <w:rPr>
          <w:rFonts w:ascii="仿宋_GB2312" w:eastAsia="仿宋_GB2312" w:cs="仿宋_GB2312" w:hint="eastAsia"/>
          <w:b w:val="0"/>
          <w:bCs w:val="0"/>
          <w:sz w:val="32"/>
          <w:szCs w:val="32"/>
          <w:lang w:val="en-US" w:eastAsia="zh-CN"/>
        </w:rPr>
        <w:t>2021年本单位无会议费支出。</w:t>
      </w:r>
      <w:r>
        <w:rPr>
          <w:rFonts w:ascii="仿宋_GB2312" w:eastAsia="仿宋_GB2312" w:cs="仿宋_GB2312" w:hint="eastAsia"/>
          <w:b w:val="0"/>
          <w:bCs w:val="0"/>
          <w:sz w:val="32"/>
          <w:szCs w:val="32"/>
        </w:rPr>
        <w:t>（3）培训费支出情况：</w:t>
      </w:r>
      <w:r>
        <w:rPr>
          <w:rFonts w:ascii="仿宋_GB2312" w:eastAsia="仿宋_GB2312" w:cs="仿宋_GB2312" w:hint="eastAsia"/>
          <w:b w:val="0"/>
          <w:bCs w:val="0"/>
          <w:sz w:val="32"/>
          <w:szCs w:val="32"/>
          <w:lang w:val="en-US" w:eastAsia="zh-CN"/>
        </w:rPr>
        <w:t>2021年本单位无</w:t>
      </w:r>
      <w:r>
        <w:rPr>
          <w:rFonts w:ascii="仿宋_GB2312" w:eastAsia="仿宋_GB2312" w:cs="仿宋_GB2312" w:hint="eastAsia"/>
          <w:b w:val="0"/>
          <w:bCs w:val="0"/>
          <w:sz w:val="32"/>
          <w:szCs w:val="32"/>
        </w:rPr>
        <w:t>培训费</w:t>
      </w:r>
      <w:r>
        <w:rPr>
          <w:rFonts w:ascii="仿宋_GB2312" w:eastAsia="仿宋_GB2312" w:cs="仿宋_GB2312" w:hint="eastAsia"/>
          <w:b w:val="0"/>
          <w:bCs w:val="0"/>
          <w:sz w:val="32"/>
          <w:szCs w:val="32"/>
          <w:lang w:val="en-US" w:eastAsia="zh-CN"/>
        </w:rPr>
        <w:t>支出</w:t>
      </w:r>
      <w:r>
        <w:rPr>
          <w:rFonts w:ascii="仿宋_GB2312" w:eastAsia="仿宋_GB2312" w:cs="仿宋_GB2312" w:hint="eastAsia"/>
          <w:b w:val="0"/>
          <w:bCs w:val="0"/>
          <w:sz w:val="32"/>
          <w:szCs w:val="32"/>
        </w:rPr>
        <w:t>。</w:t>
      </w:r>
    </w:p>
    <w:p>
      <w:pPr>
        <w:snapToGrid w:val="0"/>
        <w:spacing w:line="520" w:lineRule="exact"/>
        <w:ind w:firstLineChars="200" w:firstLine="640"/>
        <w:rPr>
          <w:rFonts w:ascii="仿宋_GB2312" w:eastAsia="仿宋_GB2312" w:cs="仿宋_GB2312" w:hint="eastAsia"/>
          <w:b w:val="0"/>
          <w:bCs w:val="0"/>
          <w:sz w:val="32"/>
          <w:szCs w:val="32"/>
        </w:rPr>
      </w:pPr>
      <w:r>
        <w:rPr>
          <w:rFonts w:ascii="仿宋_GB2312" w:eastAsia="仿宋_GB2312" w:cs="仿宋_GB2312" w:hint="eastAsia"/>
          <w:b w:val="0"/>
          <w:bCs w:val="0"/>
          <w:sz w:val="32"/>
          <w:szCs w:val="32"/>
        </w:rPr>
        <w:t>（</w:t>
      </w:r>
      <w:r>
        <w:rPr>
          <w:rFonts w:ascii="仿宋_GB2312" w:eastAsia="仿宋_GB2312" w:cs="仿宋_GB2312" w:hint="eastAsia"/>
          <w:b w:val="0"/>
          <w:bCs w:val="0"/>
          <w:sz w:val="32"/>
          <w:szCs w:val="32"/>
          <w:lang w:val="en-US" w:eastAsia="zh-CN"/>
        </w:rPr>
        <w:t>4</w:t>
      </w:r>
      <w:r>
        <w:rPr>
          <w:rFonts w:ascii="仿宋_GB2312" w:eastAsia="仿宋_GB2312" w:cs="仿宋_GB2312" w:hint="eastAsia"/>
          <w:b w:val="0"/>
          <w:bCs w:val="0"/>
          <w:sz w:val="32"/>
          <w:szCs w:val="32"/>
        </w:rPr>
        <w:t>）其他对单位影响较大的支出情况</w:t>
      </w:r>
      <w:r>
        <w:rPr>
          <w:rFonts w:ascii="仿宋_GB2312" w:eastAsia="仿宋_GB2312" w:cs="仿宋_GB2312" w:hint="eastAsia"/>
          <w:b w:val="0"/>
          <w:bCs w:val="0"/>
          <w:sz w:val="32"/>
          <w:szCs w:val="32"/>
          <w:lang w:eastAsia="zh-CN"/>
        </w:rPr>
        <w:t>：</w:t>
      </w:r>
      <w:r>
        <w:rPr>
          <w:rFonts w:ascii="仿宋_GB2312" w:eastAsia="仿宋_GB2312" w:cs="仿宋_GB2312" w:hint="eastAsia"/>
          <w:b w:val="0"/>
          <w:bCs w:val="0"/>
          <w:sz w:val="32"/>
          <w:szCs w:val="32"/>
          <w:lang w:val="en-US" w:eastAsia="zh-CN"/>
        </w:rPr>
        <w:t>2021年本单位无</w:t>
      </w:r>
      <w:r>
        <w:rPr>
          <w:rFonts w:ascii="仿宋_GB2312" w:eastAsia="仿宋_GB2312" w:cs="仿宋_GB2312" w:hint="eastAsia"/>
          <w:b w:val="0"/>
          <w:bCs w:val="0"/>
          <w:sz w:val="32"/>
          <w:szCs w:val="32"/>
        </w:rPr>
        <w:t>其他对单位影响较大的支出。</w:t>
      </w:r>
    </w:p>
    <w:p>
      <w:pPr>
        <w:snapToGrid w:val="0"/>
        <w:spacing w:line="520" w:lineRule="exact"/>
        <w:ind w:firstLineChars="200" w:firstLine="640"/>
        <w:rPr>
          <w:rFonts w:ascii="仿宋_GB2312" w:eastAsia="仿宋_GB2312" w:cs="仿宋_GB2312" w:hint="eastAsia"/>
          <w:b w:val="0"/>
          <w:bCs w:val="0"/>
          <w:sz w:val="32"/>
          <w:szCs w:val="32"/>
          <w:lang w:eastAsia="zh-CN"/>
        </w:rPr>
      </w:pPr>
      <w:r>
        <w:rPr>
          <w:rFonts w:ascii="仿宋_GB2312" w:eastAsia="仿宋_GB2312" w:cs="仿宋_GB2312" w:hint="eastAsia"/>
          <w:b w:val="0"/>
          <w:bCs w:val="0"/>
          <w:sz w:val="32"/>
          <w:szCs w:val="32"/>
        </w:rPr>
        <w:t>（</w:t>
      </w:r>
      <w:r>
        <w:rPr>
          <w:rFonts w:ascii="仿宋_GB2312" w:eastAsia="仿宋_GB2312" w:cs="仿宋_GB2312" w:hint="eastAsia"/>
          <w:b w:val="0"/>
          <w:bCs w:val="0"/>
          <w:sz w:val="32"/>
          <w:szCs w:val="32"/>
          <w:lang w:val="en-US" w:eastAsia="zh-CN"/>
        </w:rPr>
        <w:t>5</w:t>
      </w:r>
      <w:r>
        <w:rPr>
          <w:rFonts w:ascii="仿宋_GB2312" w:eastAsia="仿宋_GB2312" w:cs="仿宋_GB2312" w:hint="eastAsia"/>
          <w:b w:val="0"/>
          <w:bCs w:val="0"/>
          <w:sz w:val="32"/>
          <w:szCs w:val="32"/>
        </w:rPr>
        <w:t>）重点经济分类支出中存在的问题及改进措施</w:t>
      </w:r>
      <w:r>
        <w:rPr>
          <w:rFonts w:ascii="仿宋_GB2312" w:eastAsia="仿宋_GB2312" w:cs="仿宋_GB2312" w:hint="eastAsia"/>
          <w:b w:val="0"/>
          <w:bCs w:val="0"/>
          <w:sz w:val="32"/>
          <w:szCs w:val="32"/>
          <w:lang w:eastAsia="zh-CN"/>
        </w:rPr>
        <w:t>：</w:t>
      </w:r>
      <w:r>
        <w:rPr>
          <w:rFonts w:ascii="仿宋_GB2312" w:eastAsia="仿宋_GB2312" w:cs="仿宋_GB2312" w:hint="eastAsia"/>
          <w:b w:val="0"/>
          <w:bCs w:val="0"/>
          <w:sz w:val="32"/>
          <w:szCs w:val="32"/>
          <w:lang w:val="en-US" w:eastAsia="zh-CN"/>
        </w:rPr>
        <w:t>2021年本单位无</w:t>
      </w:r>
      <w:r>
        <w:rPr>
          <w:rFonts w:ascii="仿宋_GB2312" w:eastAsia="仿宋_GB2312" w:cs="仿宋_GB2312" w:hint="eastAsia"/>
          <w:b w:val="0"/>
          <w:bCs w:val="0"/>
          <w:sz w:val="32"/>
          <w:szCs w:val="32"/>
        </w:rPr>
        <w:t>重点经济分类支出</w:t>
      </w:r>
      <w:r>
        <w:rPr>
          <w:rFonts w:ascii="仿宋_GB2312" w:eastAsia="仿宋_GB2312" w:cs="仿宋_GB2312" w:hint="eastAsia"/>
          <w:b w:val="0"/>
          <w:bCs w:val="0"/>
          <w:sz w:val="32"/>
          <w:szCs w:val="32"/>
          <w:lang w:eastAsia="zh-CN"/>
        </w:rPr>
        <w:t>。</w:t>
      </w:r>
    </w:p>
    <w:p>
      <w:pPr>
        <w:snapToGrid w:val="0"/>
        <w:spacing w:line="520" w:lineRule="exact"/>
        <w:ind w:firstLineChars="200" w:firstLine="640"/>
        <w:rPr>
          <w:rFonts w:ascii="仿宋_GB2312" w:eastAsia="仿宋_GB2312" w:cs="仿宋_GB2312" w:hint="eastAsia"/>
          <w:b/>
          <w:bCs/>
          <w:sz w:val="32"/>
          <w:szCs w:val="32"/>
        </w:rPr>
      </w:pPr>
      <w:r>
        <w:rPr>
          <w:rFonts w:ascii="仿宋_GB2312" w:eastAsia="仿宋_GB2312" w:cs="仿宋_GB2312" w:hint="eastAsia"/>
          <w:b/>
          <w:bCs/>
          <w:sz w:val="32"/>
          <w:szCs w:val="32"/>
        </w:rPr>
        <w:t>4.财政拨款收入、支出分析。</w:t>
      </w:r>
    </w:p>
    <w:p>
      <w:pPr>
        <w:snapToGrid w:val="0"/>
        <w:spacing w:line="520" w:lineRule="exact"/>
        <w:ind w:firstLineChars="200" w:firstLine="640"/>
        <w:rPr>
          <w:rFonts w:ascii="仿宋_GB2312" w:eastAsia="仿宋_GB2312" w:cs="仿宋_GB2312" w:hint="eastAsia"/>
          <w:sz w:val="32"/>
          <w:szCs w:val="32"/>
          <w:shd w:val="clear" w:color="auto" w:fill="FFFFFF"/>
          <w:lang w:val="en-US" w:eastAsia="zh-CN"/>
        </w:rPr>
      </w:pPr>
      <w:r>
        <w:rPr>
          <w:rFonts w:ascii="仿宋_GB2312" w:eastAsia="仿宋_GB2312" w:cs="仿宋_GB2312" w:hint="eastAsia"/>
          <w:sz w:val="32"/>
          <w:szCs w:val="32"/>
          <w:shd w:val="clear" w:color="auto" w:fill="FFFFFF"/>
        </w:rPr>
        <w:t>本</w:t>
      </w:r>
      <w:r>
        <w:rPr>
          <w:rFonts w:ascii="仿宋_GB2312" w:eastAsia="仿宋_GB2312" w:cs="仿宋_GB2312" w:hint="eastAsia"/>
          <w:sz w:val="32"/>
          <w:szCs w:val="32"/>
          <w:shd w:val="clear" w:color="auto" w:fill="FFFFFF"/>
          <w:lang w:val="en-US" w:eastAsia="zh-CN"/>
        </w:rPr>
        <w:t>单位本年度财政拨款收入为221.59</w:t>
      </w:r>
      <w:r>
        <w:rPr>
          <w:rFonts w:ascii="仿宋_GB2312" w:eastAsia="仿宋_GB2312" w:cs="仿宋_GB2312" w:hint="eastAsia"/>
          <w:b w:val="0"/>
          <w:bCs w:val="0"/>
          <w:sz w:val="32"/>
          <w:szCs w:val="32"/>
          <w:lang w:val="en-US" w:eastAsia="zh-CN"/>
          <w:highlight w:val="auto"/>
        </w:rPr>
        <w:t xml:space="preserve"> </w:t>
      </w:r>
      <w:r>
        <w:rPr>
          <w:rFonts w:ascii="仿宋_GB2312" w:eastAsia="仿宋_GB2312" w:cs="仿宋_GB2312" w:hint="eastAsia"/>
          <w:sz w:val="32"/>
          <w:szCs w:val="32"/>
          <w:shd w:val="clear" w:color="auto" w:fill="FFFFFF"/>
          <w:lang w:val="en-US" w:eastAsia="zh-CN"/>
        </w:rPr>
        <w:t>万元，财政拨款支出为221.59万元，其中：基本支出中人员经费支出为207.06万元，公用经费支出为14.53万元。支出要按照基本支出和项目支出分析具体构成及特点：本年度浙江援建干部入住我校学员公寓，增加了电器及办公设备购置经费。</w:t>
      </w:r>
    </w:p>
    <w:p>
      <w:pPr>
        <w:snapToGrid w:val="0"/>
        <w:spacing w:line="520" w:lineRule="exact"/>
        <w:ind w:firstLineChars="200" w:firstLine="640"/>
        <w:rPr>
          <w:rFonts w:ascii="楷体" w:eastAsia="楷体" w:cs="楷体" w:hint="eastAsia"/>
          <w:b/>
          <w:bCs/>
          <w:sz w:val="32"/>
          <w:szCs w:val="32"/>
        </w:rPr>
      </w:pPr>
      <w:r>
        <w:rPr>
          <w:rFonts w:ascii="楷体" w:eastAsia="楷体" w:cs="楷体" w:hint="eastAsia"/>
          <w:b/>
          <w:bCs/>
          <w:sz w:val="32"/>
          <w:szCs w:val="32"/>
        </w:rPr>
        <w:t>（三）年末结转和结余情况。</w:t>
      </w:r>
    </w:p>
    <w:p>
      <w:pPr>
        <w:spacing w:line="540" w:lineRule="exact"/>
        <w:ind w:firstLine="585"/>
        <w:rPr>
          <w:rFonts w:ascii="仿宋_GB2312" w:eastAsia="仿宋_GB2312" w:cs="仿宋_GB2312" w:hint="eastAsia"/>
          <w:b w:val="0"/>
          <w:bCs w:val="0"/>
          <w:sz w:val="32"/>
          <w:szCs w:val="32"/>
        </w:rPr>
      </w:pPr>
      <w:r>
        <w:rPr>
          <w:rFonts w:ascii="仿宋_GB2312" w:eastAsia="仿宋_GB2312" w:cs="仿宋_GB2312" w:hint="eastAsia"/>
          <w:b w:val="0"/>
          <w:bCs w:val="0"/>
          <w:sz w:val="32"/>
          <w:szCs w:val="32"/>
        </w:rPr>
        <w:t>本年结转和结余</w:t>
      </w:r>
      <w:r>
        <w:rPr>
          <w:rFonts w:ascii="仿宋_GB2312" w:eastAsia="仿宋_GB2312" w:cs="仿宋_GB2312" w:hint="eastAsia"/>
          <w:b w:val="0"/>
          <w:bCs w:val="0"/>
          <w:sz w:val="32"/>
          <w:szCs w:val="32"/>
          <w:lang w:val="en-US" w:eastAsia="zh-CN"/>
        </w:rPr>
        <w:t>0</w:t>
      </w:r>
      <w:r>
        <w:rPr>
          <w:rFonts w:ascii="仿宋_GB2312" w:eastAsia="仿宋_GB2312" w:cs="仿宋_GB2312" w:hint="eastAsia"/>
          <w:b w:val="0"/>
          <w:bCs w:val="0"/>
          <w:sz w:val="32"/>
          <w:szCs w:val="32"/>
        </w:rPr>
        <w:t>万元，财返</w:t>
      </w:r>
      <w:r>
        <w:rPr>
          <w:rFonts w:ascii="仿宋_GB2312" w:eastAsia="仿宋_GB2312" w:cs="仿宋_GB2312" w:hint="eastAsia"/>
          <w:b w:val="0"/>
          <w:bCs w:val="0"/>
          <w:sz w:val="32"/>
          <w:szCs w:val="32"/>
          <w:lang w:val="en-US" w:eastAsia="zh-CN"/>
        </w:rPr>
        <w:t>0</w:t>
      </w:r>
      <w:r>
        <w:rPr>
          <w:rFonts w:ascii="仿宋_GB2312" w:eastAsia="仿宋_GB2312" w:cs="仿宋_GB2312" w:hint="eastAsia"/>
          <w:b w:val="0"/>
          <w:bCs w:val="0"/>
          <w:sz w:val="32"/>
          <w:szCs w:val="32"/>
        </w:rPr>
        <w:t>万元。</w:t>
      </w:r>
    </w:p>
    <w:p>
      <w:pPr>
        <w:snapToGrid w:val="0"/>
        <w:spacing w:line="520" w:lineRule="exact"/>
        <w:ind w:firstLineChars="200" w:firstLine="640"/>
        <w:rPr>
          <w:rFonts w:ascii="楷体" w:eastAsia="楷体" w:cs="楷体" w:hint="eastAsia"/>
          <w:b/>
          <w:bCs/>
          <w:sz w:val="32"/>
          <w:szCs w:val="32"/>
        </w:rPr>
      </w:pPr>
      <w:r>
        <w:rPr>
          <w:rFonts w:ascii="楷体" w:eastAsia="楷体" w:cs="楷体" w:hint="eastAsia"/>
          <w:b/>
          <w:bCs/>
          <w:sz w:val="32"/>
          <w:szCs w:val="32"/>
        </w:rPr>
        <w:t>（四）与预算支出相关的其他指标分析。</w:t>
      </w:r>
    </w:p>
    <w:p>
      <w:pPr>
        <w:snapToGrid w:val="0"/>
        <w:spacing w:line="520" w:lineRule="exact"/>
        <w:ind w:firstLineChars="200" w:firstLine="640"/>
        <w:rPr>
          <w:rFonts w:ascii="仿宋_GB2312" w:eastAsia="仿宋_GB2312" w:cs="仿宋_GB2312" w:hint="eastAsia"/>
          <w:sz w:val="32"/>
          <w:szCs w:val="32"/>
          <w:shd w:val="clear" w:color="auto" w:fill="FFFFFF"/>
        </w:rPr>
      </w:pPr>
      <w:r>
        <w:rPr>
          <w:rFonts w:ascii="仿宋_GB2312" w:eastAsia="仿宋_GB2312" w:cs="仿宋_GB2312" w:hint="eastAsia"/>
          <w:sz w:val="32"/>
          <w:szCs w:val="32"/>
          <w:shd w:val="clear" w:color="auto" w:fill="FFFFFF"/>
        </w:rPr>
        <w:t>对资产、负债信息进行分析，主要分析与上年度对比情况，包括增减绝对值与幅度，增减变动主要原因(可用柱形图或折线图)，对预算编制和执行的影响等。</w:t>
      </w:r>
    </w:p>
    <w:p>
      <w:pPr>
        <w:snapToGrid w:val="0"/>
        <w:spacing w:line="520" w:lineRule="exact"/>
        <w:ind w:firstLineChars="200" w:firstLine="640"/>
        <w:rPr>
          <w:rFonts w:ascii="仿宋_GB2312" w:eastAsia="仿宋_GB2312" w:cs="仿宋_GB2312" w:hint="eastAsia"/>
          <w:b/>
          <w:bCs/>
          <w:color w:val="auto"/>
          <w:sz w:val="32"/>
          <w:szCs w:val="32"/>
        </w:rPr>
      </w:pPr>
      <w:r>
        <w:rPr>
          <w:rFonts w:ascii="仿宋_GB2312" w:eastAsia="仿宋_GB2312" w:cs="仿宋_GB2312" w:hint="eastAsia"/>
          <w:b/>
          <w:bCs/>
          <w:color w:val="auto"/>
          <w:sz w:val="32"/>
          <w:szCs w:val="32"/>
          <w:lang w:val="en-US" w:eastAsia="zh-CN"/>
        </w:rPr>
        <w:t>1、</w:t>
      </w:r>
      <w:r>
        <w:rPr>
          <w:rFonts w:ascii="仿宋_GB2312" w:eastAsia="仿宋_GB2312" w:cs="仿宋_GB2312" w:hint="eastAsia"/>
          <w:b/>
          <w:bCs/>
          <w:color w:val="auto"/>
          <w:sz w:val="32"/>
          <w:szCs w:val="32"/>
        </w:rPr>
        <w:t>资产</w:t>
      </w:r>
      <w:r>
        <w:rPr>
          <w:rFonts w:ascii="仿宋_GB2312" w:eastAsia="仿宋_GB2312" w:cs="仿宋_GB2312" w:hint="eastAsia"/>
          <w:b/>
          <w:bCs/>
          <w:color w:val="auto"/>
          <w:sz w:val="32"/>
          <w:szCs w:val="32"/>
          <w:lang w:val="en-US" w:eastAsia="zh-CN"/>
        </w:rPr>
        <w:t>信息</w:t>
      </w:r>
      <w:r>
        <w:rPr>
          <w:rFonts w:ascii="仿宋_GB2312" w:eastAsia="仿宋_GB2312" w:cs="仿宋_GB2312" w:hint="eastAsia"/>
          <w:b/>
          <w:bCs/>
          <w:color w:val="auto"/>
          <w:sz w:val="32"/>
          <w:szCs w:val="32"/>
        </w:rPr>
        <w:t>情况。</w:t>
      </w:r>
    </w:p>
    <w:p>
      <w:pPr>
        <w:snapToGrid w:val="0"/>
        <w:spacing w:line="520" w:lineRule="exact"/>
        <w:ind w:firstLineChars="200" w:firstLine="640"/>
        <w:rPr>
          <w:rFonts w:ascii="仿宋_GB2312" w:eastAsia="仿宋_GB2312" w:cs="仿宋_GB2312" w:hint="eastAsia"/>
          <w:b w:val="0"/>
          <w:bCs w:val="0"/>
          <w:sz w:val="32"/>
          <w:szCs w:val="32"/>
        </w:rPr>
      </w:pPr>
      <w:r>
        <w:rPr>
          <w:rFonts w:ascii="仿宋_GB2312" w:eastAsia="仿宋_GB2312" w:cs="仿宋_GB2312" w:hint="eastAsia"/>
          <w:b w:val="0"/>
          <w:bCs w:val="0"/>
          <w:sz w:val="32"/>
          <w:szCs w:val="32"/>
        </w:rPr>
        <w:t>年末单位资产20</w:t>
      </w:r>
      <w:r>
        <w:rPr>
          <w:rFonts w:ascii="仿宋_GB2312" w:eastAsia="仿宋_GB2312" w:cs="仿宋_GB2312" w:hint="eastAsia"/>
          <w:b w:val="0"/>
          <w:bCs w:val="0"/>
          <w:sz w:val="32"/>
          <w:szCs w:val="32"/>
          <w:lang w:val="en-US" w:eastAsia="zh-CN"/>
        </w:rPr>
        <w:t>21</w:t>
      </w:r>
      <w:r>
        <w:rPr>
          <w:rFonts w:ascii="仿宋_GB2312" w:eastAsia="仿宋_GB2312" w:cs="仿宋_GB2312" w:hint="eastAsia"/>
          <w:b w:val="0"/>
          <w:bCs w:val="0"/>
          <w:sz w:val="32"/>
          <w:szCs w:val="32"/>
        </w:rPr>
        <w:t>年</w:t>
      </w:r>
      <w:r>
        <w:rPr>
          <w:rFonts w:ascii="仿宋_GB2312" w:eastAsia="仿宋_GB2312" w:cs="仿宋_GB2312" w:hint="eastAsia"/>
          <w:b w:val="0"/>
          <w:bCs w:val="0"/>
          <w:sz w:val="32"/>
          <w:szCs w:val="32"/>
          <w:lang w:val="en-US" w:eastAsia="zh-CN"/>
        </w:rPr>
        <w:t>431.3</w:t>
      </w:r>
      <w:r>
        <w:rPr>
          <w:rFonts w:ascii="仿宋_GB2312" w:eastAsia="仿宋_GB2312" w:cs="仿宋_GB2312" w:hint="eastAsia"/>
          <w:b w:val="0"/>
          <w:bCs w:val="0"/>
          <w:sz w:val="32"/>
          <w:szCs w:val="32"/>
        </w:rPr>
        <w:t>万元、20</w:t>
      </w:r>
      <w:r>
        <w:rPr>
          <w:rFonts w:ascii="仿宋_GB2312" w:eastAsia="仿宋_GB2312" w:cs="仿宋_GB2312" w:hint="eastAsia"/>
          <w:b w:val="0"/>
          <w:bCs w:val="0"/>
          <w:sz w:val="32"/>
          <w:szCs w:val="32"/>
          <w:lang w:val="en-US" w:eastAsia="zh-CN"/>
        </w:rPr>
        <w:t>20</w:t>
      </w:r>
      <w:r>
        <w:rPr>
          <w:rFonts w:ascii="仿宋_GB2312" w:eastAsia="仿宋_GB2312" w:cs="仿宋_GB2312" w:hint="eastAsia"/>
          <w:b w:val="0"/>
          <w:bCs w:val="0"/>
          <w:sz w:val="32"/>
          <w:szCs w:val="32"/>
        </w:rPr>
        <w:t>年</w:t>
      </w:r>
      <w:r>
        <w:rPr>
          <w:rFonts w:ascii="仿宋_GB2312" w:eastAsia="仿宋_GB2312" w:cs="仿宋_GB2312" w:hint="eastAsia"/>
          <w:b w:val="0"/>
          <w:bCs w:val="0"/>
          <w:sz w:val="32"/>
          <w:szCs w:val="32"/>
          <w:lang w:val="en-US" w:eastAsia="zh-CN"/>
        </w:rPr>
        <w:t>431.3</w:t>
      </w:r>
      <w:r>
        <w:rPr>
          <w:rFonts w:ascii="仿宋_GB2312" w:eastAsia="仿宋_GB2312" w:cs="仿宋_GB2312" w:hint="eastAsia"/>
          <w:b w:val="0"/>
          <w:bCs w:val="0"/>
          <w:sz w:val="32"/>
          <w:szCs w:val="32"/>
        </w:rPr>
        <w:t>万元</w:t>
      </w:r>
      <w:r>
        <w:rPr>
          <w:rFonts w:ascii="仿宋_GB2312" w:eastAsia="仿宋_GB2312" w:cs="仿宋_GB2312" w:hint="eastAsia"/>
          <w:b w:val="0"/>
          <w:bCs w:val="0"/>
          <w:sz w:val="32"/>
          <w:szCs w:val="32"/>
          <w:lang w:eastAsia="zh-CN"/>
        </w:rPr>
        <w:t>，</w:t>
      </w:r>
      <w:r>
        <w:rPr>
          <w:rFonts w:ascii="仿宋_GB2312" w:eastAsia="仿宋_GB2312" w:cs="仿宋_GB2312" w:hint="eastAsia"/>
          <w:b w:val="0"/>
          <w:bCs w:val="0"/>
          <w:sz w:val="32"/>
          <w:szCs w:val="32"/>
        </w:rPr>
        <w:t>资产与上年度对比</w:t>
      </w:r>
      <w:r>
        <w:rPr>
          <w:rFonts w:ascii="仿宋_GB2312" w:eastAsia="仿宋_GB2312" w:cs="仿宋_GB2312" w:hint="eastAsia"/>
          <w:b w:val="0"/>
          <w:bCs w:val="0"/>
          <w:sz w:val="32"/>
          <w:szCs w:val="32"/>
          <w:lang w:val="en-US" w:eastAsia="zh-CN"/>
        </w:rPr>
        <w:t>无增减</w:t>
      </w:r>
      <w:r>
        <w:rPr>
          <w:rFonts w:ascii="仿宋_GB2312" w:eastAsia="仿宋_GB2312" w:cs="仿宋_GB2312" w:hint="eastAsia"/>
          <w:b w:val="0"/>
          <w:bCs w:val="0"/>
          <w:sz w:val="32"/>
          <w:szCs w:val="32"/>
        </w:rPr>
        <w:t>。</w:t>
      </w:r>
    </w:p>
    <w:p>
      <w:pPr>
        <w:pStyle w:val="15"/>
        <w:rPr>
          <w:rFonts w:hint="eastAsia"/>
        </w:rPr>
      </w:pPr>
    </w:p>
    <w:p>
      <w:pPr>
        <w:pStyle w:val="15"/>
        <w:rPr>
          <w:rFonts w:hint="eastAsia"/>
        </w:rPr>
      </w:pPr>
      <w:r>
        <w:drawing>
          <wp:anchor distT="0" distB="0" distL="114300" distR="114300" simplePos="0" relativeHeight="27" behindDoc="0" locked="0" layoutInCell="1" hidden="0" allowOverlap="1">
            <wp:simplePos x="0" y="0"/>
            <wp:positionH relativeFrom="column">
              <wp:posOffset>271145</wp:posOffset>
            </wp:positionH>
            <wp:positionV relativeFrom="page">
              <wp:posOffset>1782445</wp:posOffset>
            </wp:positionV>
            <wp:extent cx="4572000" cy="2743200"/>
            <wp:effectExtent l="0" t="0" r="0" b="0"/>
            <wp:wrapTopAndBottom/>
            <wp:docPr id="6" name="图表 8"/>
            <wp:cNvGraphicFramePr>
              <a:graphicFrameLocks noChangeAspect="0"/>
            </wp:cNvGraphicFramePr>
            <a:graphic>
              <a:graphicData uri="http://schemas.openxmlformats.org/drawingml/2006/chart">
                <c:chart xmlns:c="http://schemas.openxmlformats.org/drawingml/2006/chart" r:id="rId9"/>
              </a:graphicData>
            </a:graphic>
          </wp:anchor>
        </w:drawing>
      </w:r>
    </w:p>
    <w:p>
      <w:pPr>
        <w:snapToGrid w:val="0"/>
        <w:spacing w:line="520" w:lineRule="exact"/>
        <w:rPr>
          <w:rFonts w:ascii="仿宋_GB2312" w:eastAsia="仿宋_GB2312" w:cs="仿宋_GB2312" w:hint="eastAsia"/>
          <w:b/>
          <w:bCs/>
          <w:color w:val="auto"/>
          <w:sz w:val="32"/>
          <w:szCs w:val="32"/>
          <w:lang w:val="en-US" w:eastAsia="zh-CN"/>
        </w:rPr>
      </w:pPr>
      <w:r>
        <w:rPr>
          <w:rFonts w:ascii="仿宋_GB2312" w:eastAsia="仿宋_GB2312" w:cs="仿宋_GB2312" w:hint="eastAsia"/>
          <w:b/>
          <w:bCs/>
          <w:color w:val="auto"/>
          <w:sz w:val="32"/>
          <w:szCs w:val="32"/>
          <w:lang w:val="en-US" w:eastAsia="zh-CN"/>
        </w:rPr>
        <w:t xml:space="preserve">    2、负债信息情况。</w:t>
      </w:r>
    </w:p>
    <w:p>
      <w:pPr>
        <w:snapToGrid w:val="0"/>
        <w:spacing w:line="520" w:lineRule="exact"/>
        <w:ind w:firstLineChars="200" w:firstLine="640"/>
        <w:rPr>
          <w:rFonts w:ascii="楷体" w:eastAsia="楷体" w:cs="楷体" w:hint="eastAsia"/>
          <w:b/>
          <w:bCs/>
          <w:sz w:val="32"/>
          <w:szCs w:val="32"/>
        </w:rPr>
      </w:pPr>
      <w:r>
        <w:rPr>
          <w:rFonts w:ascii="仿宋_GB2312" w:eastAsia="仿宋_GB2312" w:cs="仿宋_GB2312" w:hint="eastAsia"/>
          <w:b w:val="0"/>
          <w:bCs w:val="0"/>
          <w:color w:val="auto"/>
          <w:sz w:val="32"/>
          <w:szCs w:val="32"/>
        </w:rPr>
        <w:t>对</w:t>
      </w:r>
      <w:r>
        <w:rPr>
          <w:rFonts w:ascii="仿宋_GB2312" w:eastAsia="仿宋_GB2312" w:cs="仿宋_GB2312" w:hint="eastAsia"/>
          <w:b w:val="0"/>
          <w:bCs w:val="0"/>
          <w:color w:val="auto"/>
          <w:sz w:val="32"/>
          <w:szCs w:val="32"/>
          <w:lang w:val="en-US" w:eastAsia="zh-CN"/>
        </w:rPr>
        <w:t>负债信息</w:t>
      </w:r>
      <w:r>
        <w:rPr>
          <w:rFonts w:ascii="仿宋_GB2312" w:eastAsia="仿宋_GB2312" w:cs="仿宋_GB2312" w:hint="eastAsia"/>
          <w:b w:val="0"/>
          <w:bCs w:val="0"/>
          <w:color w:val="auto"/>
          <w:sz w:val="32"/>
          <w:szCs w:val="32"/>
        </w:rPr>
        <w:t>进行分析，</w:t>
      </w:r>
      <w:r>
        <w:rPr>
          <w:rFonts w:ascii="仿宋_GB2312" w:eastAsia="仿宋_GB2312" w:cs="仿宋_GB2312" w:hint="eastAsia"/>
          <w:b w:val="0"/>
          <w:bCs w:val="0"/>
          <w:color w:val="auto"/>
          <w:sz w:val="32"/>
          <w:szCs w:val="32"/>
          <w:lang w:val="en-US" w:eastAsia="zh-CN"/>
        </w:rPr>
        <w:t>主要分析与</w:t>
      </w:r>
      <w:r>
        <w:rPr>
          <w:rFonts w:ascii="仿宋_GB2312" w:eastAsia="仿宋_GB2312" w:cs="仿宋_GB2312" w:hint="eastAsia"/>
          <w:b w:val="0"/>
          <w:bCs w:val="0"/>
          <w:color w:val="auto"/>
          <w:sz w:val="32"/>
          <w:szCs w:val="32"/>
        </w:rPr>
        <w:t>上年度对比情况</w:t>
      </w:r>
      <w:r>
        <w:rPr>
          <w:rFonts w:ascii="仿宋_GB2312" w:eastAsia="仿宋_GB2312" w:cs="仿宋_GB2312" w:hint="eastAsia"/>
          <w:b w:val="0"/>
          <w:bCs w:val="0"/>
          <w:color w:val="auto"/>
          <w:sz w:val="32"/>
          <w:szCs w:val="32"/>
          <w:lang w:eastAsia="zh-CN"/>
        </w:rPr>
        <w:t>：</w:t>
      </w:r>
      <w:r>
        <w:rPr>
          <w:rFonts w:ascii="仿宋_GB2312" w:eastAsia="仿宋_GB2312" w:cs="仿宋_GB2312" w:hint="eastAsia"/>
          <w:b w:val="0"/>
          <w:bCs w:val="0"/>
          <w:sz w:val="32"/>
          <w:szCs w:val="32"/>
        </w:rPr>
        <w:t>20</w:t>
      </w:r>
      <w:r>
        <w:rPr>
          <w:rFonts w:ascii="仿宋_GB2312" w:eastAsia="仿宋_GB2312" w:cs="仿宋_GB2312" w:hint="eastAsia"/>
          <w:b w:val="0"/>
          <w:bCs w:val="0"/>
          <w:sz w:val="32"/>
          <w:szCs w:val="32"/>
          <w:lang w:val="en-US" w:eastAsia="zh-CN"/>
        </w:rPr>
        <w:t>20</w:t>
      </w:r>
      <w:r>
        <w:rPr>
          <w:rFonts w:ascii="仿宋_GB2312" w:eastAsia="仿宋_GB2312" w:cs="仿宋_GB2312" w:hint="eastAsia"/>
          <w:b w:val="0"/>
          <w:bCs w:val="0"/>
          <w:sz w:val="32"/>
          <w:szCs w:val="32"/>
        </w:rPr>
        <w:t>年负债</w:t>
      </w:r>
      <w:r>
        <w:rPr>
          <w:rFonts w:ascii="仿宋_GB2312" w:eastAsia="仿宋_GB2312" w:cs="仿宋_GB2312" w:hint="eastAsia"/>
          <w:b w:val="0"/>
          <w:bCs w:val="0"/>
          <w:sz w:val="32"/>
          <w:szCs w:val="32"/>
          <w:lang w:val="en-US" w:eastAsia="zh-CN"/>
        </w:rPr>
        <w:t>0</w:t>
      </w:r>
      <w:r>
        <w:rPr>
          <w:rFonts w:ascii="仿宋_GB2312" w:eastAsia="仿宋_GB2312" w:cs="仿宋_GB2312" w:hint="eastAsia"/>
          <w:b w:val="0"/>
          <w:bCs w:val="0"/>
          <w:sz w:val="32"/>
          <w:szCs w:val="32"/>
        </w:rPr>
        <w:t>万元</w:t>
      </w:r>
      <w:r>
        <w:rPr>
          <w:rFonts w:ascii="仿宋_GB2312" w:eastAsia="仿宋_GB2312" w:cs="仿宋_GB2312" w:hint="eastAsia"/>
          <w:b w:val="0"/>
          <w:bCs w:val="0"/>
          <w:color w:val="auto"/>
          <w:sz w:val="32"/>
          <w:szCs w:val="32"/>
          <w:lang w:val="en-US" w:eastAsia="zh-CN"/>
        </w:rPr>
        <w:t>，</w:t>
      </w:r>
      <w:r>
        <w:rPr>
          <w:rFonts w:ascii="仿宋_GB2312" w:eastAsia="仿宋_GB2312" w:cs="仿宋_GB2312" w:hint="eastAsia"/>
          <w:b w:val="0"/>
          <w:bCs w:val="0"/>
          <w:sz w:val="32"/>
          <w:szCs w:val="32"/>
        </w:rPr>
        <w:t>20</w:t>
      </w:r>
      <w:r>
        <w:rPr>
          <w:rFonts w:ascii="仿宋_GB2312" w:eastAsia="仿宋_GB2312" w:cs="仿宋_GB2312" w:hint="eastAsia"/>
          <w:b w:val="0"/>
          <w:bCs w:val="0"/>
          <w:sz w:val="32"/>
          <w:szCs w:val="32"/>
          <w:lang w:val="en-US" w:eastAsia="zh-CN"/>
        </w:rPr>
        <w:t>21</w:t>
      </w:r>
      <w:r>
        <w:rPr>
          <w:rFonts w:ascii="仿宋_GB2312" w:eastAsia="仿宋_GB2312" w:cs="仿宋_GB2312" w:hint="eastAsia"/>
          <w:b w:val="0"/>
          <w:bCs w:val="0"/>
          <w:sz w:val="32"/>
          <w:szCs w:val="32"/>
        </w:rPr>
        <w:t>年负债</w:t>
      </w:r>
      <w:r>
        <w:rPr>
          <w:rFonts w:ascii="仿宋_GB2312" w:eastAsia="仿宋_GB2312" w:cs="仿宋_GB2312" w:hint="eastAsia"/>
          <w:b w:val="0"/>
          <w:bCs w:val="0"/>
          <w:sz w:val="32"/>
          <w:szCs w:val="32"/>
          <w:lang w:val="en-US" w:eastAsia="zh-CN"/>
        </w:rPr>
        <w:t>0</w:t>
      </w:r>
      <w:r>
        <w:rPr>
          <w:rFonts w:ascii="仿宋_GB2312" w:eastAsia="仿宋_GB2312" w:cs="仿宋_GB2312" w:hint="eastAsia"/>
          <w:b w:val="0"/>
          <w:bCs w:val="0"/>
          <w:sz w:val="32"/>
          <w:szCs w:val="32"/>
        </w:rPr>
        <w:t>万元，与上年度对比</w:t>
      </w:r>
      <w:r>
        <w:rPr>
          <w:rFonts w:ascii="仿宋_GB2312" w:eastAsia="仿宋_GB2312" w:cs="仿宋_GB2312" w:hint="eastAsia"/>
          <w:b w:val="0"/>
          <w:bCs w:val="0"/>
          <w:sz w:val="32"/>
          <w:szCs w:val="32"/>
          <w:lang w:eastAsia="zh-CN"/>
        </w:rPr>
        <w:t>无</w:t>
      </w:r>
      <w:r>
        <w:rPr>
          <w:rFonts w:ascii="仿宋_GB2312" w:eastAsia="仿宋_GB2312" w:cs="仿宋_GB2312" w:hint="eastAsia"/>
          <w:b w:val="0"/>
          <w:bCs w:val="0"/>
          <w:sz w:val="32"/>
          <w:szCs w:val="32"/>
          <w:lang w:val="en-US" w:eastAsia="zh-CN"/>
        </w:rPr>
        <w:t>变化</w:t>
      </w:r>
      <w:r>
        <w:rPr>
          <w:rFonts w:ascii="仿宋_GB2312" w:eastAsia="仿宋_GB2312" w:cs="仿宋_GB2312" w:hint="eastAsia"/>
          <w:b w:val="0"/>
          <w:bCs w:val="0"/>
          <w:color w:val="auto"/>
          <w:sz w:val="32"/>
          <w:szCs w:val="32"/>
        </w:rPr>
        <w:t>。</w:t>
      </w:r>
    </w:p>
    <w:p>
      <w:pPr>
        <w:snapToGrid w:val="0"/>
        <w:spacing w:line="520" w:lineRule="exact"/>
        <w:ind w:firstLineChars="200" w:firstLine="640"/>
        <w:rPr>
          <w:rFonts w:ascii="楷体" w:eastAsia="楷体" w:cs="楷体" w:hint="eastAsia"/>
          <w:b/>
          <w:bCs/>
          <w:sz w:val="32"/>
          <w:szCs w:val="32"/>
        </w:rPr>
      </w:pPr>
      <w:r>
        <w:rPr>
          <w:rFonts w:ascii="楷体" w:eastAsia="楷体" w:cs="楷体" w:hint="eastAsia"/>
          <w:b/>
          <w:bCs/>
          <w:sz w:val="32"/>
          <w:szCs w:val="32"/>
        </w:rPr>
        <w:t>（</w:t>
      </w:r>
      <w:r>
        <w:rPr>
          <w:rFonts w:ascii="楷体" w:eastAsia="楷体" w:cs="楷体" w:hint="eastAsia"/>
          <w:b/>
          <w:bCs/>
          <w:sz w:val="32"/>
          <w:szCs w:val="32"/>
          <w:lang w:val="en-US" w:eastAsia="zh-CN"/>
        </w:rPr>
        <w:t>五</w:t>
      </w:r>
      <w:r>
        <w:rPr>
          <w:rFonts w:ascii="楷体" w:eastAsia="楷体" w:cs="楷体" w:hint="eastAsia"/>
          <w:b/>
          <w:bCs/>
          <w:sz w:val="32"/>
          <w:szCs w:val="32"/>
        </w:rPr>
        <w:t>）绩效目标完成情况</w:t>
      </w:r>
    </w:p>
    <w:p>
      <w:pPr>
        <w:snapToGrid w:val="0"/>
        <w:spacing w:line="520" w:lineRule="exact"/>
        <w:ind w:firstLineChars="200" w:firstLine="640"/>
        <w:rPr>
          <w:rFonts w:ascii="仿宋_GB2312" w:eastAsia="仿宋_GB2312" w:cs="仿宋_GB2312" w:hint="eastAsia"/>
          <w:b w:val="0"/>
          <w:bCs w:val="0"/>
          <w:sz w:val="32"/>
          <w:szCs w:val="32"/>
        </w:rPr>
      </w:pPr>
      <w:r>
        <w:rPr>
          <w:rFonts w:ascii="仿宋_GB2312" w:eastAsia="仿宋_GB2312" w:cs="仿宋_GB2312" w:hint="eastAsia"/>
          <w:b w:val="0"/>
          <w:bCs w:val="0"/>
          <w:sz w:val="32"/>
          <w:szCs w:val="32"/>
        </w:rPr>
        <w:t>1.概述项目绩效目标完成情况</w:t>
      </w:r>
      <w:r>
        <w:rPr>
          <w:rFonts w:ascii="仿宋_GB2312" w:eastAsia="仿宋_GB2312" w:cs="仿宋_GB2312" w:hint="eastAsia"/>
          <w:b w:val="0"/>
          <w:bCs w:val="0"/>
          <w:sz w:val="32"/>
          <w:szCs w:val="32"/>
          <w:lang w:eastAsia="zh-CN"/>
        </w:rPr>
        <w:t>：</w:t>
      </w:r>
      <w:r>
        <w:rPr>
          <w:rFonts w:ascii="仿宋_GB2312" w:eastAsia="仿宋_GB2312" w:cs="仿宋_GB2312" w:hint="eastAsia"/>
          <w:b w:val="0"/>
          <w:bCs w:val="0"/>
          <w:sz w:val="32"/>
          <w:szCs w:val="32"/>
        </w:rPr>
        <w:t>我单位20</w:t>
      </w:r>
      <w:r>
        <w:rPr>
          <w:rFonts w:ascii="仿宋_GB2312" w:eastAsia="仿宋_GB2312" w:cs="仿宋_GB2312" w:hint="eastAsia"/>
          <w:b w:val="0"/>
          <w:bCs w:val="0"/>
          <w:sz w:val="32"/>
          <w:szCs w:val="32"/>
          <w:lang w:val="en-US" w:eastAsia="zh-CN"/>
        </w:rPr>
        <w:t>21</w:t>
      </w:r>
      <w:r>
        <w:rPr>
          <w:rFonts w:ascii="仿宋_GB2312" w:eastAsia="仿宋_GB2312" w:cs="仿宋_GB2312" w:hint="eastAsia"/>
          <w:b w:val="0"/>
          <w:bCs w:val="0"/>
          <w:sz w:val="32"/>
          <w:szCs w:val="32"/>
        </w:rPr>
        <w:t>年项目支出</w:t>
      </w:r>
      <w:r>
        <w:rPr>
          <w:rFonts w:ascii="仿宋_GB2312" w:eastAsia="仿宋_GB2312" w:cs="仿宋_GB2312" w:hint="eastAsia"/>
          <w:b w:val="0"/>
          <w:bCs w:val="0"/>
          <w:sz w:val="32"/>
          <w:szCs w:val="32"/>
          <w:lang w:val="en-US" w:eastAsia="zh-CN"/>
        </w:rPr>
        <w:t>绩效目标全部完成</w:t>
      </w:r>
      <w:r>
        <w:rPr>
          <w:rFonts w:ascii="仿宋_GB2312" w:eastAsia="仿宋_GB2312" w:cs="仿宋_GB2312" w:hint="eastAsia"/>
          <w:b w:val="0"/>
          <w:bCs w:val="0"/>
          <w:sz w:val="32"/>
          <w:szCs w:val="32"/>
        </w:rPr>
        <w:t>；</w:t>
      </w:r>
    </w:p>
    <w:p>
      <w:pPr>
        <w:spacing w:line="560" w:lineRule="exact"/>
        <w:ind w:firstLineChars="200" w:firstLine="640"/>
        <w:rPr>
          <w:rFonts w:ascii="仿宋_GB2312" w:eastAsia="仿宋_GB2312" w:cs="仿宋_GB2312" w:hint="eastAsia"/>
          <w:b w:val="0"/>
          <w:bCs w:val="0"/>
          <w:sz w:val="32"/>
          <w:szCs w:val="32"/>
          <w:lang w:eastAsia="zh-CN"/>
        </w:rPr>
      </w:pPr>
      <w:r>
        <w:rPr>
          <w:rFonts w:ascii="仿宋_GB2312" w:eastAsia="仿宋_GB2312" w:cs="仿宋_GB2312" w:hint="eastAsia"/>
          <w:b w:val="0"/>
          <w:bCs w:val="0"/>
          <w:sz w:val="32"/>
          <w:szCs w:val="32"/>
        </w:rPr>
        <w:t>2.概述本单位整体支出绩效目标实现情况</w:t>
      </w:r>
      <w:r>
        <w:rPr>
          <w:rFonts w:ascii="仿宋_GB2312" w:eastAsia="仿宋_GB2312" w:cs="仿宋_GB2312" w:hint="eastAsia"/>
          <w:b w:val="0"/>
          <w:bCs w:val="0"/>
          <w:sz w:val="32"/>
          <w:szCs w:val="32"/>
          <w:lang w:eastAsia="zh-CN"/>
        </w:rPr>
        <w:t>：</w:t>
      </w:r>
    </w:p>
    <w:p>
      <w:pPr>
        <w:widowControl/>
        <w:adjustRightInd w:val="0"/>
        <w:snapToGrid w:val="0"/>
        <w:spacing w:line="600" w:lineRule="exact"/>
        <w:ind w:firstLineChars="200" w:firstLine="640"/>
        <w:jc w:val="left"/>
        <w:rPr>
          <w:rFonts w:ascii="仿宋_GB2312" w:eastAsia="仿宋_GB2312" w:cs="仿宋_GB2312" w:hint="eastAsia"/>
          <w:b w:val="0"/>
          <w:bCs w:val="0"/>
          <w:sz w:val="32"/>
          <w:szCs w:val="32"/>
        </w:rPr>
      </w:pPr>
      <w:r>
        <w:rPr>
          <w:rFonts w:ascii="仿宋_GB2312" w:eastAsia="仿宋_GB2312" w:cs="仿宋_GB2312" w:hint="eastAsia"/>
          <w:b w:val="0"/>
          <w:bCs w:val="0"/>
          <w:sz w:val="32"/>
          <w:szCs w:val="32"/>
        </w:rPr>
        <w:t>我单位在日常运转保障方面：财政拨款安排支出主要用于保障单位正常运转、完成日常工作任务以及住房保障等相关工作；</w:t>
      </w:r>
    </w:p>
    <w:p>
      <w:pPr>
        <w:widowControl/>
        <w:adjustRightInd w:val="0"/>
        <w:snapToGrid w:val="0"/>
        <w:spacing w:line="600" w:lineRule="exact"/>
        <w:ind w:firstLineChars="200" w:firstLine="640"/>
        <w:jc w:val="left"/>
        <w:rPr>
          <w:rFonts w:ascii="仿宋_GB2312" w:eastAsia="仿宋_GB2312" w:cs="仿宋_GB2312" w:hint="eastAsia"/>
          <w:b w:val="0"/>
          <w:bCs w:val="0"/>
          <w:sz w:val="32"/>
          <w:szCs w:val="32"/>
        </w:rPr>
      </w:pPr>
      <w:r>
        <w:rPr>
          <w:rFonts w:ascii="仿宋_GB2312" w:eastAsia="仿宋_GB2312" w:cs="仿宋_GB2312" w:hint="eastAsia"/>
          <w:b w:val="0"/>
          <w:bCs w:val="0"/>
          <w:sz w:val="32"/>
          <w:szCs w:val="32"/>
        </w:rPr>
        <w:t xml:space="preserve">基本支出用于保障单位正常运转的日常支出，包括基本工资、津贴补贴等人员经费以及办公费、印刷费、水电费、办公设备购置等日常公用经费； </w:t>
      </w:r>
    </w:p>
    <w:p>
      <w:pPr>
        <w:widowControl/>
        <w:adjustRightInd w:val="0"/>
        <w:snapToGrid w:val="0"/>
        <w:spacing w:line="600" w:lineRule="exact"/>
        <w:ind w:firstLine="720"/>
        <w:jc w:val="left"/>
        <w:rPr>
          <w:rFonts w:ascii="仿宋_GB2312" w:eastAsia="仿宋_GB2312" w:cs="仿宋_GB2312" w:hint="eastAsia"/>
          <w:b w:val="0"/>
          <w:bCs w:val="0"/>
          <w:sz w:val="32"/>
          <w:szCs w:val="32"/>
        </w:rPr>
      </w:pPr>
      <w:r>
        <w:rPr>
          <w:rFonts w:ascii="仿宋_GB2312" w:eastAsia="仿宋_GB2312" w:cs="仿宋_GB2312" w:hint="eastAsia"/>
          <w:b w:val="0"/>
          <w:bCs w:val="0"/>
          <w:sz w:val="32"/>
          <w:szCs w:val="32"/>
        </w:rPr>
        <w:t>在财务管理情况： 我单位财务管理制度健全，执行制度严格合规，会计核算符合相关规定，资金专款专用，资金支付依据和开支标准合法合规，严格执行政府采购。</w:t>
      </w:r>
    </w:p>
    <w:p>
      <w:pPr>
        <w:widowControl/>
        <w:adjustRightInd w:val="0"/>
        <w:snapToGrid w:val="0"/>
        <w:spacing w:line="600" w:lineRule="exact"/>
        <w:ind w:firstLineChars="250" w:firstLine="800"/>
        <w:jc w:val="left"/>
        <w:rPr>
          <w:rFonts w:ascii="仿宋_GB2312" w:eastAsia="仿宋_GB2312" w:cs="仿宋_GB2312" w:hint="eastAsia"/>
          <w:b w:val="0"/>
          <w:bCs w:val="0"/>
          <w:sz w:val="32"/>
          <w:szCs w:val="32"/>
          <w:lang w:eastAsia="zh-CN"/>
        </w:rPr>
      </w:pPr>
      <w:r>
        <w:rPr>
          <w:rFonts w:ascii="仿宋_GB2312" w:eastAsia="仿宋_GB2312" w:cs="仿宋_GB2312" w:hint="eastAsia"/>
          <w:b w:val="0"/>
          <w:bCs w:val="0"/>
          <w:sz w:val="32"/>
          <w:szCs w:val="32"/>
        </w:rPr>
        <w:t>在绩效管理工作开展情况：根据县财政有关文件要求，我单位对财政资金使用管理情况，认真开展自评工作，撰写部门自评报告。预算支出在保障本办工作运转、履行职能职责上整体情况良好20</w:t>
      </w:r>
      <w:r>
        <w:rPr>
          <w:rFonts w:ascii="仿宋_GB2312" w:eastAsia="仿宋_GB2312" w:cs="仿宋_GB2312" w:hint="eastAsia"/>
          <w:b w:val="0"/>
          <w:bCs w:val="0"/>
          <w:sz w:val="32"/>
          <w:szCs w:val="32"/>
          <w:lang w:val="en-US" w:eastAsia="zh-CN"/>
        </w:rPr>
        <w:t>21</w:t>
      </w:r>
      <w:r>
        <w:rPr>
          <w:rFonts w:ascii="仿宋_GB2312" w:eastAsia="仿宋_GB2312" w:cs="仿宋_GB2312" w:hint="eastAsia"/>
          <w:b w:val="0"/>
          <w:bCs w:val="0"/>
          <w:sz w:val="32"/>
          <w:szCs w:val="32"/>
        </w:rPr>
        <w:t>年度支出绩效较好，预算编制比较精确、合理;为认真落实中央“八项”规定等厉行节约，反对浪费规定要求，压缩了部分一般性支出;动态优化了年度预算安排，保障了在经费压缩情况下的高效运转;提高了管理工作的规范化、信息化水平。强化日常运行经费管理，对于本单位日常公用经费按照相关政策进行管理，对于办公日常运行维护费用加强审核力度，公用经费及水、电等日常运行经费均有下降。</w:t>
      </w:r>
    </w:p>
    <w:p>
      <w:pPr>
        <w:widowControl/>
        <w:numPr>
          <w:ilvl w:val="0"/>
          <w:numId w:val="1"/>
        </w:numPr>
        <w:adjustRightInd w:val="0"/>
        <w:snapToGrid w:val="0"/>
        <w:spacing w:line="560" w:lineRule="exact"/>
        <w:ind w:left="0" w:firstLineChars="200" w:firstLine="640"/>
        <w:rPr>
          <w:rFonts w:ascii="楷体" w:eastAsia="楷体" w:cs="楷体" w:hint="eastAsia"/>
          <w:b/>
          <w:bCs/>
          <w:sz w:val="32"/>
          <w:szCs w:val="32"/>
        </w:rPr>
      </w:pPr>
      <w:r>
        <w:rPr>
          <w:rFonts w:ascii="楷体" w:eastAsia="楷体" w:cs="楷体" w:hint="eastAsia"/>
          <w:b/>
          <w:bCs/>
          <w:sz w:val="32"/>
          <w:szCs w:val="32"/>
        </w:rPr>
        <w:t>当年预算执行及绩效管理中存在问题、原因及改进措施。</w:t>
      </w:r>
    </w:p>
    <w:p>
      <w:pPr>
        <w:widowControl/>
        <w:adjustRightInd w:val="0"/>
        <w:snapToGrid w:val="0"/>
        <w:spacing w:line="560" w:lineRule="exact"/>
        <w:ind w:left="0" w:firstLineChars="200" w:firstLine="640"/>
        <w:rPr>
          <w:rFonts w:ascii="仿宋_GB2312" w:eastAsia="仿宋_GB2312" w:cs="仿宋_GB2312" w:hint="eastAsia"/>
          <w:b w:val="0"/>
          <w:bCs w:val="0"/>
          <w:sz w:val="32"/>
          <w:szCs w:val="32"/>
        </w:rPr>
      </w:pPr>
      <w:r>
        <w:rPr>
          <w:rFonts w:ascii="仿宋_GB2312" w:eastAsia="仿宋_GB2312" w:cs="仿宋_GB2312" w:hint="eastAsia"/>
          <w:b w:val="0"/>
          <w:bCs w:val="0"/>
          <w:sz w:val="32"/>
          <w:szCs w:val="32"/>
        </w:rPr>
        <w:t>按照国家政策法规规定，结合我单位的实际情况，建立健全了财务管理制度和约束机制，依法、有效地使用财政资金，提高财政资金使用效率，合理分配人、财、物，完成了部门职能目标，实现了较高的工作效率和支出绩效。</w:t>
      </w:r>
    </w:p>
    <w:p>
      <w:pPr>
        <w:spacing w:line="560" w:lineRule="exact"/>
        <w:ind w:firstLineChars="200" w:firstLine="640"/>
        <w:outlineLvl w:val="1"/>
        <w:rPr>
          <w:rStyle w:val="2Char"/>
          <w:rFonts w:ascii="黑体" w:eastAsia="黑体" w:hint="eastAsia"/>
          <w:b w:val="0"/>
        </w:rPr>
      </w:pPr>
      <w:bookmarkStart w:id="17" w:name="_Toc15396609"/>
      <w:bookmarkStart w:id="18" w:name="_Toc15377215"/>
      <w:bookmarkStart w:id="19" w:name="_Toc79163869"/>
      <w:bookmarkStart w:id="20" w:name="_Toc7916361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17"/>
      <w:bookmarkEnd w:id="18"/>
      <w:bookmarkEnd w:id="19"/>
      <w:bookmarkEnd w:id="20"/>
    </w:p>
    <w:p>
      <w:pPr>
        <w:spacing w:line="560" w:lineRule="exact"/>
        <w:ind w:firstLine="640"/>
        <w:outlineLvl w:val="2"/>
        <w:rPr>
          <w:rFonts w:ascii="仿宋" w:eastAsia="仿宋" w:hint="eastAsia"/>
          <w:b/>
          <w:color w:val="000000"/>
          <w:sz w:val="32"/>
          <w:szCs w:val="32"/>
        </w:rPr>
      </w:pPr>
      <w:bookmarkStart w:id="21" w:name="_Toc79163870"/>
      <w:bookmarkStart w:id="22" w:name="_Toc79163620"/>
      <w:bookmarkStart w:id="23" w:name="_Toc15377216"/>
      <w:r>
        <w:rPr>
          <w:rFonts w:ascii="仿宋" w:eastAsia="仿宋" w:hint="eastAsia"/>
          <w:b/>
          <w:color w:val="000000"/>
          <w:sz w:val="32"/>
          <w:szCs w:val="32"/>
        </w:rPr>
        <w:t>（一）“三公”经费财政拨款支出决算总体情况说明</w:t>
      </w:r>
      <w:bookmarkEnd w:id="21"/>
      <w:bookmarkEnd w:id="22"/>
      <w:bookmarkEnd w:id="23"/>
    </w:p>
    <w:p>
      <w:pPr>
        <w:spacing w:line="560" w:lineRule="exact"/>
        <w:ind w:firstLine="640"/>
        <w:rPr>
          <w:rFonts w:ascii="仿宋" w:eastAsia="仿宋"/>
          <w:color w:val="000000"/>
          <w:sz w:val="32"/>
          <w:szCs w:val="32"/>
        </w:rPr>
      </w:pPr>
      <w:r>
        <w:rPr>
          <w:rFonts w:ascii="仿宋_GB2312" w:eastAsia="仿宋_GB2312" w:cs="仿宋_GB2312" w:hint="eastAsia"/>
          <w:sz w:val="32"/>
          <w:szCs w:val="32"/>
          <w:shd w:val="clear" w:color="auto" w:fill="FFFFFF"/>
        </w:rPr>
        <w:t>“三公”经费支出情况：本单位本年度“三公”经费支出决算数为1.00万元。其中:公务用车购置及运行维护费支出决算数为1.00万元，相比上年度</w:t>
      </w:r>
      <w:r>
        <w:rPr>
          <w:rFonts w:ascii="仿宋_GB2312" w:eastAsia="仿宋_GB2312" w:cs="仿宋_GB2312" w:hint="eastAsia"/>
          <w:sz w:val="32"/>
          <w:szCs w:val="32"/>
          <w:shd w:val="clear" w:color="auto" w:fill="FFFFFF"/>
          <w:lang w:val="en-US" w:eastAsia="zh-CN"/>
        </w:rPr>
        <w:t>无增减。</w:t>
      </w:r>
    </w:p>
    <w:p>
      <w:pPr>
        <w:spacing w:line="560" w:lineRule="exact"/>
        <w:ind w:firstLine="640"/>
        <w:outlineLvl w:val="2"/>
        <w:rPr>
          <w:rFonts w:ascii="仿宋" w:eastAsia="仿宋" w:hint="eastAsia"/>
          <w:b/>
          <w:color w:val="000000"/>
          <w:sz w:val="32"/>
          <w:szCs w:val="32"/>
        </w:rPr>
      </w:pPr>
      <w:bookmarkStart w:id="24" w:name="_Toc15377217"/>
      <w:bookmarkStart w:id="25" w:name="_Toc79163621"/>
      <w:bookmarkStart w:id="26" w:name="_Toc79163871"/>
      <w:r>
        <w:rPr>
          <w:rFonts w:ascii="仿宋" w:eastAsia="仿宋" w:hint="eastAsia"/>
          <w:b/>
          <w:color w:val="000000"/>
          <w:sz w:val="32"/>
          <w:szCs w:val="32"/>
        </w:rPr>
        <w:t>（二）“三公”经费财政拨款支出决算具体情况说明</w:t>
      </w:r>
      <w:bookmarkEnd w:id="24"/>
      <w:bookmarkEnd w:id="25"/>
      <w:bookmarkEnd w:id="26"/>
    </w:p>
    <w:p>
      <w:pPr>
        <w:spacing w:line="560" w:lineRule="exact"/>
        <w:ind w:firstLine="640"/>
        <w:rPr>
          <w:rFonts w:ascii="仿宋" w:eastAsia="仿宋" w:hint="eastAsia"/>
          <w:color w:val="000000"/>
          <w:sz w:val="32"/>
          <w:szCs w:val="32"/>
        </w:rPr>
      </w:pPr>
      <w:r>
        <w:rPr>
          <w:rFonts w:ascii="仿宋" w:eastAsia="仿宋" w:hint="eastAsia"/>
          <w:color w:val="000000"/>
          <w:sz w:val="32"/>
          <w:szCs w:val="32"/>
        </w:rPr>
        <w:t>2020年“三公”经费财政拨款支出决算中，因公出国（境）费支出决算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%；公务用车购置及运行维护费支出决算</w:t>
      </w:r>
      <w:r>
        <w:rPr>
          <w:rFonts w:ascii="仿宋" w:eastAsia="仿宋"/>
          <w:color w:val="000000"/>
          <w:sz w:val="32"/>
          <w:szCs w:val="32"/>
        </w:rPr>
        <w:t>1</w:t>
      </w:r>
      <w:r>
        <w:rPr>
          <w:rFonts w:ascii="仿宋" w:eastAsia="仿宋" w:hint="eastAsia"/>
          <w:color w:val="000000"/>
          <w:sz w:val="32"/>
          <w:szCs w:val="32"/>
        </w:rPr>
        <w:t>万元，占</w:t>
      </w:r>
      <w:r>
        <w:rPr>
          <w:rFonts w:ascii="仿宋" w:eastAsia="仿宋" w:hint="eastAsia"/>
          <w:color w:val="000000"/>
          <w:sz w:val="32"/>
          <w:szCs w:val="32"/>
          <w:lang w:val="en-US" w:eastAsia="zh-CN"/>
        </w:rPr>
        <w:t>10</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%。具体情况如下：</w:t>
      </w:r>
    </w:p>
    <w:p>
      <w:pPr>
        <w:spacing w:line="560" w:lineRule="exact"/>
        <w:ind w:firstLine="640"/>
        <w:rPr>
          <w:rFonts w:ascii="仿宋" w:eastAsia="仿宋" w:hint="eastAsia"/>
          <w:color w:val="000000"/>
          <w:sz w:val="32"/>
          <w:szCs w:val="32"/>
        </w:rPr>
      </w:pPr>
      <w:r>
        <w:rPr>
          <w:rFonts w:ascii="仿宋" w:eastAsia="仿宋" w:hint="eastAsia"/>
          <w:color w:val="000000"/>
          <w:sz w:val="32"/>
          <w:szCs w:val="32"/>
        </w:rPr>
        <w:t>公务用车购置及运行维护费支出</w:t>
      </w:r>
      <w:r>
        <w:rPr>
          <w:rFonts w:ascii="仿宋" w:eastAsia="仿宋"/>
          <w:color w:val="000000"/>
          <w:sz w:val="32"/>
          <w:szCs w:val="32"/>
        </w:rPr>
        <w:t>1</w:t>
      </w:r>
      <w:r>
        <w:rPr>
          <w:rFonts w:ascii="仿宋" w:eastAsia="仿宋" w:hint="eastAsia"/>
          <w:color w:val="000000"/>
          <w:sz w:val="32"/>
          <w:szCs w:val="32"/>
        </w:rPr>
        <w:t>万元,完成预算</w:t>
      </w:r>
      <w:r>
        <w:rPr>
          <w:rFonts w:ascii="仿宋" w:eastAsia="仿宋" w:hint="eastAsia"/>
          <w:color w:val="000000"/>
          <w:sz w:val="32"/>
          <w:szCs w:val="32"/>
          <w:lang w:val="en-US" w:eastAsia="zh-CN"/>
        </w:rPr>
        <w:t>100</w:t>
      </w:r>
      <w:r>
        <w:rPr>
          <w:rFonts w:ascii="仿宋" w:eastAsia="仿宋" w:hint="eastAsia"/>
          <w:color w:val="000000"/>
          <w:sz w:val="32"/>
          <w:szCs w:val="32"/>
        </w:rPr>
        <w:t>%。公务用车购置及运行维护费支出决算</w:t>
      </w:r>
      <w:r>
        <w:rPr>
          <w:rFonts w:ascii="仿宋" w:eastAsia="仿宋" w:hint="eastAsia"/>
          <w:color w:val="000000"/>
          <w:sz w:val="32"/>
          <w:szCs w:val="32"/>
          <w:lang w:eastAsia="zh-CN"/>
        </w:rPr>
        <w:t>与</w:t>
      </w:r>
      <w:r>
        <w:rPr>
          <w:rFonts w:ascii="仿宋" w:eastAsia="仿宋" w:hint="eastAsia"/>
          <w:color w:val="000000"/>
          <w:sz w:val="32"/>
          <w:szCs w:val="32"/>
        </w:rPr>
        <w:t>20</w:t>
      </w:r>
      <w:r>
        <w:rPr>
          <w:rFonts w:ascii="仿宋" w:eastAsia="仿宋"/>
          <w:color w:val="000000"/>
          <w:sz w:val="32"/>
          <w:szCs w:val="32"/>
        </w:rPr>
        <w:t>20</w:t>
      </w:r>
      <w:r>
        <w:rPr>
          <w:rFonts w:ascii="仿宋" w:eastAsia="仿宋" w:hint="eastAsia"/>
          <w:color w:val="000000"/>
          <w:sz w:val="32"/>
          <w:szCs w:val="32"/>
        </w:rPr>
        <w:t>年</w:t>
      </w:r>
      <w:r>
        <w:rPr>
          <w:rFonts w:ascii="仿宋" w:eastAsia="仿宋" w:hint="eastAsia"/>
          <w:color w:val="000000"/>
          <w:sz w:val="32"/>
          <w:szCs w:val="32"/>
          <w:lang w:eastAsia="zh-CN"/>
        </w:rPr>
        <w:t>无增减</w:t>
      </w:r>
      <w:r>
        <w:rPr>
          <w:rFonts w:ascii="仿宋" w:eastAsia="仿宋" w:hint="eastAsia"/>
          <w:color w:val="000000"/>
          <w:sz w:val="32"/>
          <w:szCs w:val="32"/>
        </w:rPr>
        <w:t>。</w:t>
      </w:r>
    </w:p>
    <w:p>
      <w:pPr>
        <w:spacing w:line="560" w:lineRule="exact"/>
        <w:ind w:firstLine="640"/>
        <w:rPr>
          <w:rFonts w:ascii="仿宋" w:eastAsia="仿宋" w:hint="eastAsia"/>
          <w:color w:val="000000"/>
          <w:sz w:val="32"/>
          <w:szCs w:val="32"/>
          <w:lang w:val="en-US" w:eastAsia="zh-CN"/>
        </w:rPr>
      </w:pPr>
      <w:r>
        <w:rPr>
          <w:rFonts w:ascii="仿宋" w:eastAsia="仿宋" w:hint="eastAsia"/>
          <w:color w:val="000000"/>
          <w:sz w:val="32"/>
          <w:szCs w:val="32"/>
        </w:rPr>
        <w:t>公务用车购置</w:t>
      </w:r>
      <w:r>
        <w:rPr>
          <w:rFonts w:ascii="仿宋" w:eastAsia="仿宋" w:hint="eastAsia"/>
          <w:color w:val="000000"/>
          <w:sz w:val="32"/>
          <w:szCs w:val="32"/>
          <w:lang w:eastAsia="zh-CN"/>
        </w:rPr>
        <w:t>：</w:t>
      </w:r>
      <w:r>
        <w:rPr>
          <w:rFonts w:ascii="仿宋" w:eastAsia="仿宋" w:hint="eastAsia"/>
          <w:color w:val="000000"/>
          <w:sz w:val="32"/>
          <w:szCs w:val="32"/>
          <w:lang w:val="en-US" w:eastAsia="zh-CN"/>
        </w:rPr>
        <w:t>2021年未购置新车。</w:t>
      </w:r>
    </w:p>
    <w:p>
      <w:pPr>
        <w:spacing w:line="560" w:lineRule="exact"/>
        <w:ind w:firstLine="640"/>
        <w:rPr>
          <w:rFonts w:ascii="仿宋" w:eastAsia="仿宋" w:hint="eastAsia"/>
          <w:color w:val="000000"/>
          <w:sz w:val="32"/>
          <w:szCs w:val="32"/>
        </w:rPr>
      </w:pPr>
      <w:r>
        <w:rPr>
          <w:rFonts w:ascii="仿宋" w:eastAsia="仿宋" w:hint="eastAsia"/>
          <w:color w:val="000000"/>
          <w:sz w:val="32"/>
          <w:szCs w:val="32"/>
        </w:rPr>
        <w:t>公务用车运行维护费支出</w:t>
      </w:r>
      <w:r>
        <w:rPr>
          <w:rFonts w:ascii="仿宋" w:eastAsia="仿宋"/>
          <w:color w:val="000000"/>
          <w:sz w:val="32"/>
          <w:szCs w:val="32"/>
        </w:rPr>
        <w:t>1</w:t>
      </w:r>
      <w:r>
        <w:rPr>
          <w:rFonts w:ascii="仿宋" w:eastAsia="仿宋" w:hint="eastAsia"/>
          <w:color w:val="000000"/>
          <w:sz w:val="32"/>
          <w:szCs w:val="32"/>
        </w:rPr>
        <w:t>万元。主要用于</w:t>
      </w:r>
      <w:r>
        <w:rPr>
          <w:rFonts w:ascii="仿宋" w:eastAsia="仿宋" w:hint="eastAsia"/>
          <w:color w:val="000000"/>
          <w:sz w:val="32"/>
          <w:szCs w:val="32"/>
          <w:lang w:eastAsia="zh-CN"/>
        </w:rPr>
        <w:t>日常工作调研、检查督办、两联一进及脱贫攻坚工作等</w:t>
      </w:r>
      <w:r>
        <w:rPr>
          <w:rFonts w:ascii="仿宋" w:eastAsia="仿宋" w:hint="eastAsia"/>
          <w:color w:val="000000"/>
          <w:sz w:val="32"/>
          <w:szCs w:val="32"/>
        </w:rPr>
        <w:t>所需的公务用车燃料费、维修费、过路过桥费、保险费等支出。</w:t>
      </w:r>
    </w:p>
    <w:p>
      <w:pPr>
        <w:spacing w:line="560" w:lineRule="exact"/>
        <w:ind w:firstLine="640"/>
        <w:rPr>
          <w:rFonts w:ascii="仿宋" w:eastAsia="仿宋" w:hint="eastAsia"/>
          <w:color w:val="000000"/>
          <w:sz w:val="32"/>
          <w:szCs w:val="32"/>
          <w:lang w:eastAsia="zh-CN"/>
        </w:rPr>
      </w:pPr>
      <w:r>
        <w:rPr>
          <w:rFonts w:ascii="仿宋" w:eastAsia="仿宋" w:hint="eastAsia"/>
          <w:color w:val="000000"/>
          <w:sz w:val="32"/>
          <w:szCs w:val="32"/>
        </w:rPr>
        <w:t>公务接待费支出</w:t>
      </w:r>
      <w:r>
        <w:rPr>
          <w:rFonts w:ascii="仿宋" w:eastAsia="仿宋" w:hint="eastAsia"/>
          <w:color w:val="000000"/>
          <w:sz w:val="32"/>
          <w:szCs w:val="32"/>
          <w:lang w:val="en-US" w:eastAsia="zh-CN"/>
        </w:rPr>
        <w:t>0</w:t>
      </w:r>
      <w:r>
        <w:rPr>
          <w:rFonts w:ascii="仿宋" w:eastAsia="仿宋" w:hint="eastAsia"/>
          <w:color w:val="000000"/>
          <w:sz w:val="32"/>
          <w:szCs w:val="32"/>
        </w:rPr>
        <w:t>万元</w:t>
      </w:r>
      <w:r>
        <w:rPr>
          <w:rFonts w:ascii="仿宋" w:eastAsia="仿宋" w:hint="eastAsia"/>
          <w:color w:val="000000"/>
          <w:sz w:val="32"/>
          <w:szCs w:val="32"/>
          <w:lang w:eastAsia="zh-CN"/>
        </w:rPr>
        <w:t>。</w:t>
      </w:r>
    </w:p>
    <w:p>
      <w:pPr>
        <w:spacing w:line="600" w:lineRule="exact"/>
        <w:ind w:firstLineChars="200" w:firstLine="640"/>
        <w:rPr>
          <w:rFonts w:ascii="仿宋_GB2312" w:eastAsia="仿宋_GB2312" w:hint="eastAsia"/>
          <w:color w:val="000000"/>
          <w:sz w:val="32"/>
          <w:szCs w:val="32"/>
        </w:rPr>
      </w:pPr>
      <w:r>
        <w:rPr>
          <w:rFonts w:ascii="仿宋" w:eastAsia="仿宋" w:hint="eastAsia"/>
          <w:color w:val="000000"/>
          <w:sz w:val="32"/>
          <w:szCs w:val="32"/>
        </w:rPr>
        <w:t>国内公务接待支出</w:t>
      </w:r>
      <w:r>
        <w:rPr>
          <w:rFonts w:ascii="仿宋" w:eastAsia="仿宋" w:hint="eastAsia"/>
          <w:color w:val="000000"/>
          <w:sz w:val="32"/>
          <w:szCs w:val="32"/>
          <w:lang w:val="en-US" w:eastAsia="zh-CN"/>
        </w:rPr>
        <w:t>0</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_GB2312" w:eastAsia="仿宋_GB2312" w:hint="eastAsia"/>
          <w:color w:val="000000"/>
          <w:sz w:val="32"/>
          <w:szCs w:val="32"/>
        </w:rPr>
        <w:t>国内公务接待</w:t>
      </w:r>
      <w:r>
        <w:rPr>
          <w:rFonts w:ascii="仿宋_GB2312" w:eastAsia="仿宋_GB2312" w:hint="eastAsia"/>
          <w:color w:val="000000"/>
          <w:sz w:val="32"/>
          <w:szCs w:val="32"/>
        </w:rPr>
        <w:t>0</w:t>
      </w:r>
      <w:r>
        <w:rPr>
          <w:rFonts w:ascii="仿宋_GB2312" w:eastAsia="仿宋_GB2312" w:hint="eastAsia"/>
          <w:color w:val="000000"/>
          <w:sz w:val="32"/>
          <w:szCs w:val="32"/>
        </w:rPr>
        <w:t>批次，</w:t>
      </w:r>
      <w:r>
        <w:rPr>
          <w:rFonts w:ascii="仿宋_GB2312" w:eastAsia="仿宋_GB2312" w:hint="eastAsia"/>
          <w:color w:val="000000"/>
          <w:sz w:val="32"/>
          <w:szCs w:val="32"/>
        </w:rPr>
        <w:t>0</w:t>
      </w:r>
      <w:r>
        <w:rPr>
          <w:rFonts w:ascii="仿宋_GB2312" w:eastAsia="仿宋_GB2312" w:hint="eastAsia"/>
          <w:color w:val="000000"/>
          <w:sz w:val="32"/>
          <w:szCs w:val="32"/>
        </w:rPr>
        <w:t>人次，共计支出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pPr>
        <w:spacing w:line="560" w:lineRule="exact"/>
        <w:ind w:firstLine="640"/>
        <w:rPr>
          <w:rFonts w:ascii="仿宋_GB2312" w:eastAsia="仿宋_GB2312" w:hint="eastAsia"/>
          <w:color w:val="000000"/>
          <w:sz w:val="32"/>
          <w:szCs w:val="32"/>
          <w:lang w:eastAsia="zh-CN"/>
        </w:rPr>
      </w:pPr>
      <w:r>
        <w:rPr>
          <w:rFonts w:ascii="仿宋" w:eastAsia="仿宋" w:hint="eastAsia"/>
          <w:color w:val="000000"/>
          <w:sz w:val="32"/>
          <w:szCs w:val="32"/>
        </w:rPr>
        <w:t>外事接待支出</w:t>
      </w:r>
      <w:r>
        <w:rPr>
          <w:rFonts w:ascii="仿宋" w:eastAsia="仿宋" w:hint="eastAsia"/>
          <w:color w:val="000000"/>
          <w:sz w:val="32"/>
          <w:szCs w:val="32"/>
          <w:lang w:val="en-US" w:eastAsia="zh-CN"/>
        </w:rPr>
        <w:t>0</w:t>
      </w:r>
      <w:r>
        <w:rPr>
          <w:rFonts w:ascii="仿宋" w:eastAsia="仿宋" w:hint="eastAsia"/>
          <w:color w:val="000000"/>
          <w:sz w:val="32"/>
          <w:szCs w:val="32"/>
        </w:rPr>
        <w:t>万元，外事接待</w:t>
      </w:r>
      <w:r>
        <w:rPr>
          <w:rFonts w:ascii="仿宋" w:eastAsia="仿宋" w:hint="eastAsia"/>
          <w:color w:val="000000"/>
          <w:sz w:val="32"/>
          <w:szCs w:val="32"/>
          <w:lang w:val="en-US" w:eastAsia="zh-CN"/>
        </w:rPr>
        <w:t>0</w:t>
      </w:r>
      <w:r>
        <w:rPr>
          <w:rFonts w:ascii="仿宋" w:eastAsia="仿宋" w:hint="eastAsia"/>
          <w:color w:val="000000"/>
          <w:sz w:val="32"/>
          <w:szCs w:val="32"/>
        </w:rPr>
        <w:t>批次，</w:t>
      </w:r>
      <w:r>
        <w:rPr>
          <w:rFonts w:ascii="仿宋" w:eastAsia="仿宋" w:hint="eastAsia"/>
          <w:color w:val="000000"/>
          <w:sz w:val="32"/>
          <w:szCs w:val="32"/>
          <w:lang w:val="en-US" w:eastAsia="zh-CN"/>
        </w:rPr>
        <w:t>0</w:t>
      </w:r>
      <w:r>
        <w:rPr>
          <w:rFonts w:ascii="仿宋" w:eastAsia="仿宋" w:hint="eastAsia"/>
          <w:color w:val="000000"/>
          <w:sz w:val="32"/>
          <w:szCs w:val="32"/>
        </w:rPr>
        <w:t>人，共</w:t>
      </w:r>
      <w:r>
        <w:rPr>
          <w:rFonts w:ascii="仿宋_GB2312" w:eastAsia="仿宋_GB2312" w:hint="eastAsia"/>
          <w:color w:val="000000"/>
          <w:sz w:val="32"/>
          <w:szCs w:val="32"/>
        </w:rPr>
        <w:t>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p>
    <w:p>
      <w:pPr>
        <w:spacing w:line="560" w:lineRule="exact"/>
        <w:ind w:firstLineChars="200" w:firstLine="640"/>
        <w:rPr>
          <w:rFonts w:eastAsia="宋体" w:hint="eastAsia"/>
          <w:lang w:val="en-US" w:eastAsia="zh-CN"/>
        </w:rPr>
      </w:pPr>
      <w:r>
        <w:rPr>
          <w:rFonts w:ascii="仿宋_GB2312" w:eastAsia="仿宋_GB2312" w:cs="仿宋_GB2312" w:hint="eastAsia"/>
          <w:b/>
          <w:bCs/>
          <w:color w:val="000000"/>
          <w:sz w:val="32"/>
          <w:szCs w:val="32"/>
          <w:lang w:val="en-US" w:eastAsia="zh-CN" w:bidi="ar-SA"/>
        </w:rPr>
        <w:t>3.</w:t>
      </w:r>
      <w:r>
        <w:rPr>
          <w:rFonts w:ascii="仿宋_GB2312" w:eastAsia="仿宋_GB2312" w:cs="仿宋_GB2312" w:hint="eastAsia"/>
          <w:b/>
          <w:bCs/>
          <w:color w:val="000000"/>
          <w:sz w:val="32"/>
          <w:szCs w:val="32"/>
          <w:lang w:bidi="ar-SA"/>
        </w:rPr>
        <w:t>因公出国（境）费支出</w:t>
      </w:r>
      <w:r>
        <w:rPr>
          <w:rFonts w:ascii="仿宋_GB2312" w:eastAsia="仿宋_GB2312" w:cs="仿宋_GB2312" w:hint="eastAsia"/>
          <w:b/>
          <w:bCs/>
          <w:color w:val="000000"/>
          <w:sz w:val="32"/>
          <w:szCs w:val="32"/>
          <w:lang w:val="en-US" w:eastAsia="zh-CN" w:bidi="ar-SA"/>
        </w:rPr>
        <w:t>0</w:t>
      </w:r>
      <w:r>
        <w:rPr>
          <w:rFonts w:ascii="仿宋_GB2312" w:eastAsia="仿宋_GB2312" w:cs="仿宋_GB2312" w:hint="eastAsia"/>
          <w:b/>
          <w:bCs/>
          <w:color w:val="000000"/>
          <w:sz w:val="32"/>
          <w:szCs w:val="32"/>
          <w:lang w:bidi="ar-SA"/>
        </w:rPr>
        <w:t>万元</w:t>
      </w:r>
      <w:r>
        <w:rPr>
          <w:rFonts w:ascii="仿宋_GB2312" w:eastAsia="仿宋_GB2312" w:cs="仿宋_GB2312" w:hint="eastAsia"/>
          <w:b/>
          <w:bCs/>
          <w:color w:val="000000"/>
          <w:sz w:val="32"/>
          <w:szCs w:val="32"/>
          <w:lang w:eastAsia="zh-CN" w:bidi="ar-SA"/>
        </w:rPr>
        <w:t>。</w:t>
      </w:r>
    </w:p>
    <w:p>
      <w:pPr>
        <w:spacing w:line="600" w:lineRule="exact"/>
        <w:ind w:firstLine="640"/>
        <w:outlineLvl w:val="1"/>
        <w:rPr>
          <w:rStyle w:val="2Char"/>
          <w:rFonts w:ascii="黑体" w:eastAsia="黑体"/>
        </w:rPr>
      </w:pPr>
      <w:bookmarkStart w:id="27" w:name="_Toc15377218"/>
      <w:bookmarkStart w:id="28" w:name="_Toc23573"/>
      <w:r>
        <w:rPr>
          <w:rFonts w:ascii="黑体" w:eastAsia="黑体" w:hint="eastAsia"/>
          <w:color w:val="000000"/>
          <w:sz w:val="32"/>
          <w:szCs w:val="32"/>
        </w:rPr>
        <w:t>八、</w:t>
      </w:r>
      <w:r>
        <w:rPr>
          <w:rStyle w:val="2Char"/>
          <w:rFonts w:ascii="黑体" w:eastAsia="黑体" w:hint="eastAsia"/>
          <w:b w:val="0"/>
        </w:rPr>
        <w:t>政府性基金预算支出决算情况说明</w:t>
      </w:r>
      <w:bookmarkEnd w:id="27"/>
      <w:bookmarkEnd w:id="2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年政府性基金预算拨款支出0万元。</w:t>
      </w:r>
    </w:p>
    <w:p>
      <w:pPr>
        <w:numPr>
          <w:ilvl w:val="0"/>
          <w:numId w:val="2"/>
        </w:numPr>
        <w:spacing w:line="600" w:lineRule="exact"/>
        <w:ind w:left="0" w:firstLine="640"/>
        <w:outlineLvl w:val="1"/>
        <w:rPr>
          <w:rStyle w:val="2Char"/>
          <w:rFonts w:ascii="黑体" w:eastAsia="黑体"/>
          <w:b w:val="0"/>
        </w:rPr>
      </w:pPr>
      <w:bookmarkStart w:id="29" w:name="_Toc15377219"/>
      <w:bookmarkStart w:id="30" w:name="_Toc351"/>
      <w:r>
        <w:rPr>
          <w:rStyle w:val="2Char"/>
          <w:rFonts w:ascii="黑体" w:eastAsia="黑体" w:hint="eastAsia"/>
          <w:b w:val="0"/>
        </w:rPr>
        <w:t>国有资本经营预算支出决算情况说明</w:t>
      </w:r>
      <w:bookmarkEnd w:id="29"/>
      <w:bookmarkEnd w:id="3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年国有资本经营预算拨款支出0万元。</w:t>
      </w:r>
    </w:p>
    <w:p>
      <w:pPr>
        <w:pStyle w:val="32"/>
        <w:numPr>
          <w:ilvl w:val="0"/>
          <w:numId w:val="3"/>
        </w:numPr>
        <w:spacing w:line="580" w:lineRule="exact"/>
        <w:ind w:firstLineChars="0"/>
        <w:rPr>
          <w:rStyle w:val="2Char"/>
          <w:rFonts w:ascii="黑体" w:eastAsia="黑体"/>
          <w:b w:val="0"/>
        </w:rPr>
      </w:pPr>
      <w:bookmarkStart w:id="31" w:name="_Toc16199"/>
      <w:r>
        <w:rPr>
          <w:rStyle w:val="2Char"/>
          <w:rFonts w:ascii="黑体" w:eastAsia="黑体" w:hint="eastAsia"/>
          <w:b w:val="0"/>
        </w:rPr>
        <w:t>预算绩效情况说明</w:t>
      </w:r>
    </w:p>
    <w:p>
      <w:pPr>
        <w:numPr>
          <w:ilvl w:val="0"/>
          <w:numId w:val="4"/>
        </w:numPr>
        <w:spacing w:line="580" w:lineRule="exact"/>
        <w:ind w:left="0" w:firstLineChars="200" w:firstLine="640"/>
        <w:rPr>
          <w:rStyle w:val="2Char"/>
          <w:rFonts w:ascii="黑体" w:eastAsia="黑体"/>
          <w:b w:val="0"/>
        </w:rPr>
      </w:pPr>
      <w:bookmarkStart w:id="32" w:name="_Toc4523"/>
      <w:bookmarkEnd w:id="31"/>
      <w:r>
        <w:rPr>
          <w:rStyle w:val="2Char"/>
          <w:rFonts w:ascii="黑体" w:eastAsia="黑体" w:hint="eastAsia"/>
          <w:b w:val="0"/>
        </w:rPr>
        <w:t>预算绩效管理工作开展情况。</w:t>
      </w:r>
    </w:p>
    <w:p>
      <w:pPr>
        <w:spacing w:line="580" w:lineRule="exact"/>
        <w:ind w:firstLineChars="200" w:firstLine="640"/>
        <w:rPr>
          <w:rFonts w:ascii="仿宋_GB2312" w:eastAsia="仿宋_GB2312" w:cs="仿宋_GB2312"/>
          <w:sz w:val="32"/>
          <w:szCs w:val="32"/>
        </w:rPr>
      </w:pPr>
      <w:bookmarkEnd w:id="32"/>
      <w:r>
        <w:rPr>
          <w:rFonts w:ascii="仿宋_GB2312" w:eastAsia="仿宋_GB2312" w:cs="仿宋_GB2312" w:hint="eastAsia"/>
          <w:sz w:val="32"/>
          <w:szCs w:val="32"/>
        </w:rPr>
        <w:t>根据预算绩效管理要求，我单位在年初预算编制阶段，组织对项目开展了预算事前绩效评估，对</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个项目编制了绩效目标，预算执行过程中，选取</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个项目开展绩效监控，年终执行完毕后，对</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个项目开展了绩效目标完成情况梳理填报。</w:t>
      </w:r>
    </w:p>
    <w:p>
      <w:pPr>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年部门整体支出开展绩效自评，</w:t>
      </w:r>
      <w:r>
        <w:rPr>
          <w:rFonts w:ascii="仿宋_GB2312" w:eastAsia="仿宋_GB2312" w:hint="eastAsia"/>
          <w:sz w:val="32"/>
          <w:szCs w:val="32"/>
        </w:rPr>
        <w:t>经全面综合评价，我单位预算支出绩效自评得分94.7</w:t>
      </w:r>
      <w:r>
        <w:rPr>
          <w:rFonts w:ascii="仿宋_GB2312" w:eastAsia="仿宋_GB2312" w:hint="eastAsia"/>
          <w:color w:val="000000"/>
          <w:sz w:val="32"/>
          <w:szCs w:val="32"/>
        </w:rPr>
        <w:t>分</w:t>
      </w:r>
      <w:r>
        <w:rPr>
          <w:rFonts w:ascii="仿宋_GB2312" w:eastAsia="仿宋_GB2312" w:hint="eastAsia"/>
          <w:sz w:val="32"/>
          <w:szCs w:val="32"/>
        </w:rPr>
        <w:t>（扣除我单位不存在的评价指标分值,总分为96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ascii="仿宋_GB2312" w:eastAsia="仿宋_GB2312" w:cs="仿宋_GB2312" w:hint="eastAsia"/>
          <w:sz w:val="32"/>
          <w:szCs w:val="32"/>
        </w:rPr>
        <w:t>。本单位还自行组织了4个项目绩效评价，从评价情况来看我单位年初预算项目基本按照绩效目标完成支付，有部分项目结转质保金在下年质保期后进行支付。</w:t>
      </w:r>
    </w:p>
    <w:p>
      <w:pPr>
        <w:spacing w:line="600" w:lineRule="exact"/>
        <w:outlineLvl w:val="1"/>
        <w:rPr>
          <w:rStyle w:val="2Char"/>
          <w:rFonts w:ascii="黑体" w:eastAsia="黑体"/>
        </w:rPr>
      </w:pPr>
      <w:bookmarkStart w:id="33" w:name="_Toc15396612"/>
      <w:bookmarkStart w:id="34" w:name="_Toc15377221"/>
      <w:r>
        <w:rPr>
          <w:rFonts w:ascii="黑体" w:eastAsia="黑体" w:hint="eastAsia"/>
          <w:color w:val="000000"/>
          <w:sz w:val="32"/>
          <w:szCs w:val="32"/>
        </w:rPr>
        <w:t>十</w:t>
      </w:r>
      <w:r>
        <w:rPr>
          <w:rStyle w:val="2Char"/>
          <w:rFonts w:ascii="黑体" w:eastAsia="黑体" w:hint="eastAsia"/>
        </w:rPr>
        <w:t>一、</w:t>
      </w:r>
      <w:r>
        <w:rPr>
          <w:rStyle w:val="2Char"/>
          <w:rFonts w:ascii="黑体" w:eastAsia="黑体" w:hint="eastAsia"/>
          <w:b w:val="0"/>
        </w:rPr>
        <w:t>其他重要事项的情况说明</w:t>
      </w:r>
      <w:bookmarkEnd w:id="33"/>
      <w:bookmarkEnd w:id="34"/>
    </w:p>
    <w:p>
      <w:pPr>
        <w:spacing w:line="600" w:lineRule="exact"/>
        <w:ind w:firstLineChars="200" w:firstLine="640"/>
        <w:outlineLvl w:val="2"/>
        <w:rPr>
          <w:rFonts w:ascii="仿宋" w:eastAsia="仿宋"/>
          <w:color w:val="000000"/>
          <w:sz w:val="32"/>
          <w:szCs w:val="32"/>
        </w:rPr>
      </w:pPr>
      <w:bookmarkStart w:id="35" w:name="_Toc15377222"/>
      <w:r>
        <w:rPr>
          <w:rFonts w:ascii="仿宋" w:eastAsia="仿宋" w:hint="eastAsia"/>
          <w:b/>
          <w:color w:val="000000"/>
          <w:sz w:val="32"/>
          <w:szCs w:val="32"/>
        </w:rPr>
        <w:t>（一）机关运行经费支出情况</w:t>
      </w:r>
      <w:bookmarkEnd w:id="35"/>
    </w:p>
    <w:p>
      <w:pPr>
        <w:spacing w:line="600" w:lineRule="exact"/>
        <w:ind w:firstLineChars="200" w:firstLine="640"/>
        <w:rPr>
          <w:rFonts w:ascii="仿宋_GB2312" w:eastAsia="仿宋_GB2312" w:hint="eastAsia"/>
          <w:color w:val="auto"/>
          <w:sz w:val="32"/>
          <w:szCs w:val="32"/>
          <w:lang w:val="en-US" w:eastAsia="zh-CN"/>
          <w:highlight w:val="auto"/>
        </w:rPr>
      </w:pPr>
      <w:r>
        <w:rPr>
          <w:rFonts w:ascii="仿宋_GB2312" w:eastAsia="仿宋_GB2312"/>
          <w:color w:val="000000"/>
          <w:sz w:val="32"/>
          <w:szCs w:val="32"/>
          <w:highlight w:val="auto"/>
        </w:rPr>
        <w:t>20</w:t>
      </w:r>
      <w:r>
        <w:rPr>
          <w:rFonts w:ascii="仿宋_GB2312" w:eastAsia="仿宋_GB2312" w:hint="eastAsia"/>
          <w:color w:val="000000"/>
          <w:sz w:val="32"/>
          <w:szCs w:val="32"/>
          <w:lang w:val="en-US" w:eastAsia="zh-CN"/>
          <w:highlight w:val="auto"/>
        </w:rPr>
        <w:t>21</w:t>
      </w:r>
      <w:r>
        <w:rPr>
          <w:rFonts w:ascii="仿宋_GB2312" w:eastAsia="仿宋_GB2312" w:hint="eastAsia"/>
          <w:color w:val="000000"/>
          <w:sz w:val="32"/>
          <w:szCs w:val="32"/>
          <w:highlight w:val="auto"/>
        </w:rPr>
        <w:t>年，</w:t>
      </w:r>
      <w:r>
        <w:rPr>
          <w:rFonts w:ascii="仿宋_GB2312" w:eastAsia="仿宋_GB2312" w:hint="eastAsia"/>
          <w:color w:val="000000"/>
          <w:sz w:val="32"/>
          <w:szCs w:val="32"/>
          <w:lang w:val="en-US" w:eastAsia="zh-CN"/>
          <w:highlight w:val="auto"/>
        </w:rPr>
        <w:t>我校</w:t>
      </w:r>
      <w:r>
        <w:rPr>
          <w:rFonts w:ascii="仿宋_GB2312" w:eastAsia="仿宋_GB2312" w:hint="eastAsia"/>
          <w:color w:val="000000"/>
          <w:sz w:val="32"/>
          <w:szCs w:val="32"/>
          <w:highlight w:val="auto"/>
        </w:rPr>
        <w:t>运行经费支出</w:t>
      </w:r>
      <w:r>
        <w:rPr>
          <w:rFonts w:ascii="仿宋_GB2312" w:eastAsia="仿宋_GB2312" w:hint="eastAsia"/>
          <w:color w:val="000000"/>
          <w:sz w:val="32"/>
          <w:szCs w:val="32"/>
          <w:lang w:val="en-US" w:eastAsia="zh-CN"/>
          <w:highlight w:val="auto"/>
        </w:rPr>
        <w:t>0</w:t>
      </w:r>
      <w:r>
        <w:rPr>
          <w:rFonts w:ascii="仿宋_GB2312" w:eastAsia="仿宋_GB2312" w:hint="eastAsia"/>
          <w:color w:val="000000"/>
          <w:sz w:val="32"/>
          <w:szCs w:val="32"/>
          <w:highlight w:val="auto"/>
        </w:rPr>
        <w:t>万元</w:t>
      </w:r>
      <w:r>
        <w:rPr>
          <w:rFonts w:ascii="仿宋_GB2312" w:eastAsia="仿宋_GB2312" w:hint="eastAsia"/>
          <w:color w:val="000000"/>
          <w:sz w:val="32"/>
          <w:szCs w:val="32"/>
          <w:lang w:eastAsia="zh-CN"/>
          <w:highlight w:val="auto"/>
        </w:rPr>
        <w:t>与</w:t>
      </w:r>
      <w:r>
        <w:rPr>
          <w:rFonts w:ascii="仿宋_GB2312" w:eastAsia="仿宋_GB2312"/>
          <w:color w:val="000000"/>
          <w:sz w:val="32"/>
          <w:szCs w:val="32"/>
          <w:highlight w:val="auto"/>
        </w:rPr>
        <w:t>20</w:t>
      </w:r>
      <w:r>
        <w:rPr>
          <w:rFonts w:ascii="仿宋_GB2312" w:eastAsia="仿宋_GB2312" w:hint="eastAsia"/>
          <w:color w:val="000000"/>
          <w:sz w:val="32"/>
          <w:szCs w:val="32"/>
          <w:lang w:val="en-US" w:eastAsia="zh-CN"/>
          <w:highlight w:val="auto"/>
        </w:rPr>
        <w:t>20</w:t>
      </w:r>
      <w:r>
        <w:rPr>
          <w:rFonts w:ascii="仿宋_GB2312" w:eastAsia="仿宋_GB2312" w:hint="eastAsia"/>
          <w:color w:val="000000"/>
          <w:sz w:val="32"/>
          <w:szCs w:val="32"/>
          <w:highlight w:val="auto"/>
        </w:rPr>
        <w:t>年</w:t>
      </w:r>
      <w:r>
        <w:rPr>
          <w:rFonts w:ascii="仿宋_GB2312" w:eastAsia="仿宋_GB2312" w:hint="eastAsia"/>
          <w:color w:val="000000"/>
          <w:sz w:val="32"/>
          <w:szCs w:val="32"/>
          <w:lang w:eastAsia="zh-CN"/>
          <w:highlight w:val="auto"/>
        </w:rPr>
        <w:t>持平</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36" w:name="_Toc15377223"/>
      <w:r>
        <w:rPr>
          <w:rFonts w:ascii="仿宋" w:eastAsia="仿宋" w:hint="eastAsia"/>
          <w:b/>
          <w:color w:val="000000"/>
          <w:sz w:val="32"/>
          <w:szCs w:val="32"/>
        </w:rPr>
        <w:t>（二）政府采购支出情况</w:t>
      </w:r>
      <w:bookmarkEnd w:id="36"/>
    </w:p>
    <w:p>
      <w:pPr>
        <w:pStyle w:val="23"/>
        <w:keepNext w:val="0"/>
        <w:keepLines w:val="0"/>
        <w:widowControl/>
        <w:suppressLineNumbers w:val="0"/>
        <w:spacing w:beforeAutospacing="0"/>
        <w:ind w:left="0" w:firstLineChars="200" w:firstLine="640"/>
        <w:rPr>
          <w:rFonts w:ascii="仿宋" w:eastAsia="仿宋" w:cs="仿宋" w:hint="eastAsia"/>
          <w:sz w:val="32"/>
          <w:szCs w:val="32"/>
          <w:shd w:val="clear" w:color="auto" w:fill="FFFFFF"/>
        </w:rPr>
      </w:pP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w:t>
      </w:r>
      <w:r>
        <w:rPr>
          <w:rFonts w:ascii="仿宋" w:eastAsia="仿宋" w:cs="仿宋" w:hint="eastAsia"/>
          <w:sz w:val="32"/>
          <w:szCs w:val="32"/>
          <w:shd w:val="clear" w:color="auto" w:fill="FFFFFF"/>
          <w:lang w:bidi="ar-SA"/>
        </w:rPr>
        <w:t>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37" w:name="_Toc15377224"/>
      <w:r>
        <w:rPr>
          <w:rFonts w:ascii="仿宋" w:eastAsia="仿宋" w:hint="eastAsia"/>
          <w:b/>
          <w:color w:val="000000"/>
          <w:sz w:val="32"/>
          <w:szCs w:val="32"/>
        </w:rPr>
        <w:t>（三）国有资产占有使用情况</w:t>
      </w:r>
      <w:bookmarkEnd w:id="37"/>
    </w:p>
    <w:p>
      <w:pPr>
        <w:widowControl/>
        <w:ind w:firstLineChars="200" w:firstLine="640"/>
        <w:jc w:val="left"/>
        <w:rPr>
          <w:rFonts w:ascii="仿宋_GB2312" w:eastAsia="仿宋_GB2312"/>
          <w:b/>
          <w:color w:val="000000"/>
          <w:sz w:val="32"/>
          <w:szCs w:val="32"/>
          <w:lang w:val="en-US" w:eastAsia="zh-CN"/>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为日常工作及</w:t>
      </w:r>
      <w:r>
        <w:rPr>
          <w:rFonts w:ascii="仿宋_GB2312" w:eastAsia="仿宋_GB2312" w:hint="eastAsia"/>
          <w:color w:val="000000"/>
          <w:sz w:val="32"/>
          <w:szCs w:val="32"/>
        </w:rPr>
        <w:t>应急保障用车</w:t>
      </w:r>
      <w:r>
        <w:rPr>
          <w:rFonts w:ascii="仿宋_GB2312" w:eastAsia="仿宋_GB2312" w:hint="eastAsia"/>
          <w:color w:val="000000"/>
          <w:sz w:val="32"/>
          <w:szCs w:val="32"/>
          <w:lang w:eastAsia="zh-CN"/>
        </w:rPr>
        <w:t>。</w:t>
      </w:r>
      <w:r>
        <w:rPr>
          <w:rFonts w:ascii="仿宋_GB2312" w:eastAsia="仿宋_GB2312" w:hint="eastAsia"/>
          <w:b/>
          <w:color w:val="000000"/>
          <w:sz w:val="32"/>
          <w:szCs w:val="32"/>
          <w:lang w:val="en-US" w:eastAsia="zh-CN"/>
        </w:rPr>
        <w:t xml:space="preserve">    </w:t>
      </w:r>
    </w:p>
    <w:p>
      <w:pPr>
        <w:pStyle w:val="15"/>
      </w:pPr>
    </w:p>
    <w:p>
      <w:pPr>
        <w:numPr>
          <w:ilvl w:val="0"/>
          <w:numId w:val="5"/>
        </w:numPr>
        <w:spacing w:line="600" w:lineRule="exact"/>
        <w:ind w:left="0" w:firstLineChars="150" w:firstLine="660"/>
        <w:jc w:val="center"/>
        <w:outlineLvl w:val="0"/>
        <w:rPr>
          <w:rStyle w:val="1Char"/>
          <w:rFonts w:ascii="黑体" w:eastAsia="黑体"/>
          <w:b w:val="0"/>
        </w:rPr>
      </w:pPr>
      <w:bookmarkStart w:id="38" w:name="_Toc30760"/>
      <w:bookmarkStart w:id="39" w:name="_Toc15377225"/>
      <w:r>
        <w:rPr>
          <w:rFonts w:ascii="黑体" w:eastAsia="黑体" w:hint="eastAsia"/>
          <w:b/>
          <w:color w:val="000000"/>
          <w:sz w:val="44"/>
          <w:szCs w:val="44"/>
        </w:rPr>
        <w:t>名</w:t>
      </w:r>
      <w:bookmarkStart w:id="40" w:name="_GoBack"/>
      <w:bookmarkEnd w:id="40"/>
      <w:r>
        <w:rPr>
          <w:rStyle w:val="1Char"/>
          <w:rFonts w:ascii="黑体" w:eastAsia="黑体" w:hint="eastAsia"/>
          <w:b w:val="0"/>
        </w:rPr>
        <w:t>词解释</w:t>
      </w:r>
      <w:bookmarkEnd w:id="38"/>
      <w:bookmarkEnd w:id="39"/>
    </w:p>
    <w:p>
      <w:pPr>
        <w:pStyle w:val="31"/>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41" w:name="_Toc15377226"/>
      <w:bookmarkStart w:id="42" w:name="_Toc15396614"/>
    </w:p>
    <w:p>
      <w:pPr>
        <w:widowControl/>
        <w:spacing w:line="480" w:lineRule="exact"/>
        <w:jc w:val="center"/>
        <w:rPr>
          <w:rFonts w:ascii="方正小标宋简体" w:eastAsia="方正小标宋简体" w:cs="方正小标宋简体" w:hint="eastAsia"/>
          <w:sz w:val="44"/>
          <w:szCs w:val="44"/>
        </w:rPr>
      </w:pPr>
      <w:r>
        <w:rPr>
          <w:rFonts w:ascii="方正小标宋简体" w:eastAsia="方正小标宋简体" w:cs="方正小标宋简体" w:hint="eastAsia"/>
          <w:sz w:val="44"/>
          <w:szCs w:val="44"/>
        </w:rPr>
        <w:t>金川县</w:t>
      </w:r>
      <w:r>
        <w:rPr>
          <w:rFonts w:ascii="方正小标宋简体" w:eastAsia="方正小标宋简体" w:cs="方正小标宋简体"/>
          <w:sz w:val="44"/>
          <w:szCs w:val="44"/>
        </w:rPr>
        <w:t>委党校</w:t>
      </w:r>
    </w:p>
    <w:p>
      <w:pPr>
        <w:widowControl/>
        <w:spacing w:line="480" w:lineRule="exact"/>
        <w:jc w:val="center"/>
        <w:rPr>
          <w:rFonts w:ascii="方正小标宋简体" w:eastAsia="方正小标宋简体" w:cs="方正小标宋简体"/>
          <w:sz w:val="44"/>
          <w:szCs w:val="44"/>
        </w:rPr>
      </w:pPr>
      <w:r>
        <w:rPr>
          <w:rFonts w:ascii="方正小标宋简体" w:eastAsia="方正小标宋简体" w:cs="方正小标宋简体" w:hint="eastAsia"/>
          <w:sz w:val="44"/>
          <w:szCs w:val="44"/>
          <w:lang w:val="en-US" w:eastAsia="zh-CN"/>
        </w:rPr>
        <w:t>2021</w:t>
      </w:r>
      <w:r>
        <w:rPr>
          <w:rFonts w:ascii="方正小标宋简体" w:eastAsia="方正小标宋简体" w:cs="方正小标宋简体" w:hint="eastAsia"/>
          <w:sz w:val="44"/>
          <w:szCs w:val="44"/>
        </w:rPr>
        <w:t>年整体支出绩效报告</w:t>
      </w:r>
    </w:p>
    <w:p>
      <w:pPr>
        <w:widowControl/>
        <w:spacing w:line="480" w:lineRule="exact"/>
        <w:jc w:val="center"/>
        <w:rPr>
          <w:rFonts w:ascii="黑体" w:eastAsia="黑体" w:cs="宋体"/>
          <w:color w:val="000000"/>
          <w:kern w:val="0"/>
        </w:rPr>
      </w:pPr>
      <w:r>
        <w:rPr>
          <w:rFonts w:ascii="??_GB2312" w:eastAsia="Times New Roman" w:cs="??_GB2312" w:hAnsi="??_GB2312"/>
          <w:sz w:val="32"/>
        </w:rPr>
        <w:t xml:space="preserve"> </w:t>
      </w:r>
    </w:p>
    <w:p>
      <w:pPr>
        <w:widowControl/>
        <w:adjustRightInd w:val="0"/>
        <w:snapToGrid w:val="0"/>
        <w:spacing w:line="480" w:lineRule="exact"/>
        <w:ind w:firstLine="720"/>
        <w:jc w:val="left"/>
        <w:rPr>
          <w:rFonts w:ascii="黑体" w:eastAsia="黑体" w:cs="宋体"/>
          <w:color w:val="000000"/>
          <w:kern w:val="0"/>
          <w:lang w:val="zh-CN"/>
        </w:rPr>
      </w:pPr>
      <w:r>
        <w:rPr>
          <w:rFonts w:ascii="黑体" w:eastAsia="黑体" w:cs="宋体" w:hint="eastAsia"/>
          <w:color w:val="000000"/>
          <w:kern w:val="0"/>
          <w:sz w:val="32"/>
        </w:rPr>
        <w:t>一、</w:t>
      </w:r>
      <w:r>
        <w:rPr>
          <w:rFonts w:ascii="黑体" w:eastAsia="黑体" w:cs="宋体" w:hint="eastAsia"/>
          <w:color w:val="000000"/>
          <w:kern w:val="0"/>
          <w:sz w:val="32"/>
          <w:lang w:val="zh-CN"/>
        </w:rPr>
        <w:t>部门（单位）概况</w:t>
      </w:r>
    </w:p>
    <w:p>
      <w:pPr>
        <w:widowControl/>
        <w:adjustRightInd w:val="0"/>
        <w:snapToGrid w:val="0"/>
        <w:spacing w:line="480" w:lineRule="exact"/>
        <w:ind w:firstLine="720"/>
        <w:jc w:val="left"/>
        <w:rPr>
          <w:rFonts w:ascii="??_GB2312" w:eastAsia="Times New Roman" w:cs="宋体" w:hAnsi="??_GB2312"/>
          <w:kern w:val="0"/>
          <w:sz w:val="32"/>
          <w:szCs w:val="32"/>
        </w:rPr>
      </w:pPr>
      <w:r>
        <w:rPr>
          <w:rFonts w:ascii="??_GB2312" w:eastAsia="Times New Roman" w:cs="宋体" w:hAnsi="??_GB2312"/>
          <w:color w:val="000000"/>
          <w:kern w:val="0"/>
          <w:sz w:val="32"/>
          <w:lang w:val="zh-CN"/>
        </w:rPr>
        <w:t>（</w:t>
      </w:r>
      <w:r>
        <w:rPr>
          <w:rFonts w:ascii="??_GB2312" w:eastAsia="Times New Roman" w:cs="宋体" w:hAnsi="??_GB2312"/>
          <w:kern w:val="0"/>
          <w:sz w:val="32"/>
          <w:szCs w:val="32"/>
        </w:rPr>
        <w:t>一）机构组成。</w:t>
      </w:r>
    </w:p>
    <w:p>
      <w:pPr>
        <w:widowControl/>
        <w:adjustRightInd w:val="0"/>
        <w:snapToGrid w:val="0"/>
        <w:spacing w:line="480" w:lineRule="exact"/>
        <w:ind w:firstLine="720"/>
        <w:jc w:val="left"/>
        <w:rPr>
          <w:rFonts w:ascii="??_GB2312" w:eastAsia="Times New Roman" w:cs="宋体" w:hAnsi="??_GB2312"/>
          <w:kern w:val="0"/>
          <w:sz w:val="32"/>
          <w:szCs w:val="32"/>
        </w:rPr>
      </w:pPr>
      <w:r>
        <w:rPr>
          <w:rFonts w:ascii="??_GB2312" w:eastAsia="Times New Roman" w:cs="宋体" w:hAnsi="??_GB2312"/>
          <w:kern w:val="0"/>
          <w:sz w:val="32"/>
          <w:szCs w:val="32"/>
        </w:rPr>
        <w:t>我</w:t>
      </w:r>
      <w:r>
        <w:rPr>
          <w:rFonts w:ascii="??_GB2312" w:eastAsia="宋体" w:cs="宋体" w:hAnsi="??_GB2312"/>
          <w:kern w:val="0"/>
          <w:sz w:val="32"/>
          <w:szCs w:val="32"/>
        </w:rPr>
        <w:t>校</w:t>
      </w:r>
      <w:r>
        <w:rPr>
          <w:rFonts w:ascii="??_GB2312" w:eastAsia="Times New Roman" w:cs="宋体" w:hAnsi="??_GB2312"/>
          <w:kern w:val="0"/>
          <w:sz w:val="32"/>
          <w:szCs w:val="32"/>
        </w:rPr>
        <w:t>有1个机构，事业单位1个。</w:t>
      </w:r>
    </w:p>
    <w:p>
      <w:pPr>
        <w:widowControl/>
        <w:adjustRightInd w:val="0"/>
        <w:snapToGrid w:val="0"/>
        <w:spacing w:line="480" w:lineRule="exact"/>
        <w:ind w:firstLine="720"/>
        <w:jc w:val="left"/>
        <w:rPr>
          <w:rFonts w:ascii="??_GB2312" w:eastAsia="Times New Roman" w:cs="宋体" w:hAnsi="??_GB2312"/>
          <w:kern w:val="0"/>
          <w:sz w:val="32"/>
          <w:szCs w:val="32"/>
        </w:rPr>
      </w:pPr>
      <w:r>
        <w:rPr>
          <w:rFonts w:ascii="??_GB2312" w:eastAsia="Times New Roman" w:cs="宋体" w:hAnsi="??_GB2312"/>
          <w:kern w:val="0"/>
          <w:sz w:val="32"/>
          <w:szCs w:val="32"/>
        </w:rPr>
        <w:t>（二）机构职能。</w:t>
      </w:r>
    </w:p>
    <w:p>
      <w:pPr>
        <w:ind w:firstLineChars="200" w:firstLine="640"/>
        <w:rPr>
          <w:rFonts w:ascii="仿宋_GB2312" w:eastAsia="仿宋_GB2312" w:cs="仿宋_GB2312" w:hint="eastAsia"/>
          <w:b w:val="0"/>
          <w:bCs w:val="0"/>
          <w:sz w:val="32"/>
          <w:szCs w:val="32"/>
        </w:rPr>
      </w:pPr>
      <w:r>
        <w:rPr>
          <w:rFonts w:ascii="仿宋_GB2312" w:eastAsia="仿宋_GB2312" w:cs="仿宋_GB2312" w:hint="eastAsia"/>
          <w:b w:val="0"/>
          <w:bCs w:val="0"/>
          <w:sz w:val="32"/>
          <w:szCs w:val="32"/>
        </w:rPr>
        <w:t>主要职能</w:t>
      </w:r>
      <w:r>
        <w:rPr>
          <w:rFonts w:ascii="仿宋_GB2312" w:eastAsia="仿宋_GB2312" w:cs="仿宋_GB2312" w:hint="eastAsia"/>
          <w:b w:val="0"/>
          <w:bCs w:val="0"/>
          <w:sz w:val="32"/>
          <w:szCs w:val="32"/>
          <w:lang w:eastAsia="zh-CN"/>
        </w:rPr>
        <w:t>：</w:t>
      </w:r>
      <w:r>
        <w:rPr>
          <w:rFonts w:ascii="仿宋_GB2312" w:eastAsia="仿宋_GB2312" w:cs="仿宋_GB2312" w:hint="eastAsia"/>
          <w:b w:val="0"/>
          <w:bCs w:val="0"/>
          <w:color w:val="000000"/>
          <w:spacing w:val="-14"/>
          <w:kern w:val="0"/>
          <w:sz w:val="32"/>
          <w:szCs w:val="32"/>
        </w:rPr>
        <w:t>根据《党校工作条例》以及党和国家有党校工作的方针、政策、法规文件规定。</w:t>
      </w:r>
    </w:p>
    <w:p>
      <w:pPr>
        <w:ind w:firstLineChars="200" w:firstLine="584"/>
        <w:rPr>
          <w:rFonts w:ascii="仿宋_GB2312" w:eastAsia="仿宋_GB2312" w:cs="仿宋_GB2312" w:hint="eastAsia"/>
          <w:b w:val="0"/>
          <w:bCs w:val="0"/>
          <w:color w:val="000000"/>
          <w:spacing w:val="-14"/>
          <w:kern w:val="0"/>
          <w:sz w:val="32"/>
          <w:szCs w:val="32"/>
        </w:rPr>
      </w:pP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lang w:val="en-US" w:eastAsia="zh-CN"/>
        </w:rPr>
        <w:t>1）</w:t>
      </w:r>
      <w:r>
        <w:rPr>
          <w:rFonts w:ascii="仿宋_GB2312" w:eastAsia="仿宋_GB2312" w:cs="仿宋_GB2312" w:hint="eastAsia"/>
          <w:b w:val="0"/>
          <w:bCs w:val="0"/>
          <w:color w:val="000000"/>
          <w:spacing w:val="-14"/>
          <w:kern w:val="0"/>
          <w:sz w:val="32"/>
          <w:szCs w:val="32"/>
        </w:rPr>
        <w:t>加强对基层党员、干部的理想信念教育、党性党风教育 。</w:t>
      </w:r>
      <w:r>
        <w:rPr>
          <w:rFonts w:ascii="仿宋_GB2312" w:eastAsia="仿宋_GB2312" w:cs="仿宋_GB2312" w:hint="eastAsia"/>
          <w:b w:val="0"/>
          <w:bCs w:val="0"/>
          <w:sz w:val="32"/>
          <w:szCs w:val="32"/>
        </w:rPr>
        <w:t xml:space="preserve">     </w:t>
      </w:r>
    </w:p>
    <w:p>
      <w:pPr>
        <w:ind w:firstLineChars="200" w:firstLine="584"/>
        <w:rPr>
          <w:rFonts w:ascii="仿宋_GB2312" w:eastAsia="仿宋_GB2312" w:cs="仿宋_GB2312" w:hint="eastAsia"/>
          <w:b w:val="0"/>
          <w:bCs w:val="0"/>
          <w:sz w:val="32"/>
          <w:szCs w:val="32"/>
        </w:rPr>
      </w:pP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rPr>
        <w:t>2</w:t>
      </w: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rPr>
        <w:t>培训入党积极分子、新党员。</w:t>
      </w:r>
    </w:p>
    <w:p>
      <w:pPr>
        <w:ind w:firstLineChars="200" w:firstLine="584"/>
        <w:rPr>
          <w:rFonts w:ascii="仿宋_GB2312" w:eastAsia="仿宋_GB2312" w:cs="仿宋_GB2312" w:hint="eastAsia"/>
          <w:b w:val="0"/>
          <w:bCs w:val="0"/>
          <w:sz w:val="32"/>
          <w:szCs w:val="32"/>
        </w:rPr>
      </w:pP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rPr>
        <w:t>3</w:t>
      </w: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rPr>
        <w:t>协助并指导乡镇搞好培训工作。</w:t>
      </w:r>
      <w:r>
        <w:rPr>
          <w:rFonts w:ascii="仿宋_GB2312" w:eastAsia="仿宋_GB2312" w:cs="仿宋_GB2312" w:hint="eastAsia"/>
          <w:b w:val="0"/>
          <w:bCs w:val="0"/>
          <w:sz w:val="32"/>
          <w:szCs w:val="32"/>
        </w:rPr>
        <w:t xml:space="preserve">　 </w:t>
      </w:r>
    </w:p>
    <w:p>
      <w:pPr>
        <w:ind w:firstLineChars="200" w:firstLine="584"/>
        <w:rPr>
          <w:rFonts w:ascii="仿宋_GB2312" w:eastAsia="仿宋_GB2312" w:cs="仿宋_GB2312" w:hint="eastAsia"/>
          <w:b w:val="0"/>
          <w:bCs w:val="0"/>
          <w:sz w:val="32"/>
          <w:szCs w:val="32"/>
        </w:rPr>
      </w:pP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rPr>
        <w:t>4</w:t>
      </w: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rPr>
        <w:t>开展社会调研。</w:t>
      </w:r>
    </w:p>
    <w:p>
      <w:pPr>
        <w:ind w:firstLineChars="200" w:firstLine="584"/>
        <w:rPr>
          <w:rFonts w:ascii="仿宋_GB2312" w:eastAsia="仿宋_GB2312" w:cs="仿宋_GB2312" w:hint="eastAsia"/>
          <w:b w:val="0"/>
          <w:bCs w:val="0"/>
          <w:sz w:val="32"/>
          <w:szCs w:val="32"/>
        </w:rPr>
      </w:pP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rPr>
        <w:t>5</w:t>
      </w: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rPr>
        <w:t>加强我县各种培训的理论培训和思想建设，以流动党校的形式把党方针、政策及法律、法规，宣传到群众中去。</w:t>
      </w:r>
    </w:p>
    <w:p>
      <w:pPr>
        <w:ind w:firstLineChars="200" w:firstLine="584"/>
        <w:rPr>
          <w:rFonts w:ascii="仿宋_GB2312" w:eastAsia="仿宋_GB2312" w:cs="仿宋_GB2312" w:hint="eastAsia"/>
          <w:b w:val="0"/>
          <w:bCs w:val="0"/>
          <w:sz w:val="32"/>
          <w:szCs w:val="32"/>
        </w:rPr>
      </w:pP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rPr>
        <w:t>6</w:t>
      </w:r>
      <w:r>
        <w:rPr>
          <w:rFonts w:ascii="仿宋_GB2312" w:eastAsia="仿宋_GB2312" w:cs="仿宋_GB2312" w:hint="eastAsia"/>
          <w:b w:val="0"/>
          <w:bCs w:val="0"/>
          <w:color w:val="000000"/>
          <w:spacing w:val="-14"/>
          <w:kern w:val="0"/>
          <w:sz w:val="32"/>
          <w:szCs w:val="32"/>
          <w:lang w:eastAsia="zh-CN"/>
        </w:rPr>
        <w:t>）</w:t>
      </w:r>
      <w:r>
        <w:rPr>
          <w:rFonts w:ascii="仿宋_GB2312" w:eastAsia="仿宋_GB2312" w:cs="仿宋_GB2312" w:hint="eastAsia"/>
          <w:b w:val="0"/>
          <w:bCs w:val="0"/>
          <w:color w:val="000000"/>
          <w:spacing w:val="-14"/>
          <w:kern w:val="0"/>
          <w:sz w:val="32"/>
          <w:szCs w:val="32"/>
        </w:rPr>
        <w:t>制定全县党校事业发展的中长期规划和年度计划并组织</w:t>
      </w:r>
      <w:r>
        <w:rPr>
          <w:rFonts w:ascii="仿宋_GB2312" w:eastAsia="仿宋_GB2312" w:cs="仿宋_GB2312" w:hint="eastAsia"/>
          <w:b w:val="0"/>
          <w:bCs w:val="0"/>
          <w:color w:val="000000"/>
          <w:spacing w:val="-14"/>
          <w:kern w:val="0"/>
          <w:sz w:val="32"/>
          <w:szCs w:val="32"/>
          <w:lang w:eastAsia="zh-CN"/>
        </w:rPr>
        <w:t>实施。</w:t>
      </w:r>
      <w:r>
        <w:rPr>
          <w:rFonts w:ascii="仿宋_GB2312" w:eastAsia="仿宋_GB2312" w:cs="仿宋_GB2312" w:hint="eastAsia"/>
          <w:b w:val="0"/>
          <w:bCs w:val="0"/>
          <w:color w:val="000000"/>
          <w:spacing w:val="-14"/>
          <w:kern w:val="0"/>
          <w:sz w:val="32"/>
          <w:szCs w:val="32"/>
        </w:rPr>
        <w:t xml:space="preserve">           </w:t>
      </w:r>
    </w:p>
    <w:p>
      <w:pPr>
        <w:ind w:firstLineChars="200" w:firstLine="584"/>
        <w:rPr>
          <w:rFonts w:ascii="仿宋_GB2312" w:eastAsia="仿宋_GB2312" w:cs="仿宋_GB2312" w:hint="eastAsia"/>
          <w:b w:val="0"/>
          <w:bCs w:val="0"/>
          <w:sz w:val="32"/>
          <w:szCs w:val="32"/>
          <w:lang w:eastAsia="zh-CN"/>
        </w:rPr>
      </w:pPr>
      <w:r>
        <w:rPr>
          <w:rFonts w:ascii="仿宋_GB2312" w:eastAsia="仿宋_GB2312" w:cs="仿宋_GB2312" w:hint="eastAsia"/>
          <w:b w:val="0"/>
          <w:bCs w:val="0"/>
          <w:spacing w:val="-14"/>
          <w:sz w:val="32"/>
          <w:szCs w:val="32"/>
          <w:lang w:eastAsia="zh-CN"/>
        </w:rPr>
        <w:t>（</w:t>
      </w:r>
      <w:r>
        <w:rPr>
          <w:rFonts w:ascii="仿宋_GB2312" w:eastAsia="仿宋_GB2312" w:cs="仿宋_GB2312" w:hint="eastAsia"/>
          <w:b w:val="0"/>
          <w:bCs w:val="0"/>
          <w:spacing w:val="-14"/>
          <w:sz w:val="32"/>
          <w:szCs w:val="32"/>
        </w:rPr>
        <w:t>7</w:t>
      </w:r>
      <w:r>
        <w:rPr>
          <w:rFonts w:ascii="仿宋_GB2312" w:eastAsia="仿宋_GB2312" w:cs="仿宋_GB2312" w:hint="eastAsia"/>
          <w:b w:val="0"/>
          <w:bCs w:val="0"/>
          <w:spacing w:val="-14"/>
          <w:sz w:val="32"/>
          <w:szCs w:val="32"/>
          <w:lang w:eastAsia="zh-CN"/>
        </w:rPr>
        <w:t>）</w:t>
      </w:r>
      <w:r>
        <w:rPr>
          <w:rFonts w:ascii="仿宋_GB2312" w:eastAsia="仿宋_GB2312" w:cs="仿宋_GB2312" w:hint="eastAsia"/>
          <w:b w:val="0"/>
          <w:bCs w:val="0"/>
          <w:spacing w:val="-14"/>
          <w:sz w:val="32"/>
          <w:szCs w:val="32"/>
        </w:rPr>
        <w:t>承担县委、县政府和上级业务部门交办的其它事项</w:t>
      </w:r>
      <w:r>
        <w:rPr>
          <w:rFonts w:ascii="仿宋_GB2312" w:eastAsia="仿宋_GB2312" w:cs="仿宋_GB2312" w:hint="eastAsia"/>
          <w:b w:val="0"/>
          <w:bCs w:val="0"/>
          <w:spacing w:val="-14"/>
          <w:sz w:val="32"/>
          <w:szCs w:val="32"/>
          <w:lang w:eastAsia="zh-CN"/>
        </w:rPr>
        <w:t>。</w:t>
      </w:r>
    </w:p>
    <w:p>
      <w:pPr>
        <w:pStyle w:val="16"/>
        <w:adjustRightInd w:val="0"/>
        <w:snapToGrid w:val="0"/>
        <w:spacing w:line="600" w:lineRule="exact"/>
        <w:ind w:firstLineChars="208" w:firstLine="666"/>
        <w:rPr>
          <w:rFonts w:hint="eastAsia"/>
          <w:bCs/>
          <w:color w:val="000000"/>
          <w:sz w:val="32"/>
          <w:szCs w:val="32"/>
        </w:rPr>
      </w:pPr>
      <w:r>
        <w:rPr>
          <w:rFonts w:hint="eastAsia"/>
          <w:bCs/>
          <w:color w:val="000000"/>
          <w:sz w:val="32"/>
          <w:szCs w:val="32"/>
        </w:rPr>
        <w:t>（</w:t>
      </w:r>
      <w:r>
        <w:rPr>
          <w:bCs/>
          <w:color w:val="000000"/>
          <w:sz w:val="32"/>
          <w:szCs w:val="32"/>
        </w:rPr>
        <w:t>三</w:t>
      </w:r>
      <w:r>
        <w:rPr>
          <w:rFonts w:hint="eastAsia"/>
          <w:bCs/>
          <w:color w:val="000000"/>
          <w:sz w:val="32"/>
          <w:szCs w:val="32"/>
        </w:rPr>
        <w:t>）</w:t>
      </w:r>
      <w:r>
        <w:rPr>
          <w:rFonts w:hint="eastAsia"/>
          <w:bCs/>
          <w:color w:val="000000"/>
          <w:sz w:val="32"/>
          <w:szCs w:val="32"/>
          <w:lang w:eastAsia="zh-CN"/>
        </w:rPr>
        <w:t>20</w:t>
      </w:r>
      <w:r>
        <w:rPr>
          <w:rFonts w:hint="eastAsia"/>
          <w:bCs/>
          <w:color w:val="000000"/>
          <w:sz w:val="32"/>
          <w:szCs w:val="32"/>
          <w:lang w:val="en-US" w:eastAsia="zh-CN"/>
        </w:rPr>
        <w:t>21</w:t>
      </w:r>
      <w:r>
        <w:rPr>
          <w:rFonts w:hint="eastAsia"/>
          <w:bCs/>
          <w:color w:val="000000"/>
          <w:sz w:val="32"/>
          <w:szCs w:val="32"/>
        </w:rPr>
        <w:t>年重点工作完成情况。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2312" w:eastAsia="方正仿宋_GB2312" w:cs="方正仿宋_GB2312" w:hint="eastAsia"/>
          <w:b/>
          <w:bCs/>
          <w:sz w:val="32"/>
          <w:szCs w:val="32"/>
          <w:lang w:val="en-US" w:eastAsia="zh-CN"/>
        </w:rPr>
      </w:pPr>
      <w:r>
        <w:rPr>
          <w:rFonts w:ascii="方正仿宋_GB2312" w:eastAsia="方正仿宋_GB2312" w:cs="方正仿宋_GB2312" w:hint="eastAsia"/>
          <w:b/>
          <w:bCs/>
          <w:sz w:val="32"/>
          <w:szCs w:val="32"/>
          <w:lang w:val="en-US" w:eastAsia="zh-CN"/>
        </w:rPr>
        <w:t>1、坚持质量立校，在突显特色上强化高质量</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left"/>
        <w:textAlignment w:val="auto"/>
        <w:rPr>
          <w:rFonts w:ascii="方正仿宋_GB2312" w:eastAsia="方正仿宋_GB2312" w:cs="方正仿宋_GB2312" w:hint="eastAsia"/>
          <w:sz w:val="32"/>
          <w:szCs w:val="32"/>
          <w:lang w:val="en-US" w:eastAsia="zh-CN"/>
        </w:rPr>
      </w:pPr>
      <w:r>
        <w:rPr>
          <w:rFonts w:ascii="仿宋_GB2312" w:eastAsia="仿宋_GB2312" w:cs="仿宋_GB2312" w:hint="eastAsia"/>
          <w:sz w:val="32"/>
          <w:szCs w:val="32"/>
          <w:shd w:val="clear" w:color="auto" w:fill="FFFFFF"/>
        </w:rPr>
        <w:t>习近平总书记说：“质量兴则党校兴，质量强则党校强。”一年来，县委党校坚持质量立校，在抓理论、挖掘特色、提升基地等方面成效显著</w:t>
      </w:r>
      <w:r>
        <w:rPr>
          <w:rFonts w:ascii="方正仿宋_GB2312" w:eastAsia="方正仿宋_GB2312" w:cs="方正仿宋_GB2312" w:hint="eastAsia"/>
          <w:sz w:val="32"/>
          <w:szCs w:val="32"/>
          <w:lang w:val="en-US" w:eastAsia="zh-CN"/>
        </w:rPr>
        <w:t>。</w:t>
      </w:r>
      <w:r>
        <w:rPr>
          <w:rFonts w:ascii="方正仿宋_GB2312" w:eastAsia="方正仿宋_GB2312" w:cs="方正仿宋_GB2312" w:hint="eastAsia"/>
          <w:b/>
          <w:bCs/>
          <w:sz w:val="32"/>
          <w:szCs w:val="32"/>
          <w:lang w:val="en-US" w:eastAsia="zh-CN"/>
        </w:rPr>
        <w:t>一是深化理论研究。</w:t>
      </w:r>
      <w:r>
        <w:rPr>
          <w:rFonts w:ascii="仿宋_GB2312" w:eastAsia="仿宋_GB2312" w:cs="仿宋_GB2312" w:hint="eastAsia"/>
          <w:sz w:val="32"/>
          <w:szCs w:val="32"/>
          <w:shd w:val="clear" w:color="auto" w:fill="FFFFFF"/>
        </w:rPr>
        <w:t>2021年来，我校围绕“三大行动”、“不忘初心 牢记使命”、党风廉政建设等方面，给教研室出题目、交任务，研发了《不忘初心 牢记使命—在红军长征精神中汲取前行力量》、《扬信念之帆 存敬畏之念》、《从习近平七年知青岁月看共产党员的初心》、《持之以恒正风肃纪 扎实推进党风廉政建设和反腐败斗争》等精品课程，有效发挥智库作用。</w:t>
      </w:r>
      <w:r>
        <w:rPr>
          <w:rFonts w:ascii="方正仿宋_GB2312" w:eastAsia="方正仿宋_GB2312" w:cs="方正仿宋_GB2312" w:hint="eastAsia"/>
          <w:b/>
          <w:bCs/>
          <w:sz w:val="32"/>
          <w:szCs w:val="32"/>
          <w:lang w:val="en-US" w:eastAsia="zh-CN"/>
        </w:rPr>
        <w:t>二是挖掘特色资源。</w:t>
      </w:r>
      <w:r>
        <w:rPr>
          <w:rFonts w:ascii="仿宋_GB2312" w:eastAsia="仿宋_GB2312" w:cs="仿宋_GB2312" w:hint="eastAsia"/>
          <w:sz w:val="32"/>
          <w:szCs w:val="32"/>
          <w:shd w:val="clear" w:color="auto" w:fill="FFFFFF"/>
          <w:lang w:val="en-US" w:eastAsia="zh-CN"/>
        </w:rPr>
        <w:t>县委党校立足于金川丰富红色资源，深挖长征精神史实，以“红军大学”为办学特色，着力传承好长征精神、讲好红军长征感人故事，在重温长征记忆、传承长征精神的同时，推动学员汲取精神动力，为实现全面建成社会主义现代化建设而不断奋斗。我校以推进“用学术讲政治”教学改革为抓手，围绕“红军长征在金川”的史实，打造了《红色金川》课程、《红色记忆·红色金川》纪录片、《金川县长征精神数据库建设资源收集与开发》等特色课程。</w:t>
      </w:r>
      <w:r>
        <w:rPr>
          <w:rFonts w:ascii="方正仿宋_GB2312" w:eastAsia="方正仿宋_GB2312" w:cs="方正仿宋_GB2312" w:hint="eastAsia"/>
          <w:b/>
          <w:bCs/>
          <w:sz w:val="32"/>
          <w:szCs w:val="32"/>
          <w:lang w:val="en-US" w:eastAsia="zh-CN"/>
        </w:rPr>
        <w:t>三是建强教学基地。</w:t>
      </w:r>
      <w:r>
        <w:rPr>
          <w:rFonts w:ascii="仿宋_GB2312" w:eastAsia="仿宋_GB2312" w:cs="仿宋_GB2312" w:hint="eastAsia"/>
          <w:sz w:val="32"/>
          <w:szCs w:val="32"/>
          <w:shd w:val="clear" w:color="auto" w:fill="FFFFFF"/>
        </w:rPr>
        <w:t>我校高度重视现场教学基地建设和案例式教学，积极协调相关单位，完善基础设施。同时，在扎实做好现场教学基地品牌建设和资源开发的基础上，扎实做好资源挖掘和内涵提升，编制《红军长征在金川纪念馆方案》，完善“红军长征在金川”的现场教学路线，请州委党校三位高级讲师集体打造《“乾隆御碑”教学点教学套课》，推动教育教学资源的全面整合提升。</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left"/>
        <w:textAlignment w:val="auto"/>
        <w:rPr>
          <w:rFonts w:ascii="方正仿宋_GB2312" w:eastAsia="方正仿宋_GB2312" w:cs="方正仿宋_GB2312" w:hint="eastAsia"/>
          <w:b/>
          <w:bCs/>
          <w:sz w:val="32"/>
          <w:szCs w:val="32"/>
          <w:lang w:val="en-US" w:eastAsia="zh-CN"/>
        </w:rPr>
      </w:pPr>
      <w:r>
        <w:rPr>
          <w:rFonts w:ascii="方正仿宋_GB2312" w:eastAsia="方正仿宋_GB2312" w:cs="方正仿宋_GB2312" w:hint="eastAsia"/>
          <w:b/>
          <w:bCs/>
          <w:sz w:val="32"/>
          <w:szCs w:val="32"/>
          <w:lang w:val="en-US" w:eastAsia="zh-CN"/>
        </w:rPr>
        <w:t>2.坚持围绕中心，在服务大局上彰显高质量</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both"/>
        <w:textAlignment w:val="auto"/>
        <w:rPr>
          <w:rFonts w:ascii="方正仿宋_GB2312" w:eastAsia="方正仿宋_GB2312" w:cs="方正仿宋_GB2312" w:hint="eastAsia"/>
          <w:sz w:val="32"/>
          <w:szCs w:val="32"/>
          <w:lang w:val="en-US" w:eastAsia="zh-CN"/>
        </w:rPr>
      </w:pPr>
      <w:r>
        <w:rPr>
          <w:rFonts w:ascii="仿宋_GB2312" w:eastAsia="仿宋_GB2312" w:cs="仿宋_GB2312" w:hint="eastAsia"/>
          <w:sz w:val="32"/>
          <w:szCs w:val="32"/>
          <w:shd w:val="clear" w:color="auto" w:fill="FFFFFF"/>
          <w:lang w:val="en-US" w:eastAsia="zh-CN"/>
        </w:rPr>
        <w:t>县委党校围绕县委县政府中心工作，主动作为，扎实开展培训工作。</w:t>
      </w:r>
      <w:r>
        <w:rPr>
          <w:rFonts w:ascii="方正仿宋_GB2312" w:eastAsia="方正仿宋_GB2312" w:cs="方正仿宋_GB2312" w:hint="eastAsia"/>
          <w:b/>
          <w:bCs/>
          <w:sz w:val="32"/>
          <w:szCs w:val="32"/>
          <w:lang w:val="en-US" w:eastAsia="zh-CN"/>
        </w:rPr>
        <w:t>一是发挥党性锤炼的主渠道作用。</w:t>
      </w:r>
      <w:r>
        <w:rPr>
          <w:rFonts w:ascii="仿宋_GB2312" w:eastAsia="仿宋_GB2312" w:cs="仿宋_GB2312" w:hint="eastAsia"/>
          <w:sz w:val="32"/>
          <w:szCs w:val="32"/>
          <w:shd w:val="clear" w:color="auto" w:fill="FFFFFF"/>
        </w:rPr>
        <w:t>一年来，县委党校注重锤炼党员干部的信念，依托现场教学基地-红军长征在金川纪念馆，举办34期，来自省、州、县机关单位、乡镇、企业，共65多个单位、850余人次。</w:t>
      </w:r>
      <w:r>
        <w:rPr>
          <w:rFonts w:ascii="方正仿宋_GB2312" w:eastAsia="方正仿宋_GB2312" w:cs="方正仿宋_GB2312" w:hint="eastAsia"/>
          <w:b/>
          <w:bCs/>
          <w:sz w:val="32"/>
          <w:szCs w:val="32"/>
          <w:lang w:val="en-US" w:eastAsia="zh-CN"/>
        </w:rPr>
        <w:t>二是发挥能力提升的主阵地作用。</w:t>
      </w:r>
      <w:r>
        <w:rPr>
          <w:rFonts w:ascii="仿宋_GB2312" w:eastAsia="仿宋_GB2312" w:cs="仿宋_GB2312" w:hint="eastAsia"/>
          <w:sz w:val="32"/>
          <w:szCs w:val="32"/>
          <w:shd w:val="clear" w:color="auto" w:fill="FFFFFF"/>
          <w:lang w:val="en-US" w:eastAsia="zh-CN"/>
        </w:rPr>
        <w:t>聚焦着力解决基层一线干部的知识弱项、能力短板问题，围绕打好“三大攻坚战”、推进乡村振兴、法律法规等方面，采取课堂讲授、现场教学、异地教学等方式，全年举办13期主体班培训，共计1000人次，提升了我县干部队伍专业化能力水平，较好推动了县委重大决策部署的贯彻落实。</w:t>
      </w:r>
      <w:r>
        <w:rPr>
          <w:rFonts w:ascii="方正仿宋_GB2312" w:eastAsia="方正仿宋_GB2312" w:cs="方正仿宋_GB2312" w:hint="eastAsia"/>
          <w:sz w:val="32"/>
          <w:szCs w:val="32"/>
          <w:lang w:val="en-US" w:eastAsia="zh-CN"/>
        </w:rPr>
        <w:t xml:space="preserve"> </w:t>
      </w:r>
      <w:r>
        <w:rPr>
          <w:rFonts w:ascii="方正仿宋_GB2312" w:eastAsia="方正仿宋_GB2312" w:cs="方正仿宋_GB2312" w:hint="eastAsia"/>
          <w:b/>
          <w:bCs/>
          <w:sz w:val="32"/>
          <w:szCs w:val="32"/>
          <w:lang w:val="en-US" w:eastAsia="zh-CN"/>
        </w:rPr>
        <w:t>三是发挥理论宣讲的主力军作用。</w:t>
      </w:r>
      <w:r>
        <w:rPr>
          <w:rFonts w:ascii="仿宋_GB2312" w:eastAsia="仿宋_GB2312" w:cs="仿宋_GB2312" w:hint="eastAsia"/>
          <w:sz w:val="32"/>
          <w:szCs w:val="32"/>
          <w:shd w:val="clear" w:color="auto" w:fill="FFFFFF"/>
        </w:rPr>
        <w:t>县委党校是干部培训的主阵地，也是意识形态工作的最前沿。按照上级部门要求，围绕全国两会、党的十九届五中全会、中央第七次西藏工作座谈会精神、省委十一届七次八次全会、州委十一届九次十次全会、县委十二届九次十次全会，积极配合州委宣讲团和县委宣传部开展宣讲工作。一年来，我校老师已经被抽调三次，4人到县委宣讲团，</w:t>
      </w:r>
    </w:p>
    <w:p>
      <w:pPr>
        <w:widowControl/>
        <w:numPr>
          <w:ilvl w:val="0"/>
          <w:numId w:val="6"/>
        </w:numPr>
        <w:adjustRightInd w:val="0"/>
        <w:snapToGrid w:val="0"/>
        <w:spacing w:line="480" w:lineRule="exact"/>
        <w:ind w:left="0" w:firstLine="720"/>
        <w:jc w:val="left"/>
        <w:rPr>
          <w:rFonts w:ascii="??_GB2312" w:eastAsia="Times New Roman" w:cs="宋体" w:hAnsi="??_GB2312"/>
          <w:color w:val="000000"/>
          <w:kern w:val="0"/>
          <w:sz w:val="32"/>
          <w:lang w:val="zh-CN"/>
        </w:rPr>
      </w:pPr>
      <w:r>
        <w:rPr>
          <w:rFonts w:ascii="??_GB2312" w:eastAsia="Times New Roman" w:cs="宋体" w:hAnsi="??_GB2312"/>
          <w:color w:val="000000"/>
          <w:kern w:val="0"/>
          <w:sz w:val="32"/>
          <w:lang w:val="zh-CN"/>
        </w:rPr>
        <w:t>人员概况。</w:t>
      </w:r>
    </w:p>
    <w:p>
      <w:pPr>
        <w:snapToGrid w:val="0"/>
        <w:rPr>
          <w:rFonts w:ascii="仿宋_GB2312" w:eastAsia="仿宋_GB2312" w:cs="仿宋_GB2312" w:hint="eastAsia"/>
          <w:bCs/>
          <w:sz w:val="32"/>
          <w:szCs w:val="32"/>
          <w:shd w:val="clear" w:color="auto" w:fill="FFFFFF"/>
        </w:rPr>
      </w:pPr>
      <w:r>
        <w:rPr>
          <w:rFonts w:ascii="仿宋_GB2312" w:eastAsia="仿宋_GB2312" w:hint="eastAsia"/>
          <w:bCs/>
          <w:sz w:val="32"/>
        </w:rPr>
        <w:t xml:space="preserve"> </w:t>
      </w:r>
      <w:r>
        <w:rPr>
          <w:rFonts w:ascii="仿宋_GB2312" w:eastAsia="仿宋_GB2312" w:hint="eastAsia"/>
          <w:bCs/>
          <w:sz w:val="32"/>
          <w:lang w:val="en-US" w:eastAsia="zh-CN"/>
        </w:rPr>
        <w:t xml:space="preserve">   </w:t>
      </w:r>
      <w:r>
        <w:rPr>
          <w:rFonts w:ascii="仿宋_GB2312" w:eastAsia="仿宋_GB2312"/>
          <w:bCs/>
          <w:sz w:val="32"/>
        </w:rPr>
        <w:t> </w:t>
      </w:r>
      <w:r>
        <w:rPr>
          <w:rFonts w:ascii="仿宋_GB2312" w:eastAsia="仿宋_GB2312" w:cs="仿宋_GB2312" w:hint="eastAsia"/>
          <w:bCs/>
          <w:sz w:val="32"/>
          <w:szCs w:val="32"/>
          <w:shd w:val="clear" w:color="auto" w:fill="FFFFFF"/>
        </w:rPr>
        <w:t>20</w:t>
      </w:r>
      <w:r>
        <w:rPr>
          <w:rFonts w:ascii="仿宋_GB2312" w:eastAsia="仿宋_GB2312" w:cs="仿宋_GB2312" w:hint="eastAsia"/>
          <w:bCs/>
          <w:sz w:val="32"/>
          <w:szCs w:val="32"/>
          <w:shd w:val="clear" w:color="auto" w:fill="FFFFFF"/>
          <w:lang w:val="en-US" w:eastAsia="zh-CN"/>
        </w:rPr>
        <w:t>21</w:t>
      </w:r>
      <w:r>
        <w:rPr>
          <w:rFonts w:ascii="仿宋_GB2312" w:eastAsia="仿宋_GB2312" w:cs="仿宋_GB2312" w:hint="eastAsia"/>
          <w:bCs/>
          <w:sz w:val="32"/>
          <w:szCs w:val="32"/>
          <w:shd w:val="clear" w:color="auto" w:fill="FFFFFF"/>
        </w:rPr>
        <w:t>年年初在职</w:t>
      </w:r>
      <w:r>
        <w:rPr>
          <w:rFonts w:ascii="仿宋_GB2312" w:eastAsia="仿宋_GB2312" w:cs="仿宋_GB2312" w:hint="eastAsia"/>
          <w:bCs/>
          <w:sz w:val="32"/>
          <w:szCs w:val="32"/>
          <w:shd w:val="clear" w:color="auto" w:fill="FFFFFF"/>
          <w:lang w:val="en-US" w:eastAsia="zh-CN"/>
        </w:rPr>
        <w:t>11</w:t>
      </w:r>
      <w:r>
        <w:rPr>
          <w:rFonts w:ascii="仿宋_GB2312" w:eastAsia="仿宋_GB2312" w:cs="仿宋_GB2312" w:hint="eastAsia"/>
          <w:bCs/>
          <w:sz w:val="32"/>
          <w:szCs w:val="32"/>
          <w:shd w:val="clear" w:color="auto" w:fill="FFFFFF"/>
        </w:rPr>
        <w:t>人（事业工勤1人、专业技术人员</w:t>
      </w:r>
      <w:r>
        <w:rPr>
          <w:rFonts w:ascii="仿宋_GB2312" w:eastAsia="仿宋_GB2312" w:cs="仿宋_GB2312" w:hint="eastAsia"/>
          <w:bCs/>
          <w:sz w:val="32"/>
          <w:szCs w:val="32"/>
          <w:shd w:val="clear" w:color="auto" w:fill="FFFFFF"/>
          <w:lang w:val="en-US" w:eastAsia="zh-CN"/>
        </w:rPr>
        <w:t>7</w:t>
      </w:r>
      <w:r>
        <w:rPr>
          <w:rFonts w:ascii="仿宋_GB2312" w:eastAsia="仿宋_GB2312" w:cs="仿宋_GB2312" w:hint="eastAsia"/>
          <w:bCs/>
          <w:sz w:val="32"/>
          <w:szCs w:val="32"/>
          <w:shd w:val="clear" w:color="auto" w:fill="FFFFFF"/>
        </w:rPr>
        <w:t>人，参公3人）。</w:t>
      </w:r>
    </w:p>
    <w:p>
      <w:pPr>
        <w:widowControl/>
        <w:adjustRightInd w:val="0"/>
        <w:snapToGrid w:val="0"/>
        <w:spacing w:line="480" w:lineRule="exact"/>
        <w:ind w:firstLine="720"/>
        <w:jc w:val="left"/>
        <w:rPr>
          <w:rFonts w:ascii="仿宋_GB2312" w:eastAsia="仿宋_GB2312" w:cs="仿宋_GB2312" w:hint="eastAsia"/>
          <w:bCs/>
          <w:sz w:val="32"/>
          <w:szCs w:val="32"/>
          <w:shd w:val="clear" w:color="auto" w:fill="FFFFFF"/>
        </w:rPr>
      </w:pPr>
      <w:r>
        <w:rPr>
          <w:rFonts w:ascii="仿宋_GB2312" w:eastAsia="仿宋_GB2312" w:cs="仿宋_GB2312" w:hint="eastAsia"/>
          <w:bCs/>
          <w:sz w:val="32"/>
          <w:szCs w:val="32"/>
          <w:shd w:val="clear" w:color="auto" w:fill="FFFFFF"/>
        </w:rPr>
        <w:t> 20</w:t>
      </w:r>
      <w:r>
        <w:rPr>
          <w:rFonts w:ascii="仿宋_GB2312" w:eastAsia="仿宋_GB2312" w:cs="仿宋_GB2312" w:hint="eastAsia"/>
          <w:bCs/>
          <w:sz w:val="32"/>
          <w:szCs w:val="32"/>
          <w:shd w:val="clear" w:color="auto" w:fill="FFFFFF"/>
          <w:lang w:val="en-US" w:eastAsia="zh-CN"/>
        </w:rPr>
        <w:t>21</w:t>
      </w:r>
      <w:r>
        <w:rPr>
          <w:rFonts w:ascii="仿宋_GB2312" w:eastAsia="仿宋_GB2312" w:cs="仿宋_GB2312" w:hint="eastAsia"/>
          <w:bCs/>
          <w:sz w:val="32"/>
          <w:szCs w:val="32"/>
          <w:shd w:val="clear" w:color="auto" w:fill="FFFFFF"/>
        </w:rPr>
        <w:t>年年末在职</w:t>
      </w:r>
      <w:r>
        <w:rPr>
          <w:rFonts w:ascii="仿宋_GB2312" w:eastAsia="仿宋_GB2312" w:cs="仿宋_GB2312" w:hint="eastAsia"/>
          <w:bCs/>
          <w:sz w:val="32"/>
          <w:szCs w:val="32"/>
          <w:shd w:val="clear" w:color="auto" w:fill="FFFFFF"/>
          <w:lang w:val="en-US" w:eastAsia="zh-CN"/>
        </w:rPr>
        <w:t>11</w:t>
      </w:r>
      <w:r>
        <w:rPr>
          <w:rFonts w:ascii="仿宋_GB2312" w:eastAsia="仿宋_GB2312" w:cs="仿宋_GB2312" w:hint="eastAsia"/>
          <w:bCs/>
          <w:sz w:val="32"/>
          <w:szCs w:val="32"/>
          <w:shd w:val="clear" w:color="auto" w:fill="FFFFFF"/>
        </w:rPr>
        <w:t>人（事业工勤1人、专业技术人员</w:t>
      </w:r>
      <w:r>
        <w:rPr>
          <w:rFonts w:ascii="仿宋_GB2312" w:eastAsia="仿宋_GB2312" w:cs="仿宋_GB2312" w:hint="eastAsia"/>
          <w:bCs/>
          <w:sz w:val="32"/>
          <w:szCs w:val="32"/>
          <w:shd w:val="clear" w:color="auto" w:fill="FFFFFF"/>
          <w:lang w:val="en-US" w:eastAsia="zh-CN"/>
        </w:rPr>
        <w:t>7</w:t>
      </w:r>
      <w:r>
        <w:rPr>
          <w:rFonts w:ascii="仿宋_GB2312" w:eastAsia="仿宋_GB2312" w:cs="仿宋_GB2312" w:hint="eastAsia"/>
          <w:bCs/>
          <w:sz w:val="32"/>
          <w:szCs w:val="32"/>
          <w:shd w:val="clear" w:color="auto" w:fill="FFFFFF"/>
        </w:rPr>
        <w:t>人，参公3人）</w:t>
      </w:r>
    </w:p>
    <w:p>
      <w:pPr>
        <w:widowControl/>
        <w:adjustRightInd w:val="0"/>
        <w:snapToGrid w:val="0"/>
        <w:spacing w:line="480" w:lineRule="exact"/>
        <w:ind w:firstLine="720"/>
        <w:jc w:val="left"/>
        <w:rPr>
          <w:rFonts w:ascii="黑体" w:eastAsia="黑体" w:cs="宋体"/>
          <w:color w:val="000000"/>
          <w:kern w:val="0"/>
        </w:rPr>
      </w:pPr>
      <w:r>
        <w:rPr>
          <w:rFonts w:ascii="黑体" w:eastAsia="黑体" w:cs="宋体" w:hint="eastAsia"/>
          <w:color w:val="000000"/>
          <w:kern w:val="0"/>
          <w:sz w:val="32"/>
        </w:rPr>
        <w:t>二、部门财政资金收支情况</w:t>
      </w:r>
    </w:p>
    <w:p>
      <w:pPr>
        <w:snapToGrid w:val="0"/>
        <w:spacing w:line="520" w:lineRule="exact"/>
        <w:ind w:firstLineChars="200" w:firstLine="640"/>
        <w:rPr>
          <w:rFonts w:ascii="仿宋_GB2312" w:eastAsia="仿宋_GB2312" w:cs="仿宋_GB2312"/>
          <w:sz w:val="32"/>
          <w:szCs w:val="32"/>
          <w:shd w:val="clear" w:color="auto" w:fill="FFFFFF"/>
        </w:rPr>
      </w:pPr>
      <w:r>
        <w:rPr>
          <w:rFonts w:ascii="仿宋_GB2312" w:eastAsia="仿宋_GB2312" w:cs="仿宋_GB2312"/>
          <w:sz w:val="32"/>
          <w:szCs w:val="32"/>
          <w:shd w:val="clear" w:color="auto" w:fill="FFFFFF"/>
        </w:rPr>
        <w:t>（一）</w:t>
      </w:r>
      <w:r>
        <w:rPr>
          <w:rFonts w:ascii="仿宋_GB2312" w:eastAsia="仿宋_GB2312" w:cs="仿宋_GB2312" w:hint="eastAsia"/>
          <w:sz w:val="32"/>
          <w:szCs w:val="32"/>
          <w:shd w:val="clear" w:color="auto" w:fill="FFFFFF"/>
        </w:rPr>
        <w:t>本单位本年度收入的年初预算数为157.69万元，上年度收入的年初预算数为170.46万元，差异为12.77万元；主要原因为本年度无采购经费，预算收入减少。本年度支出的年初预算数为157.69万元，上年度支出的年初预算数为170.46万元，差异为12.77万元；主要原因为原因本年度无采购经费，预算支出减少</w:t>
      </w:r>
      <w:r>
        <w:rPr>
          <w:rFonts w:ascii="仿宋_GB2312" w:eastAsia="仿宋_GB2312" w:cs="仿宋_GB2312"/>
          <w:sz w:val="32"/>
          <w:szCs w:val="32"/>
          <w:shd w:val="clear" w:color="auto" w:fill="FFFFFF"/>
        </w:rPr>
        <w:t>。</w:t>
      </w:r>
    </w:p>
    <w:p>
      <w:pPr>
        <w:spacing w:line="600" w:lineRule="exact"/>
        <w:ind w:firstLine="645"/>
        <w:rPr>
          <w:rFonts w:ascii="??_GB2312" w:eastAsia="Times New Roman" w:cs="宋体" w:hAnsi="??_GB2312"/>
          <w:color w:val="000000"/>
          <w:kern w:val="0"/>
          <w:lang w:val="zh-CN"/>
        </w:rPr>
      </w:pPr>
      <w:r>
        <w:rPr>
          <w:rFonts w:ascii="??_GB2312" w:eastAsia="Times New Roman" w:cs="宋体" w:hAnsi="??_GB2312"/>
          <w:color w:val="000000"/>
          <w:kern w:val="0"/>
          <w:sz w:val="32"/>
          <w:lang w:val="zh-CN"/>
        </w:rPr>
        <w:t>（二）部门财政资金支出情况。</w:t>
      </w:r>
    </w:p>
    <w:p>
      <w:pPr>
        <w:pStyle w:val="15"/>
        <w:ind w:firstLineChars="200" w:firstLine="640"/>
        <w:rPr>
          <w:rFonts w:ascii="仿宋_GB2312" w:eastAsia="仿宋_GB2312" w:cs="仿宋_GB2312" w:hint="eastAsia"/>
          <w:sz w:val="32"/>
          <w:szCs w:val="32"/>
          <w:shd w:val="clear" w:color="auto" w:fill="FFFFFF"/>
        </w:rPr>
      </w:pPr>
      <w:r>
        <w:rPr>
          <w:rFonts w:ascii="仿宋_GB2312" w:eastAsia="仿宋_GB2312" w:cs="仿宋_GB2312" w:hint="eastAsia"/>
          <w:sz w:val="32"/>
          <w:szCs w:val="32"/>
          <w:shd w:val="clear" w:color="auto" w:fill="FFFFFF"/>
          <w:lang w:val="en-US" w:eastAsia="zh-CN"/>
        </w:rPr>
        <w:t>本年度一般公共预算财政拨款支出221.59万元，教育支出171.43万元，社会保障和就业支出23.62万元，卫生健康支出10.07万元，住房保障支出16.47万元，</w:t>
      </w:r>
    </w:p>
    <w:p>
      <w:pPr>
        <w:snapToGrid w:val="0"/>
        <w:spacing w:line="520" w:lineRule="exact"/>
        <w:ind w:left="0"/>
        <w:rPr>
          <w:rFonts w:ascii="仿宋_GB2312" w:eastAsia="仿宋_GB2312" w:cs="仿宋_GB2312" w:hint="eastAsia"/>
          <w:sz w:val="32"/>
          <w:szCs w:val="32"/>
          <w:shd w:val="clear" w:color="auto" w:fill="FFFFFF"/>
        </w:rPr>
      </w:pPr>
      <w:r>
        <w:rPr>
          <w:rFonts w:ascii="仿宋_GB2312" w:eastAsia="仿宋_GB2312" w:cs="仿宋_GB2312" w:hint="eastAsia"/>
          <w:sz w:val="32"/>
          <w:szCs w:val="32"/>
          <w:shd w:val="clear" w:color="auto" w:fill="FFFFFF"/>
        </w:rPr>
        <w:t>　三公”经费支出情况：本单位本年度“三公”经费支出决算数为1.00万元。其中:公务用车购置及运行维护费支出决算数为1.00万元，相比上年度</w:t>
      </w:r>
      <w:r>
        <w:rPr>
          <w:rFonts w:ascii="仿宋_GB2312" w:eastAsia="仿宋_GB2312" w:cs="仿宋_GB2312" w:hint="eastAsia"/>
          <w:sz w:val="32"/>
          <w:szCs w:val="32"/>
          <w:shd w:val="clear" w:color="auto" w:fill="FFFFFF"/>
          <w:lang w:val="en-US" w:eastAsia="zh-CN"/>
        </w:rPr>
        <w:t>无增减。</w:t>
      </w:r>
      <w:r>
        <w:rPr>
          <w:rFonts w:ascii="仿宋_GB2312" w:eastAsia="仿宋_GB2312" w:cs="仿宋_GB2312" w:hint="eastAsia"/>
          <w:sz w:val="32"/>
          <w:szCs w:val="32"/>
          <w:shd w:val="clear" w:color="auto" w:fill="FFFFFF"/>
        </w:rPr>
        <w:t>本年度“三公”经费支出预算数为1.00万元，决算数为1.00万元，预算完成度为100.00%。公务用车购置及运行维护费人均支出为0.10万元</w:t>
      </w:r>
      <w:r>
        <w:rPr>
          <w:rFonts w:ascii="仿宋_GB2312" w:eastAsia="仿宋_GB2312" w:cs="仿宋_GB2312" w:hint="eastAsia"/>
          <w:sz w:val="32"/>
          <w:szCs w:val="32"/>
          <w:shd w:val="clear" w:color="auto" w:fill="FFFFFF"/>
          <w:lang w:eastAsia="zh-CN"/>
        </w:rPr>
        <w:t>。</w:t>
      </w:r>
    </w:p>
    <w:p>
      <w:pPr>
        <w:snapToGrid w:val="0"/>
        <w:spacing w:line="520" w:lineRule="exact"/>
        <w:ind w:leftChars="304" w:left="638" w:firstLine="0"/>
        <w:rPr>
          <w:rFonts w:ascii="仿宋_GB2312" w:eastAsia="仿宋_GB2312" w:cs="仿宋_GB2312" w:hint="eastAsia"/>
          <w:sz w:val="32"/>
          <w:szCs w:val="32"/>
          <w:shd w:val="clear" w:color="auto" w:fill="FFFFFF"/>
        </w:rPr>
      </w:pPr>
      <w:r>
        <w:rPr>
          <w:rFonts w:ascii="仿宋_GB2312" w:eastAsia="仿宋_GB2312" w:cs="仿宋_GB2312" w:hint="eastAsia"/>
          <w:sz w:val="32"/>
          <w:szCs w:val="32"/>
          <w:shd w:val="clear" w:color="auto" w:fill="FFFFFF"/>
        </w:rPr>
        <w:t>（2）会议费支出情况：</w:t>
      </w:r>
      <w:r>
        <w:rPr>
          <w:rFonts w:ascii="仿宋_GB2312" w:eastAsia="仿宋_GB2312" w:cs="仿宋_GB2312" w:hint="eastAsia"/>
          <w:sz w:val="32"/>
          <w:szCs w:val="32"/>
          <w:shd w:val="clear" w:color="auto" w:fill="FFFFFF"/>
          <w:lang w:val="en-US" w:eastAsia="zh-CN"/>
        </w:rPr>
        <w:t>2021年本单位无会议费支出。</w:t>
      </w:r>
      <w:r>
        <w:rPr>
          <w:rFonts w:ascii="仿宋_GB2312" w:eastAsia="仿宋_GB2312" w:cs="仿宋_GB2312" w:hint="eastAsia"/>
          <w:sz w:val="32"/>
          <w:szCs w:val="32"/>
          <w:shd w:val="clear" w:color="auto" w:fill="FFFFFF"/>
        </w:rPr>
        <w:t>（3）培训费支出情况：</w:t>
      </w:r>
      <w:r>
        <w:rPr>
          <w:rFonts w:ascii="仿宋_GB2312" w:eastAsia="仿宋_GB2312" w:cs="仿宋_GB2312" w:hint="eastAsia"/>
          <w:sz w:val="32"/>
          <w:szCs w:val="32"/>
          <w:shd w:val="clear" w:color="auto" w:fill="FFFFFF"/>
          <w:lang w:val="en-US" w:eastAsia="zh-CN"/>
        </w:rPr>
        <w:t>2021年本单位无</w:t>
      </w:r>
      <w:r>
        <w:rPr>
          <w:rFonts w:ascii="仿宋_GB2312" w:eastAsia="仿宋_GB2312" w:cs="仿宋_GB2312" w:hint="eastAsia"/>
          <w:sz w:val="32"/>
          <w:szCs w:val="32"/>
          <w:shd w:val="clear" w:color="auto" w:fill="FFFFFF"/>
        </w:rPr>
        <w:t>培训费</w:t>
      </w:r>
      <w:r>
        <w:rPr>
          <w:rFonts w:ascii="仿宋_GB2312" w:eastAsia="仿宋_GB2312" w:cs="仿宋_GB2312" w:hint="eastAsia"/>
          <w:sz w:val="32"/>
          <w:szCs w:val="32"/>
          <w:shd w:val="clear" w:color="auto" w:fill="FFFFFF"/>
          <w:lang w:val="en-US" w:eastAsia="zh-CN"/>
        </w:rPr>
        <w:t>支出</w:t>
      </w:r>
      <w:r>
        <w:rPr>
          <w:rFonts w:ascii="仿宋_GB2312" w:eastAsia="仿宋_GB2312" w:cs="仿宋_GB2312" w:hint="eastAsia"/>
          <w:sz w:val="32"/>
          <w:szCs w:val="32"/>
          <w:shd w:val="clear" w:color="auto" w:fill="FFFFFF"/>
        </w:rPr>
        <w:t>。</w:t>
      </w:r>
    </w:p>
    <w:p>
      <w:pPr>
        <w:snapToGrid w:val="0"/>
        <w:spacing w:line="520" w:lineRule="exact"/>
        <w:ind w:firstLineChars="200" w:firstLine="640"/>
        <w:rPr>
          <w:rFonts w:ascii="仿宋_GB2312" w:eastAsia="仿宋_GB2312" w:cs="仿宋_GB2312" w:hint="eastAsia"/>
          <w:sz w:val="32"/>
          <w:szCs w:val="32"/>
          <w:shd w:val="clear" w:color="auto" w:fill="FFFFFF"/>
        </w:rPr>
      </w:pPr>
      <w:r>
        <w:rPr>
          <w:rFonts w:ascii="仿宋_GB2312" w:eastAsia="仿宋_GB2312" w:cs="仿宋_GB2312" w:hint="eastAsia"/>
          <w:sz w:val="32"/>
          <w:szCs w:val="32"/>
          <w:shd w:val="clear" w:color="auto" w:fill="FFFFFF"/>
        </w:rPr>
        <w:t>（</w:t>
      </w:r>
      <w:r>
        <w:rPr>
          <w:rFonts w:ascii="仿宋_GB2312" w:eastAsia="仿宋_GB2312" w:cs="仿宋_GB2312" w:hint="eastAsia"/>
          <w:sz w:val="32"/>
          <w:szCs w:val="32"/>
          <w:shd w:val="clear" w:color="auto" w:fill="FFFFFF"/>
          <w:lang w:val="en-US" w:eastAsia="zh-CN"/>
        </w:rPr>
        <w:t>4</w:t>
      </w:r>
      <w:r>
        <w:rPr>
          <w:rFonts w:ascii="仿宋_GB2312" w:eastAsia="仿宋_GB2312" w:cs="仿宋_GB2312" w:hint="eastAsia"/>
          <w:sz w:val="32"/>
          <w:szCs w:val="32"/>
          <w:shd w:val="clear" w:color="auto" w:fill="FFFFFF"/>
        </w:rPr>
        <w:t>）其他对单位影响较大的支出情况</w:t>
      </w:r>
      <w:r>
        <w:rPr>
          <w:rFonts w:ascii="仿宋_GB2312" w:eastAsia="仿宋_GB2312" w:cs="仿宋_GB2312" w:hint="eastAsia"/>
          <w:sz w:val="32"/>
          <w:szCs w:val="32"/>
          <w:shd w:val="clear" w:color="auto" w:fill="FFFFFF"/>
          <w:lang w:eastAsia="zh-CN"/>
        </w:rPr>
        <w:t>：</w:t>
      </w:r>
      <w:r>
        <w:rPr>
          <w:rFonts w:ascii="仿宋_GB2312" w:eastAsia="仿宋_GB2312" w:cs="仿宋_GB2312" w:hint="eastAsia"/>
          <w:sz w:val="32"/>
          <w:szCs w:val="32"/>
          <w:shd w:val="clear" w:color="auto" w:fill="FFFFFF"/>
          <w:lang w:val="en-US" w:eastAsia="zh-CN"/>
        </w:rPr>
        <w:t>2021年本单位无</w:t>
      </w:r>
      <w:r>
        <w:rPr>
          <w:rFonts w:ascii="仿宋_GB2312" w:eastAsia="仿宋_GB2312" w:cs="仿宋_GB2312" w:hint="eastAsia"/>
          <w:sz w:val="32"/>
          <w:szCs w:val="32"/>
          <w:shd w:val="clear" w:color="auto" w:fill="FFFFFF"/>
        </w:rPr>
        <w:t>其他对单位影响较大的支出。</w:t>
      </w:r>
    </w:p>
    <w:p>
      <w:pPr>
        <w:snapToGrid w:val="0"/>
        <w:spacing w:line="520" w:lineRule="exact"/>
        <w:ind w:firstLineChars="200" w:firstLine="640"/>
        <w:rPr>
          <w:rFonts w:ascii="仿宋_GB2312" w:eastAsia="仿宋_GB2312" w:cs="仿宋_GB2312" w:hint="eastAsia"/>
          <w:sz w:val="32"/>
          <w:szCs w:val="32"/>
          <w:shd w:val="clear" w:color="auto" w:fill="FFFFFF"/>
        </w:rPr>
      </w:pPr>
      <w:r>
        <w:rPr>
          <w:rFonts w:ascii="仿宋_GB2312" w:eastAsia="仿宋_GB2312" w:cs="仿宋_GB2312" w:hint="eastAsia"/>
          <w:sz w:val="32"/>
          <w:szCs w:val="32"/>
          <w:shd w:val="clear" w:color="auto" w:fill="FFFFFF"/>
        </w:rPr>
        <w:t>（</w:t>
      </w:r>
      <w:r>
        <w:rPr>
          <w:rFonts w:ascii="仿宋_GB2312" w:eastAsia="仿宋_GB2312" w:cs="仿宋_GB2312" w:hint="eastAsia"/>
          <w:sz w:val="32"/>
          <w:szCs w:val="32"/>
          <w:shd w:val="clear" w:color="auto" w:fill="FFFFFF"/>
          <w:lang w:val="en-US" w:eastAsia="zh-CN"/>
        </w:rPr>
        <w:t>5</w:t>
      </w:r>
      <w:r>
        <w:rPr>
          <w:rFonts w:ascii="仿宋_GB2312" w:eastAsia="仿宋_GB2312" w:cs="仿宋_GB2312" w:hint="eastAsia"/>
          <w:sz w:val="32"/>
          <w:szCs w:val="32"/>
          <w:shd w:val="clear" w:color="auto" w:fill="FFFFFF"/>
        </w:rPr>
        <w:t>）重点经济分类支出中存在的问题及改进措施</w:t>
      </w:r>
      <w:r>
        <w:rPr>
          <w:rFonts w:ascii="仿宋_GB2312" w:eastAsia="仿宋_GB2312" w:cs="仿宋_GB2312" w:hint="eastAsia"/>
          <w:sz w:val="32"/>
          <w:szCs w:val="32"/>
          <w:shd w:val="clear" w:color="auto" w:fill="FFFFFF"/>
          <w:lang w:eastAsia="zh-CN"/>
        </w:rPr>
        <w:t>：</w:t>
      </w:r>
      <w:r>
        <w:rPr>
          <w:rFonts w:ascii="仿宋_GB2312" w:eastAsia="仿宋_GB2312" w:cs="仿宋_GB2312" w:hint="eastAsia"/>
          <w:sz w:val="32"/>
          <w:szCs w:val="32"/>
          <w:shd w:val="clear" w:color="auto" w:fill="FFFFFF"/>
          <w:lang w:val="en-US" w:eastAsia="zh-CN"/>
        </w:rPr>
        <w:t>2021年本单位无</w:t>
      </w:r>
      <w:r>
        <w:rPr>
          <w:rFonts w:ascii="仿宋_GB2312" w:eastAsia="仿宋_GB2312" w:cs="仿宋_GB2312" w:hint="eastAsia"/>
          <w:sz w:val="32"/>
          <w:szCs w:val="32"/>
          <w:shd w:val="clear" w:color="auto" w:fill="FFFFFF"/>
        </w:rPr>
        <w:t>重点经济分类支出</w:t>
      </w:r>
      <w:r>
        <w:rPr>
          <w:rFonts w:ascii="仿宋_GB2312" w:eastAsia="仿宋_GB2312" w:cs="仿宋_GB2312" w:hint="eastAsia"/>
          <w:sz w:val="32"/>
          <w:szCs w:val="32"/>
          <w:shd w:val="clear" w:color="auto" w:fill="FFFFFF"/>
          <w:lang w:eastAsia="zh-CN"/>
        </w:rPr>
        <w:t>。</w:t>
      </w:r>
    </w:p>
    <w:p>
      <w:pPr>
        <w:widowControl/>
        <w:adjustRightInd w:val="0"/>
        <w:snapToGrid w:val="0"/>
        <w:spacing w:line="480" w:lineRule="exact"/>
        <w:ind w:firstLine="720"/>
        <w:jc w:val="left"/>
        <w:rPr>
          <w:rFonts w:ascii="黑体" w:eastAsia="黑体" w:cs="宋体"/>
          <w:color w:val="000000"/>
          <w:kern w:val="0"/>
        </w:rPr>
      </w:pPr>
      <w:r>
        <w:rPr>
          <w:rFonts w:ascii="黑体" w:eastAsia="黑体" w:cs="宋体" w:hint="eastAsia"/>
          <w:color w:val="000000"/>
          <w:kern w:val="0"/>
          <w:sz w:val="32"/>
        </w:rPr>
        <w:t>三、部门财政支出管理情况</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（一）预算编制情况。</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(1)预算编制质量：</w:t>
      </w:r>
    </w:p>
    <w:p>
      <w:pPr>
        <w:snapToGrid w:val="0"/>
        <w:spacing w:line="520" w:lineRule="exact"/>
        <w:ind w:firstLineChars="200" w:firstLine="640"/>
        <w:rPr>
          <w:rFonts w:ascii="仿宋_GB2312" w:eastAsia="仿宋_GB2312" w:cs="仿宋_GB2312" w:hint="eastAsia"/>
          <w:sz w:val="32"/>
          <w:szCs w:val="32"/>
          <w:shd w:val="clear" w:color="auto" w:fill="FFFFFF"/>
        </w:rPr>
      </w:pPr>
      <w:r>
        <w:rPr>
          <w:rFonts w:ascii="仿宋_GB2312" w:eastAsia="仿宋_GB2312" w:cs="仿宋_GB2312" w:hint="eastAsia"/>
          <w:kern w:val="2"/>
          <w:sz w:val="32"/>
          <w:szCs w:val="32"/>
          <w:shd w:val="clear" w:color="auto" w:fill="FFFFFF"/>
          <w:lang w:val="en-US" w:eastAsia="zh-CN" w:bidi="ar-SA"/>
        </w:rPr>
        <w:t>本单位本年度收入调整预算数为221.59万元，收入决算数为221.59万元，预算完成度为100.00%，上年度收入调整预算数为217.81万元，收入决算数为217.81万元，预算完成度为100.00%，存在差异的主要原因为人员增加，增加了经费。本年度支出调整预算数为221.59万元，支出决算数为221.59万元，预算完成度为100.00%，上年度预算完成度为100.00%。</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（2）绩效目标填报：</w:t>
      </w:r>
      <w:r>
        <w:rPr>
          <w:rFonts w:ascii="仿宋_GB2312" w:eastAsia="仿宋_GB2312" w:hint="eastAsia"/>
          <w:color w:val="000000"/>
          <w:sz w:val="32"/>
          <w:szCs w:val="32"/>
          <w:lang w:val="en-US" w:eastAsia="zh-CN"/>
        </w:rPr>
        <w:t>项目申报严格按照上级要求，明确绩效目标，控制支行成本，提高项目发挥作用。并</w:t>
      </w:r>
      <w:r>
        <w:rPr>
          <w:rFonts w:ascii="仿宋_GB2312" w:eastAsia="仿宋_GB2312" w:hint="eastAsia"/>
          <w:color w:val="000000"/>
          <w:sz w:val="32"/>
          <w:szCs w:val="32"/>
          <w:lang w:val="zh-CN" w:eastAsia="zh-CN"/>
        </w:rPr>
        <w:t>根据财政局统一要求编制了我</w:t>
      </w:r>
      <w:r>
        <w:rPr>
          <w:rFonts w:ascii="仿宋_GB2312" w:eastAsia="仿宋_GB2312"/>
          <w:color w:val="000000"/>
          <w:sz w:val="32"/>
          <w:szCs w:val="32"/>
          <w:lang w:val="zh-CN" w:eastAsia="zh-CN"/>
        </w:rPr>
        <w:t>校</w:t>
      </w:r>
      <w:r>
        <w:rPr>
          <w:rFonts w:ascii="仿宋_GB2312" w:eastAsia="仿宋_GB2312" w:hint="eastAsia"/>
          <w:color w:val="000000"/>
          <w:sz w:val="32"/>
          <w:szCs w:val="32"/>
          <w:lang w:val="zh-CN" w:eastAsia="zh-CN"/>
        </w:rPr>
        <w:t>整体绩效目标报告及项目整体绩效目标表，并报县财政局。</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w:t>
      </w:r>
      <w:r>
        <w:rPr>
          <w:rFonts w:ascii="仿宋_GB2312" w:eastAsia="仿宋_GB2312"/>
          <w:color w:val="000000"/>
          <w:sz w:val="32"/>
          <w:szCs w:val="32"/>
          <w:lang w:val="zh-CN" w:eastAsia="zh-CN"/>
        </w:rPr>
        <w:t>二</w:t>
      </w:r>
      <w:r>
        <w:rPr>
          <w:rFonts w:ascii="仿宋_GB2312" w:eastAsia="仿宋_GB2312" w:hint="eastAsia"/>
          <w:color w:val="000000"/>
          <w:sz w:val="32"/>
          <w:szCs w:val="32"/>
          <w:lang w:val="zh-CN" w:eastAsia="zh-CN"/>
        </w:rPr>
        <w:t>）整体绩效。</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我</w:t>
      </w:r>
      <w:r>
        <w:rPr>
          <w:rFonts w:ascii="仿宋_GB2312" w:eastAsia="仿宋_GB2312"/>
          <w:color w:val="000000"/>
          <w:sz w:val="32"/>
          <w:szCs w:val="32"/>
          <w:lang w:val="zh-CN" w:eastAsia="zh-CN"/>
        </w:rPr>
        <w:t>校</w:t>
      </w:r>
      <w:r>
        <w:rPr>
          <w:rFonts w:ascii="仿宋_GB2312" w:eastAsia="仿宋_GB2312" w:hint="eastAsia"/>
          <w:color w:val="000000"/>
          <w:sz w:val="32"/>
          <w:szCs w:val="32"/>
          <w:lang w:val="zh-CN" w:eastAsia="zh-CN"/>
        </w:rPr>
        <w:t>按照规定完全履行职责，整体评价良好，服务对象基本满意，从预算执行来情况看，预算资金覆盖我</w:t>
      </w:r>
      <w:r>
        <w:rPr>
          <w:rFonts w:ascii="仿宋_GB2312" w:eastAsia="仿宋_GB2312"/>
          <w:color w:val="000000"/>
          <w:sz w:val="32"/>
          <w:szCs w:val="32"/>
          <w:lang w:val="zh-CN" w:eastAsia="zh-CN"/>
        </w:rPr>
        <w:t>校</w:t>
      </w:r>
      <w:r>
        <w:rPr>
          <w:rFonts w:ascii="仿宋_GB2312" w:eastAsia="仿宋_GB2312" w:hint="eastAsia"/>
          <w:color w:val="000000"/>
          <w:sz w:val="32"/>
          <w:szCs w:val="32"/>
          <w:lang w:val="zh-CN" w:eastAsia="zh-CN"/>
        </w:rPr>
        <w:t>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ind w:firstLineChars="200" w:firstLine="640"/>
        <w:rPr>
          <w:rFonts w:ascii="黑体" w:eastAsia="黑体" w:cs="宋体" w:hint="eastAsia"/>
          <w:color w:val="000000"/>
          <w:kern w:val="0"/>
          <w:sz w:val="32"/>
          <w:lang w:val="en-US" w:eastAsia="zh-CN"/>
        </w:rPr>
      </w:pPr>
      <w:r>
        <w:rPr>
          <w:rFonts w:ascii="黑体" w:eastAsia="黑体" w:cs="宋体" w:hint="eastAsia"/>
          <w:color w:val="000000"/>
          <w:kern w:val="0"/>
          <w:sz w:val="32"/>
          <w:lang w:val="en-US" w:eastAsia="zh-CN"/>
        </w:rPr>
        <w:t>四、评价结论及建议</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（一）评价结论。</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评价得分</w:t>
      </w:r>
      <w:r>
        <w:rPr>
          <w:rFonts w:ascii="仿宋_GB2312" w:eastAsia="仿宋_GB2312" w:hint="eastAsia"/>
          <w:color w:val="000000"/>
          <w:sz w:val="32"/>
          <w:szCs w:val="32"/>
          <w:lang w:val="en-US" w:eastAsia="zh-CN"/>
        </w:rPr>
        <w:t>85分，整体评价良好，预算支出和决算支出情况相符。</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存在问题</w:t>
      </w:r>
      <w:r>
        <w:rPr>
          <w:rFonts w:ascii="仿宋_GB2312" w:eastAsia="仿宋_GB2312"/>
          <w:color w:val="000000"/>
          <w:sz w:val="32"/>
          <w:szCs w:val="32"/>
          <w:lang w:val="zh-CN" w:eastAsia="zh-CN"/>
        </w:rPr>
        <w:t>：</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我</w:t>
      </w:r>
      <w:r>
        <w:rPr>
          <w:rFonts w:ascii="仿宋_GB2312" w:eastAsia="仿宋_GB2312"/>
          <w:color w:val="000000"/>
          <w:sz w:val="32"/>
          <w:szCs w:val="32"/>
          <w:lang w:val="zh-CN" w:eastAsia="zh-CN"/>
        </w:rPr>
        <w:t>校</w:t>
      </w:r>
      <w:r>
        <w:rPr>
          <w:rFonts w:ascii="仿宋_GB2312" w:eastAsia="仿宋_GB2312" w:hint="eastAsia"/>
          <w:color w:val="000000"/>
          <w:sz w:val="32"/>
          <w:szCs w:val="32"/>
          <w:lang w:val="zh-CN" w:eastAsia="zh-CN"/>
        </w:rPr>
        <w:t>财政预算资金支付大部分集中在下半年，上半年资金支付力度较小。</w:t>
      </w:r>
    </w:p>
    <w:p>
      <w:pPr>
        <w:ind w:firstLineChars="200" w:firstLine="640"/>
        <w:rPr>
          <w:rFonts w:ascii="仿宋_GB2312" w:eastAsia="仿宋_GB2312" w:hint="eastAsia"/>
          <w:color w:val="000000"/>
          <w:sz w:val="32"/>
          <w:szCs w:val="32"/>
          <w:lang w:val="zh-CN" w:eastAsia="zh-CN"/>
        </w:rPr>
      </w:pPr>
      <w:r>
        <w:rPr>
          <w:rFonts w:ascii="仿宋_GB2312" w:eastAsia="仿宋_GB2312" w:hint="eastAsia"/>
          <w:color w:val="000000"/>
          <w:sz w:val="32"/>
          <w:szCs w:val="32"/>
          <w:lang w:val="zh-CN" w:eastAsia="zh-CN"/>
        </w:rPr>
        <w:t>改进建议</w:t>
      </w:r>
      <w:r>
        <w:rPr>
          <w:rFonts w:ascii="仿宋_GB2312" w:eastAsia="仿宋_GB2312"/>
          <w:color w:val="000000"/>
          <w:sz w:val="32"/>
          <w:szCs w:val="32"/>
          <w:lang w:val="zh-CN" w:eastAsia="zh-CN"/>
        </w:rPr>
        <w:t>：</w:t>
      </w:r>
    </w:p>
    <w:p>
      <w:r>
        <w:rPr>
          <w:rFonts w:ascii="仿宋_GB2312" w:eastAsia="仿宋_GB2312" w:hint="eastAsia"/>
          <w:color w:val="000000"/>
          <w:sz w:val="32"/>
          <w:szCs w:val="32"/>
          <w:lang w:val="en-US" w:eastAsia="zh-CN"/>
        </w:rPr>
        <w:t>加大上半年资金支付力度，加强会计核算的规范化。</w:t>
      </w:r>
    </w:p>
    <w:p>
      <w:pPr>
        <w:pStyle w:val="31"/>
        <w:spacing w:line="560" w:lineRule="exact"/>
        <w:ind w:firstLineChars="200" w:firstLine="640"/>
        <w:rPr>
          <w:rFonts w:ascii="仿宋_GB2312" w:eastAsia="仿宋_GB2312" w:hint="eastAsia"/>
          <w:sz w:val="32"/>
          <w:szCs w:val="32"/>
        </w:rPr>
      </w:pPr>
    </w:p>
    <w:p>
      <w:pPr>
        <w:spacing w:line="600" w:lineRule="exact"/>
        <w:jc w:val="center"/>
        <w:outlineLvl w:val="0"/>
        <w:rPr>
          <w:rFonts w:ascii="黑体" w:eastAsia="黑体" w:hint="eastAsia"/>
          <w:b/>
          <w:color w:val="000000"/>
          <w:sz w:val="44"/>
          <w:szCs w:val="44"/>
          <w:lang w:val="en-US" w:eastAsia="zh-CN"/>
        </w:rPr>
      </w:pPr>
    </w:p>
    <w:p>
      <w:pPr>
        <w:spacing w:line="600" w:lineRule="exact"/>
        <w:jc w:val="center"/>
        <w:outlineLvl w:val="0"/>
        <w:rPr>
          <w:rFonts w:ascii="黑体" w:eastAsia="黑体" w:hint="eastAsia"/>
          <w:b/>
          <w:color w:val="000000"/>
          <w:sz w:val="44"/>
          <w:szCs w:val="44"/>
          <w:lang w:val="en-US" w:eastAsia="zh-CN"/>
        </w:rPr>
      </w:pPr>
    </w:p>
    <w:p>
      <w:pPr>
        <w:spacing w:line="600" w:lineRule="exact"/>
        <w:jc w:val="center"/>
        <w:outlineLvl w:val="0"/>
        <w:rPr>
          <w:rFonts w:ascii="黑体" w:eastAsia="黑体" w:hint="eastAsia"/>
          <w:b/>
          <w:color w:val="000000"/>
          <w:sz w:val="44"/>
          <w:szCs w:val="44"/>
          <w:lang w:val="en-US" w:eastAsia="zh-CN"/>
        </w:rPr>
      </w:pPr>
    </w:p>
    <w:p>
      <w:pPr>
        <w:spacing w:line="600" w:lineRule="exact"/>
        <w:jc w:val="center"/>
        <w:outlineLvl w:val="0"/>
        <w:rPr>
          <w:rFonts w:ascii="黑体" w:eastAsia="黑体" w:hint="eastAsia"/>
          <w:b/>
          <w:color w:val="000000"/>
          <w:sz w:val="44"/>
          <w:szCs w:val="44"/>
          <w:lang w:val="en-US" w:eastAsia="zh-CN"/>
        </w:rPr>
      </w:pPr>
      <w:bookmarkEnd w:id="41"/>
      <w:bookmarkEnd w:id="42"/>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3000509000000000000"/>
    <w:charset w:val="86"/>
    <w:family w:val="script"/>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仿宋">
    <w:altName w:val="仿宋_GB2312"/>
    <w:panose1 w:val="02010609060101010101"/>
    <w:charset w:val="86"/>
    <w:family w:val="auto"/>
    <w:pitch w:val="variable"/>
    <w:sig w:usb0="800002BF" w:usb1="38CF7CFA" w:usb2="00000016" w:usb3="00000000" w:csb0="00040001" w:csb1="00000000"/>
  </w:font>
  <w:font w:name="Times New Roman">
    <w:altName w:val="DejaVu Sans"/>
    <w:panose1 w:val="02020603050405020304"/>
    <w:charset w:val="01"/>
    <w:family w:val="auto"/>
    <w:pitch w:val="variable"/>
    <w:sig w:usb0="E0002AFF" w:usb1="C0007841"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方正仿宋_GB2312">
    <w:altName w:val="AR PL UKai CN"/>
    <w:panose1 w:val="02000000000000000000"/>
    <w:charset w:val="86"/>
    <w:family w:val="auto"/>
    <w:pitch w:val="variable"/>
    <w:sig w:usb0="00000000" w:usb1="00000000" w:usb2="00000000"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Calibri">
    <w:altName w:val="DejaVu Sans"/>
    <w:panose1 w:val="020F0502020204030204"/>
    <w:charset w:val="00"/>
    <w:family w:val="swiss"/>
    <w:pitch w:val="variable"/>
    <w:sig w:usb0="E00002FF" w:usb1="4000ACFF" w:usb2="00000001" w:usb3="00000000" w:csb0="2000019F" w:csb1="00000000"/>
  </w:font>
  <w:font w:name="宋体">
    <w:altName w:val="方正书宋_GBK"/>
    <w:panose1 w:val="02010600030101010101"/>
    <w:charset w:val="7A"/>
    <w:family w:val="auto"/>
    <w:pitch w:val="variable"/>
    <w:sig w:usb0="00000003" w:usb1="288F0000" w:usb2="00000006" w:usb3="00000000" w:csb0="00040001" w:csb1="00000000"/>
  </w:font>
  <w:font w:name="??_GB2312">
    <w:altName w:val="DejaVu Sans"/>
    <w:panose1 w:val="00000000000000000000"/>
    <w:charset w:val="00"/>
    <w:family w:val="auto"/>
    <w:pitch w:val="variable"/>
    <w:sig w:usb0="00000000" w:usb1="00000000" w:usb2="00000000" w:usb3="00000000" w:csb0="00000000" w:csb1="00000000"/>
  </w:font>
  <w:font w:name="Cambria">
    <w:altName w:val="DejaVu Sans"/>
    <w:panose1 w:val="02040503050406030204"/>
    <w:charset w:val="00"/>
    <w:family w:val="roman"/>
    <w:pitch w:val="variable"/>
    <w:sig w:usb0="E00002FF" w:usb1="400004FF" w:usb2="00000000" w:usb3="00000000" w:csb0="2000019F" w:csb1="00000000"/>
  </w:font>
  <w:font w:name="楷体_GB2312">
    <w:panose1 w:val="02010609030101010101"/>
    <w:charset w:val="86"/>
    <w:family w:val="modern"/>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040200537"/>
      <w:docPartList>
        <w:docPartGallery w:val="Quick Parts"/>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20</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C455A8E8"/>
    <w:multiLevelType w:val="singleLevel"/>
    <w:tmpl w:val="C455A8E8"/>
    <w:lvl w:ilvl="0">
      <w:start w:val="6"/>
      <w:numFmt w:val="chineseCounting"/>
      <w:lvlRestart w:val="0"/>
      <w:suff w:val="nothing"/>
      <w:lvlText w:val="（%1）"/>
      <w:lvlJc w:val="left"/>
      <w:pPr>
        <w:tabs>
          <w:tab w:val="num" w:pos="0"/>
        </w:tabs>
        <w:ind w:left="0" w:hanging="0"/>
      </w:pPr>
      <w:rPr>
        <w:rFonts w:hint="eastAsia"/>
      </w:rPr>
    </w:lvl>
  </w:abstractNum>
  <w:abstractNum w:abstractNumId="1">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2">
    <w:nsid w:val="17F426B7"/>
    <w:multiLevelType w:val="multilevel"/>
    <w:tmpl w:val="17F426B7"/>
    <w:lvl w:ilvl="0">
      <w:start w:val="10"/>
      <w:numFmt w:val="japaneseCounting"/>
      <w:lvlRestart w:val="0"/>
      <w:lvlText w:val="%1、"/>
      <w:lvlJc w:val="left"/>
      <w:pPr>
        <w:tabs>
          <w:tab w:val="num" w:pos="0"/>
        </w:tabs>
        <w:ind w:left="1429" w:hanging="720"/>
      </w:pPr>
      <w:rPr>
        <w:rFonts w:hint="default"/>
      </w:rPr>
    </w:lvl>
    <w:lvl w:ilvl="1">
      <w:start w:val="1"/>
      <w:numFmt w:val="lowerLetter"/>
      <w:lvlText w:val="%2)"/>
      <w:lvlJc w:val="left"/>
      <w:pPr>
        <w:tabs>
          <w:tab w:val="num" w:pos="0"/>
        </w:tabs>
        <w:ind w:left="1549" w:hanging="420"/>
      </w:pPr>
    </w:lvl>
    <w:lvl w:ilvl="2">
      <w:start w:val="1"/>
      <w:numFmt w:val="lowerRoman"/>
      <w:lvlText w:val="%3."/>
      <w:lvlJc w:val="right"/>
      <w:pPr>
        <w:tabs>
          <w:tab w:val="num" w:pos="0"/>
        </w:tabs>
        <w:ind w:left="1969" w:hanging="420"/>
      </w:pPr>
    </w:lvl>
    <w:lvl w:ilvl="3">
      <w:start w:val="1"/>
      <w:numFmt w:val="decimal"/>
      <w:lvlText w:val="%4."/>
      <w:lvlJc w:val="left"/>
      <w:pPr>
        <w:tabs>
          <w:tab w:val="num" w:pos="0"/>
        </w:tabs>
        <w:ind w:left="2389" w:hanging="420"/>
      </w:pPr>
    </w:lvl>
    <w:lvl w:ilvl="4">
      <w:start w:val="1"/>
      <w:numFmt w:val="lowerLetter"/>
      <w:lvlText w:val="%5)"/>
      <w:lvlJc w:val="left"/>
      <w:pPr>
        <w:tabs>
          <w:tab w:val="num" w:pos="0"/>
        </w:tabs>
        <w:ind w:left="2809" w:hanging="420"/>
      </w:pPr>
    </w:lvl>
    <w:lvl w:ilvl="5">
      <w:start w:val="1"/>
      <w:numFmt w:val="lowerRoman"/>
      <w:lvlText w:val="%6."/>
      <w:lvlJc w:val="right"/>
      <w:pPr>
        <w:tabs>
          <w:tab w:val="num" w:pos="0"/>
        </w:tabs>
        <w:ind w:left="3229" w:hanging="420"/>
      </w:pPr>
    </w:lvl>
    <w:lvl w:ilvl="6">
      <w:start w:val="1"/>
      <w:numFmt w:val="decimal"/>
      <w:lvlText w:val="%7."/>
      <w:lvlJc w:val="left"/>
      <w:pPr>
        <w:tabs>
          <w:tab w:val="num" w:pos="0"/>
        </w:tabs>
        <w:ind w:left="3649" w:hanging="420"/>
      </w:pPr>
    </w:lvl>
    <w:lvl w:ilvl="7">
      <w:start w:val="1"/>
      <w:numFmt w:val="lowerLetter"/>
      <w:lvlText w:val="%8)"/>
      <w:lvlJc w:val="left"/>
      <w:pPr>
        <w:tabs>
          <w:tab w:val="num" w:pos="0"/>
        </w:tabs>
        <w:ind w:left="4069" w:hanging="420"/>
      </w:pPr>
    </w:lvl>
    <w:lvl w:ilvl="8">
      <w:start w:val="1"/>
      <w:numFmt w:val="lowerRoman"/>
      <w:lvlText w:val="%9."/>
      <w:lvlJc w:val="right"/>
      <w:pPr>
        <w:tabs>
          <w:tab w:val="num" w:pos="0"/>
        </w:tabs>
        <w:ind w:left="4489" w:hanging="420"/>
      </w:pPr>
    </w:lvl>
  </w:abstractNum>
  <w:abstractNum w:abstractNumId="3">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4">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5">
    <w:nsid w:val="5B74E20D"/>
    <w:multiLevelType w:val="singleLevel"/>
    <w:tmpl w:val="5B74E20D"/>
    <w:lvl w:ilvl="0">
      <w:start w:val="3"/>
      <w:numFmt w:val="chineseCounting"/>
      <w:lvlRestart w:val="0"/>
      <w:suff w:val="nothing"/>
      <w:lvlText w:val="（%1）"/>
      <w:lvlJc w:val="left"/>
      <w:pPr>
        <w:tabs>
          <w:tab w:val="num" w:pos="0"/>
        </w:tabs>
        <w:ind w:left="0" w:hanging="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doNotDisplayPageBoundaries/>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DUyNGVlZDZlYzI0NDNkZTNhOGQyODE0ZjgyNDE2Y2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Normal Indent"/>
    <w:basedOn w:val="0"/>
    <w:pPr>
      <w:ind w:firstLineChars="200" w:firstLine="200"/>
    </w:pPr>
  </w:style>
  <w:style w:type="paragraph" w:styleId="16">
    <w:name w:val="Body Text"/>
    <w:basedOn w:val="0"/>
    <w:next w:val="15"/>
    <w:pPr>
      <w:widowControl w:val="0"/>
      <w:spacing w:beforeLines="30" w:before="30"/>
      <w:jc w:val="both"/>
    </w:pPr>
    <w:rPr>
      <w:rFonts w:ascii="仿宋_GB2312" w:eastAsia="仿宋_GB2312" w:cs="Times New Roman"/>
      <w:kern w:val="0"/>
      <w:sz w:val="30"/>
      <w:szCs w:val="24"/>
      <w:lang w:val="en-US" w:eastAsia="zh-CN" w:bidi="ar-SA"/>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Normal (Web)"/>
    <w:basedOn w:val="0"/>
    <w:pPr>
      <w:widowControl/>
      <w:spacing w:beforeAutospacing="1" w:afterAutospacing="1"/>
      <w:jc w:val="left"/>
    </w:pPr>
    <w:rPr>
      <w:rFonts w:ascii="宋体"/>
      <w:kern w:val="0"/>
      <w:sz w:val="24"/>
    </w:rPr>
  </w:style>
  <w:style w:type="character" w:styleId="24">
    <w:name w:val="Strong"/>
    <w:basedOn w:val="10"/>
    <w:rPr>
      <w:b/>
    </w:rPr>
  </w:style>
  <w:style w:type="character" w:styleId="25">
    <w:name w:val="Hyperlink"/>
    <w:basedOn w:val="10"/>
    <w:rPr>
      <w:color w:val="0000FF"/>
      <w:u w:val="single"/>
    </w:rPr>
  </w:style>
  <w:style w:type="paragraph" w:customStyle="1" w:styleId="26">
    <w:name w:val="table of figures"/>
    <w:basedOn w:val="0"/>
    <w:next w:val="0"/>
    <w:pPr>
      <w:spacing w:before="100" w:beforeAutospacing="1" w:after="100" w:afterAutospacing="1"/>
      <w:ind w:leftChars="200" w:left="400" w:hangingChars="200" w:hanging="200"/>
    </w:pPr>
  </w:style>
  <w:style w:type="paragraph" w:customStyle="1" w:styleId="27">
    <w:name w:val="图表目录1"/>
    <w:basedOn w:val="0"/>
    <w:next w:val="0"/>
    <w:pPr>
      <w:spacing w:beforeAutospacing="1" w:afterAutospacing="1"/>
      <w:ind w:leftChars="200" w:left="400" w:hangingChars="200" w:hanging="200"/>
    </w:p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customStyle="1" w:styleId="31">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4">
    <w:name w:val="普通(网站) Char"/>
    <w:basedOn w:val="0"/>
    <w:pPr>
      <w:spacing w:before="100" w:beforeAutospacing="1" w:after="100" w:afterAutospacing="1"/>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939393"/>
                </a:solidFill>
                <a:latin typeface="黑体"/>
                <a:ea typeface="黑体"/>
                <a:cs typeface="Lucida Sans"/>
              </a:defRPr>
            </a:pPr>
            <a:r>
              <a:rPr lang="zh-CN"/>
              <a:t>2020年与2021年预算收入支出安排情况对比图</a:t>
            </a:r>
          </a:p>
        </c:rich>
      </c:tx>
      <c:layout>
        <c:manualLayout>
          <c:xMode val="edge"/>
          <c:yMode val="edge"/>
          <c:x val="0.12583333"/>
          <c:y val="0.03125"/>
        </c:manualLayout>
      </c:layout>
      <c:overlay val="0"/>
      <c:spPr>
        <a:noFill/>
        <a:ln>
          <a:noFill/>
        </a:ln>
      </c:spPr>
    </c:title>
    <c:autoTitleDeleted val="1"/>
    <c:plotArea>
      <c:layout>
        <c:manualLayout>
          <c:layoutTarget val="inner"/>
          <c:xMode val="edge"/>
          <c:yMode val="edge"/>
          <c:x val="0.07688889"/>
          <c:y val="0.25486112"/>
          <c:w val="0.8946389"/>
          <c:h val="0.5283333"/>
        </c:manualLayout>
      </c:layout>
      <c:barChart>
        <c:barDir val="col"/>
        <c:grouping val="clustered"/>
        <c:varyColors val="0"/>
        <c:ser>
          <c:idx val="0"/>
          <c:order val="0"/>
          <c:tx>
            <c:v>2020年</c:v>
          </c:tx>
          <c:spPr>
            <a:solidFill>
              <a:srgbClr val="4F81BD"/>
            </a:solidFill>
            <a:ln>
              <a:noFill/>
            </a:ln>
          </c:spPr>
          <c:invertIfNegative val="0"/>
          <c:dLbls>
            <c:spPr>
              <a:noFill/>
              <a:ln>
                <a:noFill/>
              </a:ln>
            </c:spPr>
            <c:txPr>
              <a:bodyPr vert="horz"/>
              <a:lstStyle/>
              <a:p>
                <a:pPr>
                  <a:defRPr sz="900" b="0" i="0" u="none" strike="noStrike" baseline="0">
                    <a:solidFill>
                      <a:srgbClr val="70707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收入</c:v>
              </c:pt>
              <c:pt idx="1">
                <c:v>支出</c:v>
              </c:pt>
            </c:strLit>
          </c:cat>
          <c:val>
            <c:numRef>
              <c:f/>
              <c:numCache>
                <c:formatCode>General</c:formatCode>
                <c:ptCount val="2"/>
                <c:pt idx="0">
                  <c:v>170.46</c:v>
                </c:pt>
                <c:pt idx="1">
                  <c:v>170.46</c:v>
                </c:pt>
              </c:numCache>
            </c:numRef>
          </c:val>
        </c:ser>
        <c:ser>
          <c:idx val="1"/>
          <c:order val="1"/>
          <c:tx>
            <c:v>2021年</c:v>
          </c:tx>
          <c:spPr>
            <a:solidFill>
              <a:srgbClr val="C0504D"/>
            </a:solidFill>
            <a:ln>
              <a:noFill/>
            </a:ln>
          </c:spPr>
          <c:invertIfNegative val="0"/>
          <c:dLbls>
            <c:spPr>
              <a:noFill/>
              <a:ln>
                <a:noFill/>
              </a:ln>
            </c:spPr>
            <c:txPr>
              <a:bodyPr vert="horz"/>
              <a:lstStyle/>
              <a:p>
                <a:pPr>
                  <a:defRPr sz="900" b="0" i="0" u="none" strike="noStrike" baseline="0">
                    <a:solidFill>
                      <a:srgbClr val="70707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收入</c:v>
              </c:pt>
              <c:pt idx="1">
                <c:v>支出</c:v>
              </c:pt>
            </c:strLit>
          </c:cat>
          <c:val>
            <c:numRef>
              <c:f/>
              <c:numCache>
                <c:formatCode>General</c:formatCode>
                <c:ptCount val="2"/>
                <c:pt idx="0">
                  <c:v>157.69</c:v>
                </c:pt>
                <c:pt idx="1">
                  <c:v>157.69</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F9F9F9"/>
            </a:solidFill>
            <a:prstDash val="solid"/>
          </a:ln>
        </c:spPr>
        <c:txPr>
          <a:bodyPr/>
          <a:lstStyle/>
          <a:p>
            <a:pPr>
              <a:defRPr sz="900" b="0" i="0" u="none" strike="noStrike" baseline="0">
                <a:solidFill>
                  <a:srgbClr val="939393"/>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F9F9F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939393"/>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939393"/>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939393"/>
                </a:solidFill>
                <a:latin typeface="黑体"/>
                <a:ea typeface="黑体"/>
                <a:cs typeface="Lucida Sans"/>
              </a:defRPr>
            </a:pPr>
            <a:r>
              <a:rPr lang="zh-CN"/>
              <a:t>2020年与2021年收入支出预算执行情况对比图</a:t>
            </a:r>
          </a:p>
        </c:rich>
      </c:tx>
      <c:layout>
        <c:manualLayout>
          <c:xMode val="edge"/>
          <c:yMode val="edge"/>
          <c:x val="0.12583333"/>
          <c:y val="0.03125"/>
        </c:manualLayout>
      </c:layout>
      <c:overlay val="0"/>
      <c:spPr>
        <a:noFill/>
        <a:ln>
          <a:noFill/>
        </a:ln>
      </c:spPr>
    </c:title>
    <c:autoTitleDeleted val="1"/>
    <c:plotArea>
      <c:layout>
        <c:manualLayout>
          <c:layoutTarget val="inner"/>
          <c:xMode val="edge"/>
          <c:yMode val="edge"/>
          <c:x val="0.07688889"/>
          <c:y val="0.25486112"/>
          <c:w val="0.8946389"/>
          <c:h val="0.5283333"/>
        </c:manualLayout>
      </c:layout>
      <c:barChart>
        <c:barDir val="col"/>
        <c:grouping val="clustered"/>
        <c:varyColors val="0"/>
        <c:ser>
          <c:idx val="0"/>
          <c:order val="0"/>
          <c:tx>
            <c:v>2020年</c:v>
          </c:tx>
          <c:spPr>
            <a:solidFill>
              <a:srgbClr val="C0504D"/>
            </a:solidFill>
            <a:ln>
              <a:noFill/>
            </a:ln>
          </c:spPr>
          <c:invertIfNegative val="0"/>
          <c:dLbls>
            <c:spPr>
              <a:noFill/>
              <a:ln>
                <a:noFill/>
              </a:ln>
            </c:spPr>
            <c:txPr>
              <a:bodyPr vert="horz"/>
              <a:lstStyle/>
              <a:p>
                <a:pPr>
                  <a:defRPr sz="900" b="0" i="0" u="none" strike="noStrike" baseline="0">
                    <a:solidFill>
                      <a:srgbClr val="70707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收入</c:v>
              </c:pt>
              <c:pt idx="1">
                <c:v>支出</c:v>
              </c:pt>
            </c:strLit>
          </c:cat>
          <c:val>
            <c:numRef>
              <c:f/>
              <c:numCache>
                <c:formatCode>General</c:formatCode>
                <c:ptCount val="2"/>
                <c:pt idx="0">
                  <c:v>217.81</c:v>
                </c:pt>
                <c:pt idx="1">
                  <c:v>217.81</c:v>
                </c:pt>
              </c:numCache>
            </c:numRef>
          </c:val>
        </c:ser>
        <c:ser>
          <c:idx val="1"/>
          <c:order val="1"/>
          <c:tx>
            <c:v>2021年</c:v>
          </c:tx>
          <c:spPr>
            <a:solidFill>
              <a:srgbClr val="8064A2"/>
            </a:solidFill>
            <a:ln>
              <a:noFill/>
            </a:ln>
          </c:spPr>
          <c:invertIfNegative val="0"/>
          <c:dLbls>
            <c:spPr>
              <a:noFill/>
              <a:ln>
                <a:noFill/>
              </a:ln>
            </c:spPr>
            <c:txPr>
              <a:bodyPr vert="horz"/>
              <a:lstStyle/>
              <a:p>
                <a:pPr>
                  <a:defRPr sz="900" b="0" i="0" u="none" strike="noStrike" baseline="0">
                    <a:solidFill>
                      <a:srgbClr val="70707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收入</c:v>
              </c:pt>
              <c:pt idx="1">
                <c:v>支出</c:v>
              </c:pt>
            </c:strLit>
          </c:cat>
          <c:val>
            <c:numRef>
              <c:f/>
              <c:numCache>
                <c:formatCode>General</c:formatCode>
                <c:ptCount val="2"/>
                <c:pt idx="0">
                  <c:v>221.59</c:v>
                </c:pt>
                <c:pt idx="1">
                  <c:v>221.59</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F9F9F9"/>
            </a:solidFill>
            <a:prstDash val="solid"/>
          </a:ln>
        </c:spPr>
        <c:txPr>
          <a:bodyPr/>
          <a:lstStyle/>
          <a:p>
            <a:pPr>
              <a:defRPr sz="900" b="0" i="0" u="none" strike="noStrike" baseline="0">
                <a:solidFill>
                  <a:srgbClr val="939393"/>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F9F9F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939393"/>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939393"/>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939393"/>
                </a:solidFill>
                <a:latin typeface="Times New Roman"/>
                <a:ea typeface="宋体"/>
                <a:cs typeface="Lucida Sans"/>
              </a:defRPr>
            </a:pPr>
            <a:r>
              <a:rPr lang="zh-CN"/>
              <a:t>2021年各项收入占总收入的比重（万元）</a:t>
            </a:r>
          </a:p>
        </c:rich>
      </c:tx>
      <c:layout/>
      <c:overlay val="0"/>
      <c:spPr>
        <a:noFill/>
        <a:ln>
          <a:noFill/>
        </a:ln>
      </c:spPr>
    </c:title>
    <c:autoTitleDeleted val="1"/>
    <c:plotArea>
      <c:layout/>
      <c:pieChart>
        <c:varyColors val="1"/>
        <c:ser>
          <c:idx val="0"/>
          <c:order val="0"/>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spPr>
              <a:noFill/>
              <a:ln>
                <a:noFill/>
              </a:ln>
            </c:spPr>
            <c:txPr>
              <a:bodyPr vert="horz"/>
              <a:lstStyle/>
              <a:p>
                <a:pPr>
                  <a:defRPr sz="900" b="0" i="0" u="none" strike="noStrike" baseline="0">
                    <a:solidFill>
                      <a:srgbClr val="70707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4"/>
              <c:pt idx="0">
                <c:v>教育</c:v>
              </c:pt>
              <c:pt idx="1">
                <c:v>社会保障和就业</c:v>
              </c:pt>
              <c:pt idx="2">
                <c:v>卫生健康</c:v>
              </c:pt>
              <c:pt idx="3">
                <c:v>住房保障</c:v>
              </c:pt>
            </c:strLit>
          </c:cat>
          <c:val>
            <c:numRef>
              <c:f/>
              <c:numCache>
                <c:formatCode>General</c:formatCode>
                <c:ptCount val="4"/>
                <c:pt idx="0">
                  <c:v>171.43</c:v>
                </c:pt>
                <c:pt idx="1">
                  <c:v>23.62</c:v>
                </c:pt>
                <c:pt idx="2">
                  <c:v>10.07</c:v>
                </c:pt>
                <c:pt idx="3">
                  <c:v>16.47</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939393"/>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939393"/>
                </a:solidFill>
                <a:latin typeface="Times New Roman"/>
                <a:ea typeface="宋体"/>
                <a:cs typeface="Lucida Sans"/>
              </a:defRPr>
            </a:pPr>
            <a:r>
              <a:rPr lang="zh-CN"/>
              <a:t>2021年各项支出占总支出的比重（万元）</a:t>
            </a:r>
          </a:p>
        </c:rich>
      </c:tx>
      <c:layout/>
      <c:overlay val="0"/>
      <c:spPr>
        <a:noFill/>
        <a:ln>
          <a:noFill/>
        </a:ln>
      </c:spPr>
    </c:title>
    <c:autoTitleDeleted val="1"/>
    <c:plotArea>
      <c:layout/>
      <c:pieChart>
        <c:varyColors val="1"/>
        <c:ser>
          <c:idx val="0"/>
          <c:order val="0"/>
          <c:spPr>
            <a:solidFill>
              <a:srgbClr val="4F81BD"/>
            </a:solidFill>
            <a:ln>
              <a:noFill/>
            </a:ln>
          </c:spPr>
          <c:dPt>
            <c:idx val="0"/>
            <c:bubble3D val="0"/>
            <c:spPr>
              <a:solidFill>
                <a:srgbClr val="F79646"/>
              </a:solidFill>
              <a:ln w="19050">
                <a:solidFill>
                  <a:srgbClr val="FFFFFF"/>
                </a:solidFill>
                <a:prstDash val="solid"/>
              </a:ln>
            </c:spPr>
          </c:dPt>
          <c:dPt>
            <c:idx val="1"/>
            <c:bubble3D val="0"/>
            <c:spPr>
              <a:solidFill>
                <a:srgbClr val="4BACC6"/>
              </a:solidFill>
              <a:ln w="19050">
                <a:solidFill>
                  <a:srgbClr val="FFFFFF"/>
                </a:solidFill>
                <a:prstDash val="solid"/>
              </a:ln>
            </c:spPr>
          </c:dPt>
          <c:dPt>
            <c:idx val="2"/>
            <c:bubble3D val="0"/>
            <c:spPr>
              <a:solidFill>
                <a:srgbClr val="8064A2"/>
              </a:solidFill>
              <a:ln w="19050">
                <a:solidFill>
                  <a:srgbClr val="FFFFFF"/>
                </a:solidFill>
                <a:prstDash val="solid"/>
              </a:ln>
            </c:spPr>
          </c:dPt>
          <c:dPt>
            <c:idx val="3"/>
            <c:bubble3D val="0"/>
            <c:spPr>
              <a:solidFill>
                <a:srgbClr val="6D3405"/>
              </a:solidFill>
              <a:ln w="19050">
                <a:solidFill>
                  <a:srgbClr val="FFFFFF"/>
                </a:solidFill>
                <a:prstDash val="solid"/>
              </a:ln>
            </c:spPr>
          </c:dPt>
          <c:dLbls>
            <c:spPr>
              <a:noFill/>
              <a:ln>
                <a:noFill/>
              </a:ln>
            </c:spPr>
            <c:txPr>
              <a:bodyPr vert="horz"/>
              <a:lstStyle/>
              <a:p>
                <a:pPr>
                  <a:defRPr sz="900" b="0" i="0" u="none" strike="noStrike" baseline="0">
                    <a:solidFill>
                      <a:srgbClr val="70707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4"/>
              <c:pt idx="0">
                <c:v>教育</c:v>
              </c:pt>
              <c:pt idx="1">
                <c:v>社会保障和就业</c:v>
              </c:pt>
              <c:pt idx="2">
                <c:v>卫生健康</c:v>
              </c:pt>
              <c:pt idx="3">
                <c:v>住房保障</c:v>
              </c:pt>
            </c:strLit>
          </c:cat>
          <c:val>
            <c:numRef>
              <c:f/>
              <c:numCache>
                <c:formatCode>General</c:formatCode>
                <c:ptCount val="4"/>
                <c:pt idx="0">
                  <c:v>171.43</c:v>
                </c:pt>
                <c:pt idx="1">
                  <c:v>23.62</c:v>
                </c:pt>
                <c:pt idx="2">
                  <c:v>10.07</c:v>
                </c:pt>
                <c:pt idx="3">
                  <c:v>16.47</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939393"/>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939393"/>
                </a:solidFill>
                <a:latin typeface="Times New Roman"/>
                <a:ea typeface="宋体"/>
                <a:cs typeface="Lucida Sans"/>
              </a:defRPr>
            </a:pPr>
            <a:r>
              <a:rPr lang="zh-CN"/>
              <a:t>2021年支出与上年增长情况对比图（单位：万元）</a:t>
            </a:r>
          </a:p>
        </c:rich>
      </c:tx>
      <c:layout/>
      <c:overlay val="0"/>
      <c:spPr>
        <a:noFill/>
        <a:ln>
          <a:noFill/>
        </a:ln>
      </c:spPr>
    </c:title>
    <c:autoTitleDeleted val="1"/>
    <c:plotArea>
      <c:layout/>
      <c:barChart>
        <c:barDir val="col"/>
        <c:grouping val="clustered"/>
        <c:varyColors val="0"/>
        <c:ser>
          <c:idx val="0"/>
          <c:order val="0"/>
          <c:tx>
            <c:v>2020年</c:v>
          </c:tx>
          <c:spPr>
            <a:solidFill>
              <a:srgbClr val="F79646"/>
            </a:solidFill>
            <a:ln>
              <a:noFill/>
            </a:ln>
          </c:spPr>
          <c:invertIfNegative val="0"/>
          <c:dLbls>
            <c:dLbl>
              <c:idx val="0"/>
              <c:numFmt formatCode="General" sourceLinked="0"/>
              <c:spPr>
                <a:noFill/>
                <a:ln>
                  <a:noFill/>
                </a:ln>
              </c:spPr>
              <c:txPr>
                <a:bodyPr vert="horz"/>
                <a:lstStyle/>
                <a:p>
                  <a:pPr>
                    <a:defRPr sz="1000" b="1" i="0" u="none" strike="noStrike" baseline="0">
                      <a:solidFill>
                        <a:srgbClr val="000000"/>
                      </a:solidFill>
                      <a:latin typeface="Times New Roman"/>
                      <a:ea typeface="宋体"/>
                      <a:cs typeface="Lucida Sans"/>
                    </a:defRPr>
                  </a:pPr>
                  <a:endParaRPr lang="zh-CN"/>
                </a:p>
              </c:txPr>
              <c:dLblPos val="outEnd"/>
              <c:delete val="1"/>
            </c:dLbl>
            <c:dLbl>
              <c:idx val="1"/>
              <c:numFmt formatCode="General" sourceLinked="0"/>
              <c:spPr>
                <a:noFill/>
                <a:ln>
                  <a:noFill/>
                </a:ln>
              </c:spPr>
              <c:txPr>
                <a:bodyPr vert="horz"/>
                <a:lstStyle/>
                <a:p>
                  <a:pPr>
                    <a:defRPr sz="1000" b="1" i="0" u="none" strike="noStrike" baseline="0">
                      <a:solidFill>
                        <a:srgbClr val="000000"/>
                      </a:solidFill>
                      <a:latin typeface="Times New Roman"/>
                      <a:ea typeface="宋体"/>
                      <a:cs typeface="Lucida Sans"/>
                    </a:defRPr>
                  </a:pPr>
                  <a:endParaRPr lang="zh-CN"/>
                </a:p>
              </c:txPr>
              <c:dLblPos val="outEnd"/>
              <c:delete val="1"/>
            </c:dLbl>
            <c:dLbl>
              <c:idx val="2"/>
              <c:numFmt formatCode="General" sourceLinked="0"/>
              <c:spPr>
                <a:noFill/>
                <a:ln>
                  <a:noFill/>
                </a:ln>
              </c:spPr>
              <c:txPr>
                <a:bodyPr vert="horz"/>
                <a:lstStyle/>
                <a:p>
                  <a:pPr>
                    <a:defRPr sz="1000" b="1" i="0" u="none" strike="noStrike" baseline="0">
                      <a:solidFill>
                        <a:srgbClr val="000000"/>
                      </a:solidFill>
                      <a:latin typeface="Times New Roman"/>
                      <a:ea typeface="宋体"/>
                      <a:cs typeface="Lucida Sans"/>
                    </a:defRPr>
                  </a:pPr>
                  <a:endParaRPr lang="zh-CN"/>
                </a:p>
              </c:txPr>
              <c:dLblPos val="outEnd"/>
              <c:delete val="1"/>
            </c:dLbl>
            <c:dLblPos val="outEnd"/>
            <c:showLegendKey val="0"/>
            <c:showVal val="0"/>
            <c:showCatName val="0"/>
            <c:showSerName val="0"/>
            <c:showPercent val="0"/>
            <c:showBubbleSize val="0"/>
            <c:showLeaderLines val="0"/>
          </c:dLbls>
          <c:cat>
            <c:strLit>
              <c:ptCount val="3"/>
              <c:pt idx="0">
                <c:v>日常公用经费</c:v>
              </c:pt>
              <c:pt idx="1">
                <c:v>公务用车运行维护费</c:v>
              </c:pt>
              <c:pt idx="2">
                <c:v>人员经费</c:v>
              </c:pt>
            </c:strLit>
          </c:cat>
          <c:val>
            <c:numRef>
              <c:f/>
              <c:numCache>
                <c:formatCode>General</c:formatCode>
                <c:ptCount val="3"/>
                <c:pt idx="0">
                  <c:v>16.19</c:v>
                </c:pt>
                <c:pt idx="1">
                  <c:v>1.0</c:v>
                </c:pt>
                <c:pt idx="2">
                  <c:v>183.8</c:v>
                </c:pt>
              </c:numCache>
            </c:numRef>
          </c:val>
        </c:ser>
        <c:ser>
          <c:idx val="1"/>
          <c:order val="1"/>
          <c:tx>
            <c:v>2021年</c:v>
          </c:tx>
          <c:spPr>
            <a:solidFill>
              <a:srgbClr val="4BACC6"/>
            </a:solidFill>
            <a:ln>
              <a:noFill/>
            </a:ln>
          </c:spPr>
          <c:invertIfNegative val="0"/>
          <c:dLbls>
            <c:dLbl>
              <c:idx val="0"/>
              <c:numFmt formatCode="General" sourceLinked="0"/>
              <c:spPr>
                <a:noFill/>
                <a:ln>
                  <a:noFill/>
                </a:ln>
              </c:spPr>
              <c:txPr>
                <a:bodyPr vert="horz"/>
                <a:lstStyle/>
                <a:p>
                  <a:pPr>
                    <a:defRPr sz="1000" b="1" i="0" u="none" strike="noStrike" baseline="0">
                      <a:solidFill>
                        <a:srgbClr val="000000"/>
                      </a:solidFill>
                      <a:latin typeface="Times New Roman"/>
                      <a:ea typeface="宋体"/>
                      <a:cs typeface="Lucida Sans"/>
                    </a:defRPr>
                  </a:pPr>
                  <a:endParaRPr lang="zh-CN"/>
                </a:p>
              </c:txPr>
              <c:dLblPos val="outEnd"/>
              <c:delete val="1"/>
            </c:dLbl>
            <c:dLbl>
              <c:idx val="1"/>
              <c:numFmt formatCode="General" sourceLinked="0"/>
              <c:spPr>
                <a:noFill/>
                <a:ln>
                  <a:noFill/>
                </a:ln>
              </c:spPr>
              <c:txPr>
                <a:bodyPr vert="horz"/>
                <a:lstStyle/>
                <a:p>
                  <a:pPr>
                    <a:defRPr sz="1000" b="1" i="0" u="none" strike="noStrike" baseline="0">
                      <a:solidFill>
                        <a:srgbClr val="000000"/>
                      </a:solidFill>
                      <a:latin typeface="Times New Roman"/>
                      <a:ea typeface="宋体"/>
                      <a:cs typeface="Lucida Sans"/>
                    </a:defRPr>
                  </a:pPr>
                  <a:endParaRPr lang="zh-CN"/>
                </a:p>
              </c:txPr>
              <c:dLblPos val="outEnd"/>
              <c:delete val="1"/>
            </c:dLbl>
            <c:dLbl>
              <c:idx val="2"/>
              <c:numFmt formatCode="General" sourceLinked="0"/>
              <c:spPr>
                <a:noFill/>
                <a:ln>
                  <a:noFill/>
                </a:ln>
              </c:spPr>
              <c:txPr>
                <a:bodyPr vert="horz"/>
                <a:lstStyle/>
                <a:p>
                  <a:pPr>
                    <a:defRPr sz="1000" b="1" i="0" u="none" strike="noStrike" baseline="0">
                      <a:solidFill>
                        <a:srgbClr val="707070"/>
                      </a:solidFill>
                      <a:latin typeface="Times New Roman"/>
                      <a:ea typeface="宋体"/>
                      <a:cs typeface="Lucida Sans"/>
                    </a:defRPr>
                  </a:pPr>
                  <a:endParaRPr lang="zh-CN"/>
                </a:p>
              </c:txPr>
              <c:dLblPos val="outEnd"/>
              <c:showLegendKey val="0"/>
              <c:showVal val="1"/>
              <c:showCatName val="0"/>
              <c:showSerName val="0"/>
              <c:showPercent val="0"/>
              <c:showBubbleSize val="0"/>
            </c:dLbl>
            <c:dLblPos val="outEnd"/>
            <c:showLegendKey val="0"/>
            <c:showVal val="0"/>
            <c:showCatName val="0"/>
            <c:showSerName val="0"/>
            <c:showPercent val="0"/>
            <c:showBubbleSize val="0"/>
            <c:showLeaderLines val="0"/>
          </c:dLbls>
          <c:cat>
            <c:strLit>
              <c:ptCount val="3"/>
              <c:pt idx="0">
                <c:v>日常公用经费</c:v>
              </c:pt>
              <c:pt idx="1">
                <c:v>公务用车运行维护费</c:v>
              </c:pt>
              <c:pt idx="2">
                <c:v>人员经费</c:v>
              </c:pt>
            </c:strLit>
          </c:cat>
          <c:val>
            <c:numRef>
              <c:f/>
              <c:numCache>
                <c:formatCode>General</c:formatCode>
                <c:ptCount val="3"/>
                <c:pt idx="0">
                  <c:v>14.53</c:v>
                </c:pt>
                <c:pt idx="1">
                  <c:v>1.0</c:v>
                </c:pt>
                <c:pt idx="2">
                  <c:v>207.6</c:v>
                </c:pt>
              </c:numCache>
            </c:numRef>
          </c:val>
        </c:ser>
        <c:ser>
          <c:idx val="2"/>
          <c:order val="2"/>
          <c:tx>
            <c:v>增加</c:v>
          </c:tx>
          <c:spPr>
            <a:solidFill>
              <a:srgbClr val="8064A2"/>
            </a:solidFill>
            <a:ln>
              <a:noFill/>
            </a:ln>
          </c:spPr>
          <c:invertIfNegative val="0"/>
          <c:dLbls>
            <c:dLbl>
              <c:idx val="0"/>
              <c:numFmt formatCode="General" sourceLinked="0"/>
              <c:spPr>
                <a:noFill/>
                <a:ln>
                  <a:noFill/>
                </a:ln>
              </c:spPr>
              <c:txPr>
                <a:bodyPr vert="horz"/>
                <a:lstStyle/>
                <a:p>
                  <a:pPr>
                    <a:defRPr sz="1000" b="1" i="0" u="none" strike="noStrike" baseline="0">
                      <a:solidFill>
                        <a:srgbClr val="000000"/>
                      </a:solidFill>
                      <a:latin typeface="Times New Roman"/>
                      <a:ea typeface="宋体"/>
                      <a:cs typeface="Lucida Sans"/>
                    </a:defRPr>
                  </a:pPr>
                  <a:endParaRPr lang="zh-CN"/>
                </a:p>
              </c:txPr>
              <c:dLblPos val="outEnd"/>
              <c:delete val="1"/>
            </c:dLbl>
            <c:dLbl>
              <c:idx val="1"/>
              <c:numFmt formatCode="General" sourceLinked="0"/>
              <c:spPr>
                <a:noFill/>
                <a:ln>
                  <a:noFill/>
                </a:ln>
              </c:spPr>
              <c:txPr>
                <a:bodyPr vert="horz"/>
                <a:lstStyle/>
                <a:p>
                  <a:pPr>
                    <a:defRPr sz="1000" b="1" i="0" u="none" strike="noStrike" baseline="0">
                      <a:solidFill>
                        <a:srgbClr val="000000"/>
                      </a:solidFill>
                      <a:latin typeface="Times New Roman"/>
                      <a:ea typeface="宋体"/>
                      <a:cs typeface="Lucida Sans"/>
                    </a:defRPr>
                  </a:pPr>
                  <a:endParaRPr lang="zh-CN"/>
                </a:p>
              </c:txPr>
              <c:dLblPos val="outEnd"/>
              <c:delete val="1"/>
            </c:dLbl>
            <c:dLbl>
              <c:idx val="2"/>
              <c:numFmt formatCode="General" sourceLinked="0"/>
              <c:spPr>
                <a:noFill/>
                <a:ln>
                  <a:noFill/>
                </a:ln>
              </c:spPr>
              <c:txPr>
                <a:bodyPr vert="horz"/>
                <a:lstStyle/>
                <a:p>
                  <a:pPr>
                    <a:defRPr sz="1000" b="1" i="0" u="none" strike="noStrike" baseline="0">
                      <a:solidFill>
                        <a:srgbClr val="000000"/>
                      </a:solidFill>
                      <a:latin typeface="Times New Roman"/>
                      <a:ea typeface="宋体"/>
                      <a:cs typeface="Lucida Sans"/>
                    </a:defRPr>
                  </a:pPr>
                  <a:endParaRPr lang="zh-CN"/>
                </a:p>
              </c:txPr>
              <c:dLblPos val="outEnd"/>
              <c:delete val="1"/>
            </c:dLbl>
            <c:dLblPos val="outEnd"/>
            <c:showLegendKey val="0"/>
            <c:showVal val="0"/>
            <c:showCatName val="0"/>
            <c:showSerName val="0"/>
            <c:showPercent val="0"/>
            <c:showBubbleSize val="0"/>
            <c:showLeaderLines val="0"/>
          </c:dLbls>
          <c:cat>
            <c:strLit>
              <c:ptCount val="3"/>
              <c:pt idx="0">
                <c:v>日常公用经费</c:v>
              </c:pt>
              <c:pt idx="1">
                <c:v>公务用车运行维护费</c:v>
              </c:pt>
              <c:pt idx="2">
                <c:v>人员经费</c:v>
              </c:pt>
            </c:strLit>
          </c:cat>
          <c:val>
            <c:numRef>
              <c:f/>
              <c:numCache>
                <c:formatCode>General</c:formatCode>
                <c:ptCount val="3"/>
                <c:pt idx="0">
                  <c:v>-1.66</c:v>
                </c:pt>
                <c:pt idx="1">
                  <c:v>0.0</c:v>
                </c:pt>
                <c:pt idx="2">
                  <c:v>23.66</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F9F9F9"/>
            </a:solidFill>
            <a:prstDash val="solid"/>
          </a:ln>
        </c:spPr>
        <c:txPr>
          <a:bodyPr/>
          <a:lstStyle/>
          <a:p>
            <a:pPr>
              <a:defRPr sz="1000" b="1" i="0" u="none" strike="noStrike" baseline="0">
                <a:solidFill>
                  <a:srgbClr val="939393"/>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F9F9F9"/>
              </a:solidFill>
              <a:prstDash val="solid"/>
            </a:ln>
          </c:spPr>
        </c:majorGridlines>
        <c:numFmt formatCode="General" sourceLinked="1"/>
        <c:majorTickMark val="none"/>
        <c:minorTickMark val="none"/>
        <c:tickLblPos val="nextTo"/>
        <c:spPr>
          <a:ln>
            <a:noFill/>
          </a:ln>
        </c:spPr>
        <c:txPr>
          <a:bodyPr/>
          <a:lstStyle/>
          <a:p>
            <a:pPr>
              <a:defRPr sz="1000" b="1" i="0" u="none" strike="noStrike" baseline="0">
                <a:solidFill>
                  <a:srgbClr val="939393"/>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1000" b="1" i="0" u="none" strike="noStrike" baseline="0">
              <a:solidFill>
                <a:srgbClr val="939393"/>
              </a:solidFill>
              <a:latin typeface="Times New Roman"/>
              <a:ea typeface="宋体"/>
              <a:cs typeface="Lucida Sans"/>
            </a:defRPr>
          </a:pPr>
          <a:endParaRPr lang="zh-CN"/>
        </a:p>
      </c:txPr>
      <c:legendEntry>
        <c:idx val="0"/>
        <c:txPr>
          <a:bodyPr/>
          <a:lstStyle/>
          <a:p>
            <a:pPr>
              <a:defRPr sz="1000" b="1" i="0" u="none" strike="noStrike" baseline="0">
                <a:solidFill>
                  <a:srgbClr val="939393"/>
                </a:solidFill>
                <a:latin typeface="Times New Roman"/>
                <a:ea typeface="宋体"/>
                <a:cs typeface="Lucida Sans"/>
              </a:defRPr>
            </a:pPr>
            <a:endParaRPr lang="zh-CN"/>
          </a:p>
        </c:txPr>
      </c:legendEntry>
      <c:legendEntry>
        <c:idx val="1"/>
        <c:txPr>
          <a:bodyPr/>
          <a:lstStyle/>
          <a:p>
            <a:pPr>
              <a:defRPr sz="1000" b="1" i="0" u="none" strike="noStrike" baseline="0">
                <a:solidFill>
                  <a:srgbClr val="939393"/>
                </a:solidFill>
                <a:latin typeface="Times New Roman"/>
                <a:ea typeface="宋体"/>
                <a:cs typeface="Lucida Sans"/>
              </a:defRPr>
            </a:pPr>
            <a:endParaRPr lang="zh-CN"/>
          </a:p>
        </c:txPr>
      </c:legendEntry>
      <c:legendEntry>
        <c:idx val="2"/>
        <c:txPr>
          <a:bodyPr/>
          <a:lstStyle/>
          <a:p>
            <a:pPr>
              <a:defRPr sz="1000" b="1" i="0" u="none" strike="noStrike" baseline="0">
                <a:solidFill>
                  <a:srgbClr val="939393"/>
                </a:solidFill>
                <a:latin typeface="Times New Roman"/>
                <a:ea typeface="宋体"/>
                <a:cs typeface="Lucida Sans"/>
              </a:defRPr>
            </a:pPr>
            <a:endParaRPr lang="zh-CN"/>
          </a:p>
        </c:txPr>
      </c:legendEntry>
    </c:legend>
    <c:plotVisOnly val="1"/>
    <c:dispBlanksAs val="gap"/>
    <c:showDLblsOverMax val="0"/>
  </c:chart>
  <c:spPr>
    <a:solidFill>
      <a:srgbClr val="FFFFFF"/>
    </a:solidFill>
    <a:ln w="6350">
      <a:solidFill>
        <a:srgbClr val="F9F9F9"/>
      </a:solidFill>
      <a:prstDash val="solid"/>
    </a:ln>
  </c:spPr>
  <c:txPr>
    <a:bodyPr/>
    <a:lstStyle/>
    <a:p>
      <a:pPr>
        <a:defRPr sz="1000" b="1"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FF0000"/>
                </a:solidFill>
                <a:latin typeface="Times New Roman"/>
                <a:ea typeface="宋体"/>
                <a:cs typeface="Lucida Sans"/>
              </a:defRPr>
            </a:pPr>
            <a:r>
              <a:rPr lang="zh-CN"/>
              <a:t>2020年与2021年年末单位总资产（单位：万元）</a:t>
            </a:r>
          </a:p>
        </c:rich>
      </c:tx>
      <c:layout/>
      <c:overlay val="0"/>
      <c:spPr>
        <a:noFill/>
        <a:ln>
          <a:noFill/>
        </a:ln>
      </c:spPr>
    </c:title>
    <c:autoTitleDeleted val="1"/>
    <c:plotArea>
      <c:layout/>
      <c:barChart>
        <c:barDir val="col"/>
        <c:grouping val="clustered"/>
        <c:varyColors val="0"/>
        <c:ser>
          <c:idx val="0"/>
          <c:order val="0"/>
          <c:tx>
            <c:v>年末单位总资产</c:v>
          </c:tx>
          <c:spPr>
            <a:solidFill>
              <a:srgbClr val="C0504D"/>
            </a:solidFill>
            <a:ln>
              <a:noFill/>
            </a:ln>
          </c:spPr>
          <c:invertIfNegative val="0"/>
          <c:dLbls>
            <c:dLbl>
              <c:idx val="0"/>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
              <c:idx val="1"/>
              <c:numFmt formatCode="General" sourceLinked="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LblPos val="outEnd"/>
              <c:delete val="1"/>
            </c:dLbl>
            <c:dLblPos val="outEnd"/>
            <c:showLegendKey val="0"/>
            <c:showVal val="0"/>
            <c:showCatName val="0"/>
            <c:showSerName val="0"/>
            <c:showPercent val="0"/>
            <c:showBubbleSize val="0"/>
            <c:showLeaderLines val="0"/>
          </c:dLbls>
          <c:cat>
            <c:strLit>
              <c:ptCount val="2"/>
              <c:pt idx="0">
                <c:v>2020年</c:v>
              </c:pt>
              <c:pt idx="1">
                <c:v>2021年</c:v>
              </c:pt>
            </c:strLit>
          </c:cat>
          <c:val>
            <c:numRef>
              <c:f/>
              <c:numCache>
                <c:formatCode>General</c:formatCode>
                <c:ptCount val="2"/>
                <c:pt idx="0">
                  <c:v>413.3</c:v>
                </c:pt>
                <c:pt idx="1">
                  <c:v>413.3</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F9F9F9"/>
            </a:solidFill>
            <a:prstDash val="solid"/>
          </a:ln>
        </c:spPr>
        <c:txPr>
          <a:bodyPr/>
          <a:lstStyle/>
          <a:p>
            <a:pPr>
              <a:defRPr sz="1000" b="0" i="0" u="none" strike="noStrike" baseline="0">
                <a:solidFill>
                  <a:srgbClr val="FF0000"/>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F9F9F9"/>
              </a:solidFill>
              <a:prstDash val="solid"/>
            </a:ln>
          </c:spPr>
        </c:majorGridlines>
        <c:numFmt formatCode="General" sourceLinked="1"/>
        <c:majorTickMark val="none"/>
        <c:minorTickMark val="none"/>
        <c:tickLblPos val="nextTo"/>
        <c:spPr>
          <a:ln>
            <a:noFill/>
          </a:ln>
        </c:spPr>
        <c:txPr>
          <a:bodyPr/>
          <a:lstStyle/>
          <a:p>
            <a:pPr>
              <a:defRPr sz="1000" b="0" i="0" u="none" strike="noStrike" baseline="0">
                <a:solidFill>
                  <a:srgbClr val="FF0000"/>
                </a:solidFill>
                <a:latin typeface="Times New Roman"/>
                <a:ea typeface="宋体"/>
                <a:cs typeface="Lucida Sans"/>
              </a:defRPr>
            </a:pPr>
            <a:endParaRPr lang="zh-CN"/>
          </a:p>
        </c:txPr>
        <c:crossesAt val="1.0"/>
        <c:crossBetween val="between"/>
        <c:crossAx val="0"/>
      </c:valAx>
      <c:spPr>
        <a:noFill/>
        <a:ln>
          <a:noFill/>
        </a:ln>
      </c:spPr>
    </c:plotArea>
    <c:legend>
      <c:legendPos val="r"/>
      <c:layout>
        <c:manualLayout>
          <c:xMode val="edge"/>
          <c:yMode val="edge"/>
          <c:x val="0.78"/>
          <c:y val="0.65960646"/>
        </c:manualLayout>
      </c:layout>
      <c:overlay val="0"/>
      <c:spPr>
        <a:noFill/>
        <a:ln>
          <a:noFill/>
        </a:ln>
      </c:spPr>
      <c:txPr>
        <a:bodyPr/>
        <a:lstStyle/>
        <a:p>
          <a:pPr>
            <a:defRPr sz="1000" b="0" i="0" u="none" strike="noStrike" baseline="0">
              <a:solidFill>
                <a:srgbClr val="939393"/>
              </a:solidFill>
              <a:latin typeface="Times New Roman"/>
              <a:ea typeface="宋体"/>
              <a:cs typeface="Lucida Sans"/>
            </a:defRPr>
          </a:pPr>
          <a:endParaRPr lang="zh-CN"/>
        </a:p>
      </c:txPr>
      <c:legendEntry>
        <c:idx val="0"/>
        <c:txPr>
          <a:bodyPr/>
          <a:lstStyle/>
          <a:p>
            <a:pPr>
              <a:defRPr sz="1000" b="0" i="0" u="none" strike="noStrike" baseline="0">
                <a:solidFill>
                  <a:srgbClr val="939393"/>
                </a:solidFill>
                <a:latin typeface="Times New Roman"/>
                <a:ea typeface="宋体"/>
                <a:cs typeface="Lucida Sans"/>
              </a:defRPr>
            </a:pPr>
            <a:endParaRPr lang="zh-CN"/>
          </a:p>
        </c:txPr>
      </c:legendEntry>
    </c:legend>
    <c:plotVisOnly val="1"/>
    <c:dispBlanksAs val="gap"/>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4</TotalTime>
  <Application>Yozo_Office27021597764231179</Application>
  <Pages>23</Pages>
  <Words>8600</Words>
  <Characters>9354</Characters>
  <Lines>486</Lines>
  <Paragraphs>206</Paragraphs>
  <CharactersWithSpaces>9486</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cp:revision>
  <cp:lastPrinted>2022-09-14T00:57:00Z</cp:lastPrinted>
  <dcterms:created xsi:type="dcterms:W3CDTF">2021-09-18T03:28:00Z</dcterms:created>
  <dcterms:modified xsi:type="dcterms:W3CDTF">2023-09-21T08:30:56Z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2052-10.1.0.6260</vt:lpwstr>
  </property>
  <property fmtid="{D5CDD505-2E9C-101B-9397-08002B2CF9AE}" pid="3" name="ICV">
    <vt:lpwstr>A5C2216A2A754B55AC813F383BC54E59</vt:lpwstr>
  </property>
</Properties>
</file>