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bookmarkEnd w:id="0"/>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77193"/>
      <w:bookmarkStart w:id="3" w:name="_Toc15377425"/>
      <w:bookmarkStart w:id="4" w:name="_Toc15396597"/>
      <w:bookmarkStart w:id="5" w:name="_Toc15396475"/>
      <w:r>
        <w:rPr>
          <w:rFonts w:hint="eastAsia" w:ascii="黑体" w:eastAsia="黑体"/>
          <w:color w:val="000000"/>
          <w:sz w:val="72"/>
          <w:szCs w:val="72"/>
        </w:rPr>
        <w:t>2020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7194"/>
      <w:bookmarkStart w:id="7" w:name="_Toc15378442"/>
      <w:bookmarkStart w:id="8" w:name="_Toc15396476"/>
      <w:bookmarkStart w:id="9" w:name="_Toc15396598"/>
      <w:bookmarkStart w:id="10" w:name="_Toc15377426"/>
      <w:r>
        <w:rPr>
          <w:rFonts w:hint="eastAsia" w:ascii="方正小标宋简体" w:eastAsia="方正小标宋简体"/>
          <w:color w:val="000000"/>
          <w:sz w:val="72"/>
          <w:szCs w:val="72"/>
        </w:rPr>
        <w:t>四川省阿坝州</w:t>
      </w:r>
      <w:bookmarkStart w:id="11" w:name="_Toc15306268"/>
      <w:r>
        <w:rPr>
          <w:rFonts w:hint="eastAsia" w:ascii="方正小标宋简体" w:eastAsia="方正小标宋简体"/>
          <w:color w:val="000000"/>
          <w:sz w:val="72"/>
          <w:szCs w:val="72"/>
        </w:rPr>
        <w:t>中共金川县委党校部门决算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公开时间：2021年8月3日</w:t>
      </w:r>
    </w:p>
    <w:p/>
    <w:p/>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rPr>
          <w:rStyle w:val="17"/>
          <w:rFonts w:hint="eastAsia" w:ascii="仿宋" w:eastAsia="仿宋"/>
          <w:bCs/>
          <w:sz w:val="28"/>
          <w:szCs w:val="28"/>
        </w:rPr>
        <w:t xml:space="preserve"> 十、预算绩效情况说明..................................15</w:t>
      </w:r>
    </w:p>
    <w:p/>
    <w:p>
      <w:pPr>
        <w:pStyle w:val="12"/>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p>
    <w:p>
      <w:pPr>
        <w:pStyle w:val="11"/>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8</w:t>
      </w:r>
    </w:p>
    <w:p>
      <w:pPr>
        <w:pStyle w:val="12"/>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8</w:t>
      </w:r>
    </w:p>
    <w:p>
      <w:pPr>
        <w:pStyle w:val="11"/>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8</w:t>
      </w:r>
    </w:p>
    <w:p>
      <w:pPr>
        <w:pStyle w:val="12"/>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8"/>
          <w:rFonts w:hint="eastAsia" w:ascii="黑体" w:eastAsia="黑体"/>
          <w:b w:val="0"/>
          <w:bCs w:val="0"/>
        </w:rPr>
        <w:t>部门概况</w:t>
      </w:r>
      <w:bookmarkEnd w:id="12"/>
      <w:bookmarkEnd w:id="13"/>
    </w:p>
    <w:p>
      <w:pPr>
        <w:pStyle w:val="4"/>
        <w:spacing w:before="0" w:after="0" w:line="240" w:lineRule="auto"/>
        <w:ind w:left="640" w:hanging="640" w:hangingChars="200"/>
        <w:rPr>
          <w:rStyle w:val="19"/>
          <w:rFonts w:ascii="黑体" w:eastAsia="黑体"/>
          <w:b w:val="0"/>
          <w:bCs w:val="0"/>
        </w:rPr>
      </w:pPr>
      <w:bookmarkStart w:id="14" w:name="_Toc15396600"/>
      <w:bookmarkStart w:id="15" w:name="_Toc15377197"/>
      <w:r>
        <w:rPr>
          <w:rFonts w:hint="eastAsia" w:ascii="黑体" w:eastAsia="黑体"/>
          <w:b w:val="0"/>
          <w:color w:val="000000"/>
        </w:rPr>
        <w:t>一、基</w:t>
      </w:r>
      <w:r>
        <w:rPr>
          <w:rStyle w:val="19"/>
          <w:rFonts w:hint="eastAsia" w:ascii="黑体" w:eastAsia="黑体"/>
          <w:b w:val="0"/>
          <w:bCs w:val="0"/>
        </w:rPr>
        <w:t>本职能及主要工作</w:t>
      </w:r>
      <w:bookmarkEnd w:id="14"/>
      <w:bookmarkEnd w:id="15"/>
      <w:bookmarkStart w:id="16" w:name="_Toc15378445"/>
      <w:bookmarkStart w:id="17" w:name="_Toc15377198"/>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8446"/>
      <w:bookmarkStart w:id="19" w:name="_Toc15377199"/>
    </w:p>
    <w:p>
      <w:pPr>
        <w:ind w:firstLine="584" w:firstLineChars="200"/>
        <w:rPr>
          <w:rFonts w:ascii="仿宋_GB2312" w:hAnsi="仿宋_GB2312" w:eastAsia="仿宋_GB2312" w:cs="仿宋_GB2312"/>
          <w:color w:val="000000"/>
          <w:spacing w:val="-14"/>
          <w:kern w:val="0"/>
          <w:sz w:val="32"/>
          <w:szCs w:val="32"/>
        </w:rPr>
      </w:pPr>
      <w:r>
        <w:rPr>
          <w:rFonts w:hint="eastAsia" w:ascii="仿宋_GB2312" w:hAnsi="仿宋_GB2312" w:eastAsia="仿宋_GB2312" w:cs="仿宋_GB2312"/>
          <w:color w:val="000000"/>
          <w:spacing w:val="-14"/>
          <w:kern w:val="0"/>
          <w:sz w:val="32"/>
          <w:szCs w:val="32"/>
        </w:rPr>
        <w:t>1、培训轮训副乡科级党员领导干部和基层党员干部。培训新任科级干部、党务干部、村(社区)两委干部、入党积极分子、党员等。</w:t>
      </w:r>
    </w:p>
    <w:p>
      <w:pPr>
        <w:ind w:firstLine="584" w:firstLineChars="200"/>
        <w:rPr>
          <w:rFonts w:ascii="仿宋_GB2312" w:hAnsi="仿宋_GB2312" w:eastAsia="仿宋_GB2312" w:cs="仿宋_GB2312"/>
          <w:color w:val="000000"/>
          <w:spacing w:val="-14"/>
          <w:kern w:val="0"/>
          <w:sz w:val="32"/>
          <w:szCs w:val="32"/>
        </w:rPr>
      </w:pPr>
      <w:r>
        <w:rPr>
          <w:rFonts w:hint="eastAsia" w:ascii="仿宋_GB2312" w:hAnsi="仿宋_GB2312" w:eastAsia="仿宋_GB2312" w:cs="仿宋_GB2312"/>
          <w:color w:val="000000"/>
          <w:spacing w:val="-14"/>
          <w:kern w:val="0"/>
          <w:sz w:val="32"/>
          <w:szCs w:val="32"/>
        </w:rPr>
        <w:t>2、马克思列宁主义、毛泽东思想、邓小平理论、“三个代表”重要思想、科学发展观和以习近平新时代中国特色社会主义思想为主要内容的理论培训;立足金川红色文化，建立长征精神教育培训基地，开展以长征精神为主的党性教育培训。</w:t>
      </w:r>
    </w:p>
    <w:p>
      <w:pPr>
        <w:ind w:firstLine="584" w:firstLineChars="200"/>
        <w:rPr>
          <w:rFonts w:ascii="仿宋_GB2312" w:hAnsi="仿宋_GB2312" w:eastAsia="仿宋_GB2312" w:cs="仿宋_GB2312"/>
          <w:color w:val="000000"/>
          <w:spacing w:val="-14"/>
          <w:kern w:val="0"/>
          <w:sz w:val="32"/>
          <w:szCs w:val="32"/>
        </w:rPr>
      </w:pPr>
      <w:r>
        <w:rPr>
          <w:rFonts w:hint="eastAsia" w:ascii="仿宋_GB2312" w:hAnsi="仿宋_GB2312" w:eastAsia="仿宋_GB2312" w:cs="仿宋_GB2312"/>
          <w:color w:val="000000"/>
          <w:spacing w:val="-14"/>
          <w:kern w:val="0"/>
          <w:sz w:val="32"/>
          <w:szCs w:val="32"/>
        </w:rPr>
        <w:t>3、开展党的建设、意识形态、依法行政、社会管理、公共服务、民族宗教等方面的理论实践问题研究，承担党委和政府的决策咨询服务。</w:t>
      </w:r>
    </w:p>
    <w:p>
      <w:pPr>
        <w:ind w:firstLine="584" w:firstLineChars="200"/>
        <w:rPr>
          <w:rFonts w:ascii="仿宋_GB2312" w:hAnsi="仿宋_GB2312" w:eastAsia="仿宋_GB2312" w:cs="仿宋_GB2312"/>
          <w:color w:val="000000"/>
          <w:spacing w:val="-14"/>
          <w:kern w:val="0"/>
          <w:sz w:val="32"/>
          <w:szCs w:val="32"/>
        </w:rPr>
      </w:pPr>
      <w:r>
        <w:rPr>
          <w:rFonts w:hint="eastAsia" w:ascii="仿宋_GB2312" w:hAnsi="仿宋_GB2312" w:eastAsia="仿宋_GB2312" w:cs="仿宋_GB2312"/>
          <w:color w:val="000000"/>
          <w:spacing w:val="-14"/>
          <w:kern w:val="0"/>
          <w:sz w:val="32"/>
          <w:szCs w:val="32"/>
        </w:rPr>
        <w:t>4、承担县委县政府下达的教学科研任务，推进理论创新。</w:t>
      </w:r>
    </w:p>
    <w:p>
      <w:pPr>
        <w:ind w:firstLine="584" w:firstLineChars="200"/>
        <w:rPr>
          <w:rFonts w:ascii="仿宋_GB2312" w:hAnsi="仿宋_GB2312" w:eastAsia="仿宋_GB2312" w:cs="仿宋_GB2312"/>
          <w:color w:val="000000"/>
          <w:spacing w:val="-14"/>
          <w:kern w:val="0"/>
          <w:sz w:val="32"/>
          <w:szCs w:val="32"/>
        </w:rPr>
      </w:pPr>
      <w:r>
        <w:rPr>
          <w:rFonts w:hint="eastAsia" w:ascii="仿宋_GB2312" w:hAnsi="仿宋_GB2312" w:eastAsia="仿宋_GB2312" w:cs="仿宋_GB2312"/>
          <w:color w:val="000000"/>
          <w:spacing w:val="-14"/>
          <w:kern w:val="0"/>
          <w:sz w:val="32"/>
          <w:szCs w:val="32"/>
        </w:rPr>
        <w:t>5、县委县政府举办的专题研论班，配合其他部门举办各类培训班。</w:t>
      </w:r>
    </w:p>
    <w:p>
      <w:pPr>
        <w:ind w:firstLine="584" w:firstLineChars="200"/>
        <w:rPr>
          <w:rFonts w:ascii="仿宋_GB2312" w:hAnsi="仿宋_GB2312" w:eastAsia="仿宋_GB2312" w:cs="仿宋_GB2312"/>
          <w:color w:val="000000"/>
          <w:spacing w:val="-14"/>
          <w:kern w:val="0"/>
          <w:sz w:val="32"/>
          <w:szCs w:val="32"/>
        </w:rPr>
      </w:pPr>
      <w:r>
        <w:rPr>
          <w:rFonts w:hint="eastAsia" w:ascii="仿宋_GB2312" w:hAnsi="仿宋_GB2312" w:eastAsia="仿宋_GB2312" w:cs="仿宋_GB2312"/>
          <w:color w:val="000000"/>
          <w:spacing w:val="-14"/>
          <w:kern w:val="0"/>
          <w:sz w:val="32"/>
          <w:szCs w:val="32"/>
        </w:rPr>
        <w:t>6、开展习近平新时代中国特色社会主义思想的理论研究和宣传，开展党的路线、方针、政策的宣传。</w:t>
      </w:r>
    </w:p>
    <w:p>
      <w:pPr>
        <w:ind w:firstLine="584" w:firstLineChars="200"/>
        <w:rPr>
          <w:rFonts w:ascii="仿宋_GB2312" w:hAnsi="仿宋_GB2312" w:eastAsia="仿宋_GB2312" w:cs="仿宋_GB2312"/>
          <w:color w:val="000000"/>
          <w:spacing w:val="-14"/>
          <w:kern w:val="0"/>
          <w:sz w:val="32"/>
          <w:szCs w:val="32"/>
        </w:rPr>
      </w:pPr>
      <w:r>
        <w:rPr>
          <w:rFonts w:hint="eastAsia" w:ascii="仿宋_GB2312" w:hAnsi="仿宋_GB2312" w:eastAsia="仿宋_GB2312" w:cs="仿宋_GB2312"/>
          <w:color w:val="000000"/>
          <w:spacing w:val="-14"/>
          <w:kern w:val="0"/>
          <w:sz w:val="32"/>
          <w:szCs w:val="32"/>
        </w:rPr>
        <w:t>7、完成县委，县政府交办的其他工作任务。</w:t>
      </w:r>
    </w:p>
    <w:p>
      <w:pPr>
        <w:pStyle w:val="4"/>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spacing w:line="560" w:lineRule="exact"/>
        <w:ind w:firstLine="640" w:firstLineChars="200"/>
        <w:jc w:val="left"/>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1、培训工作</w:t>
      </w:r>
    </w:p>
    <w:p>
      <w:pPr>
        <w:spacing w:line="560" w:lineRule="exact"/>
        <w:ind w:firstLine="640" w:firstLineChars="200"/>
        <w:jc w:val="left"/>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2020年来，我校围绕县委县政府中心工作，主动作为，扎实开展培训工作。一年来，县委党校注重锤炼党员干部的信念，依托现场教学基地-红军长征在金川纪念馆，举办33期，来自省、州、县机关单位、乡镇、企业，共60多个单位、800余人次。聚焦着力解决基层一线干部的知识弱项、能力短板问题，围绕打好“三大攻坚战”、推进乡村振兴、法律法规等方面，采取课堂讲授、现场教学、异地教学等方式，全年举办 </w:t>
      </w:r>
      <w:r>
        <w:rPr>
          <w:rFonts w:ascii="方正仿宋_GB2312" w:hAnsi="方正仿宋_GB2312" w:eastAsia="方正仿宋_GB2312" w:cs="方正仿宋_GB2312"/>
          <w:sz w:val="32"/>
          <w:szCs w:val="32"/>
        </w:rPr>
        <w:t xml:space="preserve">8 </w:t>
      </w:r>
      <w:r>
        <w:rPr>
          <w:rFonts w:hint="eastAsia" w:ascii="方正仿宋_GB2312" w:hAnsi="方正仿宋_GB2312" w:eastAsia="方正仿宋_GB2312" w:cs="方正仿宋_GB2312"/>
          <w:sz w:val="32"/>
          <w:szCs w:val="32"/>
        </w:rPr>
        <w:t>期主体班培训，共计500人次，提升了我县干部队伍专业化能力水平，较好推动了县委重大决策部署的贯彻落实。东西党校加强交流，7月，浙江省诸暨市市委党校派两名教师支教。支教期间，县委党校举办8期流动党校，围绕乡村振兴、全国两会精神、十九届四中全会精神派两位老师进机关进企业进乡村，共16场次，共计700人次； 县委党校是干部培训的主阵地，也是意识形态工作的最前沿。按照上级部门要求，围绕全国两会、党的十九届五中全会、中央第七次西藏工作座谈会精神、省委十一届七次、州委十一届八次、九次全会、县委十二届九次全会，积极配合州委宣讲团和县委宣传部工作。一年来，我校老师已经被抽调2次，</w:t>
      </w:r>
      <w:r>
        <w:rPr>
          <w:rFonts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rPr>
        <w:t>人到州委宣讲团，分派至汶川、茂县、黑水、松潘、卧龙管理局宣讲，派县委党校教研室教师进社区进机关进联系村进乡镇进行宣讲，共18场次、1200余人。</w:t>
      </w:r>
    </w:p>
    <w:p>
      <w:pPr>
        <w:spacing w:line="560" w:lineRule="exact"/>
        <w:ind w:firstLine="640" w:firstLineChars="200"/>
        <w:jc w:val="left"/>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2、县级党校分类建设工作</w:t>
      </w:r>
    </w:p>
    <w:p>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县委党校以“功成不必在我”的精神境界和“功成必定有我”的责任担当，聚焦县级党校分类改革建设，聚焦新建党校，聚焦基础设施改善，实现“九有”，争取从统筹类办学向独立办学方向转变。一是县级党校分类建设。启动分类改革以来，我校把推动县级党校分类建设作为重点工作，赓即成立领导小组，召开县级党校分类建设专题会议，制定《金川县关于县级党校分类建设计划实施方案》，定期开展自查并上报，按照现有办学条件，金川县委党校被定为统筹类办学。二是新建党校。立足于金川丰富红色资源，打造“红色文化教育基地”品牌，积极向省州县争取项目，把新建党校纳入“十四五”规划，现项目已报省发改局，争取完善基础设施，向独立办学的方向努力。三是人才需求保障。借助县级党校分类建设改革机遇，积极争取增加事业编制2名。县委党校为了提升教师理论水平和教学技能，加大对中青年教师的培养力度，争取青年教师外出培训学习机会，年内选派教师</w:t>
      </w:r>
      <w:r>
        <w:rPr>
          <w:rFonts w:ascii="方正仿宋_GB2312" w:hAnsi="方正仿宋_GB2312" w:eastAsia="方正仿宋_GB2312" w:cs="方正仿宋_GB2312"/>
          <w:sz w:val="32"/>
          <w:szCs w:val="32"/>
        </w:rPr>
        <w:t>7</w:t>
      </w:r>
      <w:r>
        <w:rPr>
          <w:rFonts w:hint="eastAsia" w:ascii="方正仿宋_GB2312" w:hAnsi="方正仿宋_GB2312" w:eastAsia="方正仿宋_GB2312" w:cs="方正仿宋_GB2312"/>
          <w:sz w:val="32"/>
          <w:szCs w:val="32"/>
        </w:rPr>
        <w:t>人，其中参加省委党校</w:t>
      </w:r>
      <w:r>
        <w:rPr>
          <w:rFonts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rPr>
        <w:t>人、绍兴市委党校</w:t>
      </w:r>
      <w:r>
        <w:rPr>
          <w:rFonts w:ascii="方正仿宋_GB2312" w:hAnsi="方正仿宋_GB2312" w:eastAsia="方正仿宋_GB2312" w:cs="方正仿宋_GB2312"/>
          <w:sz w:val="32"/>
          <w:szCs w:val="32"/>
        </w:rPr>
        <w:t>2</w:t>
      </w:r>
      <w:r>
        <w:rPr>
          <w:rFonts w:hint="eastAsia" w:ascii="方正仿宋_GB2312" w:hAnsi="方正仿宋_GB2312" w:eastAsia="方正仿宋_GB2312" w:cs="方正仿宋_GB2312"/>
          <w:sz w:val="32"/>
          <w:szCs w:val="32"/>
        </w:rPr>
        <w:t>人、州委党校师资培训</w:t>
      </w:r>
      <w:r>
        <w:rPr>
          <w:rFonts w:ascii="方正仿宋_GB2312" w:hAnsi="方正仿宋_GB2312" w:eastAsia="方正仿宋_GB2312" w:cs="方正仿宋_GB2312"/>
          <w:sz w:val="32"/>
          <w:szCs w:val="32"/>
        </w:rPr>
        <w:t>2</w:t>
      </w:r>
      <w:r>
        <w:rPr>
          <w:rFonts w:hint="eastAsia" w:ascii="方正仿宋_GB2312" w:hAnsi="方正仿宋_GB2312" w:eastAsia="方正仿宋_GB2312" w:cs="方正仿宋_GB2312"/>
          <w:sz w:val="32"/>
          <w:szCs w:val="32"/>
        </w:rPr>
        <w:t>人。</w:t>
      </w:r>
    </w:p>
    <w:p>
      <w:pPr>
        <w:spacing w:line="600" w:lineRule="exact"/>
        <w:ind w:firstLine="642" w:firstLineChars="200"/>
        <w:rPr>
          <w:rFonts w:ascii="楷体_GB2312" w:eastAsia="楷体_GB2312"/>
          <w:b/>
          <w:kern w:val="0"/>
          <w:sz w:val="32"/>
          <w:szCs w:val="32"/>
        </w:rPr>
      </w:pPr>
      <w:r>
        <w:rPr>
          <w:rFonts w:hint="eastAsia" w:ascii="楷体_GB2312" w:eastAsia="楷体_GB2312"/>
          <w:b/>
          <w:kern w:val="0"/>
          <w:sz w:val="32"/>
          <w:szCs w:val="32"/>
        </w:rPr>
        <w:t>（二）其他工作</w:t>
      </w:r>
    </w:p>
    <w:p>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1、扎实开展“两联一进”工作。2020</w:t>
      </w:r>
      <w:r>
        <w:rPr>
          <w:rFonts w:hint="eastAsia" w:ascii="方正仿宋_GB2312" w:hAnsi="方正仿宋_GB2312" w:eastAsia="方正仿宋_GB2312" w:cs="方正仿宋_GB2312"/>
          <w:sz w:val="32"/>
          <w:szCs w:val="32"/>
          <w:lang w:val="zh-CN"/>
        </w:rPr>
        <w:t>年是我县“脱贫攻坚“工作最重要的一年，按照县委县政府工作部署,我校认真开展“两联一进”“脱贫攻坚、“两不愁、三保障”、“回头看、回头帮”“</w:t>
      </w:r>
      <w:r>
        <w:rPr>
          <w:rFonts w:hint="eastAsia" w:ascii="方正仿宋_GB2312" w:hAnsi="方正仿宋_GB2312" w:eastAsia="方正仿宋_GB2312" w:cs="方正仿宋_GB2312"/>
          <w:sz w:val="32"/>
          <w:szCs w:val="32"/>
        </w:rPr>
        <w:t>脱贫攻坚全国普查</w:t>
      </w:r>
      <w:r>
        <w:rPr>
          <w:rFonts w:hint="eastAsia" w:ascii="方正仿宋_GB2312" w:hAnsi="方正仿宋_GB2312" w:eastAsia="方正仿宋_GB2312" w:cs="方正仿宋_GB2312"/>
          <w:sz w:val="32"/>
          <w:szCs w:val="32"/>
          <w:lang w:val="zh-CN"/>
        </w:rPr>
        <w:t>”工作。认真</w:t>
      </w:r>
      <w:r>
        <w:rPr>
          <w:rFonts w:hint="eastAsia" w:ascii="方正仿宋_GB2312" w:hAnsi="方正仿宋_GB2312" w:eastAsia="方正仿宋_GB2312" w:cs="方正仿宋_GB2312"/>
          <w:sz w:val="32"/>
          <w:szCs w:val="32"/>
        </w:rPr>
        <w:t>开展我校对勒乌镇角木牛村脱贫攻坚帮扶工作，以全面脱贫奔康为主要任务，不断推进“六个一”“回头帮”工作。单位职工联系</w:t>
      </w:r>
      <w:r>
        <w:rPr>
          <w:rFonts w:ascii="方正仿宋_GB2312" w:hAnsi="方正仿宋_GB2312" w:eastAsia="方正仿宋_GB2312" w:cs="方正仿宋_GB2312"/>
          <w:sz w:val="32"/>
          <w:szCs w:val="32"/>
        </w:rPr>
        <w:t>14</w:t>
      </w:r>
      <w:r>
        <w:rPr>
          <w:rFonts w:hint="eastAsia" w:ascii="方正仿宋_GB2312" w:hAnsi="方正仿宋_GB2312" w:eastAsia="方正仿宋_GB2312" w:cs="方正仿宋_GB2312"/>
          <w:sz w:val="32"/>
          <w:szCs w:val="32"/>
        </w:rPr>
        <w:t>户贫困户，</w:t>
      </w:r>
      <w:r>
        <w:rPr>
          <w:rFonts w:ascii="方正仿宋_GB2312" w:hAnsi="方正仿宋_GB2312" w:eastAsia="方正仿宋_GB2312" w:cs="方正仿宋_GB2312"/>
          <w:sz w:val="32"/>
          <w:szCs w:val="32"/>
        </w:rPr>
        <w:t>53</w:t>
      </w:r>
      <w:r>
        <w:rPr>
          <w:rFonts w:hint="eastAsia" w:ascii="方正仿宋_GB2312" w:hAnsi="方正仿宋_GB2312" w:eastAsia="方正仿宋_GB2312" w:cs="方正仿宋_GB2312"/>
          <w:sz w:val="32"/>
          <w:szCs w:val="32"/>
        </w:rPr>
        <w:t>户非贫困户，社区居民</w:t>
      </w:r>
      <w:r>
        <w:rPr>
          <w:rFonts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rPr>
        <w:t>人。每月县委党校全体教职工都到联系村入户3次以上，宣传党的方针政策、惠民政策、法律法规、疫情防控知识、脱贫攻坚政策、森林防火、安全生产、环境整治等，开展春节慰问；七一等重大节日共建活动。班子成员到村调研</w:t>
      </w:r>
      <w:r>
        <w:rPr>
          <w:rFonts w:ascii="方正仿宋_GB2312" w:hAnsi="方正仿宋_GB2312" w:eastAsia="方正仿宋_GB2312" w:cs="方正仿宋_GB2312"/>
          <w:sz w:val="32"/>
          <w:szCs w:val="32"/>
        </w:rPr>
        <w:t>6</w:t>
      </w:r>
      <w:r>
        <w:rPr>
          <w:rFonts w:hint="eastAsia" w:ascii="方正仿宋_GB2312" w:hAnsi="方正仿宋_GB2312" w:eastAsia="方正仿宋_GB2312" w:cs="方正仿宋_GB2312"/>
          <w:sz w:val="32"/>
          <w:szCs w:val="32"/>
        </w:rPr>
        <w:t>次以上，全年到村举办农民夜校</w:t>
      </w:r>
      <w:r>
        <w:rPr>
          <w:rFonts w:ascii="方正仿宋_GB2312" w:hAnsi="方正仿宋_GB2312" w:eastAsia="方正仿宋_GB2312" w:cs="方正仿宋_GB2312"/>
          <w:sz w:val="32"/>
          <w:szCs w:val="32"/>
        </w:rPr>
        <w:t>6</w:t>
      </w:r>
      <w:r>
        <w:rPr>
          <w:rFonts w:hint="eastAsia" w:ascii="方正仿宋_GB2312" w:hAnsi="方正仿宋_GB2312" w:eastAsia="方正仿宋_GB2312" w:cs="方正仿宋_GB2312"/>
          <w:sz w:val="32"/>
          <w:szCs w:val="32"/>
        </w:rPr>
        <w:t>次以上。全年举办专题会议</w:t>
      </w:r>
      <w:r>
        <w:rPr>
          <w:rFonts w:ascii="方正仿宋_GB2312" w:hAnsi="方正仿宋_GB2312" w:eastAsia="方正仿宋_GB2312" w:cs="方正仿宋_GB2312"/>
          <w:sz w:val="32"/>
          <w:szCs w:val="32"/>
        </w:rPr>
        <w:t>6</w:t>
      </w:r>
      <w:r>
        <w:rPr>
          <w:rFonts w:hint="eastAsia" w:ascii="方正仿宋_GB2312" w:hAnsi="方正仿宋_GB2312" w:eastAsia="方正仿宋_GB2312" w:cs="方正仿宋_GB2312"/>
          <w:sz w:val="32"/>
          <w:szCs w:val="32"/>
        </w:rPr>
        <w:t>次以上，联席会议</w:t>
      </w:r>
      <w:r>
        <w:rPr>
          <w:rFonts w:ascii="方正仿宋_GB2312" w:hAnsi="方正仿宋_GB2312" w:eastAsia="方正仿宋_GB2312" w:cs="方正仿宋_GB2312"/>
          <w:sz w:val="32"/>
          <w:szCs w:val="32"/>
        </w:rPr>
        <w:t>4</w:t>
      </w:r>
      <w:r>
        <w:rPr>
          <w:rFonts w:hint="eastAsia" w:ascii="方正仿宋_GB2312" w:hAnsi="方正仿宋_GB2312" w:eastAsia="方正仿宋_GB2312" w:cs="方正仿宋_GB2312"/>
          <w:sz w:val="32"/>
          <w:szCs w:val="32"/>
        </w:rPr>
        <w:t>次以上。班子成员联系</w:t>
      </w:r>
      <w:r>
        <w:rPr>
          <w:rFonts w:ascii="方正仿宋_GB2312" w:hAnsi="方正仿宋_GB2312" w:eastAsia="方正仿宋_GB2312" w:cs="方正仿宋_GB2312"/>
          <w:sz w:val="32"/>
          <w:szCs w:val="32"/>
        </w:rPr>
        <w:t>2</w:t>
      </w:r>
      <w:r>
        <w:rPr>
          <w:rFonts w:hint="eastAsia" w:ascii="方正仿宋_GB2312" w:hAnsi="方正仿宋_GB2312" w:eastAsia="方正仿宋_GB2312" w:cs="方正仿宋_GB2312"/>
          <w:sz w:val="32"/>
          <w:szCs w:val="32"/>
        </w:rPr>
        <w:t>名僧人，全年入户，微信，电话走访</w:t>
      </w:r>
      <w:r>
        <w:rPr>
          <w:rFonts w:ascii="方正仿宋_GB2312" w:hAnsi="方正仿宋_GB2312" w:eastAsia="方正仿宋_GB2312" w:cs="方正仿宋_GB2312"/>
          <w:sz w:val="32"/>
          <w:szCs w:val="32"/>
        </w:rPr>
        <w:t>10</w:t>
      </w:r>
      <w:r>
        <w:rPr>
          <w:rFonts w:hint="eastAsia" w:ascii="方正仿宋_GB2312" w:hAnsi="方正仿宋_GB2312" w:eastAsia="方正仿宋_GB2312" w:cs="方正仿宋_GB2312"/>
          <w:sz w:val="32"/>
          <w:szCs w:val="32"/>
        </w:rPr>
        <w:t>次以上，了解生活状况，了解诉求，随时掌握动向。宣传党的方针政策、爱国爱教、法律法规、疫情知识等。给联系户送去慰问品，衣服，生活用品。</w:t>
      </w:r>
    </w:p>
    <w:p>
      <w:pPr>
        <w:spacing w:line="600" w:lineRule="exact"/>
        <w:ind w:firstLine="640" w:firstLineChars="200"/>
        <w:rPr>
          <w:rFonts w:ascii="方正仿宋_GB2312" w:hAnsi="方正仿宋_GB2312" w:eastAsia="方正仿宋_GB2312" w:cs="方正仿宋_GB2312"/>
          <w:sz w:val="32"/>
          <w:szCs w:val="32"/>
          <w:lang w:val="zh-CN"/>
        </w:rPr>
      </w:pPr>
      <w:r>
        <w:rPr>
          <w:rFonts w:hint="eastAsia" w:ascii="方正仿宋_GB2312" w:hAnsi="方正仿宋_GB2312" w:eastAsia="方正仿宋_GB2312" w:cs="方正仿宋_GB2312"/>
          <w:sz w:val="32"/>
          <w:szCs w:val="32"/>
        </w:rPr>
        <w:t>2、党建、党风廉政建设取得实效。</w:t>
      </w:r>
      <w:r>
        <w:rPr>
          <w:rFonts w:hint="eastAsia" w:ascii="方正仿宋_GB2312" w:hAnsi="方正仿宋_GB2312" w:eastAsia="方正仿宋_GB2312" w:cs="方正仿宋_GB2312"/>
          <w:sz w:val="32"/>
          <w:szCs w:val="32"/>
          <w:lang w:val="zh-CN"/>
        </w:rPr>
        <w:t>一年来，我校党支部十分重视党建、党风廉政建设工作，将其作为年度重点工作纳入重要议事日程。一是领导班子坚持以</w:t>
      </w:r>
      <w:bookmarkStart w:id="74" w:name="_GoBack"/>
      <w:bookmarkEnd w:id="74"/>
      <w:r>
        <w:rPr>
          <w:rFonts w:hint="eastAsia" w:ascii="方正仿宋_GB2312" w:hAnsi="方正仿宋_GB2312" w:eastAsia="方正仿宋_GB2312" w:cs="方正仿宋_GB2312"/>
          <w:sz w:val="32"/>
          <w:szCs w:val="32"/>
          <w:lang w:val="zh-CN"/>
        </w:rPr>
        <w:t>党的十九大、十九届一中、二中、三中、四中、</w:t>
      </w:r>
      <w:r>
        <w:rPr>
          <w:rFonts w:hint="eastAsia" w:ascii="方正仿宋_GB2312" w:hAnsi="方正仿宋_GB2312" w:eastAsia="方正仿宋_GB2312" w:cs="方正仿宋_GB2312"/>
          <w:sz w:val="32"/>
          <w:szCs w:val="32"/>
        </w:rPr>
        <w:t>五中</w:t>
      </w:r>
      <w:r>
        <w:rPr>
          <w:rFonts w:hint="eastAsia" w:ascii="方正仿宋_GB2312" w:hAnsi="方正仿宋_GB2312" w:eastAsia="方正仿宋_GB2312" w:cs="方正仿宋_GB2312"/>
          <w:sz w:val="32"/>
          <w:szCs w:val="32"/>
          <w:lang w:val="zh-CN"/>
        </w:rPr>
        <w:t>全会精神为指导，认真落实抓党建，切实落实“一岗双责”工作机制，不断加强基层党组织堡垒战斗力。加强队伍建设，提升作风效能，不断增强党支部的凝心聚力作用。</w:t>
      </w:r>
      <w:r>
        <w:rPr>
          <w:rFonts w:hint="eastAsia" w:ascii="方正仿宋_GB2312" w:hAnsi="方正仿宋_GB2312" w:eastAsia="方正仿宋_GB2312" w:cs="方正仿宋_GB2312"/>
          <w:sz w:val="32"/>
          <w:szCs w:val="32"/>
        </w:rPr>
        <w:t>严格按照党的组织生活，坚持“三会一课”、民主生活会、民主集中制等党内生活制度，</w:t>
      </w:r>
      <w:r>
        <w:rPr>
          <w:rFonts w:hint="eastAsia" w:ascii="方正仿宋_GB2312" w:hAnsi="方正仿宋_GB2312" w:eastAsia="方正仿宋_GB2312" w:cs="方正仿宋_GB2312"/>
          <w:sz w:val="32"/>
          <w:szCs w:val="32"/>
          <w:lang w:val="zh-CN"/>
        </w:rPr>
        <w:t>扎实推进“三分类三升级”工作，不断提升党建工作上新台阶；二是紧密结合校情实际，以强化党风廉政建设责任制为抓手，以落实党风廉政惩防体系建设为出发点，</w:t>
      </w:r>
      <w:r>
        <w:rPr>
          <w:rFonts w:hint="eastAsia" w:ascii="方正仿宋_GB2312" w:hAnsi="方正仿宋_GB2312" w:eastAsia="方正仿宋_GB2312" w:cs="方正仿宋_GB2312"/>
          <w:sz w:val="32"/>
          <w:szCs w:val="32"/>
        </w:rPr>
        <w:t>严格执行廉洁自律的各项规定，切实加强作风建设，扎实推进“三大行动”。</w:t>
      </w:r>
    </w:p>
    <w:p>
      <w:pPr>
        <w:spacing w:line="600" w:lineRule="exact"/>
        <w:ind w:firstLine="640" w:firstLineChars="200"/>
        <w:rPr>
          <w:rFonts w:ascii="楷体" w:eastAsia="楷体" w:cs="楷体"/>
          <w:bCs/>
          <w:color w:val="000000"/>
          <w:sz w:val="32"/>
          <w:szCs w:val="32"/>
        </w:rPr>
      </w:pPr>
      <w:r>
        <w:rPr>
          <w:rFonts w:hint="eastAsia" w:ascii="方正仿宋_GB2312" w:hAnsi="方正仿宋_GB2312" w:eastAsia="方正仿宋_GB2312" w:cs="方正仿宋_GB2312"/>
          <w:sz w:val="32"/>
          <w:szCs w:val="32"/>
        </w:rPr>
        <w:t>3、全力推进疫情防控工作。自疫情发生以来</w:t>
      </w:r>
      <w:r>
        <w:rPr>
          <w:rFonts w:hint="eastAsia" w:ascii="方正仿宋_GB2312" w:hAnsi="方正仿宋_GB2312" w:eastAsia="方正仿宋_GB2312" w:cs="方正仿宋_GB2312"/>
          <w:sz w:val="32"/>
          <w:szCs w:val="32"/>
          <w:lang w:val="zh-CN"/>
        </w:rPr>
        <w:t>，县委党校</w:t>
      </w:r>
      <w:r>
        <w:rPr>
          <w:rFonts w:hint="eastAsia" w:ascii="方正仿宋_GB2312" w:hAnsi="方正仿宋_GB2312" w:eastAsia="方正仿宋_GB2312" w:cs="方正仿宋_GB2312"/>
          <w:sz w:val="32"/>
          <w:szCs w:val="32"/>
        </w:rPr>
        <w:t>高度重视疫情防控工作</w:t>
      </w:r>
      <w:r>
        <w:rPr>
          <w:rFonts w:hint="eastAsia" w:ascii="方正仿宋_GB2312" w:hAnsi="方正仿宋_GB2312" w:eastAsia="方正仿宋_GB2312" w:cs="方正仿宋_GB2312"/>
          <w:sz w:val="32"/>
          <w:szCs w:val="32"/>
          <w:lang w:val="zh-CN"/>
        </w:rPr>
        <w:t>，</w:t>
      </w:r>
      <w:r>
        <w:rPr>
          <w:rFonts w:hint="eastAsia" w:ascii="方正仿宋_GB2312" w:hAnsi="方正仿宋_GB2312" w:eastAsia="方正仿宋_GB2312" w:cs="方正仿宋_GB2312"/>
          <w:sz w:val="32"/>
          <w:szCs w:val="32"/>
        </w:rPr>
        <w:t>成立领导小组，制定《</w:t>
      </w:r>
      <w:r>
        <w:rPr>
          <w:rFonts w:ascii="方正仿宋_GB2312" w:hAnsi="方正仿宋_GB2312" w:eastAsia="方正仿宋_GB2312" w:cs="方正仿宋_GB2312"/>
          <w:sz w:val="32"/>
          <w:szCs w:val="32"/>
        </w:rPr>
        <w:t>疫情防控工作应急预案</w:t>
      </w:r>
      <w:r>
        <w:rPr>
          <w:rFonts w:hint="eastAsia" w:ascii="方正仿宋_GB2312" w:hAnsi="方正仿宋_GB2312" w:eastAsia="方正仿宋_GB2312" w:cs="方正仿宋_GB2312"/>
          <w:sz w:val="32"/>
          <w:szCs w:val="32"/>
        </w:rPr>
        <w:t>》，购买防控消毒物资，做好校园消毒和卫生，宣传学习防控知识，党员职工发挥堡垒作用捐款2000元于武汉重灾区，</w:t>
      </w:r>
      <w:r>
        <w:rPr>
          <w:rFonts w:hint="eastAsia" w:ascii="方正仿宋_GB2312" w:hAnsi="方正仿宋_GB2312" w:eastAsia="方正仿宋_GB2312" w:cs="方正仿宋_GB2312"/>
          <w:sz w:val="32"/>
          <w:szCs w:val="32"/>
          <w:lang w:eastAsia="zh-CN"/>
        </w:rPr>
        <w:t>常态化地做好</w:t>
      </w:r>
      <w:r>
        <w:rPr>
          <w:rFonts w:hint="eastAsia" w:ascii="方正仿宋_GB2312" w:hAnsi="方正仿宋_GB2312" w:eastAsia="方正仿宋_GB2312" w:cs="方正仿宋_GB2312"/>
          <w:sz w:val="32"/>
          <w:szCs w:val="32"/>
        </w:rPr>
        <w:t>疫情防控工作。</w:t>
      </w:r>
    </w:p>
    <w:p>
      <w:pPr>
        <w:spacing w:line="578" w:lineRule="exact"/>
        <w:ind w:firstLine="640" w:firstLineChars="200"/>
        <w:rPr>
          <w:rStyle w:val="19"/>
          <w:b w:val="0"/>
          <w:bCs w:val="0"/>
        </w:rPr>
      </w:pPr>
      <w:bookmarkStart w:id="20" w:name="_Toc15377200"/>
      <w:bookmarkStart w:id="21" w:name="_Toc15396601"/>
      <w:r>
        <w:rPr>
          <w:rStyle w:val="19"/>
          <w:rFonts w:hint="eastAsia" w:ascii="黑体" w:eastAsia="黑体"/>
          <w:b w:val="0"/>
          <w:bCs w:val="0"/>
        </w:rPr>
        <w:t>二、机构设置</w:t>
      </w:r>
      <w:bookmarkEnd w:id="20"/>
      <w:bookmarkEnd w:id="21"/>
    </w:p>
    <w:p>
      <w:pPr>
        <w:snapToGrid w:val="0"/>
        <w:spacing w:line="360" w:lineRule="auto"/>
        <w:ind w:firstLine="600" w:firstLineChars="200"/>
        <w:rPr>
          <w:rFonts w:ascii="仿宋_GB2312" w:eastAsia="仿宋_GB2312"/>
          <w:sz w:val="30"/>
          <w:szCs w:val="30"/>
        </w:rPr>
      </w:pPr>
      <w:bookmarkStart w:id="22" w:name="_Toc15396602"/>
      <w:bookmarkStart w:id="23" w:name="_Toc15377204"/>
      <w:r>
        <w:rPr>
          <w:rFonts w:hint="eastAsia" w:ascii="仿宋_GB2312" w:eastAsia="仿宋_GB2312"/>
          <w:sz w:val="30"/>
          <w:szCs w:val="30"/>
        </w:rPr>
        <w:t>1、机构情况：我单位只有一个事业核算机构。</w:t>
      </w:r>
    </w:p>
    <w:p>
      <w:pPr>
        <w:snapToGrid w:val="0"/>
        <w:spacing w:line="360" w:lineRule="auto"/>
        <w:ind w:firstLine="600" w:firstLineChars="200"/>
        <w:rPr>
          <w:rFonts w:ascii="仿宋_GB2312" w:eastAsia="仿宋_GB2312"/>
          <w:sz w:val="30"/>
          <w:szCs w:val="30"/>
        </w:rPr>
      </w:pPr>
      <w:r>
        <w:rPr>
          <w:rFonts w:hint="eastAsia" w:ascii="仿宋_GB2312" w:eastAsia="仿宋_GB2312"/>
          <w:sz w:val="30"/>
          <w:szCs w:val="30"/>
        </w:rPr>
        <w:t>2、人员情况：我校截止2020年末，单位实有人数10人，其中：在职10人（参公人员3人、其他事业人员7人）。</w:t>
      </w:r>
    </w:p>
    <w:p>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18"/>
          <w:rFonts w:hint="eastAsia" w:ascii="黑体" w:eastAsia="黑体"/>
          <w:b w:val="0"/>
          <w:bCs w:val="0"/>
        </w:rPr>
        <w:t>2020年度部门决算情况说明</w:t>
      </w:r>
      <w:bookmarkEnd w:id="22"/>
      <w:bookmarkEnd w:id="23"/>
    </w:p>
    <w:p>
      <w:pPr>
        <w:pStyle w:val="24"/>
        <w:numPr>
          <w:ilvl w:val="0"/>
          <w:numId w:val="1"/>
        </w:numPr>
        <w:ind w:left="0" w:firstLine="0" w:firstLineChars="0"/>
        <w:outlineLvl w:val="1"/>
        <w:rPr>
          <w:rStyle w:val="19"/>
          <w:rFonts w:ascii="黑体" w:eastAsia="黑体"/>
          <w:b w:val="0"/>
        </w:rPr>
      </w:pPr>
      <w:bookmarkStart w:id="24" w:name="_Toc15396603"/>
      <w:bookmarkStart w:id="25" w:name="_Toc15377205"/>
      <w:r>
        <w:rPr>
          <w:rFonts w:hint="eastAsia" w:ascii="黑体" w:eastAsia="黑体"/>
          <w:color w:val="000000"/>
          <w:sz w:val="32"/>
          <w:szCs w:val="32"/>
        </w:rPr>
        <w:t>收</w:t>
      </w:r>
      <w:r>
        <w:rPr>
          <w:rStyle w:val="19"/>
          <w:rFonts w:hint="eastAsia" w:ascii="黑体" w:eastAsia="黑体"/>
          <w:b w:val="0"/>
        </w:rPr>
        <w:t>入支出决算总体情况说明</w:t>
      </w:r>
      <w:bookmarkEnd w:id="24"/>
      <w:bookmarkEnd w:id="25"/>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2020年度总收入217.81万元，2019年总收入153.61万元，较上年收入增加64.2万元，增加41.79%。增加的原因是较上年人员增加，经费增加。</w:t>
      </w:r>
    </w:p>
    <w:p>
      <w:pPr>
        <w:pStyle w:val="2"/>
      </w:pPr>
      <w:r>
        <w:drawing>
          <wp:anchor distT="0" distB="0" distL="114300" distR="114300" simplePos="0" relativeHeight="251661312" behindDoc="0" locked="0" layoutInCell="1" allowOverlap="1">
            <wp:simplePos x="0" y="0"/>
            <wp:positionH relativeFrom="column">
              <wp:posOffset>243840</wp:posOffset>
            </wp:positionH>
            <wp:positionV relativeFrom="paragraph">
              <wp:posOffset>82550</wp:posOffset>
            </wp:positionV>
            <wp:extent cx="4490085" cy="2472055"/>
            <wp:effectExtent l="19050" t="0" r="24765" b="4445"/>
            <wp:wrapTopAndBottom/>
            <wp:docPr id="8" name="图表 8"/>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spacing w:val="-2"/>
          <w:sz w:val="32"/>
          <w:szCs w:val="32"/>
        </w:rPr>
        <w:t>2020年总支出</w:t>
      </w:r>
      <w:r>
        <w:rPr>
          <w:rFonts w:hint="eastAsia" w:ascii="仿宋_GB2312" w:eastAsia="仿宋_GB2312"/>
          <w:color w:val="000000"/>
          <w:spacing w:val="-2"/>
          <w:sz w:val="32"/>
          <w:szCs w:val="32"/>
        </w:rPr>
        <w:t>217.81</w:t>
      </w:r>
      <w:r>
        <w:rPr>
          <w:rFonts w:hint="eastAsia" w:ascii="仿宋_GB2312" w:eastAsia="仿宋_GB2312"/>
          <w:spacing w:val="-2"/>
          <w:sz w:val="32"/>
          <w:szCs w:val="32"/>
        </w:rPr>
        <w:t>万元，</w:t>
      </w:r>
      <w:r>
        <w:rPr>
          <w:rFonts w:hint="eastAsia" w:ascii="仿宋_GB2312" w:eastAsia="仿宋_GB2312"/>
          <w:color w:val="000000"/>
          <w:spacing w:val="-2"/>
          <w:sz w:val="32"/>
          <w:szCs w:val="32"/>
        </w:rPr>
        <w:t>2019年总支出193.52万元，较上年支出增加24.29万元，增加12.55%。增加的主要原因是2020年浙江援藏干部入住学员宿舍，增加了采购学员电器等设备经费。</w:t>
      </w:r>
      <w:bookmarkStart w:id="26" w:name="_Toc15396604"/>
      <w:bookmarkStart w:id="27" w:name="_Toc15377206"/>
    </w:p>
    <w:p>
      <w:pPr>
        <w:snapToGrid w:val="0"/>
        <w:spacing w:line="520" w:lineRule="exact"/>
        <w:ind w:firstLine="640" w:firstLineChars="200"/>
        <w:rPr>
          <w:rFonts w:ascii="黑体" w:eastAsia="黑体"/>
          <w:color w:val="000000"/>
          <w:sz w:val="32"/>
          <w:szCs w:val="32"/>
        </w:rPr>
      </w:pPr>
      <w:r>
        <w:rPr>
          <w:rFonts w:hint="eastAsia" w:ascii="仿宋_GB2312" w:hAnsi="仿宋_GB2312" w:eastAsia="仿宋_GB2312" w:cs="仿宋_GB2312"/>
          <w:sz w:val="32"/>
          <w:szCs w:val="32"/>
          <w:shd w:val="clear" w:color="auto" w:fill="FFFFFF"/>
        </w:rPr>
        <w:drawing>
          <wp:anchor distT="0" distB="0" distL="114300" distR="114300" simplePos="0" relativeHeight="251662336" behindDoc="0" locked="0" layoutInCell="1" allowOverlap="1">
            <wp:simplePos x="0" y="0"/>
            <wp:positionH relativeFrom="column">
              <wp:posOffset>234950</wp:posOffset>
            </wp:positionH>
            <wp:positionV relativeFrom="paragraph">
              <wp:posOffset>5715</wp:posOffset>
            </wp:positionV>
            <wp:extent cx="5003165" cy="3534410"/>
            <wp:effectExtent l="4445" t="4445" r="21590" b="23495"/>
            <wp:wrapTopAndBottom/>
            <wp:docPr id="10" name="图表 10"/>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Style w:val="19"/>
          <w:rFonts w:ascii="黑体" w:eastAsia="黑体"/>
          <w:b w:val="0"/>
        </w:rPr>
      </w:pPr>
      <w:r>
        <w:rPr>
          <w:rFonts w:hint="eastAsia" w:ascii="黑体" w:eastAsia="黑体"/>
          <w:color w:val="000000"/>
          <w:sz w:val="32"/>
          <w:szCs w:val="32"/>
        </w:rPr>
        <w:t>二、收入决</w:t>
      </w:r>
      <w:r>
        <w:rPr>
          <w:rStyle w:val="19"/>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bookmarkStart w:id="28" w:name="_Toc15377207"/>
      <w:bookmarkStart w:id="29" w:name="_Toc15396605"/>
      <w:r>
        <w:rPr>
          <w:rFonts w:hint="eastAsia" w:ascii="仿宋_GB2312" w:hAnsi="仿宋_GB2312" w:eastAsia="仿宋_GB2312" w:cs="仿宋_GB2312"/>
          <w:sz w:val="32"/>
          <w:szCs w:val="32"/>
          <w:shd w:val="clear" w:color="auto" w:fill="FFFFFF"/>
        </w:rPr>
        <w:t>2020年总收入为217.81万元。其中：一般公共预算财政拨款收入为217.81万元，占比100%；本年度总支出为217.81万元。其中：教育支出为169.87万元，占比77.99%；社会保障和就业支出为22.38万元，占比10.28%；卫生健康支出为10.40万元，占比4.77%；住房保障支出为15.16万元，占比6.96%。</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napToGrid w:val="0"/>
        <w:spacing w:line="520" w:lineRule="exact"/>
        <w:ind w:firstLine="640" w:firstLineChars="200"/>
        <w:rPr>
          <w:rFonts w:ascii="仿宋_GB2312" w:hAnsi="仿宋_GB2312" w:eastAsia="仿宋_GB2312" w:cs="仿宋_GB2312"/>
          <w:sz w:val="32"/>
          <w:szCs w:val="32"/>
          <w:shd w:val="clear" w:color="auto" w:fill="FFFFFF"/>
        </w:rPr>
      </w:pPr>
    </w:p>
    <w:p>
      <w:pPr>
        <w:pStyle w:val="2"/>
      </w:pPr>
    </w:p>
    <w:p>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2020年各项收入占总收入的比重，用饼状图表示如下：</w:t>
      </w:r>
    </w:p>
    <w:p>
      <w:pPr>
        <w:pStyle w:val="13"/>
        <w:spacing w:before="0" w:beforeAutospacing="0"/>
        <w:ind w:firstLine="480" w:firstLineChars="200"/>
        <w:rPr>
          <w:rFonts w:ascii="仿宋_GB2312" w:hAnsi="仿宋_GB2312" w:eastAsia="仿宋_GB2312" w:cs="仿宋_GB2312"/>
          <w:kern w:val="2"/>
          <w:sz w:val="32"/>
          <w:szCs w:val="32"/>
        </w:rPr>
      </w:pPr>
      <w:r>
        <w:drawing>
          <wp:inline distT="0" distB="0" distL="114300" distR="114300">
            <wp:extent cx="4838700" cy="2245360"/>
            <wp:effectExtent l="4445" t="4445" r="14605"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19"/>
          <w:rFonts w:ascii="黑体" w:eastAsia="黑体"/>
          <w:b w:val="0"/>
        </w:rPr>
      </w:pPr>
      <w:r>
        <w:rPr>
          <w:rFonts w:hint="eastAsia" w:ascii="黑体" w:eastAsia="黑体"/>
          <w:color w:val="000000"/>
          <w:sz w:val="32"/>
          <w:szCs w:val="32"/>
        </w:rPr>
        <w:t>三、支出决</w:t>
      </w:r>
      <w:r>
        <w:rPr>
          <w:rStyle w:val="19"/>
          <w:rFonts w:hint="eastAsia" w:ascii="黑体" w:eastAsia="黑体"/>
          <w:b w:val="0"/>
        </w:rPr>
        <w:t>算情况说明</w:t>
      </w:r>
    </w:p>
    <w:p>
      <w:pPr>
        <w:spacing w:line="600" w:lineRule="exact"/>
        <w:ind w:firstLine="640"/>
        <w:rPr>
          <w:rFonts w:ascii="仿宋" w:eastAsia="仿宋"/>
          <w:color w:val="000000"/>
          <w:sz w:val="32"/>
          <w:szCs w:val="32"/>
        </w:rPr>
      </w:pPr>
      <w:r>
        <w:rPr>
          <w:rFonts w:hint="eastAsia" w:ascii="仿宋" w:eastAsia="仿宋"/>
          <w:color w:val="000000"/>
          <w:sz w:val="32"/>
          <w:szCs w:val="32"/>
        </w:rPr>
        <w:t>2020年本年总支出217.81万元，其中：基本支出217.49万元，占99.85%；项目支出0.32万元，占0.15%；上缴上级支出0万元，占0%；经营支出0万元，占0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pStyle w:val="2"/>
        <w:ind w:firstLine="640"/>
        <w:rPr>
          <w:rFonts w:ascii="仿宋" w:eastAsia="仿宋"/>
          <w:color w:val="000000"/>
          <w:sz w:val="32"/>
          <w:szCs w:val="32"/>
        </w:rPr>
      </w:pPr>
      <w:r>
        <w:rPr>
          <w:rFonts w:hint="eastAsia"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67310</wp:posOffset>
            </wp:positionH>
            <wp:positionV relativeFrom="page">
              <wp:posOffset>5862955</wp:posOffset>
            </wp:positionV>
            <wp:extent cx="5061585" cy="1984375"/>
            <wp:effectExtent l="4445" t="4445" r="20320" b="1143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End w:id="28"/>
      <w:bookmarkEnd w:id="29"/>
      <w:bookmarkStart w:id="30" w:name="_Toc15377208"/>
      <w:bookmarkStart w:id="31" w:name="_Toc15396606"/>
      <w:r>
        <w:rPr>
          <w:rFonts w:hint="eastAsia" w:ascii="黑体" w:eastAsia="黑体"/>
          <w:color w:val="000000"/>
          <w:sz w:val="32"/>
          <w:szCs w:val="32"/>
        </w:rPr>
        <w:t>四、财</w:t>
      </w:r>
      <w:r>
        <w:rPr>
          <w:rStyle w:val="19"/>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_GB2312" w:eastAsia="仿宋_GB2312"/>
          <w:color w:val="000000"/>
          <w:spacing w:val="-2"/>
          <w:sz w:val="32"/>
          <w:szCs w:val="32"/>
        </w:rPr>
      </w:pPr>
      <w:r>
        <w:rPr>
          <w:rFonts w:hint="eastAsia" w:ascii="仿宋" w:eastAsia="仿宋"/>
          <w:color w:val="000000"/>
          <w:sz w:val="32"/>
          <w:szCs w:val="32"/>
        </w:rPr>
        <w:t>2020年财政拨款收入170.46万元。与2019年相比，一般公共预算财政拨款收入较上年增加16.85万元，增加10.97%。增加的主要原因是</w:t>
      </w:r>
      <w:r>
        <w:rPr>
          <w:rFonts w:hint="eastAsia" w:ascii="仿宋_GB2312" w:eastAsia="仿宋_GB2312"/>
          <w:color w:val="000000"/>
          <w:spacing w:val="-2"/>
          <w:sz w:val="32"/>
          <w:szCs w:val="32"/>
        </w:rPr>
        <w:t>增加的原因是较上年人员增加，经费增加。</w:t>
      </w:r>
    </w:p>
    <w:p>
      <w:pPr>
        <w:snapToGrid w:val="0"/>
        <w:spacing w:line="520" w:lineRule="exact"/>
        <w:ind w:firstLine="640" w:firstLineChars="200"/>
        <w:rPr>
          <w:rFonts w:ascii="仿宋_GB2312" w:eastAsia="仿宋_GB2312"/>
          <w:color w:val="000000"/>
          <w:spacing w:val="-2"/>
          <w:sz w:val="32"/>
          <w:szCs w:val="32"/>
        </w:rPr>
      </w:pPr>
      <w:r>
        <w:rPr>
          <w:rFonts w:hint="eastAsia" w:ascii="仿宋" w:eastAsia="仿宋"/>
          <w:color w:val="000000"/>
          <w:sz w:val="32"/>
          <w:szCs w:val="32"/>
        </w:rPr>
        <w:t>2020年财政拨款支出</w:t>
      </w:r>
      <w:r>
        <w:rPr>
          <w:rFonts w:hint="eastAsia" w:ascii="仿宋_GB2312" w:eastAsia="仿宋_GB2312"/>
          <w:color w:val="000000"/>
          <w:spacing w:val="-2"/>
          <w:sz w:val="32"/>
          <w:szCs w:val="32"/>
        </w:rPr>
        <w:t>217.81</w:t>
      </w:r>
      <w:r>
        <w:rPr>
          <w:rFonts w:hint="eastAsia" w:ascii="仿宋_GB2312" w:eastAsia="仿宋_GB2312"/>
          <w:spacing w:val="-2"/>
          <w:sz w:val="32"/>
          <w:szCs w:val="32"/>
        </w:rPr>
        <w:t>万元，</w:t>
      </w:r>
      <w:r>
        <w:rPr>
          <w:rFonts w:hint="eastAsia" w:ascii="仿宋_GB2312" w:eastAsia="仿宋_GB2312"/>
          <w:color w:val="000000"/>
          <w:spacing w:val="-2"/>
          <w:sz w:val="32"/>
          <w:szCs w:val="32"/>
        </w:rPr>
        <w:t>较上年支出增加24.29万元，增加12.55%。增加的主要原因是2020年浙江援藏干部入住学员宿舍，增加了采购学员电器等设备经费。</w:t>
      </w:r>
    </w:p>
    <w:p>
      <w:pPr>
        <w:pStyle w:val="2"/>
        <w:rPr>
          <w:rStyle w:val="19"/>
          <w:rFonts w:ascii="黑体" w:eastAsia="黑体"/>
          <w:b w:val="0"/>
        </w:rPr>
      </w:pPr>
      <w:r>
        <w:drawing>
          <wp:anchor distT="0" distB="0" distL="114300" distR="114300" simplePos="0" relativeHeight="251663360" behindDoc="0" locked="0" layoutInCell="1" allowOverlap="1">
            <wp:simplePos x="0" y="0"/>
            <wp:positionH relativeFrom="column">
              <wp:posOffset>271145</wp:posOffset>
            </wp:positionH>
            <wp:positionV relativeFrom="page">
              <wp:posOffset>1915160</wp:posOffset>
            </wp:positionV>
            <wp:extent cx="4572000" cy="2743200"/>
            <wp:effectExtent l="4445" t="4445" r="14605" b="14605"/>
            <wp:wrapTopAndBottom/>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2" w:name="_Toc15377209"/>
      <w:bookmarkStart w:id="33" w:name="_Toc15396607"/>
      <w:r>
        <w:rPr>
          <w:rFonts w:hint="eastAsia"/>
        </w:rPr>
        <w:t xml:space="preserve">   </w:t>
      </w:r>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32"/>
      <w:bookmarkEnd w:id="33"/>
    </w:p>
    <w:p>
      <w:pPr>
        <w:spacing w:line="600" w:lineRule="exact"/>
        <w:ind w:firstLine="642"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color w:val="000000"/>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一般公共预算财政拨款支出217.81万元，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支出增加24.29万元，增加12.55%。主要原因</w:t>
      </w:r>
      <w:r>
        <w:rPr>
          <w:rFonts w:hint="eastAsia" w:ascii="仿宋_GB2312" w:eastAsia="仿宋_GB2312"/>
          <w:color w:val="000000"/>
          <w:spacing w:val="-2"/>
          <w:sz w:val="32"/>
          <w:szCs w:val="32"/>
        </w:rPr>
        <w:t>2020年浙江援藏干部入住学员宿舍，增加了采购学员电器等设备经费。</w:t>
      </w:r>
    </w:p>
    <w:p>
      <w:pPr>
        <w:pStyle w:val="2"/>
        <w:rPr>
          <w:rFonts w:ascii="仿宋_GB2312" w:eastAsia="仿宋_GB2312"/>
          <w:color w:val="000000"/>
          <w:spacing w:val="-2"/>
          <w:sz w:val="32"/>
          <w:szCs w:val="32"/>
        </w:rPr>
      </w:pPr>
      <w:r>
        <w:drawing>
          <wp:anchor distT="0" distB="0" distL="114300" distR="114300" simplePos="0" relativeHeight="251664384" behindDoc="0" locked="0" layoutInCell="1" allowOverlap="1">
            <wp:simplePos x="0" y="0"/>
            <wp:positionH relativeFrom="column">
              <wp:posOffset>271145</wp:posOffset>
            </wp:positionH>
            <wp:positionV relativeFrom="page">
              <wp:posOffset>6816090</wp:posOffset>
            </wp:positionV>
            <wp:extent cx="4572000" cy="2486025"/>
            <wp:effectExtent l="4445" t="4445" r="14605" b="508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napToGrid w:val="0"/>
        <w:spacing w:line="520" w:lineRule="exact"/>
        <w:ind w:firstLine="642" w:firstLineChars="200"/>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20年一般公共预算财政拨款支出217.81万元，主要用于以下方面</w:t>
      </w:r>
      <w:r>
        <w:rPr>
          <w:rFonts w:ascii="仿宋" w:eastAsia="仿宋"/>
          <w:color w:val="000000"/>
          <w:sz w:val="32"/>
          <w:szCs w:val="32"/>
        </w:rPr>
        <w:t>:</w:t>
      </w:r>
      <w:r>
        <w:rPr>
          <w:rFonts w:hint="eastAsia" w:ascii="仿宋" w:eastAsia="仿宋"/>
          <w:b/>
          <w:color w:val="000000"/>
          <w:sz w:val="32"/>
          <w:szCs w:val="32"/>
        </w:rPr>
        <w:t>一般公共服务（教育支出）</w:t>
      </w:r>
      <w:r>
        <w:rPr>
          <w:rFonts w:hint="eastAsia" w:ascii="仿宋" w:eastAsia="仿宋"/>
          <w:color w:val="000000"/>
          <w:sz w:val="32"/>
          <w:szCs w:val="32"/>
        </w:rPr>
        <w:t>支出169.87万元，占77.99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支出22.38万元，占10.28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10.40万元，占4.77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15.16万元，占6.96</w:t>
      </w:r>
      <w:r>
        <w:rPr>
          <w:rFonts w:ascii="仿宋" w:eastAsia="仿宋"/>
          <w:color w:val="000000"/>
          <w:sz w:val="32"/>
          <w:szCs w:val="32"/>
        </w:rPr>
        <w:t>%</w:t>
      </w:r>
      <w:r>
        <w:rPr>
          <w:rFonts w:hint="eastAsia" w:ascii="仿宋" w:eastAsia="仿宋"/>
          <w:color w:val="000000"/>
          <w:sz w:val="32"/>
          <w:szCs w:val="32"/>
        </w:rPr>
        <w:t>。</w:t>
      </w:r>
    </w:p>
    <w:p>
      <w:pPr>
        <w:spacing w:line="600" w:lineRule="exact"/>
        <w:ind w:firstLine="8320" w:firstLineChars="2600"/>
        <w:outlineLvl w:val="2"/>
        <w:rPr>
          <w:rFonts w:ascii="仿宋" w:eastAsia="仿宋"/>
          <w:b/>
          <w:color w:val="000000"/>
          <w:sz w:val="32"/>
          <w:szCs w:val="32"/>
        </w:rPr>
      </w:pPr>
      <w:bookmarkStart w:id="36" w:name="_Toc15377213"/>
      <w:bookmarkStart w:id="37" w:name="_Toc15378460"/>
      <w:bookmarkStart w:id="38" w:name="_Toc15377444"/>
      <w:r>
        <w:rPr>
          <w:rFonts w:hint="eastAsia" w:ascii="仿宋" w:eastAsia="仿宋"/>
          <w:color w:val="000000"/>
          <w:sz w:val="32"/>
          <w:szCs w:val="32"/>
        </w:rPr>
        <w:drawing>
          <wp:anchor distT="0" distB="0" distL="114300" distR="114300" simplePos="0" relativeHeight="251660288" behindDoc="0" locked="0" layoutInCell="1"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2"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2020年一般公共预算数为170.46万元，支出决算数为217.81万元，完</w:t>
      </w:r>
      <w:r>
        <w:rPr>
          <w:rStyle w:val="16"/>
          <w:rFonts w:hint="eastAsia" w:ascii="仿宋" w:eastAsia="仿宋"/>
          <w:b w:val="0"/>
          <w:bCs/>
          <w:color w:val="000000"/>
          <w:sz w:val="32"/>
          <w:szCs w:val="32"/>
        </w:rPr>
        <w:t>成预算128</w:t>
      </w:r>
      <w:r>
        <w:rPr>
          <w:rStyle w:val="16"/>
          <w:rFonts w:ascii="仿宋" w:eastAsia="仿宋"/>
          <w:b w:val="0"/>
          <w:bCs/>
          <w:color w:val="000000"/>
          <w:sz w:val="32"/>
          <w:szCs w:val="32"/>
        </w:rPr>
        <w:t>%</w:t>
      </w:r>
      <w:r>
        <w:rPr>
          <w:rStyle w:val="16"/>
          <w:rFonts w:hint="eastAsia" w:ascii="仿宋" w:eastAsia="仿宋"/>
          <w:b w:val="0"/>
          <w:bCs/>
          <w:color w:val="000000"/>
          <w:sz w:val="32"/>
          <w:szCs w:val="32"/>
        </w:rPr>
        <w:t>。超预算47.35万元。其中：</w:t>
      </w:r>
      <w:bookmarkEnd w:id="36"/>
      <w:bookmarkEnd w:id="37"/>
      <w:bookmarkEnd w:id="38"/>
    </w:p>
    <w:p>
      <w:pPr>
        <w:spacing w:line="600" w:lineRule="exact"/>
        <w:ind w:firstLine="642" w:firstLineChars="200"/>
        <w:rPr>
          <w:rStyle w:val="16"/>
          <w:rFonts w:ascii="仿宋" w:eastAsia="仿宋"/>
          <w:b w:val="0"/>
          <w:bCs/>
          <w:color w:val="000000"/>
          <w:sz w:val="32"/>
          <w:szCs w:val="32"/>
        </w:rPr>
      </w:pPr>
      <w:r>
        <w:rPr>
          <w:rStyle w:val="16"/>
          <w:rFonts w:hint="eastAsia" w:ascii="仿宋" w:eastAsia="仿宋"/>
          <w:bCs/>
          <w:color w:val="000000"/>
          <w:sz w:val="32"/>
          <w:szCs w:val="32"/>
        </w:rPr>
        <w:t>1.一般公共服务（类）教育支出</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支出决算为169.87万元，完成预算100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2" w:firstLineChars="200"/>
        <w:rPr>
          <w:rStyle w:val="16"/>
          <w:rFonts w:ascii="仿宋" w:eastAsia="仿宋"/>
          <w:b w:val="0"/>
          <w:bCs/>
          <w:color w:val="000000"/>
          <w:sz w:val="32"/>
          <w:szCs w:val="32"/>
        </w:rPr>
      </w:pPr>
      <w:r>
        <w:rPr>
          <w:rStyle w:val="16"/>
          <w:rFonts w:ascii="仿宋" w:eastAsia="仿宋"/>
          <w:bCs/>
          <w:color w:val="000000"/>
          <w:sz w:val="32"/>
          <w:szCs w:val="32"/>
        </w:rPr>
        <w:t>2.</w:t>
      </w:r>
      <w:r>
        <w:rPr>
          <w:rStyle w:val="16"/>
          <w:rFonts w:hint="eastAsia" w:ascii="仿宋" w:eastAsia="仿宋"/>
          <w:bCs/>
          <w:color w:val="000000"/>
          <w:sz w:val="32"/>
          <w:szCs w:val="32"/>
        </w:rPr>
        <w:t>一般公共服务（类）公共卫生支出及突发公共卫生时间应急处理</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支出决算为0.32万元，年初未预算。</w:t>
      </w:r>
    </w:p>
    <w:p>
      <w:pPr>
        <w:spacing w:line="600" w:lineRule="exact"/>
        <w:ind w:firstLine="642" w:firstLineChars="200"/>
        <w:rPr>
          <w:rFonts w:ascii="仿宋" w:eastAsia="仿宋"/>
          <w:b/>
          <w:color w:val="000000"/>
          <w:sz w:val="32"/>
          <w:szCs w:val="32"/>
        </w:rPr>
      </w:pPr>
      <w:r>
        <w:rPr>
          <w:rStyle w:val="16"/>
          <w:rFonts w:hint="eastAsia" w:ascii="仿宋" w:eastAsia="仿宋"/>
          <w:bCs/>
          <w:color w:val="000000"/>
          <w:sz w:val="32"/>
          <w:szCs w:val="32"/>
        </w:rPr>
        <w:t>3</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Cs/>
          <w:color w:val="000000"/>
          <w:sz w:val="32"/>
          <w:szCs w:val="32"/>
        </w:rPr>
        <w:t>社会保障和就业（类）行政事业单位离退休（款）机关事业单位基本养老保险缴费支出（项）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支出决算为14.86万元，完成预算87.57</w:t>
      </w:r>
      <w:r>
        <w:rPr>
          <w:rStyle w:val="16"/>
          <w:rFonts w:ascii="仿宋" w:eastAsia="仿宋"/>
          <w:b w:val="0"/>
          <w:bCs/>
          <w:color w:val="000000"/>
          <w:sz w:val="32"/>
          <w:szCs w:val="32"/>
        </w:rPr>
        <w:t>%</w:t>
      </w:r>
      <w:r>
        <w:rPr>
          <w:rStyle w:val="16"/>
          <w:rFonts w:hint="eastAsia" w:ascii="仿宋" w:eastAsia="仿宋"/>
          <w:b w:val="0"/>
          <w:bCs/>
          <w:color w:val="000000"/>
          <w:sz w:val="32"/>
          <w:szCs w:val="32"/>
        </w:rPr>
        <w:t>，预算结余。</w:t>
      </w:r>
    </w:p>
    <w:p>
      <w:pPr>
        <w:spacing w:line="600" w:lineRule="exact"/>
        <w:ind w:firstLine="642" w:firstLineChars="200"/>
        <w:rPr>
          <w:rFonts w:ascii="仿宋" w:eastAsia="仿宋"/>
          <w:b/>
          <w:color w:val="000000"/>
          <w:sz w:val="32"/>
          <w:szCs w:val="32"/>
        </w:rPr>
      </w:pPr>
      <w:r>
        <w:rPr>
          <w:rStyle w:val="16"/>
          <w:rFonts w:hint="eastAsia" w:ascii="仿宋" w:eastAsia="仿宋"/>
          <w:bCs/>
          <w:color w:val="000000"/>
          <w:sz w:val="32"/>
          <w:szCs w:val="32"/>
        </w:rPr>
        <w:t>4</w:t>
      </w:r>
      <w:r>
        <w:rPr>
          <w:rStyle w:val="16"/>
          <w:rFonts w:ascii="仿宋" w:eastAsia="仿宋"/>
          <w:bCs/>
          <w:color w:val="000000"/>
          <w:sz w:val="32"/>
          <w:szCs w:val="32"/>
        </w:rPr>
        <w:t>.</w:t>
      </w:r>
      <w:r>
        <w:rPr>
          <w:rStyle w:val="16"/>
          <w:rFonts w:hint="eastAsia" w:ascii="仿宋" w:eastAsia="仿宋"/>
          <w:bCs/>
          <w:color w:val="000000"/>
          <w:sz w:val="32"/>
          <w:szCs w:val="32"/>
        </w:rPr>
        <w:t>社会保障和就业（类）行政事业单位离退休（款）机关事业单位基本职业年金缴费支出（项）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支出决算为7.52万元，完成预算88.58</w:t>
      </w:r>
      <w:r>
        <w:rPr>
          <w:rStyle w:val="16"/>
          <w:rFonts w:ascii="仿宋" w:eastAsia="仿宋"/>
          <w:b w:val="0"/>
          <w:bCs/>
          <w:color w:val="000000"/>
          <w:sz w:val="32"/>
          <w:szCs w:val="32"/>
        </w:rPr>
        <w:t>%</w:t>
      </w:r>
      <w:r>
        <w:rPr>
          <w:rStyle w:val="16"/>
          <w:rFonts w:hint="eastAsia" w:ascii="仿宋" w:eastAsia="仿宋"/>
          <w:b w:val="0"/>
          <w:bCs/>
          <w:color w:val="000000"/>
          <w:sz w:val="32"/>
          <w:szCs w:val="32"/>
        </w:rPr>
        <w:t>，预算结余。</w:t>
      </w:r>
    </w:p>
    <w:p>
      <w:pPr>
        <w:spacing w:line="600" w:lineRule="exact"/>
        <w:ind w:firstLine="642" w:firstLineChars="200"/>
        <w:rPr>
          <w:rFonts w:ascii="仿宋" w:eastAsia="仿宋"/>
          <w:color w:val="000000"/>
          <w:sz w:val="32"/>
          <w:szCs w:val="32"/>
        </w:rPr>
      </w:pPr>
      <w:r>
        <w:rPr>
          <w:rStyle w:val="16"/>
          <w:rFonts w:hint="eastAsia" w:ascii="仿宋" w:eastAsia="仿宋"/>
          <w:bCs/>
          <w:color w:val="000000"/>
          <w:sz w:val="32"/>
          <w:szCs w:val="32"/>
        </w:rPr>
        <w:t>5.卫生健康支出（类）行政事业单位医疗（款）事业单位医疗（项）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支出决算为7.18万元，完成预算96.77</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2" w:firstLineChars="200"/>
        <w:rPr>
          <w:rFonts w:ascii="仿宋" w:eastAsia="仿宋"/>
          <w:color w:val="000000"/>
          <w:sz w:val="32"/>
          <w:szCs w:val="32"/>
        </w:rPr>
      </w:pPr>
      <w:r>
        <w:rPr>
          <w:rStyle w:val="16"/>
          <w:rFonts w:hint="eastAsia" w:ascii="仿宋" w:eastAsia="仿宋"/>
          <w:bCs/>
          <w:color w:val="000000"/>
          <w:sz w:val="32"/>
          <w:szCs w:val="32"/>
        </w:rPr>
        <w:t>6.卫生健康支出（类）行政事业单位医疗（款）公务员医疗补助（项）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支出决算为2.9万元，完成预算100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2" w:firstLineChars="200"/>
        <w:rPr>
          <w:rStyle w:val="16"/>
          <w:rFonts w:ascii="仿宋" w:eastAsia="仿宋"/>
          <w:bCs/>
          <w:color w:val="000000"/>
          <w:sz w:val="32"/>
          <w:szCs w:val="32"/>
        </w:rPr>
      </w:pPr>
      <w:bookmarkStart w:id="40" w:name="_Toc15396608"/>
      <w:bookmarkStart w:id="41" w:name="_Toc15377214"/>
      <w:r>
        <w:rPr>
          <w:rStyle w:val="16"/>
          <w:rFonts w:hint="eastAsia" w:ascii="仿宋" w:eastAsia="仿宋"/>
          <w:bCs/>
          <w:color w:val="000000"/>
          <w:sz w:val="32"/>
          <w:szCs w:val="32"/>
        </w:rPr>
        <w:t>7.住房保障（类）住房改革支出（款）住房公积金（项）：</w:t>
      </w:r>
      <w:r>
        <w:rPr>
          <w:rStyle w:val="16"/>
          <w:rFonts w:hint="eastAsia" w:ascii="仿宋" w:eastAsia="仿宋"/>
          <w:b w:val="0"/>
          <w:bCs/>
          <w:color w:val="000000"/>
          <w:sz w:val="32"/>
          <w:szCs w:val="32"/>
        </w:rPr>
        <w:t>支出决算为15.16万元，完成预算119.09</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，决算数不等于预算数，年初预算未拉入目标奖，故决算数增加。</w:t>
      </w:r>
    </w:p>
    <w:p>
      <w:pPr>
        <w:spacing w:line="600" w:lineRule="exact"/>
        <w:ind w:firstLine="640"/>
        <w:rPr>
          <w:rStyle w:val="19"/>
        </w:rPr>
      </w:pPr>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40"/>
      <w:bookmarkEnd w:id="41"/>
      <w:r>
        <w:rPr>
          <w:rStyle w:val="19"/>
          <w:rFonts w:ascii="黑体" w:eastAsia="黑体"/>
          <w:b w:val="0"/>
        </w:rPr>
        <w:tab/>
      </w:r>
    </w:p>
    <w:p>
      <w:pPr>
        <w:spacing w:line="600" w:lineRule="exact"/>
        <w:ind w:firstLine="645"/>
        <w:rPr>
          <w:rFonts w:ascii="仿宋" w:eastAsia="仿宋"/>
          <w:color w:val="000000"/>
          <w:sz w:val="32"/>
          <w:szCs w:val="32"/>
        </w:rPr>
      </w:pPr>
      <w:r>
        <w:rPr>
          <w:rFonts w:hint="eastAsia" w:ascii="仿宋" w:eastAsia="仿宋"/>
          <w:color w:val="000000"/>
          <w:sz w:val="32"/>
          <w:szCs w:val="32"/>
        </w:rPr>
        <w:t>2020年一般公共预算财政拨款基本支出217.49万元，其中：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184.13万元，主要包括：基本工资47.23万元、津贴补贴36.67万元、奖金4.12万元、绩效工资16.7万元、机关事业单位基本养老保险缴费14.86万元、职业年金缴费7.52万元、职工基本医疗保险缴费7.18万元、其他社会保障缴费4.44万元、住房公积金15.16万元、其他对个人和家庭的补助支出30.25万元等。</w:t>
      </w:r>
    </w:p>
    <w:p>
      <w:pPr>
        <w:spacing w:line="600" w:lineRule="exact"/>
        <w:ind w:firstLine="645"/>
        <w:rPr>
          <w:rFonts w:ascii="仿宋" w:eastAsia="仿宋"/>
          <w:color w:val="000000"/>
          <w:sz w:val="32"/>
          <w:szCs w:val="32"/>
        </w:rPr>
      </w:pPr>
      <w:r>
        <w:rPr>
          <w:rFonts w:hint="eastAsia" w:ascii="仿宋" w:eastAsia="仿宋"/>
          <w:color w:val="000000"/>
          <w:sz w:val="32"/>
          <w:szCs w:val="32"/>
        </w:rPr>
        <w:t>公用经费16.19万元，主要包括：办公费4.89万元、电费0.1万元、邮电费0.7万元、差旅费2.1万元、劳务费0.5万元、维修（护）费6.9万元、公务用车运行维护费1.00万元.</w:t>
      </w:r>
    </w:p>
    <w:p>
      <w:pPr>
        <w:spacing w:line="600" w:lineRule="exact"/>
        <w:ind w:firstLine="645"/>
        <w:rPr>
          <w:rFonts w:ascii="仿宋" w:eastAsia="仿宋"/>
          <w:color w:val="000000"/>
          <w:sz w:val="32"/>
          <w:szCs w:val="32"/>
        </w:rPr>
      </w:pPr>
      <w:r>
        <w:rPr>
          <w:rFonts w:hint="eastAsia" w:ascii="仿宋" w:eastAsia="仿宋"/>
          <w:color w:val="000000"/>
          <w:sz w:val="32"/>
          <w:szCs w:val="32"/>
        </w:rPr>
        <w:t>资本性支出17.5万元，主要包括：办公设备购置费17.5万元。</w:t>
      </w:r>
    </w:p>
    <w:p>
      <w:pPr>
        <w:spacing w:line="600" w:lineRule="exact"/>
        <w:ind w:firstLine="640" w:firstLineChars="200"/>
        <w:outlineLvl w:val="1"/>
        <w:rPr>
          <w:rStyle w:val="19"/>
          <w:rFonts w:ascii="黑体" w:eastAsia="黑体"/>
          <w:b w:val="0"/>
        </w:rPr>
      </w:pPr>
      <w:bookmarkStart w:id="42" w:name="_Toc15377215"/>
      <w:bookmarkStart w:id="43" w:name="_Toc15396609"/>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20年“三公”经费财政拨款支出决算为1.00万元，完成预算100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决算1.00万元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；公务用车购置及运行维护费支出决算1万元，占100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eastAsia="仿宋"/>
          <w:b w:val="0"/>
          <w:bCs/>
          <w:color w:val="000000"/>
          <w:sz w:val="32"/>
          <w:szCs w:val="32"/>
        </w:rPr>
        <w:t>完成预算0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sz w:val="32"/>
          <w:szCs w:val="32"/>
        </w:rPr>
        <w:t>因</w:t>
      </w:r>
      <w:r>
        <w:rPr>
          <w:rFonts w:hint="eastAsia" w:ascii="仿宋_GB2312" w:eastAsia="仿宋_GB2312"/>
          <w:color w:val="000000"/>
          <w:sz w:val="32"/>
          <w:szCs w:val="32"/>
        </w:rPr>
        <w:t>公出国（境）支出决算比</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s="仿宋"/>
          <w:color w:val="000000"/>
          <w:sz w:val="32"/>
          <w:szCs w:val="32"/>
        </w:rPr>
        <w:t>无变化，</w:t>
      </w:r>
    </w:p>
    <w:p>
      <w:pPr>
        <w:spacing w:line="600" w:lineRule="exact"/>
        <w:ind w:firstLine="642"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1万元,</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9年无变化。</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日，共有车辆1辆，其中：部级领导干部用车0辆、主要领导干部用车0辆、机要通信用车0辆、应急保障用车1辆、执法执勤用车0辆、特种专业技术用车0辆、离退休干部用车0辆、其他用车0辆；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1万元。</w:t>
      </w:r>
      <w:r>
        <w:rPr>
          <w:rFonts w:hint="eastAsia" w:ascii="仿宋_GB2312" w:eastAsia="仿宋_GB2312"/>
          <w:color w:val="000000"/>
          <w:sz w:val="32"/>
          <w:szCs w:val="32"/>
        </w:rPr>
        <w:t>主要用我单位所需的公务用车燃料费、维修费、过路过桥费、保险费等支出。</w:t>
      </w:r>
    </w:p>
    <w:p>
      <w:pPr>
        <w:numPr>
          <w:ilvl w:val="0"/>
          <w:numId w:val="3"/>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6"/>
          <w:rFonts w:hint="eastAsia" w:ascii="仿宋" w:eastAsia="仿宋"/>
          <w:b w:val="0"/>
          <w:bCs/>
          <w:color w:val="000000"/>
          <w:sz w:val="32"/>
          <w:szCs w:val="32"/>
        </w:rPr>
        <w:t>完成预算0</w:t>
      </w:r>
      <w:r>
        <w:rPr>
          <w:rStyle w:val="16"/>
          <w:rFonts w:ascii="仿宋" w:eastAsia="仿宋"/>
          <w:b w:val="0"/>
          <w:bCs/>
          <w:color w:val="000000"/>
          <w:sz w:val="32"/>
          <w:szCs w:val="32"/>
        </w:rPr>
        <w:t>%</w:t>
      </w:r>
      <w:r>
        <w:rPr>
          <w:rStyle w:val="16"/>
          <w:rFonts w:hint="eastAsia" w:ascii="仿宋" w:eastAsia="仿宋"/>
          <w:b w:val="0"/>
          <w:bCs/>
          <w:color w:val="000000"/>
          <w:sz w:val="32"/>
          <w:szCs w:val="32"/>
        </w:rPr>
        <w:t>。无</w:t>
      </w:r>
      <w:r>
        <w:rPr>
          <w:rFonts w:hint="eastAsia" w:ascii="仿宋_GB2312" w:eastAsia="仿宋_GB2312" w:cs="仿宋"/>
          <w:color w:val="000000"/>
          <w:sz w:val="32"/>
          <w:szCs w:val="32"/>
        </w:rPr>
        <w:t>公务接待费。</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6" w:name="_Toc15377218"/>
      <w:bookmarkStart w:id="47" w:name="_Toc15396610"/>
    </w:p>
    <w:p>
      <w:pPr>
        <w:spacing w:line="600" w:lineRule="exact"/>
        <w:ind w:firstLine="640"/>
        <w:outlineLvl w:val="1"/>
        <w:rPr>
          <w:rStyle w:val="19"/>
          <w:rFonts w:ascii="黑体" w:eastAsia="黑体"/>
        </w:rPr>
      </w:pPr>
      <w:r>
        <w:rPr>
          <w:rFonts w:hint="eastAsia" w:ascii="黑体" w:eastAsia="黑体"/>
          <w:color w:val="000000"/>
          <w:sz w:val="32"/>
          <w:szCs w:val="32"/>
        </w:rPr>
        <w:t>八、</w:t>
      </w:r>
      <w:r>
        <w:rPr>
          <w:rStyle w:val="19"/>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4"/>
        </w:numPr>
        <w:spacing w:line="600" w:lineRule="exact"/>
        <w:ind w:firstLine="640"/>
        <w:outlineLvl w:val="1"/>
        <w:rPr>
          <w:rStyle w:val="19"/>
          <w:rFonts w:ascii="黑体" w:eastAsia="黑体"/>
          <w:b w:val="0"/>
        </w:rPr>
      </w:pPr>
      <w:bookmarkStart w:id="48" w:name="_Toc15396611"/>
      <w:bookmarkStart w:id="49" w:name="_Toc15377219"/>
      <w:r>
        <w:rPr>
          <w:rStyle w:val="19"/>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4"/>
        <w:numPr>
          <w:ilvl w:val="0"/>
          <w:numId w:val="5"/>
        </w:numPr>
        <w:spacing w:line="580" w:lineRule="exact"/>
        <w:ind w:firstLineChars="0"/>
        <w:rPr>
          <w:rStyle w:val="19"/>
          <w:rFonts w:ascii="黑体" w:eastAsia="黑体"/>
          <w:b w:val="0"/>
        </w:rPr>
      </w:pPr>
      <w:r>
        <w:rPr>
          <w:rStyle w:val="19"/>
          <w:rFonts w:hint="eastAsia" w:ascii="黑体" w:eastAsia="黑体"/>
          <w:b w:val="0"/>
        </w:rPr>
        <w:t>预算绩效情况说明</w:t>
      </w:r>
    </w:p>
    <w:p>
      <w:pPr>
        <w:numPr>
          <w:ilvl w:val="0"/>
          <w:numId w:val="6"/>
        </w:numPr>
        <w:spacing w:line="580" w:lineRule="exact"/>
        <w:ind w:firstLine="642"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napToGrid w:val="0"/>
        <w:spacing w:line="520" w:lineRule="exact"/>
        <w:ind w:firstLine="640" w:firstLineChars="200"/>
        <w:rPr>
          <w:rFonts w:ascii="仿宋_GB2312" w:eastAsia="仿宋_GB2312" w:cs="仿宋_GB2312"/>
          <w:sz w:val="32"/>
          <w:szCs w:val="32"/>
        </w:rPr>
      </w:pPr>
      <w:r>
        <w:rPr>
          <w:rFonts w:hint="eastAsia" w:ascii="仿宋_GB2312" w:hAnsi="仿宋_GB2312" w:eastAsia="仿宋_GB2312" w:cs="仿宋_GB2312"/>
          <w:sz w:val="32"/>
          <w:szCs w:val="32"/>
        </w:rPr>
        <w:t>我单位2020年预算绩效管理工作目标全部完成。</w:t>
      </w:r>
      <w:r>
        <w:rPr>
          <w:rFonts w:hint="eastAsia" w:asci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经全面综合评价，我单位预算支出绩效自评得分96.5</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（扣除我单位不存在的评价指标分值,总分为97分）。我单位深入贯彻落实</w:t>
      </w:r>
      <w:r>
        <w:rPr>
          <w:rFonts w:hint="eastAsia" w:ascii="仿宋_GB2312" w:eastAsia="仿宋_GB2312"/>
          <w:sz w:val="32"/>
          <w:szCs w:val="32"/>
          <w:lang w:eastAsia="zh-CN"/>
        </w:rPr>
        <w:t>党的十九大</w:t>
      </w:r>
      <w:r>
        <w:rPr>
          <w:rFonts w:hint="eastAsia" w:ascii="仿宋_GB2312" w:eastAsia="仿宋_GB2312"/>
          <w:sz w:val="32"/>
          <w:szCs w:val="32"/>
        </w:rPr>
        <w:t>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pPr>
        <w:snapToGrid w:val="0"/>
        <w:spacing w:line="520" w:lineRule="exact"/>
        <w:ind w:firstLine="642" w:firstLineChars="200"/>
        <w:rPr>
          <w:rFonts w:hint="eastAsia" w:ascii="仿宋" w:eastAsia="仿宋" w:cs="楷体_GB2312"/>
          <w:b/>
          <w:bCs/>
          <w:sz w:val="32"/>
          <w:szCs w:val="32"/>
          <w:lang w:eastAsia="zh-CN"/>
        </w:rPr>
      </w:pPr>
      <w:r>
        <w:rPr>
          <w:rFonts w:hint="eastAsia" w:ascii="仿宋" w:eastAsia="仿宋" w:cs="楷体_GB2312"/>
          <w:b/>
          <w:bCs/>
          <w:sz w:val="32"/>
          <w:szCs w:val="32"/>
        </w:rPr>
        <w:t>（二）项目绩效目标完成情况。</w:t>
      </w:r>
    </w:p>
    <w:p>
      <w:pPr>
        <w:snapToGrid w:val="0"/>
        <w:spacing w:line="520" w:lineRule="exact"/>
        <w:ind w:firstLine="640" w:firstLineChars="200"/>
        <w:rPr>
          <w:rFonts w:ascii="Calibri" w:hAnsi="Calibri"/>
        </w:rPr>
      </w:pPr>
      <w:r>
        <w:rPr>
          <w:rFonts w:hint="eastAsia" w:ascii="仿宋_GB2312" w:eastAsia="仿宋_GB2312" w:cs="仿宋_GB2312"/>
          <w:sz w:val="32"/>
          <w:szCs w:val="32"/>
        </w:rPr>
        <w:t xml:space="preserve">    </w:t>
      </w:r>
      <w:r>
        <w:rPr>
          <w:rFonts w:hint="eastAsia" w:ascii="仿宋_GB2312" w:hAnsi="仿宋_GB2312" w:eastAsia="仿宋_GB2312" w:cs="仿宋_GB2312"/>
          <w:sz w:val="32"/>
          <w:szCs w:val="32"/>
        </w:rPr>
        <w:t>我单位2020年项目支出绩效目标全部完成。</w:t>
      </w:r>
    </w:p>
    <w:p>
      <w:pPr>
        <w:tabs>
          <w:tab w:val="left" w:pos="0"/>
        </w:tabs>
        <w:spacing w:line="580" w:lineRule="exact"/>
        <w:ind w:left="420" w:leftChars="200"/>
        <w:rPr>
          <w:rFonts w:ascii="仿宋" w:eastAsia="仿宋" w:cs="仿宋_GB2312"/>
          <w:sz w:val="32"/>
          <w:szCs w:val="32"/>
        </w:rPr>
      </w:pPr>
      <w:r>
        <w:rPr>
          <w:rFonts w:hint="eastAsia" w:ascii="仿宋" w:eastAsia="仿宋" w:cs="楷体_GB2312"/>
          <w:b/>
          <w:bCs/>
          <w:sz w:val="32"/>
          <w:szCs w:val="32"/>
        </w:rPr>
        <w:t>（三）部门开展绩效评价结果。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我单位按要求对2020年部门整体支出绩效评价情况开展自评，</w:t>
      </w:r>
      <w:r>
        <w:rPr>
          <w:rFonts w:hint="eastAsia" w:ascii="仿宋_GB2312" w:eastAsia="仿宋_GB2312"/>
          <w:sz w:val="32"/>
          <w:szCs w:val="32"/>
        </w:rPr>
        <w:t>《中共金川县委党校2020年部门预算整体支出绩效评价报告》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19"/>
          <w:rFonts w:ascii="黑体" w:eastAsia="黑体"/>
        </w:rPr>
      </w:pPr>
      <w:bookmarkStart w:id="50" w:name="_Toc15377221"/>
      <w:bookmarkStart w:id="51" w:name="_Toc15396612"/>
      <w:r>
        <w:rPr>
          <w:rFonts w:hint="eastAsia" w:ascii="黑体" w:eastAsia="黑体"/>
          <w:color w:val="000000"/>
          <w:sz w:val="32"/>
          <w:szCs w:val="32"/>
        </w:rPr>
        <w:t>十</w:t>
      </w:r>
      <w:r>
        <w:rPr>
          <w:rStyle w:val="19"/>
          <w:rFonts w:hint="eastAsia" w:ascii="黑体" w:eastAsia="黑体"/>
        </w:rPr>
        <w:t>一、</w:t>
      </w:r>
      <w:r>
        <w:rPr>
          <w:rStyle w:val="19"/>
          <w:rFonts w:hint="eastAsia" w:ascii="黑体" w:eastAsia="黑体"/>
          <w:b w:val="0"/>
        </w:rPr>
        <w:t>其他重要事项的情况说明</w:t>
      </w:r>
      <w:bookmarkEnd w:id="50"/>
      <w:bookmarkEnd w:id="51"/>
    </w:p>
    <w:p>
      <w:pPr>
        <w:spacing w:line="600" w:lineRule="exact"/>
        <w:ind w:firstLine="642"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（一）日常公用经费支出情况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20年，中共金川县委党校日常公用经费支出16.19万元，比</w:t>
      </w:r>
      <w:r>
        <w:rPr>
          <w:rFonts w:ascii="仿宋_GB2312" w:eastAsia="仿宋_GB2312"/>
          <w:color w:val="000000"/>
          <w:sz w:val="32"/>
          <w:szCs w:val="32"/>
        </w:rPr>
        <w:t>20</w:t>
      </w:r>
      <w:r>
        <w:rPr>
          <w:rFonts w:hint="eastAsia" w:ascii="仿宋_GB2312" w:eastAsia="仿宋_GB2312"/>
          <w:color w:val="000000"/>
          <w:sz w:val="32"/>
          <w:szCs w:val="32"/>
        </w:rPr>
        <w:t>19年增加7.35万元，上升83.15</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主要原因为差旅费、维修维护费、办公设备购置费经费等有所增长。</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sz w:val="32"/>
          <w:szCs w:val="32"/>
        </w:rPr>
        <w:t>20</w:t>
      </w:r>
      <w:r>
        <w:rPr>
          <w:rFonts w:hint="eastAsia" w:ascii="仿宋_GB2312" w:eastAsia="仿宋_GB2312"/>
          <w:sz w:val="32"/>
          <w:szCs w:val="32"/>
        </w:rPr>
        <w:t>20年，政府采购支出总额17.5万元，其中：政府采购公开招标采购支出11.5万元、政府采购涉密采购支出5.33万元、政府采购商场直购支出0.67万元。主要用于浙江援藏干部入住我校学员宿舍购买电器、衣柜等设备。</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日，共有车辆1辆，为日常工作及应急保障用车。</w:t>
      </w:r>
      <w:r>
        <w:rPr>
          <w:rFonts w:hint="eastAsia" w:ascii="仿宋_GB2312" w:eastAsia="仿宋_GB2312"/>
          <w:b/>
          <w:color w:val="000000"/>
          <w:sz w:val="32"/>
          <w:szCs w:val="32"/>
        </w:rPr>
        <w:t xml:space="preserve">    </w:t>
      </w:r>
    </w:p>
    <w:p>
      <w:pPr>
        <w:numPr>
          <w:ilvl w:val="0"/>
          <w:numId w:val="7"/>
        </w:numPr>
        <w:spacing w:line="600" w:lineRule="exact"/>
        <w:ind w:firstLine="662" w:firstLineChars="150"/>
        <w:jc w:val="center"/>
        <w:outlineLvl w:val="0"/>
        <w:rPr>
          <w:rStyle w:val="18"/>
          <w:rFonts w:ascii="黑体" w:eastAsia="黑体"/>
          <w:b w:val="0"/>
        </w:rPr>
      </w:pPr>
      <w:bookmarkStart w:id="55" w:name="_Toc15377225"/>
      <w:bookmarkStart w:id="56" w:name="_Toc15396613"/>
      <w:r>
        <w:rPr>
          <w:rFonts w:hint="eastAsia" w:ascii="黑体" w:eastAsia="黑体"/>
          <w:b/>
          <w:color w:val="000000"/>
          <w:sz w:val="44"/>
          <w:szCs w:val="44"/>
        </w:rPr>
        <w:t>名</w:t>
      </w:r>
      <w:r>
        <w:rPr>
          <w:rStyle w:val="18"/>
          <w:rFonts w:hint="eastAsia" w:ascii="黑体" w:eastAsia="黑体"/>
          <w:b w:val="0"/>
        </w:rPr>
        <w:t>词解释</w:t>
      </w:r>
      <w:bookmarkEnd w:id="55"/>
      <w:bookmarkEnd w:id="56"/>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ind w:firstLine="0" w:firstLineChars="0"/>
        <w:rPr>
          <w:rFonts w:ascii="黑体" w:eastAsia="黑体"/>
          <w:color w:val="000000"/>
          <w:sz w:val="44"/>
          <w:szCs w:val="44"/>
        </w:rPr>
      </w:pPr>
      <w:bookmarkStart w:id="57" w:name="_Toc15396614"/>
      <w:bookmarkStart w:id="58" w:name="_Toc15377226"/>
    </w:p>
    <w:p>
      <w:pPr>
        <w:pStyle w:val="4"/>
        <w:rPr>
          <w:rStyle w:val="18"/>
          <w:rFonts w:ascii="仿宋" w:eastAsia="仿宋"/>
          <w:b w:val="0"/>
          <w:bCs w:val="0"/>
          <w:sz w:val="32"/>
          <w:szCs w:val="32"/>
        </w:rPr>
      </w:pPr>
      <w:bookmarkStart w:id="59" w:name="_Toc15396615"/>
      <w:r>
        <w:rPr>
          <w:rStyle w:val="18"/>
          <w:rFonts w:hint="eastAsia" w:ascii="仿宋" w:eastAsia="仿宋"/>
          <w:b w:val="0"/>
          <w:bCs w:val="0"/>
          <w:sz w:val="32"/>
          <w:szCs w:val="32"/>
        </w:rPr>
        <w:t>附件1</w:t>
      </w:r>
      <w:bookmarkEnd w:id="59"/>
    </w:p>
    <w:p>
      <w:pPr>
        <w:numPr>
          <w:ilvl w:val="0"/>
          <w:numId w:val="7"/>
        </w:numPr>
        <w:spacing w:line="600" w:lineRule="exact"/>
        <w:ind w:firstLine="660" w:firstLineChars="150"/>
        <w:jc w:val="center"/>
        <w:outlineLvl w:val="0"/>
        <w:rPr>
          <w:rStyle w:val="18"/>
          <w:rFonts w:ascii="黑体" w:eastAsia="黑体"/>
          <w:b w:val="0"/>
        </w:rPr>
      </w:pPr>
      <w:r>
        <w:rPr>
          <w:rStyle w:val="18"/>
          <w:rFonts w:hint="eastAsia" w:ascii="黑体" w:eastAsia="黑体"/>
          <w:b w:val="0"/>
        </w:rPr>
        <w:t>附件</w:t>
      </w:r>
      <w:bookmarkEnd w:id="57"/>
    </w:p>
    <w:bookmarkEnd w:id="58"/>
    <w:p>
      <w:pPr>
        <w:widowControl/>
        <w:spacing w:line="560" w:lineRule="exact"/>
        <w:rPr>
          <w:rFonts w:ascii="仿宋_GB2312" w:hAnsi="仿宋_GB2312" w:eastAsia="仿宋_GB2312" w:cs="仿宋_GB2312"/>
          <w:sz w:val="32"/>
          <w:szCs w:val="32"/>
        </w:rPr>
      </w:pPr>
    </w:p>
    <w:p>
      <w:pPr>
        <w:widowControl/>
        <w:spacing w:line="560" w:lineRule="exact"/>
        <w:jc w:val="center"/>
        <w:rPr>
          <w:rFonts w:ascii="黑体" w:hAnsi="黑体" w:eastAsia="黑体" w:cs="黑体"/>
          <w:sz w:val="44"/>
          <w:szCs w:val="44"/>
        </w:rPr>
      </w:pPr>
      <w:r>
        <w:rPr>
          <w:rFonts w:hint="eastAsia" w:ascii="黑体" w:hAnsi="黑体" w:eastAsia="黑体" w:cs="黑体"/>
          <w:sz w:val="44"/>
          <w:szCs w:val="44"/>
        </w:rPr>
        <w:t>中共金川县委党校</w:t>
      </w:r>
    </w:p>
    <w:p>
      <w:pPr>
        <w:widowControl/>
        <w:spacing w:line="560" w:lineRule="exact"/>
        <w:jc w:val="center"/>
        <w:rPr>
          <w:rFonts w:ascii="宋体" w:hAnsi="宋体" w:eastAsia="仿宋_GB2312"/>
          <w:bCs/>
          <w:sz w:val="32"/>
          <w:szCs w:val="32"/>
        </w:rPr>
      </w:pPr>
      <w:r>
        <w:rPr>
          <w:rFonts w:ascii="黑体" w:hAnsi="黑体" w:eastAsia="黑体" w:cs="黑体"/>
          <w:sz w:val="44"/>
          <w:szCs w:val="44"/>
        </w:rPr>
        <w:t>20</w:t>
      </w:r>
      <w:r>
        <w:rPr>
          <w:rFonts w:hint="eastAsia" w:ascii="黑体" w:hAnsi="黑体" w:eastAsia="黑体" w:cs="黑体"/>
          <w:sz w:val="44"/>
          <w:szCs w:val="44"/>
        </w:rPr>
        <w:t>20年整体支出绩效报告</w:t>
      </w:r>
    </w:p>
    <w:p>
      <w:pPr>
        <w:widowControl/>
        <w:adjustRightInd w:val="0"/>
        <w:snapToGrid w:val="0"/>
        <w:spacing w:line="600" w:lineRule="exact"/>
        <w:ind w:firstLine="720"/>
        <w:jc w:val="left"/>
        <w:rPr>
          <w:rFonts w:ascii="宋体" w:hAnsi="宋体" w:eastAsia="仿宋_GB2312"/>
          <w:bCs/>
          <w:sz w:val="32"/>
          <w:szCs w:val="32"/>
        </w:rPr>
      </w:pPr>
    </w:p>
    <w:p>
      <w:pPr>
        <w:widowControl/>
        <w:adjustRightInd w:val="0"/>
        <w:snapToGrid w:val="0"/>
        <w:spacing w:line="600" w:lineRule="exact"/>
        <w:ind w:firstLine="720"/>
        <w:jc w:val="left"/>
        <w:rPr>
          <w:rFonts w:ascii="宋体" w:hAnsi="宋体" w:eastAsia="仿宋_GB2312"/>
          <w:bCs/>
          <w:sz w:val="32"/>
          <w:szCs w:val="32"/>
        </w:rPr>
      </w:pPr>
      <w:r>
        <w:rPr>
          <w:rFonts w:hint="eastAsia" w:ascii="宋体" w:hAnsi="宋体" w:eastAsia="仿宋_GB2312"/>
          <w:bCs/>
          <w:sz w:val="32"/>
          <w:szCs w:val="32"/>
        </w:rPr>
        <w:t>根据金财监绩﹝2021﹞26号金川县财政局关于开展2021年财政支出绩效评价工作的通知，为了贯彻落实《</w:t>
      </w:r>
      <w:r>
        <w:rPr>
          <w:rFonts w:hint="eastAsia" w:ascii="宋体" w:hAnsi="宋体" w:eastAsia="仿宋_GB2312"/>
          <w:bCs/>
          <w:sz w:val="32"/>
          <w:szCs w:val="32"/>
          <w:lang w:eastAsia="zh-CN"/>
        </w:rPr>
        <w:t>中华人民共和国预算法</w:t>
      </w:r>
      <w:r>
        <w:rPr>
          <w:rFonts w:hint="eastAsia" w:ascii="宋体" w:hAnsi="宋体" w:eastAsia="仿宋_GB2312"/>
          <w:bCs/>
          <w:sz w:val="32"/>
          <w:szCs w:val="32"/>
        </w:rPr>
        <w:t>》关于开展财政绩效工作的规定和</w:t>
      </w:r>
      <w:r>
        <w:rPr>
          <w:rFonts w:hint="eastAsia" w:ascii="宋体" w:hAnsi="宋体" w:eastAsia="仿宋_GB2312"/>
          <w:bCs/>
          <w:sz w:val="32"/>
          <w:szCs w:val="32"/>
          <w:lang w:eastAsia="zh-CN"/>
        </w:rPr>
        <w:t>党的十九大</w:t>
      </w:r>
      <w:r>
        <w:rPr>
          <w:rFonts w:hint="eastAsia" w:ascii="宋体" w:hAnsi="宋体" w:eastAsia="仿宋_GB2312"/>
          <w:bCs/>
          <w:sz w:val="32"/>
          <w:szCs w:val="32"/>
        </w:rPr>
        <w:t>关于“全面实施绩效管理工作”的要求，我校积极开展做好绩效评价工作，整体支出绩效报告。</w:t>
      </w:r>
    </w:p>
    <w:p>
      <w:pPr>
        <w:widowControl/>
        <w:adjustRightInd w:val="0"/>
        <w:snapToGrid w:val="0"/>
        <w:spacing w:line="600" w:lineRule="exact"/>
        <w:ind w:firstLine="720"/>
        <w:jc w:val="left"/>
        <w:rPr>
          <w:rFonts w:ascii="黑体" w:hAnsi="黑体" w:eastAsia="黑体" w:cs="黑体"/>
          <w:bCs/>
          <w:sz w:val="32"/>
          <w:szCs w:val="32"/>
          <w:lang w:val="zh-CN"/>
        </w:rPr>
      </w:pPr>
      <w:r>
        <w:rPr>
          <w:rFonts w:hint="eastAsia" w:ascii="黑体" w:hAnsi="黑体" w:eastAsia="黑体" w:cs="黑体"/>
          <w:bCs/>
          <w:sz w:val="32"/>
          <w:szCs w:val="32"/>
        </w:rPr>
        <w:t>一、</w:t>
      </w:r>
      <w:r>
        <w:rPr>
          <w:rFonts w:hint="eastAsia" w:ascii="黑体" w:hAnsi="黑体" w:eastAsia="黑体" w:cs="黑体"/>
          <w:bCs/>
          <w:sz w:val="32"/>
          <w:szCs w:val="32"/>
          <w:lang w:val="zh-CN"/>
        </w:rPr>
        <w:t>部门（单位）概况</w:t>
      </w:r>
    </w:p>
    <w:p>
      <w:pPr>
        <w:widowControl/>
        <w:adjustRightInd w:val="0"/>
        <w:snapToGrid w:val="0"/>
        <w:spacing w:line="600" w:lineRule="exact"/>
        <w:ind w:firstLine="720"/>
        <w:jc w:val="left"/>
        <w:rPr>
          <w:rFonts w:ascii="宋体" w:hAnsi="宋体" w:eastAsia="仿宋_GB2312"/>
          <w:b/>
          <w:sz w:val="32"/>
          <w:szCs w:val="32"/>
        </w:rPr>
      </w:pPr>
      <w:r>
        <w:rPr>
          <w:rFonts w:hint="eastAsia" w:ascii="宋体" w:hAnsi="宋体" w:eastAsia="仿宋_GB2312"/>
          <w:b/>
          <w:sz w:val="32"/>
          <w:szCs w:val="32"/>
        </w:rPr>
        <w:t>（一）机构组成。</w:t>
      </w:r>
    </w:p>
    <w:p>
      <w:pPr>
        <w:widowControl/>
        <w:adjustRightInd w:val="0"/>
        <w:snapToGrid w:val="0"/>
        <w:spacing w:line="600" w:lineRule="exact"/>
        <w:ind w:firstLine="720"/>
        <w:jc w:val="left"/>
        <w:rPr>
          <w:rFonts w:ascii="宋体" w:hAnsi="宋体" w:eastAsia="仿宋_GB2312"/>
          <w:bCs/>
          <w:sz w:val="32"/>
          <w:szCs w:val="32"/>
          <w:lang w:val="zh-CN"/>
        </w:rPr>
      </w:pPr>
      <w:r>
        <w:rPr>
          <w:rFonts w:hint="eastAsia" w:ascii="宋体" w:hAnsi="宋体" w:eastAsia="仿宋_GB2312"/>
          <w:bCs/>
          <w:sz w:val="32"/>
          <w:szCs w:val="32"/>
        </w:rPr>
        <w:t>四川省阿坝州中共金川县委党校属参公事业单位1个，独立编制机构数1个，独立核算机构数1个。</w:t>
      </w:r>
    </w:p>
    <w:p>
      <w:pPr>
        <w:widowControl/>
        <w:adjustRightInd w:val="0"/>
        <w:snapToGrid w:val="0"/>
        <w:spacing w:line="600" w:lineRule="exact"/>
        <w:ind w:firstLine="720"/>
        <w:jc w:val="left"/>
        <w:rPr>
          <w:rFonts w:ascii="宋体" w:hAnsi="宋体" w:eastAsia="仿宋_GB2312"/>
          <w:b/>
          <w:sz w:val="32"/>
          <w:szCs w:val="32"/>
          <w:lang w:val="zh-CN"/>
        </w:rPr>
      </w:pPr>
      <w:r>
        <w:rPr>
          <w:rFonts w:hint="eastAsia" w:ascii="宋体" w:hAnsi="宋体" w:eastAsia="仿宋_GB2312"/>
          <w:b/>
          <w:sz w:val="32"/>
          <w:szCs w:val="32"/>
          <w:lang w:val="zh-CN"/>
        </w:rPr>
        <w:t>（二）机构职能。</w:t>
      </w:r>
    </w:p>
    <w:p>
      <w:pPr>
        <w:widowControl/>
        <w:adjustRightInd w:val="0"/>
        <w:snapToGrid w:val="0"/>
        <w:spacing w:line="600" w:lineRule="exact"/>
        <w:ind w:firstLine="720"/>
        <w:jc w:val="left"/>
        <w:rPr>
          <w:rFonts w:ascii="宋体" w:hAnsi="宋体" w:eastAsia="仿宋_GB2312"/>
          <w:bCs/>
          <w:sz w:val="32"/>
          <w:szCs w:val="32"/>
        </w:rPr>
      </w:pPr>
      <w:r>
        <w:rPr>
          <w:rFonts w:hint="eastAsia" w:ascii="宋体" w:hAnsi="宋体" w:eastAsia="仿宋_GB2312"/>
          <w:bCs/>
          <w:sz w:val="32"/>
          <w:szCs w:val="32"/>
        </w:rPr>
        <w:t xml:space="preserve">贯彻执行党和国家关于预算、税收、行政事业单位国有资产、财务、会计等法律、法规、规章和方针、政策。根据党校国民经济和社会发展战略，编制中长期财政计划。推进财政改革，提出运用财政政策实施宏观调控和综合平衡社会财力的建议。编制年度党校本级财政预决算草案，经批准后组织执行。编制年度财政预算，决算。管理好各项财政收入和各项财政支出。制定并组织实施社会保障资金的财务管理制度。一是根据《党校工作条例》以及党和国家有党校工作的方针、政策、法规文件规定，主要职责是：加强我县各种培训的理论策及法律、法规，宣传到群众中去。二是制定全县党校事业发展的中长期规划和年度计划并组织实施。                             </w:t>
      </w:r>
    </w:p>
    <w:p>
      <w:pPr>
        <w:widowControl/>
        <w:adjustRightInd w:val="0"/>
        <w:snapToGrid w:val="0"/>
        <w:spacing w:line="600" w:lineRule="exact"/>
        <w:ind w:firstLine="720"/>
        <w:jc w:val="left"/>
        <w:rPr>
          <w:rFonts w:ascii="宋体" w:hAnsi="宋体" w:eastAsia="仿宋_GB2312"/>
          <w:bCs/>
          <w:sz w:val="32"/>
          <w:szCs w:val="32"/>
          <w:lang w:val="zh-CN"/>
        </w:rPr>
      </w:pPr>
      <w:r>
        <w:rPr>
          <w:rFonts w:hint="eastAsia" w:ascii="宋体" w:hAnsi="宋体" w:eastAsia="仿宋_GB2312"/>
          <w:b/>
          <w:sz w:val="32"/>
          <w:szCs w:val="32"/>
          <w:lang w:val="zh-CN"/>
        </w:rPr>
        <w:t>（</w:t>
      </w:r>
      <w:r>
        <w:rPr>
          <w:rFonts w:hint="eastAsia" w:ascii="宋体" w:hAnsi="宋体" w:eastAsia="仿宋_GB2312"/>
          <w:b/>
          <w:sz w:val="32"/>
          <w:szCs w:val="32"/>
        </w:rPr>
        <w:t>三</w:t>
      </w:r>
      <w:r>
        <w:rPr>
          <w:rFonts w:hint="eastAsia" w:ascii="宋体" w:hAnsi="宋体" w:eastAsia="仿宋_GB2312"/>
          <w:b/>
          <w:sz w:val="32"/>
          <w:szCs w:val="32"/>
          <w:lang w:val="zh-CN"/>
        </w:rPr>
        <w:t>）</w:t>
      </w:r>
      <w:r>
        <w:rPr>
          <w:rFonts w:hint="eastAsia" w:ascii="宋体" w:hAnsi="宋体" w:eastAsia="仿宋_GB2312"/>
          <w:bCs/>
          <w:sz w:val="32"/>
          <w:szCs w:val="32"/>
          <w:lang w:val="zh-CN"/>
        </w:rPr>
        <w:t>人员概况。</w:t>
      </w:r>
    </w:p>
    <w:p>
      <w:pPr>
        <w:spacing w:line="48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我校是独立编制机构，独立核算机构数1个，单位编制数12个，其中事业编制7名；事业编制（参公）4名。工勤1人，截止2020年末，单位实有人数10人，其中：在职10人（参公人员3人、其他事业人员6人）。</w:t>
      </w:r>
    </w:p>
    <w:p>
      <w:pPr>
        <w:widowControl/>
        <w:adjustRightInd w:val="0"/>
        <w:snapToGrid w:val="0"/>
        <w:spacing w:line="600" w:lineRule="exact"/>
        <w:ind w:firstLine="720"/>
        <w:jc w:val="left"/>
        <w:rPr>
          <w:rFonts w:ascii="黑体" w:hAnsi="黑体" w:eastAsia="黑体" w:cs="黑体"/>
          <w:bCs/>
          <w:sz w:val="32"/>
          <w:szCs w:val="32"/>
        </w:rPr>
      </w:pPr>
      <w:r>
        <w:rPr>
          <w:rFonts w:hint="eastAsia" w:ascii="黑体" w:hAnsi="黑体" w:eastAsia="黑体" w:cs="黑体"/>
          <w:bCs/>
          <w:sz w:val="32"/>
          <w:szCs w:val="32"/>
        </w:rPr>
        <w:t>二、部门财政资金收支情况</w:t>
      </w:r>
    </w:p>
    <w:p>
      <w:pPr>
        <w:widowControl/>
        <w:adjustRightInd w:val="0"/>
        <w:snapToGrid w:val="0"/>
        <w:spacing w:line="600" w:lineRule="exact"/>
        <w:ind w:firstLine="720"/>
        <w:jc w:val="left"/>
        <w:rPr>
          <w:rFonts w:ascii="宋体" w:hAnsi="宋体" w:eastAsia="仿宋_GB2312"/>
          <w:b/>
          <w:sz w:val="32"/>
          <w:szCs w:val="32"/>
          <w:lang w:val="zh-CN"/>
        </w:rPr>
      </w:pPr>
      <w:r>
        <w:rPr>
          <w:rFonts w:hint="eastAsia" w:ascii="宋体" w:hAnsi="宋体" w:eastAsia="仿宋_GB2312"/>
          <w:b/>
          <w:sz w:val="32"/>
          <w:szCs w:val="32"/>
          <w:lang w:val="zh-CN"/>
        </w:rPr>
        <w:t>（一）部门财政资金收入情况。</w:t>
      </w:r>
    </w:p>
    <w:p>
      <w:pPr>
        <w:pStyle w:val="26"/>
        <w:shd w:val="clear" w:color="auto" w:fill="FFFFFF"/>
        <w:spacing w:before="0" w:beforeAutospacing="0" w:after="0" w:afterAutospacing="0" w:line="450" w:lineRule="atLeast"/>
        <w:ind w:firstLine="640" w:firstLineChars="200"/>
        <w:rPr>
          <w:rFonts w:ascii="仿宋_GB2312" w:hAnsi="Times New Roman" w:eastAsia="仿宋_GB2312" w:cs="Times New Roman"/>
          <w:kern w:val="2"/>
          <w:sz w:val="32"/>
          <w:szCs w:val="32"/>
        </w:rPr>
      </w:pPr>
      <w:r>
        <w:rPr>
          <w:rFonts w:hint="eastAsia" w:ascii="仿宋_GB2312" w:hAnsi="Times New Roman" w:eastAsia="仿宋_GB2312" w:cs="Times New Roman"/>
          <w:sz w:val="32"/>
          <w:szCs w:val="32"/>
        </w:rPr>
        <w:t>1、2020年我单位一般公共预算财政拨款收总收入合计217.81万元，其中：财政拨款收入217.81万元。收入预算数总计为217.81万元，分别是教育</w:t>
      </w:r>
      <w:r>
        <w:rPr>
          <w:rFonts w:hint="eastAsia" w:ascii="仿宋_GB2312" w:hAnsi="Times New Roman" w:eastAsia="仿宋_GB2312" w:cs="Times New Roman"/>
          <w:kern w:val="2"/>
          <w:sz w:val="32"/>
          <w:szCs w:val="32"/>
        </w:rPr>
        <w:t>121.95万元、医疗卫生与计划生育支出10.33万元，住房公积金12.73万元，社会保障和就业支出25.45万元。</w:t>
      </w:r>
    </w:p>
    <w:p>
      <w:pPr>
        <w:spacing w:line="560" w:lineRule="exact"/>
        <w:ind w:firstLine="645"/>
        <w:rPr>
          <w:rFonts w:ascii="仿宋_GB2312" w:hAnsi="仿宋"/>
          <w:color w:val="000000"/>
          <w:kern w:val="0"/>
          <w:shd w:val="clear" w:color="auto" w:fill="FFFFFF"/>
        </w:rPr>
      </w:pPr>
      <w:r>
        <w:rPr>
          <w:rFonts w:hint="eastAsia" w:ascii="仿宋_GB2312" w:eastAsia="仿宋_GB2312"/>
          <w:sz w:val="32"/>
          <w:szCs w:val="32"/>
        </w:rPr>
        <w:t>人员经费159.38万元和日常公用经费11.08万元。</w:t>
      </w:r>
      <w:r>
        <w:rPr>
          <w:rFonts w:ascii="宋体" w:hAnsi="宋体" w:cs="仿宋_GB2312"/>
          <w:color w:val="000000"/>
        </w:rPr>
        <w:t xml:space="preserve">    </w:t>
      </w:r>
    </w:p>
    <w:p>
      <w:pPr>
        <w:widowControl/>
        <w:adjustRightInd w:val="0"/>
        <w:snapToGrid w:val="0"/>
        <w:spacing w:line="600" w:lineRule="exact"/>
        <w:jc w:val="left"/>
        <w:rPr>
          <w:rFonts w:ascii="仿宋_GB2312" w:eastAsia="仿宋_GB2312"/>
          <w:sz w:val="32"/>
          <w:szCs w:val="32"/>
        </w:rPr>
      </w:pPr>
      <w:r>
        <w:rPr>
          <w:rFonts w:hint="eastAsia" w:ascii="仿宋_GB2312" w:eastAsia="仿宋_GB2312"/>
          <w:sz w:val="32"/>
          <w:szCs w:val="32"/>
        </w:rPr>
        <w:t>（2）302商品服务收入：16.19万元；电费0.10万元、办公费4.88万元，邮电费0.7万元，公务用车维护费1万元，维护费6.万元，差旅费：2.1万元，劳务费0.5万元</w:t>
      </w:r>
    </w:p>
    <w:p>
      <w:pPr>
        <w:widowControl/>
        <w:adjustRightInd w:val="0"/>
        <w:snapToGrid w:val="0"/>
        <w:spacing w:line="600" w:lineRule="exact"/>
        <w:ind w:firstLine="720"/>
        <w:jc w:val="left"/>
        <w:rPr>
          <w:rFonts w:ascii="宋体" w:hAnsi="宋体" w:eastAsia="仿宋_GB2312"/>
          <w:b/>
          <w:sz w:val="32"/>
          <w:szCs w:val="32"/>
          <w:lang w:val="zh-CN"/>
        </w:rPr>
      </w:pPr>
      <w:r>
        <w:rPr>
          <w:rFonts w:hint="eastAsia" w:ascii="宋体" w:hAnsi="宋体" w:eastAsia="仿宋_GB2312"/>
          <w:b/>
          <w:sz w:val="32"/>
          <w:szCs w:val="32"/>
          <w:lang w:val="zh-CN"/>
        </w:rPr>
        <w:t>（</w:t>
      </w:r>
      <w:r>
        <w:rPr>
          <w:rFonts w:hint="eastAsia" w:ascii="宋体" w:hAnsi="宋体" w:eastAsia="仿宋_GB2312"/>
          <w:b/>
          <w:sz w:val="32"/>
          <w:szCs w:val="32"/>
        </w:rPr>
        <w:t>二</w:t>
      </w:r>
      <w:r>
        <w:rPr>
          <w:rFonts w:hint="eastAsia" w:ascii="宋体" w:hAnsi="宋体" w:eastAsia="仿宋_GB2312"/>
          <w:b/>
          <w:sz w:val="32"/>
          <w:szCs w:val="32"/>
          <w:lang w:val="zh-CN"/>
        </w:rPr>
        <w:t>）部门财政资金支出情况。</w:t>
      </w:r>
    </w:p>
    <w:p>
      <w:pPr>
        <w:pStyle w:val="26"/>
        <w:shd w:val="clear" w:color="auto" w:fill="FFFFFF"/>
        <w:spacing w:before="0" w:beforeAutospacing="0" w:after="0" w:afterAutospacing="0" w:line="450" w:lineRule="atLeast"/>
        <w:ind w:firstLine="640" w:firstLineChars="200"/>
        <w:rPr>
          <w:rFonts w:ascii="仿宋_GB2312" w:hAnsi="Times New Roman" w:eastAsia="仿宋_GB2312" w:cs="Times New Roman"/>
          <w:kern w:val="2"/>
          <w:sz w:val="32"/>
          <w:szCs w:val="32"/>
        </w:rPr>
      </w:pPr>
      <w:r>
        <w:rPr>
          <w:rFonts w:hint="eastAsia" w:eastAsia="仿宋_GB2312" w:cs="Times New Roman"/>
          <w:bCs/>
          <w:sz w:val="32"/>
          <w:szCs w:val="32"/>
        </w:rPr>
        <w:t>1、2020年我单位一般公共预算财政拨款基本支出</w:t>
      </w:r>
      <w:r>
        <w:rPr>
          <w:rFonts w:hint="eastAsia" w:ascii="仿宋_GB2312" w:hAnsi="Times New Roman" w:eastAsia="仿宋_GB2312" w:cs="Times New Roman"/>
          <w:sz w:val="32"/>
          <w:szCs w:val="32"/>
        </w:rPr>
        <w:t>217.81</w:t>
      </w:r>
      <w:r>
        <w:rPr>
          <w:rFonts w:hint="eastAsia" w:eastAsia="仿宋_GB2312" w:cs="Times New Roman"/>
          <w:bCs/>
          <w:sz w:val="32"/>
          <w:szCs w:val="32"/>
        </w:rPr>
        <w:t>万元，其中：</w:t>
      </w:r>
      <w:r>
        <w:rPr>
          <w:rFonts w:hint="eastAsia" w:ascii="仿宋_GB2312" w:hAnsi="Times New Roman" w:eastAsia="仿宋_GB2312" w:cs="Times New Roman"/>
          <w:sz w:val="32"/>
          <w:szCs w:val="32"/>
        </w:rPr>
        <w:t>财政拨款支出217.81万元。支出预算数总计为217.81万元，分别是教育</w:t>
      </w:r>
      <w:r>
        <w:rPr>
          <w:rFonts w:hint="eastAsia" w:ascii="仿宋_GB2312" w:hAnsi="Times New Roman" w:eastAsia="仿宋_GB2312" w:cs="Times New Roman"/>
          <w:kern w:val="2"/>
          <w:sz w:val="32"/>
          <w:szCs w:val="32"/>
        </w:rPr>
        <w:t>121.95万元、10.33万元，住房公积金12.73万元，社会保障和就业支出25.45万元。</w:t>
      </w:r>
    </w:p>
    <w:p>
      <w:pPr>
        <w:spacing w:line="560" w:lineRule="exact"/>
        <w:rPr>
          <w:rFonts w:ascii="仿宋_GB2312" w:hAnsi="仿宋"/>
          <w:color w:val="000000"/>
          <w:kern w:val="0"/>
          <w:shd w:val="clear" w:color="auto" w:fill="FFFFFF"/>
        </w:rPr>
      </w:pPr>
      <w:r>
        <w:rPr>
          <w:rFonts w:hint="eastAsia" w:ascii="仿宋_GB2312" w:eastAsia="仿宋_GB2312"/>
          <w:sz w:val="32"/>
          <w:szCs w:val="32"/>
        </w:rPr>
        <w:t>人员经费159.38万元和日常公用经费11.08万元。</w:t>
      </w:r>
      <w:r>
        <w:rPr>
          <w:rFonts w:ascii="宋体" w:hAnsi="宋体" w:cs="仿宋_GB2312"/>
          <w:color w:val="000000"/>
        </w:rPr>
        <w:t xml:space="preserve">       </w:t>
      </w:r>
    </w:p>
    <w:p>
      <w:pPr>
        <w:widowControl/>
        <w:adjustRightInd w:val="0"/>
        <w:snapToGrid w:val="0"/>
        <w:spacing w:line="600" w:lineRule="exact"/>
        <w:jc w:val="left"/>
        <w:rPr>
          <w:rFonts w:ascii="仿宋_GB2312" w:eastAsia="仿宋_GB2312"/>
          <w:sz w:val="32"/>
          <w:szCs w:val="32"/>
        </w:rPr>
      </w:pPr>
      <w:r>
        <w:rPr>
          <w:rFonts w:hint="eastAsia" w:ascii="仿宋_GB2312" w:eastAsia="仿宋_GB2312"/>
          <w:sz w:val="32"/>
          <w:szCs w:val="32"/>
        </w:rPr>
        <w:t>（2）302商品服务支出：16.19万元；电费0.10万元、办公费4.88万元，邮电费0.7万元，公务用车维护费1万元，维护费6.万元，差旅费：2.1万元，劳务费0.5万元</w:t>
      </w:r>
    </w:p>
    <w:p>
      <w:pPr>
        <w:widowControl/>
        <w:adjustRightInd w:val="0"/>
        <w:snapToGrid w:val="0"/>
        <w:spacing w:line="560" w:lineRule="exact"/>
        <w:ind w:firstLine="720"/>
        <w:jc w:val="left"/>
        <w:rPr>
          <w:rFonts w:ascii="黑体" w:hAnsi="黑体" w:eastAsia="黑体" w:cs="黑体"/>
          <w:bCs/>
          <w:sz w:val="32"/>
          <w:szCs w:val="32"/>
        </w:rPr>
      </w:pPr>
      <w:r>
        <w:rPr>
          <w:rFonts w:hint="eastAsia" w:ascii="黑体" w:hAnsi="黑体" w:eastAsia="黑体" w:cs="黑体"/>
          <w:bCs/>
          <w:sz w:val="32"/>
          <w:szCs w:val="32"/>
        </w:rPr>
        <w:t>三、部门财政支出管理情况</w:t>
      </w:r>
    </w:p>
    <w:p>
      <w:pPr>
        <w:widowControl/>
        <w:adjustRightInd w:val="0"/>
        <w:snapToGrid w:val="0"/>
        <w:spacing w:line="560" w:lineRule="exact"/>
        <w:ind w:firstLine="720"/>
        <w:jc w:val="left"/>
        <w:rPr>
          <w:rFonts w:ascii="宋体" w:hAnsi="宋体" w:eastAsia="仿宋_GB2312"/>
          <w:b/>
          <w:sz w:val="32"/>
          <w:szCs w:val="32"/>
          <w:lang w:val="zh-CN"/>
        </w:rPr>
      </w:pPr>
      <w:r>
        <w:rPr>
          <w:rFonts w:hint="eastAsia" w:ascii="宋体" w:hAnsi="宋体" w:eastAsia="仿宋_GB2312"/>
          <w:b/>
          <w:sz w:val="32"/>
          <w:szCs w:val="32"/>
          <w:lang w:val="zh-CN"/>
        </w:rPr>
        <w:t>（一）预算编制情况。</w:t>
      </w:r>
    </w:p>
    <w:p>
      <w:pPr>
        <w:widowControl/>
        <w:adjustRightInd w:val="0"/>
        <w:snapToGrid w:val="0"/>
        <w:spacing w:line="560" w:lineRule="exact"/>
        <w:ind w:firstLine="720"/>
        <w:jc w:val="left"/>
        <w:rPr>
          <w:rFonts w:ascii="仿宋_GB2312" w:eastAsia="仿宋_GB2312"/>
          <w:sz w:val="32"/>
          <w:szCs w:val="32"/>
          <w:lang w:val="zh-CN"/>
        </w:rPr>
      </w:pPr>
      <w:r>
        <w:rPr>
          <w:rFonts w:hint="eastAsia" w:ascii="仿宋_GB2312" w:eastAsia="仿宋_GB2312"/>
          <w:sz w:val="32"/>
          <w:szCs w:val="32"/>
        </w:rPr>
        <w:t>严格按照县级部门预算编制通知和有关文件要求，按时完成各项报送工作，预算编制中，特别注意对预算编制准确性的把握，并严格按照要求进行预算执行调整。按时完成待批复提前细化。2020年按编制标准我单位在职实有人数：10人。本单位预算在财政部门批复后及时填报预算公示报表报财政审核在政府信息公开网上公示。</w:t>
      </w:r>
    </w:p>
    <w:p>
      <w:pPr>
        <w:widowControl/>
        <w:adjustRightInd w:val="0"/>
        <w:snapToGrid w:val="0"/>
        <w:spacing w:line="560" w:lineRule="exact"/>
        <w:ind w:firstLine="720"/>
        <w:jc w:val="left"/>
        <w:rPr>
          <w:rFonts w:ascii="宋体" w:hAnsi="宋体" w:eastAsia="仿宋_GB2312"/>
          <w:b/>
          <w:sz w:val="32"/>
          <w:szCs w:val="32"/>
          <w:lang w:val="zh-CN"/>
        </w:rPr>
      </w:pPr>
      <w:r>
        <w:rPr>
          <w:rFonts w:hint="eastAsia" w:ascii="宋体" w:hAnsi="宋体" w:eastAsia="仿宋_GB2312"/>
          <w:b/>
          <w:sz w:val="32"/>
          <w:szCs w:val="32"/>
          <w:lang w:val="zh-CN"/>
        </w:rPr>
        <w:t>（二）执行管理情况。</w:t>
      </w:r>
      <w:r>
        <w:rPr>
          <w:rFonts w:hint="eastAsia" w:ascii="宋体" w:hAnsi="宋体" w:eastAsia="仿宋_GB2312"/>
          <w:b/>
          <w:sz w:val="32"/>
          <w:szCs w:val="32"/>
          <w:lang w:val="zh-CN"/>
        </w:rPr>
        <w:tab/>
      </w:r>
    </w:p>
    <w:p>
      <w:pPr>
        <w:widowControl/>
        <w:adjustRightInd w:val="0"/>
        <w:snapToGrid w:val="0"/>
        <w:spacing w:line="560" w:lineRule="exact"/>
        <w:ind w:firstLine="640" w:firstLineChars="200"/>
        <w:jc w:val="left"/>
        <w:rPr>
          <w:rFonts w:ascii="宋体" w:hAnsi="宋体" w:eastAsia="仿宋_GB2312"/>
          <w:bCs/>
          <w:sz w:val="32"/>
          <w:szCs w:val="32"/>
          <w:lang w:val="zh-CN"/>
        </w:rPr>
      </w:pPr>
      <w:r>
        <w:rPr>
          <w:rFonts w:hint="eastAsia" w:ascii="宋体" w:hAnsi="宋体" w:eastAsia="仿宋_GB2312"/>
          <w:bCs/>
          <w:sz w:val="32"/>
          <w:szCs w:val="32"/>
        </w:rPr>
        <w:t>我校对资金进行严格的管理，特别对上级拨付的专项资金做到专款专用，“三公”经费严格按照</w:t>
      </w:r>
      <w:r>
        <w:rPr>
          <w:rFonts w:hint="eastAsia" w:ascii="宋体" w:hAnsi="宋体" w:eastAsia="仿宋_GB2312"/>
          <w:bCs/>
          <w:sz w:val="32"/>
          <w:szCs w:val="32"/>
          <w:lang w:eastAsia="zh-CN"/>
        </w:rPr>
        <w:t>中央八项规定</w:t>
      </w:r>
      <w:r>
        <w:rPr>
          <w:rFonts w:hint="eastAsia" w:ascii="宋体" w:hAnsi="宋体" w:eastAsia="仿宋_GB2312"/>
          <w:bCs/>
          <w:sz w:val="32"/>
          <w:szCs w:val="32"/>
        </w:rPr>
        <w:t>执行。</w:t>
      </w:r>
    </w:p>
    <w:p>
      <w:pPr>
        <w:widowControl/>
        <w:adjustRightInd w:val="0"/>
        <w:snapToGrid w:val="0"/>
        <w:spacing w:line="560" w:lineRule="exact"/>
        <w:ind w:firstLine="720"/>
        <w:jc w:val="left"/>
        <w:rPr>
          <w:rFonts w:ascii="宋体" w:hAnsi="宋体" w:eastAsia="仿宋_GB2312"/>
          <w:b/>
          <w:sz w:val="32"/>
          <w:szCs w:val="32"/>
          <w:lang w:val="zh-CN"/>
        </w:rPr>
      </w:pPr>
      <w:r>
        <w:rPr>
          <w:rFonts w:hint="eastAsia" w:ascii="宋体" w:hAnsi="宋体" w:eastAsia="仿宋_GB2312"/>
          <w:b/>
          <w:sz w:val="32"/>
          <w:szCs w:val="32"/>
          <w:lang w:val="zh-CN"/>
        </w:rPr>
        <w:t>（三）综合管理情况。</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资产管理：完善管理制度，进一步加强资产管理。</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内控制度管理：按照国家的法律法规加强预算管理，不断完善内控制度并良好执行，本单位没有出现廉政风险或发生重大责任事故。</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信息公开：每年按财政通知要求在财政部门批复后二十日内向社会公开本部门预决算（含所有财政资金安排的“三公”经费、机关运行经费的安排、使用情况等）</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绩效评价：编制了绩效评价及接受了财政监督。</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我校对资金进行严格的管理，特别对上级拨付的专项资金做到专款专用，“三公”经费严格按照</w:t>
      </w:r>
      <w:r>
        <w:rPr>
          <w:rFonts w:hint="eastAsia" w:ascii="宋体" w:hAnsi="宋体" w:eastAsia="仿宋_GB2312"/>
          <w:bCs/>
          <w:sz w:val="32"/>
          <w:szCs w:val="32"/>
          <w:lang w:eastAsia="zh-CN"/>
        </w:rPr>
        <w:t>中央八项规定</w:t>
      </w:r>
      <w:r>
        <w:rPr>
          <w:rFonts w:hint="eastAsia" w:ascii="宋体" w:hAnsi="宋体" w:eastAsia="仿宋_GB2312"/>
          <w:bCs/>
          <w:sz w:val="32"/>
          <w:szCs w:val="32"/>
        </w:rPr>
        <w:t>执行。严格实施采购政策计划、</w:t>
      </w:r>
      <w:r>
        <w:rPr>
          <w:rFonts w:hint="eastAsia" w:ascii="宋体" w:hAnsi="宋体" w:eastAsia="仿宋_GB2312"/>
          <w:bCs/>
          <w:sz w:val="32"/>
          <w:szCs w:val="32"/>
          <w:lang w:val="zh-CN"/>
        </w:rPr>
        <w:t>资产管理、内控制度管理、信息公开、绩效评价，依法接受财政监督。</w:t>
      </w:r>
    </w:p>
    <w:p>
      <w:pPr>
        <w:widowControl/>
        <w:adjustRightInd w:val="0"/>
        <w:snapToGrid w:val="0"/>
        <w:spacing w:line="560" w:lineRule="exact"/>
        <w:ind w:firstLine="720"/>
        <w:jc w:val="left"/>
        <w:rPr>
          <w:rFonts w:ascii="宋体" w:hAnsi="宋体" w:eastAsia="仿宋_GB2312"/>
          <w:b/>
          <w:sz w:val="32"/>
          <w:szCs w:val="32"/>
          <w:lang w:val="zh-CN"/>
        </w:rPr>
      </w:pPr>
      <w:r>
        <w:rPr>
          <w:rFonts w:hint="eastAsia" w:ascii="宋体" w:hAnsi="宋体" w:eastAsia="仿宋_GB2312"/>
          <w:b/>
          <w:sz w:val="32"/>
          <w:szCs w:val="32"/>
          <w:lang w:val="zh-CN"/>
        </w:rPr>
        <w:t>（四）整体绩效。</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通过加强预算收支的管理，不断建立健全内部管理制度，理顺内部管理流程，部门整体支出管理情况得到了提升。部门整体支出绩效情况如下：</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1、本年预算安排控制较好，控制在预算编制。</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2、预算执行方面，支出总额控制在预算总额以内。本年无转移资金支付，不存在截留或滞留专项资金情况。　</w:t>
      </w:r>
    </w:p>
    <w:p>
      <w:pPr>
        <w:widowControl/>
        <w:adjustRightInd w:val="0"/>
        <w:snapToGrid w:val="0"/>
        <w:spacing w:line="560" w:lineRule="exact"/>
        <w:ind w:firstLine="640" w:firstLineChars="200"/>
        <w:jc w:val="left"/>
        <w:rPr>
          <w:rFonts w:ascii="宋体" w:hAnsi="宋体" w:eastAsia="仿宋_GB2312"/>
          <w:bCs/>
          <w:sz w:val="32"/>
          <w:szCs w:val="32"/>
        </w:rPr>
      </w:pPr>
      <w:r>
        <w:rPr>
          <w:rFonts w:hint="eastAsia" w:ascii="宋体" w:hAnsi="宋体" w:eastAsia="仿宋_GB2312"/>
          <w:bCs/>
          <w:sz w:val="32"/>
          <w:szCs w:val="32"/>
        </w:rPr>
        <w:t>我校所有财政资金支出主要用于保障本部门机构正常运转、更好完成编办各项日常工作。</w:t>
      </w:r>
    </w:p>
    <w:p>
      <w:pPr>
        <w:widowControl/>
        <w:adjustRightInd w:val="0"/>
        <w:snapToGrid w:val="0"/>
        <w:spacing w:line="560" w:lineRule="exact"/>
        <w:ind w:firstLine="720"/>
        <w:jc w:val="left"/>
        <w:rPr>
          <w:rFonts w:ascii="黑体" w:hAnsi="黑体" w:eastAsia="黑体" w:cs="黑体"/>
          <w:bCs/>
          <w:sz w:val="32"/>
          <w:szCs w:val="32"/>
        </w:rPr>
      </w:pPr>
      <w:r>
        <w:rPr>
          <w:rFonts w:hint="eastAsia" w:ascii="黑体" w:hAnsi="黑体" w:eastAsia="黑体" w:cs="黑体"/>
          <w:bCs/>
          <w:sz w:val="32"/>
          <w:szCs w:val="32"/>
        </w:rPr>
        <w:t>四、评价结论及建议</w:t>
      </w:r>
    </w:p>
    <w:p>
      <w:pPr>
        <w:widowControl/>
        <w:adjustRightInd w:val="0"/>
        <w:snapToGrid w:val="0"/>
        <w:spacing w:line="560" w:lineRule="exact"/>
        <w:ind w:firstLine="720"/>
        <w:jc w:val="left"/>
        <w:rPr>
          <w:rFonts w:ascii="宋体" w:hAnsi="宋体" w:eastAsia="仿宋_GB2312"/>
          <w:b/>
          <w:sz w:val="32"/>
          <w:szCs w:val="32"/>
          <w:lang w:val="zh-CN"/>
        </w:rPr>
      </w:pPr>
      <w:r>
        <w:rPr>
          <w:rFonts w:hint="eastAsia" w:ascii="宋体" w:hAnsi="宋体" w:eastAsia="仿宋_GB2312"/>
          <w:b/>
          <w:sz w:val="32"/>
          <w:szCs w:val="32"/>
          <w:lang w:val="zh-CN"/>
        </w:rPr>
        <w:t>（一）评价结论。</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我校高度重视此次绩效评价工作，召开了专门的会议研究和安排此项工作，责任到人，确保工作按质按量完成。在实施的过程中，按照金财监绩﹝2021﹞26号文件的要求，结合我部门财政支出的实际情况，认真对照评价标准进行自评打分，对存在的不足进行梳理整改。 财务支出基本符合相关要求规定，充分发挥了财政资金的作用，党校工作取得了较大的进步，在经济效益、社会效益、生态效益等方面发挥了积极作用。 部门预算执行情况良好，无不良记录及违规违纪行为，预算支出和决算支出情况相符。</w:t>
      </w:r>
    </w:p>
    <w:p>
      <w:pPr>
        <w:widowControl/>
        <w:adjustRightInd w:val="0"/>
        <w:snapToGrid w:val="0"/>
        <w:spacing w:line="560" w:lineRule="exact"/>
        <w:ind w:firstLine="720"/>
        <w:jc w:val="left"/>
        <w:rPr>
          <w:rFonts w:ascii="宋体" w:hAnsi="宋体" w:eastAsia="仿宋_GB2312"/>
          <w:b/>
          <w:sz w:val="32"/>
          <w:szCs w:val="32"/>
          <w:lang w:val="zh-CN"/>
        </w:rPr>
      </w:pPr>
      <w:r>
        <w:rPr>
          <w:rFonts w:hint="eastAsia" w:ascii="宋体" w:hAnsi="宋体" w:eastAsia="仿宋_GB2312"/>
          <w:b/>
          <w:sz w:val="32"/>
          <w:szCs w:val="32"/>
          <w:lang w:val="zh-CN"/>
        </w:rPr>
        <w:t>（二）存在问题。</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 xml:space="preserve">在资金的使用和安排上取得了较好的预算执行结果，但仍存在预算管理不够完善，资金使用不够科学等问题，我部门认真梳理存在的问题，改进提高工作效率。 </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 xml:space="preserve">1、资金的使用还不完全符合科学性，效益性，基本支出占比较大。 </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 xml:space="preserve">2、固定资产管理不够完善,处置不够规范，有些应报废的固定资产没有及时申报报废。 </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3、部门信息化建设程度仍比较低，着力推进信息化建设势在必行。</w:t>
      </w:r>
    </w:p>
    <w:p>
      <w:pPr>
        <w:widowControl/>
        <w:adjustRightInd w:val="0"/>
        <w:snapToGrid w:val="0"/>
        <w:spacing w:line="560" w:lineRule="exact"/>
        <w:ind w:firstLine="720"/>
        <w:jc w:val="left"/>
        <w:rPr>
          <w:rFonts w:ascii="宋体" w:hAnsi="宋体" w:eastAsia="仿宋_GB2312"/>
          <w:b/>
          <w:sz w:val="32"/>
          <w:szCs w:val="32"/>
          <w:lang w:val="zh-CN"/>
        </w:rPr>
      </w:pPr>
      <w:r>
        <w:rPr>
          <w:rFonts w:hint="eastAsia" w:ascii="宋体" w:hAnsi="宋体" w:eastAsia="仿宋_GB2312"/>
          <w:b/>
          <w:sz w:val="32"/>
          <w:szCs w:val="32"/>
          <w:lang w:val="zh-CN"/>
        </w:rPr>
        <w:t>（三）改进建议。</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1、严格按照《</w:t>
      </w:r>
      <w:r>
        <w:rPr>
          <w:rFonts w:hint="eastAsia" w:ascii="宋体" w:hAnsi="宋体" w:eastAsia="仿宋_GB2312"/>
          <w:bCs/>
          <w:sz w:val="32"/>
          <w:szCs w:val="32"/>
          <w:lang w:eastAsia="zh-CN"/>
        </w:rPr>
        <w:t>中华人民共和国预算法</w:t>
      </w:r>
      <w:r>
        <w:rPr>
          <w:rFonts w:hint="eastAsia" w:ascii="宋体" w:hAnsi="宋体" w:eastAsia="仿宋_GB2312"/>
          <w:bCs/>
          <w:sz w:val="32"/>
          <w:szCs w:val="32"/>
        </w:rPr>
        <w:t>》、《行政单位会计制度》、《行政单位财务规则》等规定执行财务核算，并结合实际情况，完整、准确地披露相关信息，尽可能地做到决算与预算相衔接。</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 xml:space="preserve">2、进一步加强内部控制，注重资金管理的事前、事中、事后的全过程监督，加强资金使用效率。 </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 xml:space="preserve">3、资产的核销与报废应加强管理，严格按照《固定资产管理办法》的规定加强固定资产管理，及时办理登记、报废等手续，每年对资产进行及时盘点和清查，真正做到账实相符。                        </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加快完成机关财务管理规章制度建设、加强会计核算和财务管理能力，及时与县财政局相关科室对接工作，提升工作效率。</w:t>
      </w:r>
    </w:p>
    <w:p>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 xml:space="preserve">                              </w:t>
      </w:r>
    </w:p>
    <w:p>
      <w:pPr>
        <w:widowControl/>
        <w:adjustRightInd w:val="0"/>
        <w:snapToGrid w:val="0"/>
        <w:spacing w:line="560" w:lineRule="exact"/>
        <w:ind w:firstLine="720"/>
        <w:jc w:val="left"/>
        <w:rPr>
          <w:rFonts w:ascii="宋体" w:hAnsi="宋体" w:eastAsia="仿宋_GB2312"/>
          <w:bCs/>
          <w:sz w:val="32"/>
          <w:szCs w:val="32"/>
        </w:rPr>
      </w:pPr>
    </w:p>
    <w:p>
      <w:pPr>
        <w:widowControl/>
        <w:adjustRightInd w:val="0"/>
        <w:snapToGrid w:val="0"/>
        <w:spacing w:line="560" w:lineRule="exact"/>
        <w:ind w:firstLine="720"/>
        <w:jc w:val="left"/>
        <w:rPr>
          <w:rFonts w:ascii="宋体" w:hAnsi="宋体" w:eastAsia="仿宋_GB2312"/>
          <w:bCs/>
          <w:sz w:val="32"/>
          <w:szCs w:val="32"/>
        </w:rPr>
      </w:pPr>
    </w:p>
    <w:p>
      <w:pPr>
        <w:widowControl/>
        <w:adjustRightInd w:val="0"/>
        <w:snapToGrid w:val="0"/>
        <w:spacing w:line="560" w:lineRule="exact"/>
        <w:ind w:firstLine="5254" w:firstLineChars="1642"/>
        <w:jc w:val="left"/>
        <w:rPr>
          <w:rFonts w:ascii="宋体" w:hAnsi="宋体" w:eastAsia="仿宋_GB2312"/>
          <w:bCs/>
          <w:sz w:val="32"/>
          <w:szCs w:val="32"/>
        </w:rPr>
      </w:pPr>
      <w:r>
        <w:rPr>
          <w:rFonts w:hint="eastAsia" w:ascii="宋体" w:hAnsi="宋体" w:eastAsia="仿宋_GB2312"/>
          <w:bCs/>
          <w:sz w:val="32"/>
          <w:szCs w:val="32"/>
        </w:rPr>
        <w:t>中共金川县委党校</w:t>
      </w:r>
    </w:p>
    <w:p>
      <w:pPr>
        <w:widowControl/>
        <w:adjustRightInd w:val="0"/>
        <w:snapToGrid w:val="0"/>
        <w:spacing w:line="560" w:lineRule="exact"/>
        <w:ind w:firstLine="720"/>
        <w:jc w:val="left"/>
        <w:rPr>
          <w:rFonts w:ascii="黑体" w:eastAsia="黑体"/>
          <w:color w:val="000000"/>
          <w:sz w:val="44"/>
          <w:szCs w:val="44"/>
        </w:rPr>
      </w:pPr>
      <w:r>
        <w:rPr>
          <w:rFonts w:hint="eastAsia" w:ascii="宋体" w:hAnsi="宋体" w:eastAsia="仿宋_GB2312"/>
          <w:bCs/>
          <w:sz w:val="32"/>
          <w:szCs w:val="32"/>
        </w:rPr>
        <w:t xml:space="preserve">　　　　　　　　　　　　　　　2021年7月22日                             </w:t>
      </w:r>
      <w:bookmarkStart w:id="60" w:name="_Toc15396618"/>
      <w:bookmarkStart w:id="61" w:name="_Toc15396619"/>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18"/>
          <w:rFonts w:ascii="黑体" w:eastAsia="黑体"/>
          <w:b w:val="0"/>
        </w:rPr>
      </w:pPr>
      <w:r>
        <w:rPr>
          <w:rFonts w:hint="eastAsia" w:ascii="黑体" w:eastAsia="黑体"/>
          <w:color w:val="000000"/>
          <w:sz w:val="44"/>
          <w:szCs w:val="44"/>
        </w:rPr>
        <w:t>第</w:t>
      </w:r>
      <w:r>
        <w:rPr>
          <w:rStyle w:val="18"/>
          <w:rFonts w:hint="eastAsia" w:ascii="黑体" w:eastAsia="黑体"/>
          <w:b w:val="0"/>
        </w:rPr>
        <w:t>五部分 附表</w:t>
      </w:r>
      <w:bookmarkEnd w:id="60"/>
    </w:p>
    <w:p>
      <w:pPr>
        <w:pStyle w:val="4"/>
        <w:rPr>
          <w:rFonts w:ascii="仿宋" w:eastAsia="仿宋"/>
          <w:color w:val="000000"/>
        </w:rPr>
      </w:pPr>
      <w:r>
        <w:rPr>
          <w:rFonts w:hint="eastAsia" w:ascii="仿宋" w:eastAsia="仿宋"/>
          <w:b w:val="0"/>
          <w:color w:val="000000"/>
        </w:rPr>
        <w:t>一、收</w:t>
      </w:r>
      <w:r>
        <w:rPr>
          <w:rStyle w:val="19"/>
          <w:rFonts w:hint="eastAsia" w:ascii="仿宋" w:eastAsia="仿宋"/>
          <w:b w:val="0"/>
          <w:bCs w:val="0"/>
        </w:rPr>
        <w:t>入支出决算总表</w:t>
      </w:r>
      <w:bookmarkEnd w:id="61"/>
    </w:p>
    <w:p>
      <w:pPr>
        <w:pStyle w:val="4"/>
        <w:rPr>
          <w:rFonts w:ascii="仿宋" w:eastAsia="仿宋"/>
          <w:color w:val="000000"/>
        </w:rPr>
      </w:pPr>
      <w:bookmarkStart w:id="62" w:name="_Toc15396620"/>
      <w:r>
        <w:rPr>
          <w:rFonts w:hint="eastAsia" w:ascii="仿宋" w:eastAsia="仿宋"/>
          <w:b w:val="0"/>
          <w:color w:val="000000"/>
        </w:rPr>
        <w:t>二、收</w:t>
      </w:r>
      <w:r>
        <w:rPr>
          <w:rStyle w:val="19"/>
          <w:rFonts w:hint="eastAsia" w:ascii="仿宋" w:eastAsia="仿宋"/>
          <w:b w:val="0"/>
          <w:bCs w:val="0"/>
        </w:rPr>
        <w:t>入总表</w:t>
      </w:r>
      <w:bookmarkEnd w:id="62"/>
    </w:p>
    <w:p>
      <w:pPr>
        <w:pStyle w:val="4"/>
        <w:rPr>
          <w:rFonts w:ascii="仿宋" w:eastAsia="仿宋"/>
          <w:color w:val="000000"/>
        </w:rPr>
      </w:pPr>
      <w:bookmarkStart w:id="63" w:name="_Toc15396621"/>
      <w:r>
        <w:rPr>
          <w:rStyle w:val="19"/>
          <w:rFonts w:hint="eastAsia" w:ascii="仿宋" w:eastAsia="仿宋"/>
          <w:b w:val="0"/>
          <w:bCs w:val="0"/>
        </w:rPr>
        <w:t>三、</w:t>
      </w:r>
      <w:r>
        <w:rPr>
          <w:rFonts w:hint="eastAsia" w:ascii="仿宋" w:eastAsia="仿宋"/>
          <w:b w:val="0"/>
          <w:color w:val="000000"/>
        </w:rPr>
        <w:t>支</w:t>
      </w:r>
      <w:r>
        <w:rPr>
          <w:rStyle w:val="19"/>
          <w:rFonts w:hint="eastAsia" w:ascii="仿宋" w:eastAsia="仿宋"/>
          <w:b w:val="0"/>
          <w:bCs w:val="0"/>
        </w:rPr>
        <w:t>出总表</w:t>
      </w:r>
      <w:bookmarkEnd w:id="63"/>
    </w:p>
    <w:p>
      <w:pPr>
        <w:pStyle w:val="4"/>
        <w:rPr>
          <w:rFonts w:ascii="仿宋" w:eastAsia="仿宋"/>
          <w:b w:val="0"/>
          <w:color w:val="000000"/>
        </w:rPr>
      </w:pPr>
      <w:bookmarkStart w:id="64" w:name="_Toc15396622"/>
      <w:r>
        <w:rPr>
          <w:rStyle w:val="19"/>
          <w:rFonts w:hint="eastAsia" w:ascii="仿宋" w:eastAsia="仿宋"/>
          <w:b w:val="0"/>
          <w:bCs w:val="0"/>
        </w:rPr>
        <w:t>四、</w:t>
      </w:r>
      <w:r>
        <w:rPr>
          <w:rFonts w:hint="eastAsia" w:ascii="仿宋" w:eastAsia="仿宋"/>
          <w:b w:val="0"/>
          <w:color w:val="000000"/>
        </w:rPr>
        <w:t>财</w:t>
      </w:r>
      <w:r>
        <w:rPr>
          <w:rStyle w:val="19"/>
          <w:rFonts w:hint="eastAsia" w:ascii="仿宋" w:eastAsia="仿宋"/>
          <w:b w:val="0"/>
          <w:bCs w:val="0"/>
        </w:rPr>
        <w:t>政拨款收入支出决算总表</w:t>
      </w:r>
      <w:bookmarkEnd w:id="64"/>
    </w:p>
    <w:p>
      <w:pPr>
        <w:pStyle w:val="4"/>
        <w:rPr>
          <w:rFonts w:ascii="仿宋" w:eastAsia="仿宋"/>
          <w:color w:val="000000"/>
        </w:rPr>
      </w:pPr>
      <w:bookmarkStart w:id="65" w:name="_Toc15396623"/>
      <w:r>
        <w:rPr>
          <w:rStyle w:val="19"/>
          <w:rFonts w:hint="eastAsia" w:ascii="仿宋" w:eastAsia="仿宋"/>
          <w:b w:val="0"/>
          <w:bCs w:val="0"/>
        </w:rPr>
        <w:t>五、</w:t>
      </w:r>
      <w:r>
        <w:rPr>
          <w:rFonts w:hint="eastAsia" w:ascii="仿宋" w:eastAsia="仿宋"/>
          <w:b w:val="0"/>
          <w:color w:val="000000"/>
        </w:rPr>
        <w:t>财</w:t>
      </w:r>
      <w:r>
        <w:rPr>
          <w:rStyle w:val="19"/>
          <w:rFonts w:hint="eastAsia" w:ascii="仿宋" w:eastAsia="仿宋"/>
          <w:b w:val="0"/>
          <w:bCs w:val="0"/>
        </w:rPr>
        <w:t>政拨款支出决算明细表（政府经济分类科目）</w:t>
      </w:r>
      <w:bookmarkEnd w:id="65"/>
    </w:p>
    <w:p>
      <w:pPr>
        <w:pStyle w:val="4"/>
        <w:rPr>
          <w:rFonts w:ascii="仿宋" w:eastAsia="仿宋"/>
          <w:color w:val="000000"/>
        </w:rPr>
      </w:pPr>
      <w:bookmarkStart w:id="66" w:name="_Toc15396624"/>
      <w:r>
        <w:rPr>
          <w:rStyle w:val="19"/>
          <w:rFonts w:hint="eastAsia" w:ascii="仿宋" w:eastAsia="仿宋"/>
          <w:b w:val="0"/>
          <w:bCs w:val="0"/>
        </w:rPr>
        <w:t>六、</w:t>
      </w:r>
      <w:r>
        <w:rPr>
          <w:rFonts w:hint="eastAsia" w:ascii="仿宋" w:eastAsia="仿宋"/>
          <w:b w:val="0"/>
          <w:color w:val="000000"/>
        </w:rPr>
        <w:t>一</w:t>
      </w:r>
      <w:r>
        <w:rPr>
          <w:rStyle w:val="19"/>
          <w:rFonts w:hint="eastAsia" w:ascii="仿宋" w:eastAsia="仿宋"/>
          <w:b w:val="0"/>
          <w:bCs w:val="0"/>
        </w:rPr>
        <w:t>般公共预算财政拨款支出决算表</w:t>
      </w:r>
      <w:bookmarkEnd w:id="66"/>
    </w:p>
    <w:p>
      <w:pPr>
        <w:pStyle w:val="4"/>
        <w:rPr>
          <w:rFonts w:ascii="仿宋" w:eastAsia="仿宋"/>
          <w:color w:val="000000"/>
        </w:rPr>
      </w:pPr>
      <w:bookmarkStart w:id="67" w:name="_Toc15396625"/>
      <w:r>
        <w:rPr>
          <w:rStyle w:val="19"/>
          <w:rFonts w:hint="eastAsia" w:ascii="仿宋" w:eastAsia="仿宋"/>
          <w:b w:val="0"/>
          <w:bCs w:val="0"/>
        </w:rPr>
        <w:t>七、</w:t>
      </w:r>
      <w:r>
        <w:rPr>
          <w:rFonts w:hint="eastAsia" w:ascii="仿宋" w:eastAsia="仿宋"/>
          <w:b w:val="0"/>
          <w:color w:val="000000"/>
        </w:rPr>
        <w:t>一</w:t>
      </w:r>
      <w:r>
        <w:rPr>
          <w:rStyle w:val="19"/>
          <w:rFonts w:hint="eastAsia" w:ascii="仿宋" w:eastAsia="仿宋"/>
          <w:b w:val="0"/>
          <w:bCs w:val="0"/>
        </w:rPr>
        <w:t>般公共预算财政拨款支出决算明细表</w:t>
      </w:r>
      <w:bookmarkEnd w:id="67"/>
    </w:p>
    <w:p>
      <w:pPr>
        <w:pStyle w:val="4"/>
        <w:rPr>
          <w:rFonts w:ascii="仿宋" w:eastAsia="仿宋"/>
          <w:color w:val="000000"/>
        </w:rPr>
      </w:pPr>
      <w:bookmarkStart w:id="68" w:name="_Toc15396626"/>
      <w:r>
        <w:rPr>
          <w:rStyle w:val="19"/>
          <w:rFonts w:hint="eastAsia" w:ascii="仿宋" w:eastAsia="仿宋"/>
          <w:b w:val="0"/>
          <w:bCs w:val="0"/>
        </w:rPr>
        <w:t>八、</w:t>
      </w:r>
      <w:r>
        <w:rPr>
          <w:rFonts w:hint="eastAsia" w:ascii="仿宋" w:eastAsia="仿宋"/>
          <w:b w:val="0"/>
          <w:color w:val="000000"/>
        </w:rPr>
        <w:t>一</w:t>
      </w:r>
      <w:r>
        <w:rPr>
          <w:rStyle w:val="19"/>
          <w:rFonts w:hint="eastAsia" w:ascii="仿宋" w:eastAsia="仿宋"/>
          <w:b w:val="0"/>
          <w:bCs w:val="0"/>
        </w:rPr>
        <w:t>般公共预算财政拨款基本支出决算表</w:t>
      </w:r>
      <w:bookmarkEnd w:id="68"/>
    </w:p>
    <w:p>
      <w:pPr>
        <w:pStyle w:val="4"/>
        <w:rPr>
          <w:rFonts w:ascii="仿宋" w:eastAsia="仿宋"/>
          <w:color w:val="000000"/>
        </w:rPr>
      </w:pPr>
      <w:bookmarkStart w:id="69" w:name="_Toc15396627"/>
      <w:r>
        <w:rPr>
          <w:rStyle w:val="19"/>
          <w:rFonts w:hint="eastAsia" w:ascii="仿宋" w:eastAsia="仿宋"/>
          <w:b w:val="0"/>
          <w:bCs w:val="0"/>
        </w:rPr>
        <w:t>九、</w:t>
      </w:r>
      <w:r>
        <w:rPr>
          <w:rFonts w:hint="eastAsia" w:ascii="仿宋" w:eastAsia="仿宋"/>
          <w:b w:val="0"/>
          <w:color w:val="000000"/>
        </w:rPr>
        <w:t>一</w:t>
      </w:r>
      <w:r>
        <w:rPr>
          <w:rStyle w:val="19"/>
          <w:rFonts w:hint="eastAsia" w:ascii="仿宋" w:eastAsia="仿宋"/>
          <w:b w:val="0"/>
          <w:bCs w:val="0"/>
        </w:rPr>
        <w:t>般公共预算财政拨款项目支出决算表</w:t>
      </w:r>
      <w:bookmarkEnd w:id="69"/>
    </w:p>
    <w:p>
      <w:pPr>
        <w:pStyle w:val="4"/>
        <w:rPr>
          <w:rFonts w:ascii="仿宋" w:eastAsia="仿宋"/>
          <w:color w:val="000000"/>
        </w:rPr>
      </w:pPr>
      <w:bookmarkStart w:id="70" w:name="_Toc15396628"/>
      <w:r>
        <w:rPr>
          <w:rStyle w:val="19"/>
          <w:rFonts w:hint="eastAsia" w:ascii="仿宋" w:eastAsia="仿宋"/>
          <w:b w:val="0"/>
          <w:bCs w:val="0"/>
        </w:rPr>
        <w:t>十、</w:t>
      </w:r>
      <w:r>
        <w:rPr>
          <w:rFonts w:hint="eastAsia" w:ascii="仿宋" w:eastAsia="仿宋"/>
          <w:b w:val="0"/>
          <w:color w:val="000000"/>
        </w:rPr>
        <w:t>一</w:t>
      </w:r>
      <w:r>
        <w:rPr>
          <w:rStyle w:val="19"/>
          <w:rFonts w:hint="eastAsia" w:ascii="仿宋" w:eastAsia="仿宋"/>
          <w:b w:val="0"/>
          <w:bCs w:val="0"/>
        </w:rPr>
        <w:t>般公共预算财政拨款“三公”经费支出决算表</w:t>
      </w:r>
      <w:bookmarkEnd w:id="70"/>
    </w:p>
    <w:p>
      <w:pPr>
        <w:pStyle w:val="4"/>
        <w:rPr>
          <w:rFonts w:ascii="仿宋" w:eastAsia="仿宋"/>
          <w:color w:val="000000"/>
        </w:rPr>
      </w:pPr>
      <w:bookmarkStart w:id="71" w:name="_Toc15396629"/>
      <w:r>
        <w:rPr>
          <w:rStyle w:val="19"/>
          <w:rFonts w:hint="eastAsia" w:ascii="仿宋" w:eastAsia="仿宋"/>
          <w:b w:val="0"/>
          <w:bCs w:val="0"/>
        </w:rPr>
        <w:t>十一、</w:t>
      </w:r>
      <w:r>
        <w:rPr>
          <w:rFonts w:hint="eastAsia" w:ascii="仿宋" w:eastAsia="仿宋"/>
          <w:b w:val="0"/>
          <w:color w:val="000000"/>
        </w:rPr>
        <w:t>政</w:t>
      </w:r>
      <w:r>
        <w:rPr>
          <w:rStyle w:val="19"/>
          <w:rFonts w:hint="eastAsia" w:ascii="仿宋" w:eastAsia="仿宋"/>
          <w:b w:val="0"/>
          <w:bCs w:val="0"/>
        </w:rPr>
        <w:t>府性基金预算财政拨款收入支出决算表</w:t>
      </w:r>
      <w:bookmarkEnd w:id="71"/>
    </w:p>
    <w:p>
      <w:pPr>
        <w:pStyle w:val="4"/>
        <w:rPr>
          <w:rFonts w:ascii="仿宋" w:eastAsia="仿宋"/>
          <w:color w:val="000000"/>
        </w:rPr>
      </w:pPr>
      <w:bookmarkStart w:id="72" w:name="_Toc15396630"/>
      <w:r>
        <w:rPr>
          <w:rStyle w:val="19"/>
          <w:rFonts w:hint="eastAsia" w:ascii="仿宋" w:eastAsia="仿宋"/>
          <w:b w:val="0"/>
          <w:bCs w:val="0"/>
        </w:rPr>
        <w:t>十二、</w:t>
      </w:r>
      <w:r>
        <w:rPr>
          <w:rFonts w:hint="eastAsia" w:ascii="仿宋" w:eastAsia="仿宋"/>
          <w:b w:val="0"/>
          <w:color w:val="000000"/>
        </w:rPr>
        <w:t>政</w:t>
      </w:r>
      <w:r>
        <w:rPr>
          <w:rStyle w:val="19"/>
          <w:rFonts w:hint="eastAsia" w:ascii="仿宋" w:eastAsia="仿宋"/>
          <w:b w:val="0"/>
          <w:bCs w:val="0"/>
        </w:rPr>
        <w:t>府性基金预算财政拨款“三公”经费支出决算表</w:t>
      </w:r>
      <w:bookmarkEnd w:id="72"/>
    </w:p>
    <w:p>
      <w:pPr>
        <w:pStyle w:val="4"/>
        <w:rPr>
          <w:rFonts w:ascii="仿宋" w:eastAsia="仿宋"/>
          <w:color w:val="000000"/>
        </w:rPr>
      </w:pPr>
      <w:bookmarkStart w:id="73" w:name="_Toc15396631"/>
      <w:r>
        <w:rPr>
          <w:rStyle w:val="19"/>
          <w:rFonts w:hint="eastAsia" w:ascii="仿宋" w:eastAsia="仿宋"/>
          <w:b w:val="0"/>
          <w:bCs w:val="0"/>
        </w:rPr>
        <w:t>十三、</w:t>
      </w:r>
      <w:r>
        <w:rPr>
          <w:rFonts w:hint="eastAsia" w:ascii="仿宋" w:eastAsia="仿宋"/>
          <w:b w:val="0"/>
          <w:color w:val="000000"/>
        </w:rPr>
        <w:t>国</w:t>
      </w:r>
      <w:r>
        <w:rPr>
          <w:rStyle w:val="19"/>
          <w:rFonts w:hint="eastAsia" w:asci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仿宋_GB2312">
    <w:altName w:val="仿宋"/>
    <w:panose1 w:val="00000000000000000000"/>
    <w:charset w:val="86"/>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AR PL UKai CN">
    <w:altName w:val="Axininca Ft SILDoulos"/>
    <w:panose1 w:val="00000000000000000000"/>
    <w:charset w:val="01"/>
    <w:family w:val="auto"/>
    <w:pitch w:val="default"/>
    <w:sig w:usb0="00000000" w:usb1="00000000" w:usb2="00000000" w:usb3="00000000" w:csb0="00000000" w:csb1="00000000"/>
  </w:font>
  <w:font w:name="Lucida Sans">
    <w:altName w:val="Noto Music"/>
    <w:panose1 w:val="020B0602030504020204"/>
    <w:charset w:val="01"/>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13</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E940A0"/>
    <w:multiLevelType w:val="singleLevel"/>
    <w:tmpl w:val="B2E940A0"/>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78D72DD4"/>
    <w:multiLevelType w:val="singleLevel"/>
    <w:tmpl w:val="78D72DD4"/>
    <w:lvl w:ilvl="0" w:tentative="0">
      <w:start w:val="3"/>
      <w:numFmt w:val="decimal"/>
      <w:lvlText w:val="%1."/>
      <w:lvlJc w:val="left"/>
      <w:pPr>
        <w:tabs>
          <w:tab w:val="left" w:pos="0"/>
        </w:tabs>
        <w:ind w:left="0" w:firstLine="0"/>
      </w:pPr>
    </w:lvl>
  </w:abstractNum>
  <w:num w:numId="1">
    <w:abstractNumId w:val="4"/>
  </w:num>
  <w:num w:numId="2">
    <w:abstractNumId w:val="0"/>
  </w:num>
  <w:num w:numId="3">
    <w:abstractNumId w:val="6"/>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DVjZjE1OTBmZTc4M2ZlNjdmNWM1MmQ5OThkMGU1NjEifQ=="/>
  </w:docVars>
  <w:rsids>
    <w:rsidRoot w:val="00EB1AF8"/>
    <w:rsid w:val="00647338"/>
    <w:rsid w:val="006D3BDD"/>
    <w:rsid w:val="00EB1AF8"/>
    <w:rsid w:val="02585BB9"/>
    <w:rsid w:val="03084BBF"/>
    <w:rsid w:val="04B93F85"/>
    <w:rsid w:val="068911FE"/>
    <w:rsid w:val="085D433E"/>
    <w:rsid w:val="096D41D4"/>
    <w:rsid w:val="11907075"/>
    <w:rsid w:val="15197640"/>
    <w:rsid w:val="19725924"/>
    <w:rsid w:val="1EA90F1E"/>
    <w:rsid w:val="23185B2D"/>
    <w:rsid w:val="233544D7"/>
    <w:rsid w:val="27816DA7"/>
    <w:rsid w:val="29C47781"/>
    <w:rsid w:val="359607EF"/>
    <w:rsid w:val="36152DCF"/>
    <w:rsid w:val="376A3B80"/>
    <w:rsid w:val="39227EBF"/>
    <w:rsid w:val="3C152E6A"/>
    <w:rsid w:val="3C430393"/>
    <w:rsid w:val="43851ECD"/>
    <w:rsid w:val="47750E36"/>
    <w:rsid w:val="48D722A5"/>
    <w:rsid w:val="49DF19D1"/>
    <w:rsid w:val="4B3D6BAF"/>
    <w:rsid w:val="4C93069D"/>
    <w:rsid w:val="50C91508"/>
    <w:rsid w:val="50CC7CCE"/>
    <w:rsid w:val="516F174E"/>
    <w:rsid w:val="54205803"/>
    <w:rsid w:val="557C765A"/>
    <w:rsid w:val="57B1689C"/>
    <w:rsid w:val="5A535FC7"/>
    <w:rsid w:val="5AB972AD"/>
    <w:rsid w:val="5AE858E9"/>
    <w:rsid w:val="5F81154A"/>
    <w:rsid w:val="62E7427D"/>
    <w:rsid w:val="6496627C"/>
    <w:rsid w:val="6991159E"/>
    <w:rsid w:val="707433FB"/>
    <w:rsid w:val="77933681"/>
    <w:rsid w:val="791F419A"/>
    <w:rsid w:val="7C9D2403"/>
    <w:rsid w:val="FA5FB0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9"/>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szCs w:val="20"/>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6">
    <w:name w:val="answer-detail-content"/>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X%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X%20&#24037;&#20316;&#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400" b="0" i="0" u="none" strike="noStrike" kern="1200" spc="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r>
              <a:rPr>
                <a:latin typeface="黑体" panose="02010609060101010101" charset="-122"/>
                <a:ea typeface="黑体" panose="02010609060101010101" charset="-122"/>
                <a:cs typeface="黑体" panose="02010609060101010101" charset="-122"/>
                <a:sym typeface="黑体" panose="02010609060101010101" charset="-122"/>
              </a:rPr>
              <a:t>2019年与2020年收入支出预算安排情况对比图</a:t>
            </a:r>
            <a:endParaRPr>
              <a:latin typeface="黑体" panose="02010609060101010101" charset="-122"/>
              <a:ea typeface="黑体" panose="02010609060101010101" charset="-122"/>
              <a:cs typeface="黑体" panose="02010609060101010101" charset="-122"/>
              <a:sym typeface="黑体" panose="02010609060101010101" charset="-122"/>
            </a:endParaRPr>
          </a:p>
        </c:rich>
      </c:tx>
      <c:layout>
        <c:manualLayout>
          <c:xMode val="edge"/>
          <c:yMode val="edge"/>
          <c:x val="0.11108754065903"/>
          <c:y val="0.0100179809915232"/>
        </c:manualLayout>
      </c:layout>
      <c:overlay val="false"/>
      <c:spPr>
        <a:noFill/>
        <a:ln>
          <a:noFill/>
        </a:ln>
        <a:effectLst/>
      </c:spPr>
    </c:title>
    <c:autoTitleDeleted val="false"/>
    <c:plotArea>
      <c:layout>
        <c:manualLayout>
          <c:layoutTarget val="inner"/>
          <c:xMode val="edge"/>
          <c:yMode val="edge"/>
          <c:x val="0.0794183183614564"/>
          <c:y val="0.310300539429746"/>
          <c:w val="0.875326413642503"/>
          <c:h val="0.442135389382518"/>
        </c:manualLayout>
      </c:layout>
      <c:barChart>
        <c:barDir val="col"/>
        <c:grouping val="clustered"/>
        <c:varyColors val="false"/>
        <c:ser>
          <c:idx val="0"/>
          <c:order val="0"/>
          <c:tx>
            <c:strRef>
              <c:f>'[新建 XLSX 工作表.xlsx]Sheet1'!$M$9</c:f>
              <c:strCache>
                <c:ptCount val="1"/>
                <c:pt idx="0">
                  <c:v>收入</c:v>
                </c:pt>
              </c:strCache>
            </c:strRef>
          </c:tx>
          <c:spPr>
            <a:solidFill>
              <a:srgbClr val="4F81BD"/>
            </a:solidFill>
            <a:ln>
              <a:noFill/>
            </a:ln>
            <a:effectLst/>
          </c:spPr>
          <c:invertIfNegative val="false"/>
          <c:dLbls>
            <c:dLbl>
              <c:idx val="0"/>
              <c:layout>
                <c:manualLayout>
                  <c:x val="0.00174216027874564"/>
                  <c:y val="-0.1"/>
                </c:manualLayout>
              </c:layout>
              <c:dLblPos val="in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0348432055749129"/>
                  <c:y val="-0.0931034482758621"/>
                </c:manualLayout>
              </c:layout>
              <c:tx>
                <c:rich>
                  <a:bodyPr rot="0" spcFirstLastPara="0" vertOverflow="ellipsis" vert="horz" wrap="square" lIns="38100" tIns="19050" rIns="38100" bIns="19050" anchor="ctr" anchorCtr="true"/>
                  <a:lstStyle/>
                  <a:p>
                    <a:pPr>
                      <a:defRPr lang="zh-CN" sz="900" b="0" i="0" u="none" strike="noStrike" kern="1200" baseline="0">
                        <a:solidFill>
                          <a:srgbClr val="404040">
                            <a:lumMod val="75000"/>
                            <a:lumOff val="25000"/>
                          </a:srgbClr>
                        </a:solidFill>
                        <a:latin typeface="黑体" panose="02010609060101010101" charset="-122"/>
                        <a:ea typeface="黑体" panose="02010609060101010101" charset="-122"/>
                        <a:cs typeface="黑体" panose="02010609060101010101" charset="-122"/>
                        <a:sym typeface="黑体" panose="02010609060101010101" charset="-122"/>
                      </a:defRPr>
                    </a:pPr>
                    <a:r>
                      <a:rPr lang="en-US" altLang="en-US"/>
                      <a:t>217.81</a:t>
                    </a:r>
                    <a:endParaRPr altLang="en-US"/>
                  </a:p>
                </c:rich>
              </c:tx>
              <c:dLblPos val="in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lumMod val="75000"/>
                        <a:lumOff val="2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dLblPos val="in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rgbClr val="A6A6A6">
                          <a:lumMod val="35000"/>
                          <a:lumOff val="65000"/>
                        </a:srgbClr>
                      </a:solidFill>
                      <a:round/>
                    </a:ln>
                    <a:effectLst/>
                  </c:spPr>
                </c15:leaderLines>
              </c:ext>
            </c:extLst>
          </c:dLbls>
          <c:errBars>
            <c:errBarType val="both"/>
            <c:errValType val="stdErr"/>
            <c:noEndCap val="false"/>
            <c:spPr>
              <a:noFill/>
              <a:ln w="9525" cap="flat" cmpd="sng" algn="ctr">
                <a:solidFill>
                  <a:srgbClr val="595959">
                    <a:lumMod val="65000"/>
                    <a:lumOff val="35000"/>
                  </a:srgbClr>
                </a:solidFill>
                <a:round/>
              </a:ln>
              <a:effectLst/>
            </c:spPr>
          </c:errBars>
          <c:cat>
            <c:strRef>
              <c:f>'[新建 XLSX 工作表.xlsx]Sheet1'!$N$8:$O$8</c:f>
              <c:strCache>
                <c:ptCount val="2"/>
                <c:pt idx="0">
                  <c:v>2019年</c:v>
                </c:pt>
                <c:pt idx="1">
                  <c:v>2020年</c:v>
                </c:pt>
              </c:strCache>
            </c:strRef>
          </c:cat>
          <c:val>
            <c:numRef>
              <c:f>'[新建 XLSX 工作表.xlsx]Sheet1'!$N$9:$O$9</c:f>
              <c:numCache>
                <c:formatCode>General</c:formatCode>
                <c:ptCount val="2"/>
                <c:pt idx="0">
                  <c:v>153.61</c:v>
                </c:pt>
                <c:pt idx="1">
                  <c:v>170.46</c:v>
                </c:pt>
              </c:numCache>
            </c:numRef>
          </c:val>
        </c:ser>
        <c:ser>
          <c:idx val="1"/>
          <c:order val="1"/>
          <c:tx>
            <c:strRef>
              <c:f>'[新建 XLSX 工作表.xlsx]Sheet1'!$M$10</c:f>
              <c:strCache>
                <c:ptCount val="1"/>
                <c:pt idx="0">
                  <c:v>支出</c:v>
                </c:pt>
              </c:strCache>
            </c:strRef>
          </c:tx>
          <c:spPr>
            <a:solidFill>
              <a:srgbClr val="C0504D"/>
            </a:solidFill>
            <a:ln>
              <a:noFill/>
            </a:ln>
            <a:effectLst/>
          </c:spPr>
          <c:invertIfNegative val="false"/>
          <c:dLbls>
            <c:dLbl>
              <c:idx val="0"/>
              <c:layout>
                <c:manualLayout>
                  <c:x val="-0.00174216027874564"/>
                  <c:y val="-0.106896551724138"/>
                </c:manualLayout>
              </c:layout>
              <c:dLblPos val="in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0348432055749129"/>
                  <c:y val="-0.096551724137931"/>
                </c:manualLayout>
              </c:layout>
              <c:tx>
                <c:rich>
                  <a:bodyPr rot="0" spcFirstLastPara="0" vertOverflow="ellipsis" vert="horz" wrap="square" lIns="38100" tIns="19050" rIns="38100" bIns="19050" anchor="ctr" anchorCtr="true"/>
                  <a:lstStyle/>
                  <a:p>
                    <a:pPr>
                      <a:defRPr lang="zh-CN" sz="900" b="0" i="0" u="none" strike="noStrike" kern="1200" baseline="0">
                        <a:solidFill>
                          <a:srgbClr val="404040">
                            <a:lumMod val="75000"/>
                            <a:lumOff val="25000"/>
                          </a:srgbClr>
                        </a:solidFill>
                        <a:latin typeface="黑体" panose="02010609060101010101" charset="-122"/>
                        <a:ea typeface="黑体" panose="02010609060101010101" charset="-122"/>
                        <a:cs typeface="黑体" panose="02010609060101010101" charset="-122"/>
                        <a:sym typeface="黑体" panose="02010609060101010101" charset="-122"/>
                      </a:defRPr>
                    </a:pPr>
                    <a:r>
                      <a:rPr lang="en-US" altLang="en-US"/>
                      <a:t>217.81</a:t>
                    </a:r>
                    <a:endParaRPr altLang="en-US"/>
                  </a:p>
                </c:rich>
              </c:tx>
              <c:dLblPos val="in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lumMod val="75000"/>
                        <a:lumOff val="2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dLblPos val="in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rgbClr val="A6A6A6">
                          <a:lumMod val="35000"/>
                          <a:lumOff val="65000"/>
                        </a:srgbClr>
                      </a:solidFill>
                      <a:round/>
                    </a:ln>
                    <a:effectLst/>
                  </c:spPr>
                </c15:leaderLines>
              </c:ext>
            </c:extLst>
          </c:dLbls>
          <c:errBars>
            <c:errBarType val="both"/>
            <c:errValType val="stdErr"/>
            <c:noEndCap val="false"/>
            <c:spPr>
              <a:noFill/>
              <a:ln w="9525" cap="flat" cmpd="sng" algn="ctr">
                <a:solidFill>
                  <a:srgbClr val="595959">
                    <a:lumMod val="65000"/>
                    <a:lumOff val="35000"/>
                  </a:srgbClr>
                </a:solidFill>
                <a:round/>
              </a:ln>
              <a:effectLst/>
            </c:spPr>
          </c:errBars>
          <c:cat>
            <c:strRef>
              <c:f>'[新建 XLSX 工作表.xlsx]Sheet1'!$N$8:$O$8</c:f>
              <c:strCache>
                <c:ptCount val="2"/>
                <c:pt idx="0">
                  <c:v>2019年</c:v>
                </c:pt>
                <c:pt idx="1">
                  <c:v>2020年</c:v>
                </c:pt>
              </c:strCache>
            </c:strRef>
          </c:cat>
          <c:val>
            <c:numRef>
              <c:f>'[新建 XLSX 工作表.xlsx]Sheet1'!$N$10:$O$10</c:f>
              <c:numCache>
                <c:formatCode>General</c:formatCode>
                <c:ptCount val="2"/>
                <c:pt idx="0">
                  <c:v>153.61</c:v>
                </c:pt>
                <c:pt idx="1">
                  <c:v>170.46</c:v>
                </c:pt>
              </c:numCache>
            </c:numRef>
          </c:val>
        </c:ser>
        <c:dLbls>
          <c:showLegendKey val="false"/>
          <c:showVal val="false"/>
          <c:showCatName val="false"/>
          <c:showSerName val="false"/>
          <c:showPercent val="false"/>
          <c:showBubbleSize val="false"/>
        </c:dLbls>
        <c:gapWidth val="219"/>
        <c:overlap val="-27"/>
        <c:axId val="309484160"/>
        <c:axId val="266572160"/>
      </c:barChart>
      <c:catAx>
        <c:axId val="309484160"/>
        <c:scaling>
          <c:orientation val="minMax"/>
        </c:scaling>
        <c:delete val="false"/>
        <c:axPos val="b"/>
        <c:numFmt formatCode="General" sourceLinked="true"/>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crossAx val="266572160"/>
        <c:crosses val="autoZero"/>
        <c:auto val="true"/>
        <c:lblAlgn val="ctr"/>
        <c:lblOffset val="100"/>
        <c:noMultiLvlLbl val="false"/>
      </c:catAx>
      <c:valAx>
        <c:axId val="266572160"/>
        <c:scaling>
          <c:orientation val="minMax"/>
        </c:scaling>
        <c:delete val="false"/>
        <c:axPos val="l"/>
        <c:majorGridlines>
          <c:spPr>
            <a:ln w="9525" cap="flat" cmpd="sng" algn="ctr">
              <a:solidFill>
                <a:srgbClr val="D9D9D9">
                  <a:lumMod val="15000"/>
                  <a:lumOff val="85000"/>
                </a:srgb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crossAx val="309484160"/>
        <c:crosses val="autoZero"/>
        <c:crossBetween val="between"/>
      </c:valAx>
      <c:spPr>
        <a:noFill/>
        <a:ln>
          <a:noFill/>
        </a:ln>
        <a:effectLst/>
      </c:spPr>
    </c:plotArea>
    <c:legend>
      <c:legendPos val="b"/>
      <c:legendEntry>
        <c:idx val="0"/>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egendEntry>
        <c:idx val="1"/>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legend>
    <c:plotVisOnly val="true"/>
    <c:dispBlanksAs val="gap"/>
    <c:showDLblsOverMax val="false"/>
  </c:chart>
  <c:spPr>
    <a:solidFill>
      <a:srgbClr val="FFFFFF"/>
    </a:solidFill>
    <a:ln w="9525" cap="flat" cmpd="sng" algn="ctr">
      <a:solidFill>
        <a:srgbClr val="D9D9D9">
          <a:lumMod val="15000"/>
          <a:lumOff val="85000"/>
        </a:srgbClr>
      </a:solidFill>
      <a:round/>
    </a:ln>
    <a:effectLst/>
  </c:spPr>
  <c:txPr>
    <a:bodyPr/>
    <a:lstStyle/>
    <a:p>
      <a:pPr>
        <a:defRPr lang="zh-CN">
          <a:latin typeface="黑体" panose="02010609060101010101" charset="-122"/>
          <a:ea typeface="黑体" panose="02010609060101010101" charset="-122"/>
          <a:cs typeface="黑体" panose="02010609060101010101" charset="-122"/>
          <a:sym typeface="黑体" panose="02010609060101010101" charset="-122"/>
        </a:defRPr>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400" b="0" i="0" u="none" strike="noStrike" kern="1200" spc="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r>
              <a:rPr>
                <a:latin typeface="黑体" panose="02010609060101010101" charset="-122"/>
                <a:ea typeface="黑体" panose="02010609060101010101" charset="-122"/>
                <a:cs typeface="黑体" panose="02010609060101010101" charset="-122"/>
                <a:sym typeface="黑体" panose="02010609060101010101" charset="-122"/>
              </a:rPr>
              <a:t>2019年与2020年收入支出预算执行情况对比图</a:t>
            </a:r>
            <a:endParaRPr>
              <a:latin typeface="黑体" panose="02010609060101010101" charset="-122"/>
              <a:ea typeface="黑体" panose="02010609060101010101" charset="-122"/>
              <a:cs typeface="黑体" panose="02010609060101010101" charset="-122"/>
              <a:sym typeface="黑体" panose="02010609060101010101" charset="-122"/>
            </a:endParaRPr>
          </a:p>
        </c:rich>
      </c:tx>
      <c:layout>
        <c:manualLayout>
          <c:xMode val="edge"/>
          <c:yMode val="edge"/>
          <c:x val="0.0264070801904104"/>
          <c:y val="0.0101465982877732"/>
        </c:manualLayout>
      </c:layout>
      <c:overlay val="false"/>
      <c:spPr>
        <a:noFill/>
        <a:ln>
          <a:noFill/>
        </a:ln>
        <a:effectLst/>
      </c:spPr>
    </c:title>
    <c:autoTitleDeleted val="false"/>
    <c:plotArea>
      <c:layout>
        <c:manualLayout>
          <c:layoutTarget val="inner"/>
          <c:xMode val="edge"/>
          <c:yMode val="edge"/>
          <c:x val="0.0460186418109188"/>
          <c:y val="0.00541223164351434"/>
          <c:w val="0.899387483355526"/>
          <c:h val="0.693920259787119"/>
        </c:manualLayout>
      </c:layout>
      <c:barChart>
        <c:barDir val="col"/>
        <c:grouping val="clustered"/>
        <c:varyColors val="false"/>
        <c:ser>
          <c:idx val="0"/>
          <c:order val="0"/>
          <c:tx>
            <c:strRef>
              <c:f>'[新建 XLSX 工作表.xlsx]Sheet1'!$M$9</c:f>
              <c:strCache>
                <c:ptCount val="1"/>
                <c:pt idx="0">
                  <c:v>收入</c:v>
                </c:pt>
              </c:strCache>
            </c:strRef>
          </c:tx>
          <c:spPr>
            <a:solidFill>
              <a:srgbClr val="F79646"/>
            </a:solidFill>
            <a:ln>
              <a:noFill/>
            </a:ln>
            <a:effectLst/>
          </c:spPr>
          <c:invertIfNegative val="false"/>
          <c:dLbls>
            <c:dLbl>
              <c:idx val="0"/>
              <c:layout>
                <c:manualLayout>
                  <c:x val="0.00174216027874564"/>
                  <c:y val="-0.1"/>
                </c:manualLayout>
              </c:layout>
              <c:dLblPos val="in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0348432055749129"/>
                  <c:y val="-0.0931034482758621"/>
                </c:manualLayout>
              </c:layout>
              <c:dLblPos val="in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lumMod val="75000"/>
                        <a:lumOff val="2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dLblPos val="in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rgbClr val="A6A6A6">
                          <a:lumMod val="35000"/>
                          <a:lumOff val="65000"/>
                        </a:srgbClr>
                      </a:solidFill>
                      <a:round/>
                    </a:ln>
                    <a:effectLst/>
                  </c:spPr>
                </c15:leaderLines>
              </c:ext>
            </c:extLst>
          </c:dLbls>
          <c:errBars>
            <c:errBarType val="both"/>
            <c:errValType val="stdErr"/>
            <c:noEndCap val="false"/>
            <c:spPr>
              <a:noFill/>
              <a:ln w="9525" cap="flat" cmpd="sng" algn="ctr">
                <a:solidFill>
                  <a:srgbClr val="595959">
                    <a:lumMod val="65000"/>
                    <a:lumOff val="35000"/>
                  </a:srgbClr>
                </a:solidFill>
                <a:round/>
              </a:ln>
              <a:effectLst/>
            </c:spPr>
          </c:errBars>
          <c:cat>
            <c:strRef>
              <c:f>'[新建 XLSX 工作表.xlsx]Sheet1'!$N$8:$O$8</c:f>
              <c:strCache>
                <c:ptCount val="2"/>
                <c:pt idx="0">
                  <c:v>2019年</c:v>
                </c:pt>
                <c:pt idx="1">
                  <c:v>2020年</c:v>
                </c:pt>
              </c:strCache>
            </c:strRef>
          </c:cat>
          <c:val>
            <c:numRef>
              <c:f>'[新建 XLSX 工作表.xlsx]Sheet1'!$N$9:$O$9</c:f>
              <c:numCache>
                <c:formatCode>General</c:formatCode>
                <c:ptCount val="2"/>
                <c:pt idx="0">
                  <c:v>153.61</c:v>
                </c:pt>
                <c:pt idx="1">
                  <c:v>170.46</c:v>
                </c:pt>
              </c:numCache>
            </c:numRef>
          </c:val>
        </c:ser>
        <c:ser>
          <c:idx val="1"/>
          <c:order val="1"/>
          <c:tx>
            <c:strRef>
              <c:f>'[新建 XLSX 工作表.xlsx]Sheet1'!$M$10</c:f>
              <c:strCache>
                <c:ptCount val="1"/>
                <c:pt idx="0">
                  <c:v>支出</c:v>
                </c:pt>
              </c:strCache>
            </c:strRef>
          </c:tx>
          <c:spPr>
            <a:solidFill>
              <a:srgbClr val="4BACC6"/>
            </a:solidFill>
            <a:ln>
              <a:noFill/>
            </a:ln>
            <a:effectLst/>
          </c:spPr>
          <c:invertIfNegative val="false"/>
          <c:dLbls>
            <c:dLbl>
              <c:idx val="0"/>
              <c:layout>
                <c:manualLayout>
                  <c:x val="-0.00174216027874564"/>
                  <c:y val="-0.106896551724138"/>
                </c:manualLayout>
              </c:layout>
              <c:dLblPos val="in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0348432055749129"/>
                  <c:y val="-0.096551724137931"/>
                </c:manualLayout>
              </c:layout>
              <c:dLblPos val="in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lumMod val="75000"/>
                        <a:lumOff val="2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dLblPos val="in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rgbClr val="A6A6A6">
                          <a:lumMod val="35000"/>
                          <a:lumOff val="65000"/>
                        </a:srgbClr>
                      </a:solidFill>
                      <a:round/>
                    </a:ln>
                    <a:effectLst/>
                  </c:spPr>
                </c15:leaderLines>
              </c:ext>
            </c:extLst>
          </c:dLbls>
          <c:errBars>
            <c:errBarType val="both"/>
            <c:errValType val="stdErr"/>
            <c:noEndCap val="false"/>
            <c:spPr>
              <a:noFill/>
              <a:ln w="9525" cap="flat" cmpd="sng" algn="ctr">
                <a:solidFill>
                  <a:srgbClr val="595959">
                    <a:lumMod val="65000"/>
                    <a:lumOff val="35000"/>
                  </a:srgbClr>
                </a:solidFill>
                <a:round/>
              </a:ln>
              <a:effectLst/>
            </c:spPr>
          </c:errBars>
          <c:cat>
            <c:strRef>
              <c:f>'[新建 XLSX 工作表.xlsx]Sheet1'!$N$8:$O$8</c:f>
              <c:strCache>
                <c:ptCount val="2"/>
                <c:pt idx="0">
                  <c:v>2019年</c:v>
                </c:pt>
                <c:pt idx="1">
                  <c:v>2020年</c:v>
                </c:pt>
              </c:strCache>
            </c:strRef>
          </c:cat>
          <c:val>
            <c:numRef>
              <c:f>'[新建 XLSX 工作表.xlsx]Sheet1'!$N$10:$O$10</c:f>
              <c:numCache>
                <c:formatCode>General</c:formatCode>
                <c:ptCount val="2"/>
                <c:pt idx="0">
                  <c:v>193.52</c:v>
                </c:pt>
                <c:pt idx="1">
                  <c:v>217.81</c:v>
                </c:pt>
              </c:numCache>
            </c:numRef>
          </c:val>
        </c:ser>
        <c:dLbls>
          <c:showLegendKey val="false"/>
          <c:showVal val="false"/>
          <c:showCatName val="false"/>
          <c:showSerName val="false"/>
          <c:showPercent val="false"/>
          <c:showBubbleSize val="false"/>
        </c:dLbls>
        <c:gapWidth val="219"/>
        <c:overlap val="-27"/>
        <c:axId val="246954624"/>
        <c:axId val="246964608"/>
      </c:barChart>
      <c:catAx>
        <c:axId val="246954624"/>
        <c:scaling>
          <c:orientation val="minMax"/>
        </c:scaling>
        <c:delete val="false"/>
        <c:axPos val="b"/>
        <c:numFmt formatCode="General" sourceLinked="true"/>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crossAx val="246964608"/>
        <c:crosses val="autoZero"/>
        <c:auto val="true"/>
        <c:lblAlgn val="ctr"/>
        <c:lblOffset val="100"/>
        <c:noMultiLvlLbl val="false"/>
      </c:catAx>
      <c:valAx>
        <c:axId val="246964608"/>
        <c:scaling>
          <c:orientation val="minMax"/>
        </c:scaling>
        <c:delete val="false"/>
        <c:axPos val="l"/>
        <c:majorGridlines>
          <c:spPr>
            <a:ln w="9525" cap="flat" cmpd="sng" algn="ctr">
              <a:solidFill>
                <a:srgbClr val="D9D9D9">
                  <a:lumMod val="15000"/>
                  <a:lumOff val="85000"/>
                </a:srgb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crossAx val="246954624"/>
        <c:crosses val="autoZero"/>
        <c:crossBetween val="between"/>
      </c:valAx>
      <c:spPr>
        <a:noFill/>
        <a:ln>
          <a:noFill/>
        </a:ln>
        <a:effectLst/>
      </c:spPr>
    </c:plotArea>
    <c:legend>
      <c:legendPos val="b"/>
      <c:legendEntry>
        <c:idx val="0"/>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egendEntry>
        <c:idx val="1"/>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legend>
    <c:plotVisOnly val="true"/>
    <c:dispBlanksAs val="gap"/>
    <c:showDLblsOverMax val="false"/>
  </c:chart>
  <c:spPr>
    <a:solidFill>
      <a:srgbClr val="FFFFFF"/>
    </a:solidFill>
    <a:ln w="9525" cap="flat" cmpd="sng" algn="ctr">
      <a:solidFill>
        <a:srgbClr val="D9D9D9">
          <a:lumMod val="15000"/>
          <a:lumOff val="85000"/>
        </a:srgbClr>
      </a:solidFill>
      <a:round/>
    </a:ln>
    <a:effectLst/>
  </c:spPr>
  <c:txPr>
    <a:bodyPr/>
    <a:lstStyle/>
    <a:p>
      <a:pPr>
        <a:defRPr lang="zh-CN">
          <a:latin typeface="黑体" panose="02010609060101010101" charset="-122"/>
          <a:ea typeface="黑体" panose="02010609060101010101" charset="-122"/>
          <a:cs typeface="黑体" panose="02010609060101010101" charset="-122"/>
          <a:sym typeface="黑体" panose="02010609060101010101" charset="-122"/>
        </a:defRPr>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spc="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r>
              <a:rPr lang="en-US" altLang="zh-CN" b="1">
                <a:latin typeface="黑体" panose="02010609060101010101" charset="-122"/>
                <a:ea typeface="黑体" panose="02010609060101010101" charset="-122"/>
                <a:cs typeface="黑体" panose="02010609060101010101" charset="-122"/>
                <a:sym typeface="黑体" panose="02010609060101010101" charset="-122"/>
              </a:rPr>
              <a:t>2020</a:t>
            </a:r>
            <a:r>
              <a:rPr altLang="en-US" b="1">
                <a:latin typeface="黑体" panose="02010609060101010101" charset="-122"/>
                <a:ea typeface="黑体" panose="02010609060101010101" charset="-122"/>
                <a:cs typeface="黑体" panose="02010609060101010101" charset="-122"/>
                <a:sym typeface="黑体" panose="02010609060101010101" charset="-122"/>
              </a:rPr>
              <a:t>年各项收入占总收入的比重（万元）</a:t>
            </a:r>
            <a:endParaRPr lang="en-US" altLang="zh-CN" b="1">
              <a:latin typeface="黑体" panose="02010609060101010101" charset="-122"/>
              <a:ea typeface="黑体" panose="02010609060101010101" charset="-122"/>
              <a:cs typeface="黑体" panose="02010609060101010101" charset="-122"/>
              <a:sym typeface="黑体" panose="02010609060101010101" charset="-122"/>
            </a:endParaRPr>
          </a:p>
        </c:rich>
      </c:tx>
      <c:layout>
        <c:manualLayout>
          <c:xMode val="edge"/>
          <c:yMode val="edge"/>
          <c:x val="0.119861111111111"/>
          <c:y val="0.0277777777777778"/>
        </c:manualLayout>
      </c:layout>
      <c:overlay val="false"/>
      <c:spPr>
        <a:noFill/>
        <a:ln>
          <a:noFill/>
        </a:ln>
        <a:effectLst/>
      </c:spPr>
    </c:title>
    <c:autoTitleDeleted val="false"/>
    <c:plotArea>
      <c:layout/>
      <c:pieChart>
        <c:varyColors val="true"/>
        <c:ser>
          <c:idx val="0"/>
          <c:order val="0"/>
          <c:spPr/>
          <c:explosion val="0"/>
          <c:dPt>
            <c:idx val="0"/>
            <c:bubble3D val="false"/>
            <c:spPr>
              <a:gradFill>
                <a:gsLst>
                  <a:gs pos="0">
                    <a:srgbClr val="FE4444"/>
                  </a:gs>
                  <a:gs pos="100000">
                    <a:srgbClr val="832B2B"/>
                  </a:gs>
                </a:gsLst>
                <a:lin ang="5400000" scaled="false"/>
              </a:gradFill>
              <a:ln w="19050">
                <a:solidFill>
                  <a:srgbClr val="FFFFFF"/>
                </a:solidFill>
              </a:ln>
              <a:effectLst/>
            </c:spPr>
          </c:dPt>
          <c:dPt>
            <c:idx val="1"/>
            <c:bubble3D val="false"/>
            <c:spPr>
              <a:solidFill>
                <a:srgbClr val="4F81BD"/>
              </a:solidFill>
              <a:ln w="19050">
                <a:solidFill>
                  <a:srgbClr val="FFFFFF"/>
                </a:solidFill>
              </a:ln>
              <a:effectLst/>
            </c:spPr>
          </c:dPt>
          <c:dPt>
            <c:idx val="2"/>
            <c:bubble3D val="false"/>
            <c:spPr>
              <a:gradFill>
                <a:gsLst>
                  <a:gs pos="0">
                    <a:srgbClr val="14CD68"/>
                  </a:gs>
                  <a:gs pos="100000">
                    <a:srgbClr val="0B6E38"/>
                  </a:gs>
                </a:gsLst>
                <a:path path="circle"/>
              </a:gradFill>
              <a:ln w="19050">
                <a:solidFill>
                  <a:srgbClr val="FFFFFF"/>
                </a:solidFill>
              </a:ln>
              <a:effectLst/>
            </c:spPr>
          </c:dPt>
          <c:dPt>
            <c:idx val="3"/>
            <c:bubble3D val="false"/>
            <c:spPr>
              <a:gradFill>
                <a:gsLst>
                  <a:gs pos="0">
                    <a:srgbClr val="7B32B2"/>
                  </a:gs>
                  <a:gs pos="100000">
                    <a:srgbClr val="401A5D"/>
                  </a:gs>
                </a:gsLst>
                <a:path path="circle"/>
              </a:gradFill>
              <a:ln w="19050">
                <a:solidFill>
                  <a:srgbClr val="FFFFFF"/>
                </a:solidFill>
              </a:ln>
              <a:effectLst/>
            </c:spPr>
          </c:dPt>
          <c:dLbls>
            <c:spPr>
              <a:solidFill>
                <a:srgbClr val="B3A2C7">
                  <a:lumMod val="60000"/>
                  <a:lumOff val="40000"/>
                </a:srgbClr>
              </a:solidFill>
              <a:ln>
                <a:noFill/>
              </a:ln>
              <a:effectLst/>
            </c:spPr>
            <c:txPr>
              <a:bodyPr rot="0" spcFirstLastPara="0" vertOverflow="ellipsis" vert="horz" wrap="square" lIns="38100" tIns="19050" rIns="38100" bIns="19050" anchor="ctr" anchorCtr="true"/>
              <a:lstStyle/>
              <a:p>
                <a:pPr>
                  <a:defRPr lang="zh-CN" sz="900" b="1" i="0" u="none" strike="noStrike" kern="1200" baseline="0">
                    <a:solidFill>
                      <a:srgbClr val="404040">
                        <a:lumMod val="75000"/>
                        <a:lumOff val="2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rgbClr val="A6A6A6">
                          <a:lumMod val="35000"/>
                          <a:lumOff val="65000"/>
                        </a:srgbClr>
                      </a:solidFill>
                      <a:round/>
                    </a:ln>
                    <a:effectLst/>
                  </c:spPr>
                </c15:leaderLines>
              </c:ext>
            </c:extLst>
          </c:dLbls>
          <c:cat>
            <c:strRef>
              <c:f>[工作簿1]Sheet1!$E$10:$E$13</c:f>
              <c:strCache>
                <c:ptCount val="4"/>
                <c:pt idx="0">
                  <c:v>教育</c:v>
                </c:pt>
                <c:pt idx="1">
                  <c:v>卫生健康</c:v>
                </c:pt>
                <c:pt idx="2">
                  <c:v>社会保障和就业</c:v>
                </c:pt>
                <c:pt idx="3">
                  <c:v>住房保障</c:v>
                </c:pt>
              </c:strCache>
            </c:strRef>
          </c:cat>
          <c:val>
            <c:numRef>
              <c:f>[工作簿1]Sheet1!$F$10:$F$13</c:f>
              <c:numCache>
                <c:formatCode>General</c:formatCode>
                <c:ptCount val="4"/>
                <c:pt idx="0">
                  <c:v>169.87</c:v>
                </c:pt>
                <c:pt idx="1">
                  <c:v>10.4</c:v>
                </c:pt>
                <c:pt idx="2">
                  <c:v>22.38</c:v>
                </c:pt>
                <c:pt idx="3">
                  <c:v>15.16</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egendEntry>
        <c:idx val="0"/>
        <c:txPr>
          <a:bodyPr rot="0" spcFirstLastPara="0" vertOverflow="ellipsis" vert="horz" wrap="square" anchor="ctr" anchorCtr="true"/>
          <a:lstStyle/>
          <a:p>
            <a:pPr>
              <a:defRPr lang="zh-CN" sz="900" b="1" i="0" u="none" strike="noStrike" kern="120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egendEntry>
        <c:idx val="1"/>
        <c:txPr>
          <a:bodyPr rot="0" spcFirstLastPara="0" vertOverflow="ellipsis" vert="horz" wrap="square" anchor="ctr" anchorCtr="true"/>
          <a:lstStyle/>
          <a:p>
            <a:pPr>
              <a:defRPr lang="zh-CN" sz="900" b="1" i="0" u="none" strike="noStrike" kern="120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egendEntry>
        <c:idx val="2"/>
        <c:txPr>
          <a:bodyPr rot="0" spcFirstLastPara="0" vertOverflow="ellipsis" vert="horz" wrap="square" anchor="ctr" anchorCtr="true"/>
          <a:lstStyle/>
          <a:p>
            <a:pPr>
              <a:defRPr lang="zh-CN" sz="900" b="1" i="0" u="none" strike="noStrike" kern="120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egendEntry>
        <c:idx val="3"/>
        <c:txPr>
          <a:bodyPr rot="0" spcFirstLastPara="0" vertOverflow="ellipsis" vert="horz" wrap="square" anchor="ctr" anchorCtr="true"/>
          <a:lstStyle/>
          <a:p>
            <a:pPr>
              <a:defRPr lang="zh-CN" sz="900" b="1" i="0" u="none" strike="noStrike" kern="120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ayout>
        <c:manualLayout>
          <c:xMode val="edge"/>
          <c:yMode val="edge"/>
          <c:x val="0.761805555555556"/>
          <c:y val="0.462962962962963"/>
          <c:w val="0.218055555555556"/>
          <c:h val="0.467592592592593"/>
        </c:manualLayout>
      </c:layout>
      <c:overlay val="false"/>
      <c:spPr>
        <a:noFill/>
        <a:ln>
          <a:noFill/>
        </a:ln>
        <a:effectLst/>
      </c:spPr>
      <c:txPr>
        <a:bodyPr rot="0" spcFirstLastPara="0" vertOverflow="ellipsis" vert="horz" wrap="square" anchor="ctr" anchorCtr="true"/>
        <a:lstStyle/>
        <a:p>
          <a:pPr>
            <a:defRPr lang="zh-CN" sz="900" b="1" i="0" u="none" strike="noStrike" kern="120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legend>
    <c:plotVisOnly val="true"/>
    <c:dispBlanksAs val="zero"/>
    <c:showDLblsOverMax val="false"/>
  </c:chart>
  <c:spPr>
    <a:solidFill>
      <a:srgbClr val="FFFFFF"/>
    </a:solidFill>
    <a:ln w="9525" cap="flat" cmpd="sng" algn="ctr">
      <a:solidFill>
        <a:srgbClr val="D9D9D9">
          <a:lumMod val="15000"/>
          <a:lumOff val="85000"/>
        </a:srgbClr>
      </a:solidFill>
      <a:round/>
    </a:ln>
    <a:effectLst/>
  </c:spPr>
  <c:txPr>
    <a:bodyPr/>
    <a:lstStyle/>
    <a:p>
      <a:pPr>
        <a:defRPr lang="zh-CN" b="1">
          <a:latin typeface="黑体" panose="02010609060101010101" charset="-122"/>
          <a:ea typeface="黑体" panose="02010609060101010101" charset="-122"/>
          <a:cs typeface="黑体" panose="02010609060101010101" charset="-122"/>
          <a:sym typeface="黑体" panose="02010609060101010101" charset="-122"/>
        </a:defRPr>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overlay val="false"/>
      <c:spPr>
        <a:noFill/>
        <a:ln>
          <a:noFill/>
        </a:ln>
      </c:spPr>
    </c:title>
    <c:autoTitleDeleted val="false"/>
    <c:plotArea>
      <c:layout/>
      <c:pieChart>
        <c:varyColors val="true"/>
        <c:ser>
          <c:idx val="0"/>
          <c:order val="0"/>
          <c:tx>
            <c:strRef>
              <c:f>'Sheet1 (3)'!$B$1</c:f>
              <c:strCache>
                <c:ptCount val="1"/>
                <c:pt idx="0">
                  <c:v>支出决算结构图</c:v>
                </c:pt>
              </c:strCache>
            </c:strRef>
          </c:tx>
          <c:spPr>
            <a:solidFill>
              <a:srgbClr val="4F81BD"/>
            </a:solidFill>
            <a:ln>
              <a:noFill/>
            </a:ln>
          </c:spPr>
          <c:explosion val="0"/>
          <c:dPt>
            <c:idx val="0"/>
            <c:bubble3D val="false"/>
            <c:spPr>
              <a:solidFill>
                <a:srgbClr val="4F81BD"/>
              </a:solidFill>
              <a:ln w="19050">
                <a:solidFill>
                  <a:srgbClr val="FFFFFF"/>
                </a:solidFill>
                <a:prstDash val="solid"/>
              </a:ln>
            </c:spPr>
          </c:dPt>
          <c:dPt>
            <c:idx val="1"/>
            <c:bubble3D val="false"/>
            <c:spPr>
              <a:solidFill>
                <a:srgbClr val="C0504D"/>
              </a:solidFill>
              <a:ln w="19050">
                <a:solidFill>
                  <a:srgbClr val="FFFFFF"/>
                </a:solidFill>
                <a:prstDash val="solid"/>
              </a:ln>
            </c:spPr>
          </c:dPt>
          <c:dLbls>
            <c:dLbl>
              <c:idx val="0"/>
              <c:layout>
                <c:manualLayout>
                  <c:x val="-0.031990968"/>
                  <c:y val="-0.1824"/>
                </c:manualLayout>
              </c:layout>
              <c:tx>
                <c:rich>
                  <a:bodyPr rot="0" spcFirstLastPara="0" vertOverflow="ellipsis" vert="horz" wrap="square" lIns="38100" tIns="19050" rIns="38100" bIns="19050" anchor="ctr" anchorCtr="true"/>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217.81</a:t>
                    </a:r>
                    <a:endParaRPr lang="en-US" altLang="zh-CN"/>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true"/>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0.32</a:t>
                    </a:r>
                    <a:endParaRPr lang="en-US" altLang="zh-CN"/>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'Sheet1 (3)'!$A$2:$A$3</c:f>
              <c:strCache>
                <c:ptCount val="2"/>
                <c:pt idx="0">
                  <c:v>基本支出</c:v>
                </c:pt>
                <c:pt idx="1">
                  <c:v>项目支出</c:v>
                </c:pt>
              </c:strCache>
            </c:strRef>
          </c:cat>
          <c:val>
            <c:numRef>
              <c:f>'Sheet1 (3)'!$B$2:$B$3</c:f>
              <c:numCache>
                <c:formatCode>General</c:formatCode>
                <c:ptCount val="2"/>
                <c:pt idx="0">
                  <c:v>3476.68</c:v>
                </c:pt>
                <c:pt idx="1">
                  <c:v>275.69</c:v>
                </c:pt>
              </c:numCache>
            </c:numRef>
          </c:val>
        </c:ser>
        <c:dLbls>
          <c:showLegendKey val="false"/>
          <c:showVal val="true"/>
          <c:showCatName val="false"/>
          <c:showSerName val="false"/>
          <c:showPercent val="false"/>
          <c:showBubbleSize val="false"/>
          <c:showLeaderLines val="true"/>
        </c:dLbls>
        <c:firstSliceAng val="0"/>
      </c:pieChart>
      <c:spPr>
        <a:noFill/>
        <a:ln>
          <a:noFill/>
        </a:ln>
      </c:spPr>
    </c:plotArea>
    <c:legend>
      <c:legendPos val="b"/>
      <c:layout/>
      <c:overlay val="false"/>
      <c:spPr>
        <a:noFill/>
        <a:ln>
          <a:noFill/>
        </a:ln>
      </c:spPr>
      <c:txPr>
        <a:bodyPr rot="0" spcFirstLastPara="0" vertOverflow="ellipsis" vert="horz" wrap="square" anchor="ctr" anchorCtr="true"/>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true"/>
    <c:dispBlanksAs val="zero"/>
    <c:showDLblsOverMax val="false"/>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财政拨款收、支决算总计变动表</a:t>
            </a:r>
          </a:p>
        </c:rich>
      </c:tx>
      <c:layout/>
      <c:overlay val="false"/>
      <c:spPr>
        <a:noFill/>
        <a:ln>
          <a:noFill/>
        </a:ln>
        <a:effectLst/>
      </c:spPr>
    </c:title>
    <c:autoTitleDeleted val="false"/>
    <c:plotArea>
      <c:layout/>
      <c:barChart>
        <c:barDir val="col"/>
        <c:grouping val="clustered"/>
        <c:varyColors val="false"/>
        <c:ser>
          <c:idx val="0"/>
          <c:order val="0"/>
          <c:tx>
            <c:strRef>
              <c:f>[工作簿1]Sheet1!$L$7</c:f>
              <c:strCache>
                <c:ptCount val="1"/>
                <c:pt idx="0">
                  <c:v>一般公共预算财政拨款收入</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multiLvlStrRef>
              <c:f>[工作簿1]Sheet1!$M$5:$N$6</c:f>
              <c:multiLvlStrCache>
                <c:ptCount val="2"/>
                <c:lvl>
                  <c:pt idx="0">
                    <c:v>2019年</c:v>
                  </c:pt>
                  <c:pt idx="1">
                    <c:v>2020年</c:v>
                  </c:pt>
                </c:lvl>
                <c:lvl/>
              </c:multiLvlStrCache>
            </c:multiLvlStrRef>
          </c:cat>
          <c:val>
            <c:numRef>
              <c:f>[工作簿1]Sheet1!$M$7:$N$7</c:f>
              <c:numCache>
                <c:formatCode>General</c:formatCode>
                <c:ptCount val="2"/>
                <c:pt idx="0">
                  <c:v>153.61</c:v>
                </c:pt>
                <c:pt idx="1">
                  <c:v>170.46</c:v>
                </c:pt>
              </c:numCache>
            </c:numRef>
          </c:val>
        </c:ser>
        <c:ser>
          <c:idx val="1"/>
          <c:order val="1"/>
          <c:tx>
            <c:strRef>
              <c:f>[工作簿1]Sheet1!$L$8</c:f>
              <c:strCache>
                <c:ptCount val="1"/>
                <c:pt idx="0">
                  <c:v>一般公共预算财政拨款支出</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multiLvlStrRef>
              <c:f>[工作簿1]Sheet1!$M$5:$N$6</c:f>
              <c:multiLvlStrCache>
                <c:ptCount val="2"/>
                <c:lvl>
                  <c:pt idx="0">
                    <c:v>2019年</c:v>
                  </c:pt>
                  <c:pt idx="1">
                    <c:v>2020年</c:v>
                  </c:pt>
                </c:lvl>
                <c:lvl/>
              </c:multiLvlStrCache>
            </c:multiLvlStrRef>
          </c:cat>
          <c:val>
            <c:numRef>
              <c:f>[工作簿1]Sheet1!$M$8:$N$8</c:f>
              <c:numCache>
                <c:formatCode>General</c:formatCode>
                <c:ptCount val="2"/>
                <c:pt idx="0">
                  <c:v>193.52</c:v>
                </c:pt>
                <c:pt idx="1">
                  <c:v>217.71</c:v>
                </c:pt>
              </c:numCache>
            </c:numRef>
          </c:val>
        </c:ser>
        <c:dLbls>
          <c:showLegendKey val="false"/>
          <c:showVal val="true"/>
          <c:showCatName val="false"/>
          <c:showSerName val="false"/>
          <c:showPercent val="false"/>
          <c:showBubbleSize val="false"/>
        </c:dLbls>
        <c:gapWidth val="219"/>
        <c:overlap val="-27"/>
        <c:axId val="246791168"/>
        <c:axId val="246792960"/>
      </c:barChart>
      <c:catAx>
        <c:axId val="246791168"/>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46792960"/>
        <c:crosses val="autoZero"/>
        <c:auto val="true"/>
        <c:lblAlgn val="ctr"/>
        <c:lblOffset val="100"/>
        <c:noMultiLvlLbl val="false"/>
      </c:catAx>
      <c:valAx>
        <c:axId val="246792960"/>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46791168"/>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barChart>
        <c:barDir val="col"/>
        <c:grouping val="clustered"/>
        <c:varyColors val="false"/>
        <c:ser>
          <c:idx val="0"/>
          <c:order val="0"/>
          <c:tx>
            <c:strRef>
              <c:f>[工作簿1]Sheet1!$L$7</c:f>
              <c:strCache>
                <c:ptCount val="1"/>
                <c:pt idx="0">
                  <c:v>一般公共预算财政拨款支出决算变动情况</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multiLvlStrRef>
              <c:f>[工作簿1]Sheet1!$M$5:$N$6</c:f>
              <c:multiLvlStrCache>
                <c:ptCount val="2"/>
                <c:lvl>
                  <c:pt idx="0">
                    <c:v>2019年</c:v>
                  </c:pt>
                  <c:pt idx="1">
                    <c:v>2020年</c:v>
                  </c:pt>
                </c:lvl>
                <c:lvl/>
              </c:multiLvlStrCache>
            </c:multiLvlStrRef>
          </c:cat>
          <c:val>
            <c:numRef>
              <c:f>[工作簿1]Sheet1!$M$7:$N$7</c:f>
              <c:numCache>
                <c:formatCode>General</c:formatCode>
                <c:ptCount val="2"/>
                <c:pt idx="0">
                  <c:v>193.52</c:v>
                </c:pt>
                <c:pt idx="1">
                  <c:v>217.81</c:v>
                </c:pt>
              </c:numCache>
            </c:numRef>
          </c:val>
        </c:ser>
        <c:dLbls>
          <c:showLegendKey val="false"/>
          <c:showVal val="true"/>
          <c:showCatName val="false"/>
          <c:showSerName val="false"/>
          <c:showPercent val="false"/>
          <c:showBubbleSize val="false"/>
        </c:dLbls>
        <c:gapWidth val="219"/>
        <c:overlap val="-27"/>
        <c:axId val="256451712"/>
        <c:axId val="256453248"/>
      </c:barChart>
      <c:catAx>
        <c:axId val="256451712"/>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56453248"/>
        <c:crosses val="autoZero"/>
        <c:auto val="true"/>
        <c:lblAlgn val="ctr"/>
        <c:lblOffset val="100"/>
        <c:noMultiLvlLbl val="false"/>
      </c:catAx>
      <c:valAx>
        <c:axId val="256453248"/>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56451712"/>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400" b="0" i="0" u="none" strike="noStrike" kern="1200" baseline="0">
                <a:solidFill>
                  <a:srgbClr val="595959"/>
                </a:solidFill>
                <a:latin typeface="AR PL UKai CN"/>
                <a:ea typeface="AR PL UKai CN"/>
                <a:cs typeface="Lucida Sans" panose="020B0602030504020204"/>
              </a:defRPr>
            </a:pPr>
            <a:r>
              <a:rPr lang="en-US" altLang="zh-CN"/>
              <a:t>2020</a:t>
            </a:r>
            <a:r>
              <a:rPr altLang="en-US"/>
              <a:t>年</a:t>
            </a:r>
            <a:r>
              <a:rPr lang="zh-CN"/>
              <a:t>一般公共预算财政拨款支出决算结构</a:t>
            </a:r>
            <a:endParaRPr lang="zh-CN"/>
          </a:p>
        </c:rich>
      </c:tx>
      <c:layout>
        <c:manualLayout>
          <c:xMode val="edge"/>
          <c:yMode val="edge"/>
          <c:x val="0.181111111111111"/>
          <c:y val="0.0081366965012205"/>
        </c:manualLayout>
      </c:layout>
      <c:overlay val="false"/>
      <c:spPr>
        <a:noFill/>
        <a:ln>
          <a:noFill/>
        </a:ln>
      </c:spPr>
    </c:title>
    <c:autoTitleDeleted val="false"/>
    <c:plotArea>
      <c:layout/>
      <c:pieChart>
        <c:varyColors val="true"/>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false"/>
            <c:spPr>
              <a:solidFill>
                <a:srgbClr val="4F81BD"/>
              </a:solidFill>
              <a:ln w="19050">
                <a:solidFill>
                  <a:srgbClr val="FFFFFF"/>
                </a:solidFill>
                <a:prstDash val="solid"/>
              </a:ln>
            </c:spPr>
          </c:dPt>
          <c:dPt>
            <c:idx val="1"/>
            <c:bubble3D val="false"/>
            <c:spPr>
              <a:solidFill>
                <a:srgbClr val="C0504D"/>
              </a:solidFill>
              <a:ln w="19050">
                <a:solidFill>
                  <a:srgbClr val="FFFFFF"/>
                </a:solidFill>
                <a:prstDash val="solid"/>
              </a:ln>
            </c:spPr>
          </c:dPt>
          <c:dPt>
            <c:idx val="2"/>
            <c:bubble3D val="false"/>
            <c:spPr>
              <a:solidFill>
                <a:srgbClr val="9BBB59"/>
              </a:solidFill>
              <a:ln w="19050">
                <a:solidFill>
                  <a:srgbClr val="FFFFFF"/>
                </a:solidFill>
                <a:prstDash val="solid"/>
              </a:ln>
            </c:spPr>
          </c:dPt>
          <c:dPt>
            <c:idx val="3"/>
            <c:bubble3D val="false"/>
            <c:spPr>
              <a:solidFill>
                <a:srgbClr val="8064A2"/>
              </a:solidFill>
              <a:ln w="19050">
                <a:solidFill>
                  <a:srgbClr val="FFFFFF"/>
                </a:solidFill>
                <a:prstDash val="solid"/>
              </a:ln>
            </c:spPr>
          </c:dPt>
          <c:dLbls>
            <c:dLbl>
              <c:idx val="0"/>
              <c:layout>
                <c:manualLayout>
                  <c:x val="0.0361727257872941"/>
                  <c:y val="-0.0191703849040769"/>
                </c:manualLayout>
              </c:layout>
              <c:tx>
                <c:rich>
                  <a:bodyPr rot="0" spcFirstLastPara="0" vertOverflow="ellipsis" vert="horz" wrap="square" lIns="38100" tIns="19050" rIns="38100" bIns="19050" anchor="ctr" anchorCtr="true"/>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169.87</a:t>
                    </a:r>
                    <a:endParaRPr lang="en-US" altLang="zh-CN"/>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20973645"/>
                  <c:y val="0.044190824"/>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rgbClr val="404040"/>
                        </a:solidFill>
                        <a:latin typeface="AR PL UKai CN"/>
                        <a:ea typeface="AR PL UKai CN"/>
                        <a:cs typeface="Lucida Sans" panose="020B0602030504020204"/>
                      </a:defRPr>
                    </a:pPr>
                    <a:r>
                      <a:rPr lang="en-US" altLang="zh-CN"/>
                      <a:t>22.38</a:t>
                    </a:r>
                    <a:endParaRPr lang="en-US" altLang="zh-CN"/>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03778876"/>
                  <c:y val="0.004965708"/>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rgbClr val="404040"/>
                        </a:solidFill>
                        <a:latin typeface="AR PL UKai CN"/>
                        <a:ea typeface="AR PL UKai CN"/>
                        <a:cs typeface="Lucida Sans" panose="020B0602030504020204"/>
                      </a:defRPr>
                    </a:pPr>
                    <a:r>
                      <a:rPr lang="en-US" altLang="zh-CN"/>
                      <a:t>10.40</a:t>
                    </a:r>
                    <a:endParaRPr lang="en-US" altLang="zh-CN"/>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27582776"/>
                  <c:y val="-0.04169033"/>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rgbClr val="404040"/>
                        </a:solidFill>
                        <a:latin typeface="AR PL UKai CN"/>
                        <a:ea typeface="AR PL UKai CN"/>
                        <a:cs typeface="Lucida Sans" panose="020B0602030504020204"/>
                      </a:defRPr>
                    </a:pPr>
                    <a:r>
                      <a:rPr lang="en-US" altLang="zh-CN"/>
                      <a:t>15.16</a:t>
                    </a:r>
                    <a:endParaRPr lang="en-US" altLang="zh-CN"/>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'Sheet1 (6)'!$A$2:$A$5</c:f>
              <c:strCache>
                <c:ptCount val="4"/>
                <c:pt idx="0">
                  <c:v>一般公共服务</c:v>
                </c:pt>
                <c:pt idx="1">
                  <c:v>社会保障和就业</c:v>
                </c:pt>
                <c:pt idx="2">
                  <c:v>医疗卫生支出</c:v>
                </c:pt>
                <c:pt idx="3">
                  <c:v>住房保障支出</c:v>
                </c:pt>
              </c:strCache>
            </c:strRef>
          </c:cat>
          <c:val>
            <c:numRef>
              <c:f>'Sheet1 (6)'!$B$2:$B$5</c:f>
              <c:numCache>
                <c:formatCode>General</c:formatCode>
                <c:ptCount val="4"/>
                <c:pt idx="0">
                  <c:v>3150.92</c:v>
                </c:pt>
                <c:pt idx="1">
                  <c:v>237.58</c:v>
                </c:pt>
                <c:pt idx="2">
                  <c:v>105.17</c:v>
                </c:pt>
                <c:pt idx="3">
                  <c:v>152.93</c:v>
                </c:pt>
              </c:numCache>
            </c:numRef>
          </c:val>
        </c:ser>
        <c:dLbls>
          <c:showLegendKey val="false"/>
          <c:showVal val="true"/>
          <c:showCatName val="false"/>
          <c:showSerName val="false"/>
          <c:showPercent val="false"/>
          <c:showBubbleSize val="false"/>
          <c:showLeaderLines val="true"/>
        </c:dLbls>
        <c:firstSliceAng val="0"/>
      </c:pieChart>
      <c:spPr>
        <a:noFill/>
        <a:ln>
          <a:noFill/>
        </a:ln>
      </c:spPr>
    </c:plotArea>
    <c:legend>
      <c:legendPos val="b"/>
      <c:layout/>
      <c:overlay val="false"/>
      <c:spPr>
        <a:noFill/>
        <a:ln>
          <a:noFill/>
        </a:ln>
      </c:spPr>
      <c:txPr>
        <a:bodyPr rot="0" spcFirstLastPara="0" vertOverflow="ellipsis" vert="horz" wrap="square" anchor="ctr" anchorCtr="true"/>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true"/>
    <c:dispBlanksAs val="zero"/>
    <c:showDLblsOverMax val="false"/>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rgbClr val="F79646"/>
  <a:srgbClr val="4BACC6"/>
  <a:srgbClr val="8064A2"/>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9106</Words>
  <Characters>9891</Characters>
  <Lines>80</Lines>
  <Paragraphs>22</Paragraphs>
  <TotalTime>1</TotalTime>
  <ScaleCrop>false</ScaleCrop>
  <LinksUpToDate>false</LinksUpToDate>
  <CharactersWithSpaces>10103</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2021-09-22T10:08:00Z</cp:lastPrinted>
  <dcterms:modified xsi:type="dcterms:W3CDTF">2023-08-03T15:22:38Z</dcterms:modified>
  <dc:title>四川省***</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E685FCB0106B449CB86A714AFD5CBB16</vt:lpwstr>
  </property>
</Properties>
</file>