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8662D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2026年林业和草原局部门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575E9C68">
      <w:pPr>
        <w:pStyle w:val="5"/>
        <w:jc w:val="left"/>
      </w:pPr>
    </w:p>
    <w:p w14:paraId="0DABF34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2026年，我单位部门预算1572.09万元 ，均严格按绩效管理要求实现项目绩效目标管理，其中重点项目预算0个，现将情况说明如下：</w:t>
      </w:r>
    </w:p>
    <w:p w14:paraId="3E6FC5CC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EC26A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完成了2026年本级部门预算整体绩效目标申报和1个项目预算绩效目标申报，并编报1个项目预算事前绩效评估报告。</w:t>
      </w:r>
    </w:p>
    <w:p w14:paraId="5DE16CA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A7E906B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完成202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年局机关日常政务工作，完成202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财务预决算的编报工作；完成造林绿化工作；完成防火工作；完成森林资源的管理工作；完成野生动植物保护工作；对林木种苗质量进行监督检验；承担林木种苗质量标准化服务等工作；承担全县林木种苗、种子、花卉的技术培训工作；负责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木种子生产和经营许可证的审核办证及管理。</w:t>
      </w:r>
      <w:bookmarkStart w:id="0" w:name="_GoBack"/>
      <w:bookmarkEnd w:id="0"/>
    </w:p>
    <w:p w14:paraId="69A9A26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47FBA9E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GNmNzdkZDZmODVmODcyOWJkZjVmNzJhOTRlYmM4NDUifQ=="/>
  </w:docVars>
  <w:rsids>
    <w:rsidRoot w:val="00000000"/>
    <w:rsid w:val="23C416E6"/>
    <w:rsid w:val="784902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312</Words>
  <Characters>333</Characters>
  <Lines>23</Lines>
  <Paragraphs>15</Paragraphs>
  <TotalTime>1</TotalTime>
  <ScaleCrop>false</ScaleCrop>
  <LinksUpToDate>false</LinksUpToDate>
  <CharactersWithSpaces>335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随风飘逸</cp:lastModifiedBy>
  <dcterms:modified xsi:type="dcterms:W3CDTF">2026-03-11T01:44:21Z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8212D4DF061D4577B83901AB9E0C5FC9_13</vt:lpwstr>
  </property>
  <property fmtid="{D5CDD505-2E9C-101B-9397-08002B2CF9AE}" pid="4" name="KSOTemplateDocerSaveRecord">
    <vt:lpwstr>eyJoZGlkIjoiZGNmNzdkZDZmODVmODcyOWJkZjVmNzJhOTRlYmM4NDUiLCJ1c2VySWQiOiI3ODE4ODM1OTcifQ==</vt:lpwstr>
  </property>
</Properties>
</file>