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autofit"/>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0" w:type="auto"/>
            <w:shd w:val="clear" w:color="auto" w:fill="FFFFFF"/>
          </w:tcPr>
          <w:tbl>
            <w:tblPr>
              <w:tblStyle w:val="4"/>
              <w:tblW w:w="5000" w:type="pct"/>
              <w:tblCellSpacing w:w="0" w:type="dxa"/>
              <w:tblInd w:w="0" w:type="dxa"/>
              <w:tblLayout w:type="autofit"/>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0" w:type="auto"/>
                </w:tcPr>
                <w:tbl>
                  <w:tblPr>
                    <w:tblStyle w:val="4"/>
                    <w:tblW w:w="5000" w:type="pct"/>
                    <w:tblCellSpacing w:w="0" w:type="dxa"/>
                    <w:tblInd w:w="0" w:type="dxa"/>
                    <w:tblLayout w:type="autofit"/>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0" w:type="auto"/>
                        <w:tcMar>
                          <w:top w:w="0" w:type="dxa"/>
                          <w:left w:w="30" w:type="dxa"/>
                          <w:bottom w:w="30" w:type="dxa"/>
                          <w:right w:w="30" w:type="dxa"/>
                        </w:tcMar>
                      </w:tcPr>
                      <w:tbl>
                        <w:tblPr>
                          <w:tblStyle w:val="4"/>
                          <w:tblW w:w="5000" w:type="pct"/>
                          <w:tblCellSpacing w:w="0" w:type="dxa"/>
                          <w:tblInd w:w="0" w:type="dxa"/>
                          <w:tblLayout w:type="autofit"/>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0" w:type="auto"/>
                              <w:shd w:val="clear" w:color="auto" w:fill="FFFFFF"/>
                            </w:tcPr>
                            <w:tbl>
                              <w:tblPr>
                                <w:tblStyle w:val="4"/>
                                <w:tblW w:w="8775" w:type="dxa"/>
                                <w:jc w:val="center"/>
                                <w:tblCellSpacing w:w="0" w:type="dxa"/>
                                <w:tblLayout w:type="autofit"/>
                                <w:tblCellMar>
                                  <w:top w:w="0" w:type="dxa"/>
                                  <w:left w:w="0" w:type="dxa"/>
                                  <w:bottom w:w="0" w:type="dxa"/>
                                  <w:right w:w="0" w:type="dxa"/>
                                </w:tblCellMar>
                              </w:tblPr>
                              <w:tblGrid>
                                <w:gridCol w:w="8775"/>
                              </w:tblGrid>
                              <w:tr>
                                <w:trPr>
                                  <w:tblCellSpacing w:w="0" w:type="dxa"/>
                                  <w:jc w:val="center"/>
                                </w:trPr>
                                <w:tc>
                                  <w:tcPr>
                                    <w:tcW w:w="8685" w:type="dxa"/>
                                    <w:tcMar>
                                      <w:top w:w="150" w:type="dxa"/>
                                      <w:left w:w="75" w:type="dxa"/>
                                      <w:bottom w:w="0" w:type="dxa"/>
                                      <w:right w:w="0" w:type="dxa"/>
                                    </w:tcMar>
                                  </w:tcPr>
                                  <w:p>
                                    <w:pPr>
                                      <w:widowControl/>
                                      <w:spacing w:line="560" w:lineRule="exact"/>
                                      <w:jc w:val="center"/>
                                      <w:outlineLvl w:val="0"/>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金川县林业和草原局</w:t>
                                    </w:r>
                                  </w:p>
                                  <w:p>
                                    <w:pPr>
                                      <w:widowControl/>
                                      <w:spacing w:line="560" w:lineRule="exact"/>
                                      <w:jc w:val="center"/>
                                      <w:outlineLvl w:val="0"/>
                                      <w:rPr>
                                        <w:rFonts w:ascii="方正小标宋简体" w:hAnsi="宋体" w:eastAsia="方正小标宋简体" w:cs="宋体"/>
                                        <w:kern w:val="0"/>
                                        <w:sz w:val="44"/>
                                        <w:szCs w:val="44"/>
                                      </w:rPr>
                                    </w:pPr>
                                    <w:r>
                                      <w:rPr>
                                        <w:rFonts w:ascii="方正小标宋简体" w:hAnsi="宋体" w:eastAsia="方正小标宋简体" w:cs="宋体"/>
                                        <w:kern w:val="0"/>
                                        <w:sz w:val="44"/>
                                        <w:szCs w:val="44"/>
                                      </w:rPr>
                                      <w:t>2021</w:t>
                                    </w:r>
                                    <w:r>
                                      <w:rPr>
                                        <w:rFonts w:hint="eastAsia" w:ascii="方正小标宋简体" w:hAnsi="宋体" w:eastAsia="方正小标宋简体" w:cs="宋体"/>
                                        <w:kern w:val="0"/>
                                        <w:sz w:val="44"/>
                                        <w:szCs w:val="44"/>
                                      </w:rPr>
                                      <w:t>年部门预算编制说明</w:t>
                                    </w:r>
                                  </w:p>
                                  <w:p>
                                    <w:pPr>
                                      <w:widowControl/>
                                      <w:spacing w:line="560" w:lineRule="exact"/>
                                      <w:jc w:val="left"/>
                                      <w:outlineLvl w:val="0"/>
                                      <w:rPr>
                                        <w:rFonts w:ascii="方正小标宋简体" w:hAnsi="宋体" w:eastAsia="方正小标宋简体" w:cs="宋体"/>
                                        <w:color w:val="0066CC"/>
                                        <w:kern w:val="0"/>
                                        <w:sz w:val="36"/>
                                        <w:szCs w:val="36"/>
                                      </w:rPr>
                                    </w:pPr>
                                  </w:p>
                                  <w:p>
                                    <w:pPr>
                                      <w:widowControl/>
                                      <w:spacing w:line="560" w:lineRule="exact"/>
                                      <w:ind w:firstLine="640" w:firstLineChars="200"/>
                                      <w:jc w:val="left"/>
                                      <w:outlineLvl w:val="0"/>
                                      <w:rPr>
                                        <w:rFonts w:ascii="仿宋_GB2312" w:hAnsi="宋体" w:eastAsia="仿宋_GB2312" w:cs="宋体"/>
                                        <w:b/>
                                        <w:kern w:val="0"/>
                                        <w:sz w:val="32"/>
                                        <w:szCs w:val="32"/>
                                      </w:rPr>
                                    </w:pPr>
                                    <w:r>
                                      <w:rPr>
                                        <w:rFonts w:hint="eastAsia" w:ascii="黑体" w:hAnsi="宋体" w:eastAsia="黑体" w:cs="宋体"/>
                                        <w:color w:val="333333"/>
                                        <w:kern w:val="0"/>
                                        <w:sz w:val="32"/>
                                        <w:szCs w:val="32"/>
                                      </w:rPr>
                                      <w:t>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w:t>
                                    </w:r>
                                    <w:r>
                                      <w:rPr>
                                        <w:rFonts w:hint="eastAsia" w:ascii="仿宋_GB2312" w:hAnsi="宋体" w:eastAsia="仿宋_GB2312" w:cs="宋体"/>
                                        <w:b/>
                                        <w:kern w:val="0"/>
                                        <w:sz w:val="32"/>
                                        <w:szCs w:val="32"/>
                                      </w:rPr>
                                      <w:t>（一）部门主要职责</w:t>
                                    </w:r>
                                  </w:p>
                                  <w:p>
                                    <w:pPr>
                                      <w:spacing w:line="560" w:lineRule="exact"/>
                                      <w:ind w:firstLine="419" w:firstLineChars="131"/>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根据</w:t>
                                    </w:r>
                                    <w:r>
                                      <w:rPr>
                                        <w:rFonts w:ascii="仿宋_GB2312" w:hAnsi="宋体" w:eastAsia="仿宋_GB2312" w:cs="宋体"/>
                                        <w:kern w:val="0"/>
                                        <w:sz w:val="32"/>
                                        <w:szCs w:val="32"/>
                                        <w:u w:val="single"/>
                                      </w:rPr>
                                      <w:t xml:space="preserve"> </w:t>
                                    </w:r>
                                    <w:r>
                                      <w:rPr>
                                        <w:rFonts w:hint="eastAsia" w:ascii="仿宋_GB2312" w:hAnsi="宋体" w:eastAsia="仿宋_GB2312" w:cs="宋体"/>
                                        <w:kern w:val="0"/>
                                        <w:sz w:val="32"/>
                                        <w:szCs w:val="32"/>
                                        <w:u w:val="single"/>
                                      </w:rPr>
                                      <w:t>金委办发</w:t>
                                    </w:r>
                                    <w:r>
                                      <w:rPr>
                                        <w:rFonts w:hint="eastAsia" w:ascii="仿宋_GB2312" w:hAnsi="微软雅黑" w:eastAsia="微软雅黑" w:cs="微软雅黑"/>
                                        <w:kern w:val="0"/>
                                        <w:sz w:val="32"/>
                                        <w:szCs w:val="32"/>
                                        <w:u w:val="single"/>
                                      </w:rPr>
                                      <w:t>﹝</w:t>
                                    </w:r>
                                    <w:r>
                                      <w:rPr>
                                        <w:rFonts w:ascii="仿宋_GB2312" w:hAnsi="微软雅黑" w:eastAsia="仿宋_GB2312" w:cs="微软雅黑"/>
                                        <w:kern w:val="0"/>
                                        <w:sz w:val="32"/>
                                        <w:szCs w:val="32"/>
                                        <w:u w:val="single"/>
                                      </w:rPr>
                                      <w:t>2019</w:t>
                                    </w:r>
                                    <w:r>
                                      <w:rPr>
                                        <w:rFonts w:hint="eastAsia" w:ascii="仿宋_GB2312" w:hAnsi="微软雅黑" w:eastAsia="微软雅黑" w:cs="微软雅黑"/>
                                        <w:kern w:val="0"/>
                                        <w:sz w:val="32"/>
                                        <w:szCs w:val="32"/>
                                        <w:u w:val="single"/>
                                      </w:rPr>
                                      <w:t>﹞</w:t>
                                    </w:r>
                                    <w:r>
                                      <w:rPr>
                                        <w:rFonts w:ascii="仿宋_GB2312" w:hAnsi="微软雅黑" w:eastAsia="仿宋_GB2312" w:cs="微软雅黑"/>
                                        <w:kern w:val="0"/>
                                        <w:sz w:val="32"/>
                                        <w:szCs w:val="32"/>
                                        <w:u w:val="single"/>
                                      </w:rPr>
                                      <w:t>48</w:t>
                                    </w:r>
                                    <w:r>
                                      <w:rPr>
                                        <w:rFonts w:hint="eastAsia" w:ascii="仿宋_GB2312" w:hAnsi="微软雅黑" w:eastAsia="仿宋_GB2312" w:cs="微软雅黑"/>
                                        <w:kern w:val="0"/>
                                        <w:sz w:val="32"/>
                                        <w:szCs w:val="32"/>
                                        <w:u w:val="single"/>
                                      </w:rPr>
                                      <w:t>号</w:t>
                                    </w:r>
                                    <w:r>
                                      <w:rPr>
                                        <w:rFonts w:hint="eastAsia" w:ascii="仿宋_GB2312" w:hAnsi="宋体" w:eastAsia="仿宋_GB2312" w:cs="宋体"/>
                                        <w:kern w:val="0"/>
                                        <w:sz w:val="32"/>
                                        <w:szCs w:val="32"/>
                                      </w:rPr>
                                      <w:t>文件规定，主要职责是：</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lang w:eastAsia="zh-CN"/>
                                      </w:rPr>
                                      <w:t>（</w:t>
                                    </w:r>
                                    <w:bookmarkStart w:id="0" w:name="_GoBack"/>
                                    <w:bookmarkEnd w:id="0"/>
                                    <w:r>
                                      <w:rPr>
                                        <w:rFonts w:hint="eastAsia" w:ascii="仿宋_GB2312" w:hAnsi="仿宋" w:eastAsia="仿宋_GB2312" w:cs="仿宋"/>
                                        <w:sz w:val="32"/>
                                        <w:szCs w:val="32"/>
                                      </w:rPr>
                                      <w:t>一</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全县林业和草原及其生态保护修复的监督管理。拟订全县林业和草原及其生态保护修复的政策、规划并组织实施。组织开展全县森林、草原、湿地、荒漠和陆生野生动植物资源动态监测与评价，推进全县林业和草原数字化建设。</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组织全县林业和草原生态保护修复和造林绿化工作。组织实施林业和草原重点生态保护修复工程，指导公益林和商品林的培育，指导、监督全民义务植树、城乡绿化工作。指导林业和草原有害生物防治、检疫工作。承担林业和草原应对气候变化的相关工作。</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三</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全县森林、草原、湿地资源的监督管理。组织编制并监督执行全县森林采伐限额。负责林地管理，拟订林地保护利用规划并组织实施，组织实施公益林划定和管理工作，管理国有森林资源。负责草原禁牧、草畜平衡和草原生态修复治理工作，监督管理草原的开发利用。负责湿地生态保护修复工作，拟订全县湿地保护规划，监督管理湿地的开发利用。</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四</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负责监督管理全县荒漠化防治工作。组织开展荒漠调查，组织拟订防沙治沙及沙化土地封禁保护区建设规划，监督管理沙化土地的开发利用，组织沙尘暴灾害预测预报和应急处置。</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五</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全县陆生野生动植物资源监督管理。组织开展陆生野生动植物资源调查，拟订及调整全县重点保护陆生野生动物、植物名录，指导陆生野生动植物的救护繁育、栖息地恢复发展、疫源疫病监测，监督管理陆生野生动植物猎捕或采集、驯养繁殖或培植、经营利用，按分工监督管理野生动植物进出口。</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监督管理全县各类自然保护地。拟订各类自然保护地规划。负责国家公园申报设立、规划、建设和特许经营等工作，负责县级政府直接行使和代理行使全民所有权的国家公园等自然保护地的自然资源资产管理和国土空间用途管制。提出新建、调整各类自然保护地的审核建议并按程序报批，组织审核世界自然遗产的申报，会同有关部门审核世界自然与文化双重遗产的申报。负责生物多样性保护相关工作。</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七</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推进全县林业和草原改革相关工作。拟订集体林权制度、国有林区、国有林场、草原等重大改革意见并监督实施。拟订农村林业发展、维护林业经营者合法权益的政策措施。指导农村林地承包经营工作。开展退耕</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牧</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还林还草，负责天然林保护工作。</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八</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拟订全县林业和草原资源优化配置及木材利用政策，拟订相关林业产业地方标准并监督实施，组织、指导林草产品质量监督，指导生态扶贫相关工作。指导林业和草原现代园区建设、花卉、特色经济林、森林林下经济、森林康养和生态旅游产业发展。推进林业和草原绿色产业发展。</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九</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指导全县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十</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指导全县森林公安工作，监督管理森林公安队伍，指导全县林业重大违法案件的查处，负责相关行政执法监管工作，指导林区社会治安治理工作。</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十一</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落实全县综合防灾减灾规划相关要求，组织编制森林和草原火灾防治规划并指导实施，组织、指导开展防火巡护、火源管理、防火设施建设等工作。负责森林和草原火情监测预警、火灾预防工作，发送森林和草原火险信息。组织指导国有林场林区和草原开展防火宣传教育、监测预警、督促检查等工作。</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十二</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监督管理全县林业和草原县级以上资金和国有资产，提出林业和草原预算内投资、县级以上财政性资金安</w:t>
                                    </w:r>
                                  </w:p>
                                  <w:p>
                                    <w:pPr>
                                      <w:spacing w:line="560" w:lineRule="exact"/>
                                      <w:rPr>
                                        <w:rFonts w:ascii="仿宋_GB2312" w:hAnsi="仿宋" w:eastAsia="仿宋_GB2312" w:cs="仿宋"/>
                                        <w:sz w:val="32"/>
                                        <w:szCs w:val="32"/>
                                      </w:rPr>
                                    </w:pPr>
                                    <w:r>
                                      <w:rPr>
                                        <w:rFonts w:hint="eastAsia" w:ascii="仿宋_GB2312" w:hAnsi="仿宋" w:eastAsia="仿宋_GB2312" w:cs="仿宋"/>
                                        <w:sz w:val="32"/>
                                        <w:szCs w:val="32"/>
                                      </w:rPr>
                                      <w:t>排建议，按县政府规定权限，核报、核准规划内和年度计划</w:t>
                                    </w:r>
                                  </w:p>
                                  <w:p>
                                    <w:pPr>
                                      <w:spacing w:line="560" w:lineRule="exact"/>
                                      <w:rPr>
                                        <w:rFonts w:ascii="仿宋_GB2312" w:hAnsi="仿宋" w:eastAsia="仿宋_GB2312" w:cs="仿宋"/>
                                        <w:sz w:val="32"/>
                                        <w:szCs w:val="32"/>
                                      </w:rPr>
                                    </w:pPr>
                                    <w:r>
                                      <w:rPr>
                                        <w:rFonts w:hint="eastAsia" w:ascii="仿宋_GB2312" w:hAnsi="仿宋" w:eastAsia="仿宋_GB2312" w:cs="仿宋"/>
                                        <w:sz w:val="32"/>
                                        <w:szCs w:val="32"/>
                                      </w:rPr>
                                      <w:t>内投资项目。组织实施林业和草原生态补偿工作。</w:t>
                                    </w:r>
                                  </w:p>
                                  <w:p>
                                    <w:pPr>
                                      <w:spacing w:line="560" w:lineRule="exact"/>
                                      <w:ind w:firstLine="648"/>
                                      <w:rPr>
                                        <w:rFonts w:ascii="仿宋_GB2312" w:hAnsi="仿宋" w:eastAsia="仿宋_GB2312" w:cs="仿宋"/>
                                        <w:sz w:val="32"/>
                                        <w:szCs w:val="32"/>
                                      </w:rPr>
                                    </w:pP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十三</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负责林业和草原科技、教育和对外交流工作，指导全县林业和草原人才队伍建设，组织实施林业和草原对外交流与合作事务，承担湿地、防治荒漠化、濒危野生动植物等国际公约履约有关工作。</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十四</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负责县属林业企业监督管理。协助县委组织部指导县属林业企业党的建设和人才队伍建设工作。组织协调县属林业企业退休人员信访、稳定工作。</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（十五）承担职责范围内的安全生产和职业健康、生态</w:t>
                                    </w:r>
                                  </w:p>
                                  <w:p>
                                    <w:pPr>
                                      <w:spacing w:line="560" w:lineRule="exact"/>
                                      <w:rPr>
                                        <w:rFonts w:ascii="仿宋_GB2312" w:hAnsi="仿宋" w:eastAsia="仿宋_GB2312" w:cs="仿宋"/>
                                        <w:sz w:val="32"/>
                                        <w:szCs w:val="32"/>
                                      </w:rPr>
                                    </w:pPr>
                                    <w:r>
                                      <w:rPr>
                                        <w:rFonts w:hint="eastAsia" w:ascii="仿宋_GB2312" w:hAnsi="仿宋" w:eastAsia="仿宋_GB2312" w:cs="仿宋"/>
                                        <w:sz w:val="32"/>
                                        <w:szCs w:val="32"/>
                                      </w:rPr>
                                      <w:t>环境保护、审批服务便民化等工作。</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十六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完成县委、县政府交办的其他任务。</w:t>
                                    </w:r>
                                  </w:p>
                                  <w:p>
                                    <w:pPr>
                                      <w:spacing w:line="560" w:lineRule="exac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十七</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职能转变。围绕高质量筑牢长江黄河上游生态屏障，加强森林、草原、湿地监督管理的统筹协调，切实加大生态系统保护力度，实施重要生态系统保护和修复工程，高质量实施绿化全县行动，高水平推进数字林业草原建设，加快实现林业草原生态、经济、社会三大效益。统一推进全县各类自然保护地的清理规范和归并整合。</w:t>
                                    </w:r>
                                  </w:p>
                                  <w:p>
                                    <w:pPr>
                                      <w:widowControl/>
                                      <w:spacing w:line="560" w:lineRule="exact"/>
                                      <w:ind w:firstLine="643" w:firstLineChars="200"/>
                                      <w:jc w:val="left"/>
                                      <w:outlineLvl w:val="0"/>
                                      <w:rPr>
                                        <w:rFonts w:ascii="仿宋_GB2312" w:hAnsi="宋体" w:eastAsia="仿宋_GB2312" w:cs="宋体"/>
                                        <w:b/>
                                        <w:kern w:val="0"/>
                                        <w:sz w:val="32"/>
                                        <w:szCs w:val="32"/>
                                      </w:rPr>
                                    </w:pPr>
                                    <w:r>
                                      <w:rPr>
                                        <w:rFonts w:hint="eastAsia" w:ascii="仿宋_GB2312" w:hAnsi="宋体" w:eastAsia="仿宋_GB2312" w:cs="宋体"/>
                                        <w:b/>
                                        <w:kern w:val="0"/>
                                        <w:sz w:val="32"/>
                                        <w:szCs w:val="32"/>
                                      </w:rPr>
                                      <w:t>（二）主要工作任务</w:t>
                                    </w:r>
                                  </w:p>
                                  <w:p>
                                    <w:pPr>
                                      <w:spacing w:line="560" w:lineRule="exact"/>
                                      <w:ind w:firstLine="640" w:firstLineChars="200"/>
                                      <w:rPr>
                                        <w:rFonts w:ascii="仿宋_GB2312" w:hAnsi="宋体" w:eastAsia="仿宋_GB2312" w:cs="宋体"/>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年主要工作任务是：</w:t>
                                    </w:r>
                                  </w:p>
                                  <w:p>
                                    <w:pPr>
                                      <w:widowControl/>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、负责指导、协调全县的林业产业发展；</w:t>
                                    </w:r>
                                  </w:p>
                                  <w:p>
                                    <w:pPr>
                                      <w:widowControl/>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、承担全县森林防火工作；</w:t>
                                    </w:r>
                                  </w:p>
                                  <w:p>
                                    <w:pPr>
                                      <w:widowControl/>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、负责全县林业及生态建设的科技、宣传、教育和外事工作；</w:t>
                                    </w:r>
                                  </w:p>
                                  <w:p>
                                    <w:pPr>
                                      <w:widowControl/>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、组织、协调、指导林果业发展工作。指导全县林果业种苗培育、管理工作；负责各类商品林。</w:t>
                                    </w:r>
                                  </w:p>
                                  <w:p>
                                    <w:pPr>
                                      <w:widowControl/>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、承担林业行政执法监管的责任；</w:t>
                                    </w:r>
                                  </w:p>
                                  <w:p>
                                    <w:pPr>
                                      <w:widowControl/>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、指导全县森林公安工作，监督管理森林公安队伍，指导全县林业重大违法案件的查处；</w:t>
                                    </w:r>
                                  </w:p>
                                  <w:p>
                                    <w:pPr>
                                      <w:widowControl/>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7</w:t>
                                    </w:r>
                                    <w:r>
                                      <w:rPr>
                                        <w:rFonts w:hint="eastAsia" w:ascii="仿宋_GB2312" w:hAnsi="宋体" w:eastAsia="仿宋_GB2312" w:cs="宋体"/>
                                        <w:kern w:val="0"/>
                                        <w:sz w:val="32"/>
                                        <w:szCs w:val="32"/>
                                      </w:rPr>
                                      <w:t>、组织、协调、指导和监督全县湿地保护工作；</w:t>
                                    </w:r>
                                  </w:p>
                                  <w:p>
                                    <w:pPr>
                                      <w:widowControl/>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8</w:t>
                                    </w:r>
                                    <w:r>
                                      <w:rPr>
                                        <w:rFonts w:hint="eastAsia" w:ascii="仿宋_GB2312" w:hAnsi="宋体" w:eastAsia="仿宋_GB2312" w:cs="宋体"/>
                                        <w:kern w:val="0"/>
                                        <w:sz w:val="32"/>
                                        <w:szCs w:val="32"/>
                                      </w:rPr>
                                      <w:t>、组织、指导监督全民义务植树、造林绿化工作。</w:t>
                                    </w:r>
                                  </w:p>
                                  <w:p>
                                    <w:pPr>
                                      <w:widowControl/>
                                      <w:spacing w:line="560" w:lineRule="exact"/>
                                      <w:ind w:left="210" w:leftChars="100" w:firstLine="640" w:firstLineChars="200"/>
                                      <w:jc w:val="left"/>
                                      <w:rPr>
                                        <w:rFonts w:ascii="仿宋_GB2312" w:hAnsi="宋体" w:eastAsia="仿宋_GB2312" w:cs="宋体"/>
                                        <w:kern w:val="0"/>
                                        <w:szCs w:val="32"/>
                                      </w:rPr>
                                    </w:pPr>
                                    <w:r>
                                      <w:rPr>
                                        <w:rFonts w:hint="eastAsia" w:ascii="仿宋_GB2312" w:hAnsi="宋体" w:eastAsia="仿宋_GB2312" w:cs="宋体"/>
                                        <w:color w:val="333333"/>
                                        <w:kern w:val="0"/>
                                        <w:sz w:val="32"/>
                                        <w:szCs w:val="32"/>
                                      </w:rPr>
                                      <w:t>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kern w:val="0"/>
                                        <w:sz w:val="32"/>
                                        <w:szCs w:val="32"/>
                                      </w:rPr>
                                      <w:t>本部门预算单位</w:t>
                                    </w:r>
                                    <w:r>
                                      <w:rPr>
                                        <w:rFonts w:ascii="仿宋_GB2312" w:hAnsi="宋体" w:eastAsia="仿宋_GB2312" w:cs="宋体"/>
                                        <w:kern w:val="0"/>
                                        <w:sz w:val="32"/>
                                        <w:szCs w:val="32"/>
                                        <w:u w:val="single"/>
                                      </w:rPr>
                                      <w:t xml:space="preserve"> 1 </w:t>
                                    </w:r>
                                    <w:r>
                                      <w:rPr>
                                        <w:rFonts w:hint="eastAsia" w:ascii="仿宋_GB2312" w:hAnsi="宋体" w:eastAsia="仿宋_GB2312" w:cs="宋体"/>
                                        <w:kern w:val="0"/>
                                        <w:sz w:val="32"/>
                                        <w:szCs w:val="32"/>
                                      </w:rPr>
                                      <w:t>个</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其中内设机构</w:t>
                                    </w:r>
                                    <w:r>
                                      <w:rPr>
                                        <w:rFonts w:ascii="仿宋_GB2312" w:hAnsi="宋体" w:eastAsia="仿宋_GB2312" w:cs="宋体"/>
                                        <w:kern w:val="0"/>
                                        <w:sz w:val="32"/>
                                        <w:szCs w:val="32"/>
                                        <w:u w:val="single"/>
                                      </w:rPr>
                                      <w:t xml:space="preserve"> 2 </w:t>
                                    </w:r>
                                    <w:r>
                                      <w:rPr>
                                        <w:rFonts w:hint="eastAsia" w:ascii="仿宋_GB2312" w:hAnsi="宋体" w:eastAsia="仿宋_GB2312" w:cs="宋体"/>
                                        <w:kern w:val="0"/>
                                        <w:sz w:val="32"/>
                                        <w:szCs w:val="32"/>
                                      </w:rPr>
                                      <w:t>个。</w:t>
                                    </w:r>
                                  </w:p>
                                  <w:p>
                                    <w:pPr>
                                      <w:widowControl/>
                                      <w:spacing w:line="480" w:lineRule="atLeast"/>
                                      <w:ind w:firstLine="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32"/>
                                        <w:szCs w:val="32"/>
                                      </w:rPr>
                                      <w:t>三、收支预算情况说明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2"/>
                                        <w:szCs w:val="32"/>
                                      </w:rPr>
                                      <w:t>按照综合预算的原则，林业局所有收入和支出均纳入部门预算管理。收入包括：一般公共预算拨款收入；支出包括：一般公共服务支出、社会保障和就业支出、医疗卫生与计划生育支出、住房保障支出。林业局</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年收支总预算</w:t>
                                    </w:r>
                                    <w:r>
                                      <w:rPr>
                                        <w:rFonts w:hint="eastAsia" w:ascii="仿宋_GB2312" w:eastAsia="仿宋_GB2312"/>
                                        <w:sz w:val="32"/>
                                        <w:szCs w:val="32"/>
                                      </w:rPr>
                                      <w:t>328.15万</w:t>
                                    </w:r>
                                    <w:r>
                                      <w:rPr>
                                        <w:rFonts w:hint="eastAsia" w:ascii="仿宋_GB2312" w:hAnsi="宋体" w:eastAsia="仿宋_GB2312" w:cs="宋体"/>
                                        <w:color w:val="333333"/>
                                        <w:kern w:val="0"/>
                                        <w:sz w:val="32"/>
                                        <w:szCs w:val="32"/>
                                      </w:rPr>
                                      <w:t>元。</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仿宋_GB2312" w:hAnsi="宋体" w:eastAsia="仿宋_GB2312" w:cs="宋体"/>
                                        <w:b/>
                                        <w:bCs/>
                                        <w:color w:val="333333"/>
                                        <w:kern w:val="0"/>
                                        <w:sz w:val="32"/>
                                        <w:szCs w:val="32"/>
                                      </w:rPr>
                                      <w:t>（一）收入预算情况。</w:t>
                                    </w:r>
                                    <w:r>
                                      <w:rPr>
                                        <w:rFonts w:ascii="仿宋_GB2312" w:hAnsi="宋体" w:eastAsia="仿宋_GB2312" w:cs="宋体"/>
                                        <w:b/>
                                        <w:bCs/>
                                        <w:color w:val="333333"/>
                                        <w:kern w:val="0"/>
                                        <w:sz w:val="32"/>
                                        <w:szCs w:val="32"/>
                                      </w:rPr>
                                      <w:br w:type="textWrapping"/>
                                    </w:r>
                                    <w:r>
                                      <w:rPr>
                                        <w:rFonts w:hint="eastAsia" w:ascii="仿宋_GB2312" w:hAnsi="宋体" w:eastAsia="仿宋_GB2312" w:cs="宋体"/>
                                        <w:color w:val="333333"/>
                                        <w:kern w:val="0"/>
                                        <w:sz w:val="32"/>
                                        <w:szCs w:val="32"/>
                                      </w:rPr>
                                      <w:t>　　林业局</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年收入预算</w:t>
                                    </w:r>
                                    <w:r>
                                      <w:rPr>
                                        <w:rFonts w:hint="eastAsia" w:ascii="仿宋_GB2312" w:eastAsia="仿宋_GB2312"/>
                                        <w:sz w:val="32"/>
                                        <w:szCs w:val="32"/>
                                      </w:rPr>
                                      <w:t>328.15万</w:t>
                                    </w:r>
                                    <w:r>
                                      <w:rPr>
                                        <w:rFonts w:hint="eastAsia" w:ascii="仿宋_GB2312" w:hAnsi="宋体" w:eastAsia="仿宋_GB2312" w:cs="宋体"/>
                                        <w:color w:val="333333"/>
                                        <w:kern w:val="0"/>
                                        <w:sz w:val="32"/>
                                        <w:szCs w:val="32"/>
                                      </w:rPr>
                                      <w:t>元，占</w:t>
                                    </w:r>
                                    <w:r>
                                      <w:rPr>
                                        <w:rFonts w:ascii="仿宋_GB2312" w:hAnsi="宋体" w:eastAsia="仿宋_GB2312" w:cs="宋体"/>
                                        <w:color w:val="333333"/>
                                        <w:kern w:val="0"/>
                                        <w:sz w:val="32"/>
                                        <w:szCs w:val="32"/>
                                      </w:rPr>
                                      <w:t>100%</w:t>
                                    </w:r>
                                    <w:r>
                                      <w:rPr>
                                        <w:rFonts w:hint="eastAsia" w:ascii="仿宋_GB2312" w:hAnsi="宋体" w:eastAsia="仿宋_GB2312" w:cs="宋体"/>
                                        <w:color w:val="333333"/>
                                        <w:kern w:val="0"/>
                                        <w:sz w:val="32"/>
                                        <w:szCs w:val="32"/>
                                      </w:rPr>
                                      <w:t>。</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仿宋_GB2312" w:hAnsi="宋体" w:eastAsia="仿宋_GB2312" w:cs="宋体"/>
                                        <w:b/>
                                        <w:bCs/>
                                        <w:color w:val="333333"/>
                                        <w:kern w:val="0"/>
                                        <w:sz w:val="32"/>
                                        <w:szCs w:val="32"/>
                                      </w:rPr>
                                      <w:t>（二）支出预算情况。</w:t>
                                    </w:r>
                                    <w:r>
                                      <w:rPr>
                                        <w:rFonts w:ascii="仿宋_GB2312" w:hAnsi="宋体" w:eastAsia="仿宋_GB2312" w:cs="宋体"/>
                                        <w:b/>
                                        <w:bCs/>
                                        <w:color w:val="333333"/>
                                        <w:kern w:val="0"/>
                                        <w:sz w:val="32"/>
                                        <w:szCs w:val="32"/>
                                      </w:rPr>
                                      <w:br w:type="textWrapping"/>
                                    </w:r>
                                    <w:r>
                                      <w:rPr>
                                        <w:rFonts w:hint="eastAsia" w:ascii="仿宋_GB2312" w:hAnsi="宋体" w:eastAsia="仿宋_GB2312" w:cs="宋体"/>
                                        <w:color w:val="333333"/>
                                        <w:kern w:val="0"/>
                                        <w:sz w:val="32"/>
                                        <w:szCs w:val="32"/>
                                      </w:rPr>
                                      <w:t>　　林业局</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年支出预算</w:t>
                                    </w:r>
                                    <w:r>
                                      <w:rPr>
                                        <w:rFonts w:hint="eastAsia" w:ascii="仿宋_GB2312" w:eastAsia="仿宋_GB2312"/>
                                        <w:sz w:val="32"/>
                                        <w:szCs w:val="32"/>
                                      </w:rPr>
                                      <w:t>328.15</w:t>
                                    </w:r>
                                    <w:r>
                                      <w:rPr>
                                        <w:rFonts w:hint="eastAsia" w:ascii="仿宋_GB2312" w:hAnsi="宋体" w:eastAsia="仿宋_GB2312" w:cs="宋体"/>
                                        <w:color w:val="333333"/>
                                        <w:kern w:val="0"/>
                                        <w:sz w:val="32"/>
                                        <w:szCs w:val="32"/>
                                      </w:rPr>
                                      <w:t>元，其中：基本支出</w:t>
                                    </w:r>
                                    <w:r>
                                      <w:rPr>
                                        <w:rFonts w:hint="eastAsia" w:ascii="仿宋_GB2312" w:eastAsia="仿宋_GB2312"/>
                                        <w:sz w:val="32"/>
                                        <w:szCs w:val="32"/>
                                      </w:rPr>
                                      <w:t>318.15万</w:t>
                                    </w:r>
                                    <w:r>
                                      <w:rPr>
                                        <w:rFonts w:hint="eastAsia" w:ascii="仿宋_GB2312" w:hAnsi="宋体" w:eastAsia="仿宋_GB2312" w:cs="宋体"/>
                                        <w:color w:val="333333"/>
                                        <w:kern w:val="0"/>
                                        <w:sz w:val="32"/>
                                        <w:szCs w:val="32"/>
                                      </w:rPr>
                                      <w:t>元，占97</w:t>
                                    </w:r>
                                    <w:r>
                                      <w:rPr>
                                        <w:rFonts w:ascii="仿宋_GB2312" w:hAnsi="宋体" w:eastAsia="仿宋_GB2312" w:cs="宋体"/>
                                        <w:color w:val="333333"/>
                                        <w:kern w:val="0"/>
                                        <w:sz w:val="32"/>
                                        <w:szCs w:val="32"/>
                                      </w:rPr>
                                      <w:t>%</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项目支出（森林防火）10万元，占3</w:t>
                                    </w:r>
                                    <w:r>
                                      <w:rPr>
                                        <w:rFonts w:ascii="仿宋_GB2312" w:hAnsi="宋体" w:eastAsia="仿宋_GB2312" w:cs="宋体"/>
                                        <w:color w:val="333333"/>
                                        <w:kern w:val="0"/>
                                        <w:sz w:val="32"/>
                                        <w:szCs w:val="32"/>
                                      </w:rPr>
                                      <w:t>%</w:t>
                                    </w:r>
                                    <w:r>
                                      <w:rPr>
                                        <w:rFonts w:hint="eastAsia" w:ascii="仿宋_GB2312" w:hAnsi="宋体" w:eastAsia="仿宋_GB2312" w:cs="宋体"/>
                                        <w:color w:val="333333"/>
                                        <w:kern w:val="0"/>
                                        <w:sz w:val="32"/>
                                        <w:szCs w:val="32"/>
                                      </w:rPr>
                                      <w:t>。</w:t>
                                    </w:r>
                                    <w:r>
                                      <w:rPr>
                                        <w:rFonts w:ascii="仿宋_GB2312" w:hAnsi="宋体" w:eastAsia="仿宋_GB2312" w:cs="宋体"/>
                                        <w:color w:val="333333"/>
                                        <w:kern w:val="0"/>
                                        <w:sz w:val="28"/>
                                        <w:szCs w:val="28"/>
                                      </w:rPr>
                                      <w:t xml:space="preserve">  </w:t>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w:t>
                                    </w:r>
                                  </w:p>
                                  <w:p>
                                    <w:pPr>
                                      <w:widowControl/>
                                      <w:spacing w:line="480" w:lineRule="atLeast"/>
                                      <w:ind w:firstLine="707" w:firstLineChars="221"/>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四、财政拨款收支预算情况说明</w:t>
                                    </w:r>
                                    <w:r>
                                      <w:rPr>
                                        <w:rFonts w:ascii="黑体" w:hAnsi="宋体" w:eastAsia="黑体" w:cs="宋体"/>
                                        <w:color w:val="333333"/>
                                        <w:kern w:val="0"/>
                                        <w:sz w:val="32"/>
                                        <w:szCs w:val="32"/>
                                      </w:rPr>
                                      <w:br w:type="textWrapping"/>
                                    </w:r>
                                    <w:r>
                                      <w:rPr>
                                        <w:rFonts w:hint="eastAsia" w:ascii="仿宋_GB2312" w:hAnsi="宋体" w:eastAsia="仿宋_GB2312" w:cs="宋体"/>
                                        <w:color w:val="333333"/>
                                        <w:kern w:val="0"/>
                                        <w:sz w:val="32"/>
                                        <w:szCs w:val="32"/>
                                      </w:rPr>
                                      <w:t>　　林业局</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年财政拨款收支总预算</w:t>
                                    </w:r>
                                    <w:r>
                                      <w:rPr>
                                        <w:rFonts w:hint="eastAsia" w:ascii="仿宋_GB2312" w:eastAsia="仿宋_GB2312"/>
                                        <w:sz w:val="32"/>
                                        <w:szCs w:val="32"/>
                                      </w:rPr>
                                      <w:t>328.15万</w:t>
                                    </w:r>
                                    <w:r>
                                      <w:rPr>
                                        <w:rFonts w:hint="eastAsia" w:ascii="仿宋_GB2312" w:hAnsi="宋体" w:eastAsia="仿宋_GB2312" w:cs="宋体"/>
                                        <w:color w:val="333333"/>
                                        <w:kern w:val="0"/>
                                        <w:sz w:val="32"/>
                                        <w:szCs w:val="32"/>
                                      </w:rPr>
                                      <w:t>元。</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收入包括：本年一般公共预算拨款收入</w:t>
                                    </w:r>
                                    <w:r>
                                      <w:rPr>
                                        <w:rFonts w:hint="eastAsia" w:ascii="仿宋_GB2312" w:eastAsia="仿宋_GB2312"/>
                                        <w:sz w:val="32"/>
                                        <w:szCs w:val="32"/>
                                      </w:rPr>
                                      <w:t>328.15万</w:t>
                                    </w:r>
                                    <w:r>
                                      <w:rPr>
                                        <w:rFonts w:hint="eastAsia" w:ascii="仿宋_GB2312" w:hAnsi="宋体" w:eastAsia="仿宋_GB2312" w:cs="宋体"/>
                                        <w:color w:val="333333"/>
                                        <w:kern w:val="0"/>
                                        <w:sz w:val="32"/>
                                        <w:szCs w:val="32"/>
                                      </w:rPr>
                                      <w:t>元；支出包括：</w:t>
                                    </w:r>
                                    <w:r>
                                      <w:rPr>
                                        <w:rFonts w:hint="eastAsia" w:ascii="仿宋_GB2312" w:eastAsia="仿宋_GB2312"/>
                                        <w:sz w:val="32"/>
                                        <w:szCs w:val="32"/>
                                      </w:rPr>
                                      <w:t>社会保障和就业支出44.45万元</w:t>
                                    </w:r>
                                    <w:r>
                                      <w:rPr>
                                        <w:rFonts w:hint="eastAsia" w:ascii="仿宋_GB2312" w:eastAsia="仿宋_GB2312"/>
                                        <w:sz w:val="32"/>
                                        <w:szCs w:val="32"/>
                                        <w:lang w:eastAsia="zh-CN"/>
                                      </w:rPr>
                                      <w:t>，</w:t>
                                    </w:r>
                                    <w:r>
                                      <w:rPr>
                                        <w:rFonts w:hint="eastAsia"/>
                                      </w:rPr>
                                      <w:t xml:space="preserve"> </w:t>
                                    </w:r>
                                    <w:r>
                                      <w:rPr>
                                        <w:rFonts w:hint="eastAsia" w:ascii="仿宋_GB2312" w:eastAsia="仿宋_GB2312"/>
                                        <w:sz w:val="32"/>
                                        <w:szCs w:val="32"/>
                                      </w:rPr>
                                      <w:t>卫生健康支出26.35万元</w:t>
                                    </w:r>
                                    <w:r>
                                      <w:rPr>
                                        <w:rFonts w:hint="eastAsia" w:ascii="仿宋_GB2312" w:eastAsia="仿宋_GB2312"/>
                                        <w:sz w:val="32"/>
                                        <w:szCs w:val="32"/>
                                        <w:lang w:eastAsia="zh-CN"/>
                                      </w:rPr>
                                      <w:t>，</w:t>
                                    </w:r>
                                    <w:r>
                                      <w:rPr>
                                        <w:rFonts w:hint="eastAsia"/>
                                      </w:rPr>
                                      <w:t xml:space="preserve"> </w:t>
                                    </w:r>
                                    <w:r>
                                      <w:rPr>
                                        <w:rFonts w:hint="eastAsia" w:ascii="仿宋_GB2312" w:eastAsia="仿宋_GB2312"/>
                                        <w:sz w:val="32"/>
                                        <w:szCs w:val="32"/>
                                      </w:rPr>
                                      <w:t>农林水支出255.12万元，住房保障支出22.23万元，项目支出10万元。</w:t>
                                    </w:r>
                                  </w:p>
                                  <w:p>
                                    <w:pPr>
                                      <w:widowControl/>
                                      <w:spacing w:line="480" w:lineRule="atLeast"/>
                                      <w:ind w:firstLine="60"/>
                                      <w:rPr>
                                        <w:rFonts w:ascii="仿宋_GB2312" w:hAnsi="宋体" w:eastAsia="仿宋_GB2312" w:cs="宋体"/>
                                        <w:color w:val="333333"/>
                                        <w:kern w:val="0"/>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32"/>
                                        <w:szCs w:val="32"/>
                                      </w:rPr>
                                      <w:t>五、一般公共预算当年拨款情况说明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32"/>
                                        <w:szCs w:val="32"/>
                                      </w:rPr>
                                      <w:t>（一）一般公共预算当年拨款规模变化情况。</w:t>
                                    </w:r>
                                    <w:r>
                                      <w:rPr>
                                        <w:rFonts w:ascii="仿宋_GB2312" w:hAnsi="宋体" w:eastAsia="仿宋_GB2312" w:cs="宋体"/>
                                        <w:b/>
                                        <w:bCs/>
                                        <w:color w:val="333333"/>
                                        <w:kern w:val="0"/>
                                        <w:sz w:val="32"/>
                                        <w:szCs w:val="32"/>
                                      </w:rPr>
                                      <w:br w:type="textWrapping"/>
                                    </w:r>
                                    <w:r>
                                      <w:rPr>
                                        <w:rFonts w:hint="eastAsia" w:ascii="仿宋_GB2312" w:hAnsi="宋体" w:eastAsia="仿宋_GB2312" w:cs="宋体"/>
                                        <w:color w:val="333333"/>
                                        <w:kern w:val="0"/>
                                        <w:sz w:val="32"/>
                                        <w:szCs w:val="32"/>
                                      </w:rPr>
                                      <w:t>　　林业局</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年一般公共预算当年拨款</w:t>
                                    </w:r>
                                    <w:r>
                                      <w:rPr>
                                        <w:rFonts w:hint="eastAsia" w:ascii="仿宋_GB2312" w:eastAsia="仿宋_GB2312"/>
                                        <w:sz w:val="32"/>
                                        <w:szCs w:val="32"/>
                                      </w:rPr>
                                      <w:t>328.15万元</w:t>
                                    </w:r>
                                    <w:r>
                                      <w:rPr>
                                        <w:rFonts w:hint="eastAsia" w:ascii="仿宋_GB2312" w:hAnsi="宋体" w:eastAsia="仿宋_GB2312" w:cs="宋体"/>
                                        <w:color w:val="333333"/>
                                        <w:kern w:val="0"/>
                                        <w:sz w:val="32"/>
                                        <w:szCs w:val="32"/>
                                      </w:rPr>
                                      <w:t>。</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仿宋_GB2312" w:hAnsi="宋体" w:eastAsia="仿宋_GB2312" w:cs="宋体"/>
                                        <w:b/>
                                        <w:bCs/>
                                        <w:color w:val="333333"/>
                                        <w:kern w:val="0"/>
                                        <w:sz w:val="32"/>
                                        <w:szCs w:val="32"/>
                                      </w:rPr>
                                      <w:t>（二）一般公共预算当年拨款结构情况。</w:t>
                                    </w:r>
                                    <w:r>
                                      <w:rPr>
                                        <w:rFonts w:ascii="仿宋_GB2312" w:hAnsi="宋体" w:eastAsia="仿宋_GB2312" w:cs="宋体"/>
                                        <w:b/>
                                        <w:bCs/>
                                        <w:color w:val="333333"/>
                                        <w:kern w:val="0"/>
                                        <w:sz w:val="32"/>
                                        <w:szCs w:val="32"/>
                                      </w:rPr>
                                      <w:br w:type="textWrapping"/>
                                    </w:r>
                                    <w:r>
                                      <w:rPr>
                                        <w:rFonts w:hint="eastAsia" w:ascii="仿宋_GB2312" w:hAnsi="宋体" w:eastAsia="仿宋_GB2312" w:cs="宋体"/>
                                        <w:color w:val="333333"/>
                                        <w:kern w:val="0"/>
                                        <w:sz w:val="32"/>
                                        <w:szCs w:val="32"/>
                                      </w:rPr>
                                      <w:t>　　一般公共服务支出</w:t>
                                    </w:r>
                                    <w:r>
                                      <w:rPr>
                                        <w:rFonts w:hint="eastAsia" w:ascii="仿宋_GB2312" w:eastAsia="仿宋_GB2312"/>
                                        <w:sz w:val="32"/>
                                        <w:szCs w:val="32"/>
                                      </w:rPr>
                                      <w:t>328.15万元</w:t>
                                    </w:r>
                                    <w:r>
                                      <w:rPr>
                                        <w:rFonts w:hint="eastAsia" w:ascii="仿宋_GB2312" w:hAnsi="宋体" w:eastAsia="仿宋_GB2312" w:cs="宋体"/>
                                        <w:color w:val="333333"/>
                                        <w:kern w:val="0"/>
                                        <w:sz w:val="32"/>
                                        <w:szCs w:val="32"/>
                                      </w:rPr>
                                      <w:t>，占</w:t>
                                    </w:r>
                                    <w:r>
                                      <w:rPr>
                                        <w:rFonts w:ascii="仿宋_GB2312" w:hAnsi="宋体" w:eastAsia="仿宋_GB2312" w:cs="宋体"/>
                                        <w:color w:val="333333"/>
                                        <w:kern w:val="0"/>
                                        <w:sz w:val="32"/>
                                        <w:szCs w:val="32"/>
                                      </w:rPr>
                                      <w:t>100%</w:t>
                                    </w:r>
                                    <w:r>
                                      <w:rPr>
                                        <w:rFonts w:hint="eastAsia" w:ascii="仿宋_GB2312" w:hAnsi="宋体" w:eastAsia="仿宋_GB2312" w:cs="宋体"/>
                                        <w:color w:val="333333"/>
                                        <w:kern w:val="0"/>
                                        <w:sz w:val="32"/>
                                        <w:szCs w:val="32"/>
                                      </w:rPr>
                                      <w:t>；</w:t>
                                    </w:r>
                                    <w:r>
                                      <w:rPr>
                                        <w:rFonts w:hint="eastAsia" w:ascii="仿宋_GB2312" w:eastAsia="仿宋_GB2312"/>
                                        <w:sz w:val="32"/>
                                        <w:szCs w:val="32"/>
                                      </w:rPr>
                                      <w:t>工资福利支出281.01万元，商品和服务支出18.74万元，对个人和家庭补助支出18.4万元，项目支出10万元。</w:t>
                                    </w:r>
                                    <w:r>
                                      <w:rPr>
                                        <w:rFonts w:hint="eastAsia" w:ascii="仿宋_GB2312" w:hAnsi="宋体" w:eastAsia="仿宋_GB2312" w:cs="宋体"/>
                                        <w:color w:val="333333"/>
                                        <w:kern w:val="0"/>
                                        <w:sz w:val="32"/>
                                        <w:szCs w:val="32"/>
                                      </w:rPr>
                                      <w:t>　　</w:t>
                                    </w:r>
                                  </w:p>
                                  <w:p>
                                    <w:pPr>
                                      <w:widowControl/>
                                      <w:spacing w:line="480" w:lineRule="atLeast"/>
                                      <w:ind w:firstLine="60"/>
                                      <w:rPr>
                                        <w:rFonts w:ascii="仿宋_GB2312" w:hAnsi="宋体" w:eastAsia="仿宋_GB2312" w:cs="宋体"/>
                                        <w:b/>
                                        <w:bCs/>
                                        <w:color w:val="333333"/>
                                        <w:kern w:val="0"/>
                                        <w:sz w:val="32"/>
                                        <w:szCs w:val="32"/>
                                      </w:rPr>
                                    </w:pPr>
                                    <w:r>
                                      <w:rPr>
                                        <w:rFonts w:hint="eastAsia" w:ascii="仿宋_GB2312" w:hAnsi="宋体" w:eastAsia="仿宋_GB2312" w:cs="宋体"/>
                                        <w:b/>
                                        <w:bCs/>
                                        <w:color w:val="333333"/>
                                        <w:kern w:val="0"/>
                                        <w:sz w:val="32"/>
                                        <w:szCs w:val="32"/>
                                      </w:rPr>
                                      <w:t>（三）一般公共预算当年拨款具体使用情况。</w:t>
                                    </w:r>
                                    <w:r>
                                      <w:rPr>
                                        <w:rFonts w:ascii="仿宋_GB2312" w:hAnsi="宋体" w:eastAsia="仿宋_GB2312" w:cs="宋体"/>
                                        <w:b/>
                                        <w:bCs/>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b/>
                                        <w:bCs/>
                                        <w:color w:val="333333"/>
                                        <w:kern w:val="0"/>
                                        <w:sz w:val="32"/>
                                        <w:szCs w:val="32"/>
                                      </w:rPr>
                                      <w:t>1.</w:t>
                                    </w:r>
                                    <w:r>
                                      <w:rPr>
                                        <w:rFonts w:hint="eastAsia" w:ascii="仿宋_GB2312" w:hAnsi="宋体" w:eastAsia="仿宋_GB2312" w:cs="宋体"/>
                                        <w:b/>
                                        <w:bCs/>
                                        <w:color w:val="333333"/>
                                        <w:kern w:val="0"/>
                                        <w:sz w:val="32"/>
                                        <w:szCs w:val="32"/>
                                      </w:rPr>
                                      <w:t>一般公共服务（</w:t>
                                    </w:r>
                                    <w:r>
                                      <w:rPr>
                                        <w:rFonts w:ascii="仿宋_GB2312" w:hAnsi="宋体" w:eastAsia="仿宋_GB2312" w:cs="宋体"/>
                                        <w:b/>
                                        <w:bCs/>
                                        <w:color w:val="333333"/>
                                        <w:kern w:val="0"/>
                                        <w:sz w:val="32"/>
                                        <w:szCs w:val="32"/>
                                      </w:rPr>
                                      <w:t>213</w:t>
                                    </w:r>
                                    <w:r>
                                      <w:rPr>
                                        <w:rFonts w:hint="eastAsia" w:ascii="仿宋_GB2312" w:hAnsi="宋体" w:eastAsia="仿宋_GB2312" w:cs="宋体"/>
                                        <w:b/>
                                        <w:bCs/>
                                        <w:color w:val="333333"/>
                                        <w:kern w:val="0"/>
                                        <w:sz w:val="32"/>
                                        <w:szCs w:val="32"/>
                                      </w:rPr>
                                      <w:t>）财政事务（</w:t>
                                    </w:r>
                                    <w:r>
                                      <w:rPr>
                                        <w:rFonts w:ascii="仿宋_GB2312" w:hAnsi="宋体" w:eastAsia="仿宋_GB2312" w:cs="宋体"/>
                                        <w:b/>
                                        <w:bCs/>
                                        <w:color w:val="333333"/>
                                        <w:kern w:val="0"/>
                                        <w:sz w:val="32"/>
                                        <w:szCs w:val="32"/>
                                      </w:rPr>
                                      <w:t>02</w:t>
                                    </w:r>
                                    <w:r>
                                      <w:rPr>
                                        <w:rFonts w:hint="eastAsia" w:ascii="仿宋_GB2312" w:hAnsi="宋体" w:eastAsia="仿宋_GB2312" w:cs="宋体"/>
                                        <w:b/>
                                        <w:bCs/>
                                        <w:color w:val="333333"/>
                                        <w:kern w:val="0"/>
                                        <w:sz w:val="32"/>
                                        <w:szCs w:val="32"/>
                                      </w:rPr>
                                      <w:t>）行政运行（</w:t>
                                    </w:r>
                                    <w:r>
                                      <w:rPr>
                                        <w:rFonts w:ascii="仿宋_GB2312" w:hAnsi="宋体" w:eastAsia="仿宋_GB2312" w:cs="宋体"/>
                                        <w:b/>
                                        <w:bCs/>
                                        <w:color w:val="333333"/>
                                        <w:kern w:val="0"/>
                                        <w:sz w:val="32"/>
                                        <w:szCs w:val="32"/>
                                      </w:rPr>
                                      <w:t>01</w:t>
                                    </w:r>
                                    <w:r>
                                      <w:rPr>
                                        <w:rFonts w:hint="eastAsia" w:ascii="仿宋_GB2312" w:hAnsi="宋体" w:eastAsia="仿宋_GB2312" w:cs="宋体"/>
                                        <w:b/>
                                        <w:bCs/>
                                        <w:color w:val="333333"/>
                                        <w:kern w:val="0"/>
                                        <w:sz w:val="32"/>
                                        <w:szCs w:val="32"/>
                                      </w:rPr>
                                      <w:t xml:space="preserve">）  </w:t>
                                    </w:r>
                                  </w:p>
                                  <w:p>
                                    <w:pPr>
                                      <w:widowControl/>
                                      <w:spacing w:line="480" w:lineRule="atLeast"/>
                                      <w:ind w:firstLine="697" w:firstLineChars="218"/>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年预算数为225.12万元，主要用于：局机关及参公管理事业单位正常运转的基本支出，包括基本工资、津贴补贴等人员经费以及办公费、印刷费、水电费等日常公用经费。　　　　</w:t>
                                    </w:r>
                                  </w:p>
                                  <w:p>
                                    <w:pPr>
                                      <w:widowControl/>
                                      <w:spacing w:line="480" w:lineRule="atLeast"/>
                                      <w:ind w:firstLine="710" w:firstLineChars="221"/>
                                      <w:rPr>
                                        <w:rFonts w:ascii="仿宋_GB2312" w:hAnsi="宋体" w:eastAsia="仿宋_GB2312" w:cs="宋体"/>
                                        <w:b/>
                                        <w:bCs/>
                                        <w:color w:val="333333"/>
                                        <w:kern w:val="0"/>
                                        <w:sz w:val="32"/>
                                        <w:szCs w:val="32"/>
                                      </w:rPr>
                                    </w:pPr>
                                    <w:r>
                                      <w:rPr>
                                        <w:rFonts w:ascii="仿宋_GB2312" w:hAnsi="宋体" w:eastAsia="仿宋_GB2312" w:cs="宋体"/>
                                        <w:b/>
                                        <w:bCs/>
                                        <w:color w:val="333333"/>
                                        <w:kern w:val="0"/>
                                        <w:sz w:val="32"/>
                                        <w:szCs w:val="32"/>
                                      </w:rPr>
                                      <w:t>2.</w:t>
                                    </w:r>
                                    <w:r>
                                      <w:rPr>
                                        <w:rFonts w:hint="eastAsia" w:ascii="仿宋_GB2312" w:hAnsi="宋体" w:eastAsia="仿宋_GB2312" w:cs="宋体"/>
                                        <w:b/>
                                        <w:bCs/>
                                        <w:color w:val="333333"/>
                                        <w:kern w:val="0"/>
                                        <w:sz w:val="32"/>
                                        <w:szCs w:val="32"/>
                                      </w:rPr>
                                      <w:t>社会保障和就业（</w:t>
                                    </w:r>
                                    <w:r>
                                      <w:rPr>
                                        <w:rFonts w:ascii="仿宋_GB2312" w:hAnsi="宋体" w:eastAsia="仿宋_GB2312" w:cs="宋体"/>
                                        <w:b/>
                                        <w:bCs/>
                                        <w:color w:val="333333"/>
                                        <w:kern w:val="0"/>
                                        <w:sz w:val="32"/>
                                        <w:szCs w:val="32"/>
                                      </w:rPr>
                                      <w:t>208</w:t>
                                    </w:r>
                                    <w:r>
                                      <w:rPr>
                                        <w:rFonts w:hint="eastAsia" w:ascii="仿宋_GB2312" w:hAnsi="宋体" w:eastAsia="仿宋_GB2312" w:cs="宋体"/>
                                        <w:b/>
                                        <w:bCs/>
                                        <w:color w:val="333333"/>
                                        <w:kern w:val="0"/>
                                        <w:sz w:val="32"/>
                                        <w:szCs w:val="32"/>
                                      </w:rPr>
                                      <w:t>）行政事业单位离退休（</w:t>
                                    </w:r>
                                    <w:r>
                                      <w:rPr>
                                        <w:rFonts w:ascii="仿宋_GB2312" w:hAnsi="宋体" w:eastAsia="仿宋_GB2312" w:cs="宋体"/>
                                        <w:b/>
                                        <w:bCs/>
                                        <w:color w:val="333333"/>
                                        <w:kern w:val="0"/>
                                        <w:sz w:val="32"/>
                                        <w:szCs w:val="32"/>
                                      </w:rPr>
                                      <w:t>05</w:t>
                                    </w:r>
                                    <w:r>
                                      <w:rPr>
                                        <w:rFonts w:hint="eastAsia" w:ascii="仿宋_GB2312" w:hAnsi="宋体" w:eastAsia="仿宋_GB2312" w:cs="宋体"/>
                                        <w:b/>
                                        <w:bCs/>
                                        <w:color w:val="333333"/>
                                        <w:kern w:val="0"/>
                                        <w:sz w:val="32"/>
                                        <w:szCs w:val="32"/>
                                      </w:rPr>
                                      <w:t>）机关事业单位基本养老保险缴费支出（</w:t>
                                    </w:r>
                                    <w:r>
                                      <w:rPr>
                                        <w:rFonts w:ascii="仿宋_GB2312" w:hAnsi="宋体" w:eastAsia="仿宋_GB2312" w:cs="宋体"/>
                                        <w:b/>
                                        <w:bCs/>
                                        <w:color w:val="333333"/>
                                        <w:kern w:val="0"/>
                                        <w:sz w:val="32"/>
                                        <w:szCs w:val="32"/>
                                      </w:rPr>
                                      <w:t>05</w:t>
                                    </w:r>
                                    <w:r>
                                      <w:rPr>
                                        <w:rFonts w:hint="eastAsia" w:ascii="仿宋_GB2312" w:hAnsi="宋体" w:eastAsia="仿宋_GB2312" w:cs="宋体"/>
                                        <w:b/>
                                        <w:bCs/>
                                        <w:color w:val="333333"/>
                                        <w:kern w:val="0"/>
                                        <w:sz w:val="32"/>
                                        <w:szCs w:val="32"/>
                                      </w:rPr>
                                      <w:t>）</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年预算数为29.63万元，主要用于：实施养老保险制度后，部门按规定由单位缴纳的基本养老保险费支出。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b/>
                                        <w:bCs/>
                                        <w:color w:val="333333"/>
                                        <w:kern w:val="0"/>
                                        <w:sz w:val="32"/>
                                        <w:szCs w:val="32"/>
                                      </w:rPr>
                                      <w:t>3.</w:t>
                                    </w:r>
                                    <w:r>
                                      <w:rPr>
                                        <w:rFonts w:hint="eastAsia" w:ascii="仿宋_GB2312" w:hAnsi="宋体" w:eastAsia="仿宋_GB2312" w:cs="宋体"/>
                                        <w:b/>
                                        <w:bCs/>
                                        <w:color w:val="333333"/>
                                        <w:kern w:val="0"/>
                                        <w:sz w:val="32"/>
                                        <w:szCs w:val="32"/>
                                      </w:rPr>
                                      <w:t>社会保障和就业（</w:t>
                                    </w:r>
                                    <w:r>
                                      <w:rPr>
                                        <w:rFonts w:ascii="仿宋_GB2312" w:hAnsi="宋体" w:eastAsia="仿宋_GB2312" w:cs="宋体"/>
                                        <w:b/>
                                        <w:bCs/>
                                        <w:color w:val="333333"/>
                                        <w:kern w:val="0"/>
                                        <w:sz w:val="32"/>
                                        <w:szCs w:val="32"/>
                                      </w:rPr>
                                      <w:t>208</w:t>
                                    </w:r>
                                    <w:r>
                                      <w:rPr>
                                        <w:rFonts w:hint="eastAsia" w:ascii="仿宋_GB2312" w:hAnsi="宋体" w:eastAsia="仿宋_GB2312" w:cs="宋体"/>
                                        <w:b/>
                                        <w:bCs/>
                                        <w:color w:val="333333"/>
                                        <w:kern w:val="0"/>
                                        <w:sz w:val="32"/>
                                        <w:szCs w:val="32"/>
                                      </w:rPr>
                                      <w:t>）行政事业单位离退休（</w:t>
                                    </w:r>
                                    <w:r>
                                      <w:rPr>
                                        <w:rFonts w:ascii="仿宋_GB2312" w:hAnsi="宋体" w:eastAsia="仿宋_GB2312" w:cs="宋体"/>
                                        <w:b/>
                                        <w:bCs/>
                                        <w:color w:val="333333"/>
                                        <w:kern w:val="0"/>
                                        <w:sz w:val="32"/>
                                        <w:szCs w:val="32"/>
                                      </w:rPr>
                                      <w:t>05</w:t>
                                    </w:r>
                                    <w:r>
                                      <w:rPr>
                                        <w:rFonts w:hint="eastAsia" w:ascii="仿宋_GB2312" w:hAnsi="宋体" w:eastAsia="仿宋_GB2312" w:cs="宋体"/>
                                        <w:b/>
                                        <w:bCs/>
                                        <w:color w:val="333333"/>
                                        <w:kern w:val="0"/>
                                        <w:sz w:val="32"/>
                                        <w:szCs w:val="32"/>
                                      </w:rPr>
                                      <w:t>）机关事业单位职业年金缴费支出（</w:t>
                                    </w:r>
                                    <w:r>
                                      <w:rPr>
                                        <w:rFonts w:ascii="仿宋_GB2312" w:hAnsi="宋体" w:eastAsia="仿宋_GB2312" w:cs="宋体"/>
                                        <w:b/>
                                        <w:bCs/>
                                        <w:color w:val="333333"/>
                                        <w:kern w:val="0"/>
                                        <w:sz w:val="32"/>
                                        <w:szCs w:val="32"/>
                                      </w:rPr>
                                      <w:t>06</w:t>
                                    </w:r>
                                    <w:r>
                                      <w:rPr>
                                        <w:rFonts w:hint="eastAsia" w:ascii="仿宋_GB2312" w:hAnsi="宋体" w:eastAsia="仿宋_GB2312" w:cs="宋体"/>
                                        <w:b/>
                                        <w:bCs/>
                                        <w:color w:val="333333"/>
                                        <w:kern w:val="0"/>
                                        <w:sz w:val="32"/>
                                        <w:szCs w:val="32"/>
                                      </w:rPr>
                                      <w:t>）</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年预算数为14.82万元，主要用于：实施养老保险制度后，部门按规定由单位缴纳的职业年金支出。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b/>
                                        <w:bCs/>
                                        <w:color w:val="333333"/>
                                        <w:kern w:val="0"/>
                                        <w:sz w:val="32"/>
                                        <w:szCs w:val="32"/>
                                      </w:rPr>
                                      <w:t>4.</w:t>
                                    </w:r>
                                    <w:r>
                                      <w:rPr>
                                        <w:rFonts w:hint="eastAsia" w:ascii="仿宋_GB2312" w:hAnsi="宋体" w:eastAsia="仿宋_GB2312" w:cs="宋体"/>
                                        <w:b/>
                                        <w:bCs/>
                                        <w:color w:val="333333"/>
                                        <w:kern w:val="0"/>
                                        <w:sz w:val="32"/>
                                        <w:szCs w:val="32"/>
                                      </w:rPr>
                                      <w:t>医疗卫生与计划生育（</w:t>
                                    </w:r>
                                    <w:r>
                                      <w:rPr>
                                        <w:rFonts w:ascii="仿宋_GB2312" w:hAnsi="宋体" w:eastAsia="仿宋_GB2312" w:cs="宋体"/>
                                        <w:b/>
                                        <w:bCs/>
                                        <w:color w:val="333333"/>
                                        <w:kern w:val="0"/>
                                        <w:sz w:val="32"/>
                                        <w:szCs w:val="32"/>
                                      </w:rPr>
                                      <w:t>210</w:t>
                                    </w:r>
                                    <w:r>
                                      <w:rPr>
                                        <w:rFonts w:hint="eastAsia" w:ascii="仿宋_GB2312" w:hAnsi="宋体" w:eastAsia="仿宋_GB2312" w:cs="宋体"/>
                                        <w:b/>
                                        <w:bCs/>
                                        <w:color w:val="333333"/>
                                        <w:kern w:val="0"/>
                                        <w:sz w:val="32"/>
                                        <w:szCs w:val="32"/>
                                      </w:rPr>
                                      <w:t>）行政事业单位医疗（</w:t>
                                    </w:r>
                                    <w:r>
                                      <w:rPr>
                                        <w:rFonts w:ascii="仿宋_GB2312" w:hAnsi="宋体" w:eastAsia="仿宋_GB2312" w:cs="宋体"/>
                                        <w:b/>
                                        <w:bCs/>
                                        <w:color w:val="333333"/>
                                        <w:kern w:val="0"/>
                                        <w:sz w:val="32"/>
                                        <w:szCs w:val="32"/>
                                      </w:rPr>
                                      <w:t>11</w:t>
                                    </w:r>
                                    <w:r>
                                      <w:rPr>
                                        <w:rFonts w:hint="eastAsia" w:ascii="仿宋_GB2312" w:hAnsi="宋体" w:eastAsia="仿宋_GB2312" w:cs="宋体"/>
                                        <w:b/>
                                        <w:bCs/>
                                        <w:color w:val="333333"/>
                                        <w:kern w:val="0"/>
                                        <w:sz w:val="32"/>
                                        <w:szCs w:val="32"/>
                                      </w:rPr>
                                      <w:t>）行政单位医疗（</w:t>
                                    </w:r>
                                    <w:r>
                                      <w:rPr>
                                        <w:rFonts w:ascii="仿宋_GB2312" w:hAnsi="宋体" w:eastAsia="仿宋_GB2312" w:cs="宋体"/>
                                        <w:b/>
                                        <w:bCs/>
                                        <w:color w:val="333333"/>
                                        <w:kern w:val="0"/>
                                        <w:sz w:val="32"/>
                                        <w:szCs w:val="32"/>
                                      </w:rPr>
                                      <w:t>01</w:t>
                                    </w:r>
                                    <w:r>
                                      <w:rPr>
                                        <w:rFonts w:hint="eastAsia" w:ascii="仿宋_GB2312" w:hAnsi="宋体" w:eastAsia="仿宋_GB2312" w:cs="宋体"/>
                                        <w:b/>
                                        <w:bCs/>
                                        <w:color w:val="333333"/>
                                        <w:kern w:val="0"/>
                                        <w:sz w:val="32"/>
                                        <w:szCs w:val="32"/>
                                      </w:rPr>
                                      <w:t>）</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年预算数为12.96</w:t>
                                    </w:r>
                                    <w:r>
                                      <w:rPr>
                                        <w:rFonts w:ascii="仿宋_GB2312"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rPr>
                                      <w:t>万元，主要用于：局机关及参公管理事业单位基本医疗保险缴费支出。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b/>
                                        <w:bCs/>
                                        <w:color w:val="333333"/>
                                        <w:kern w:val="0"/>
                                        <w:sz w:val="32"/>
                                        <w:szCs w:val="32"/>
                                      </w:rPr>
                                      <w:t>5.</w:t>
                                    </w:r>
                                    <w:r>
                                      <w:rPr>
                                        <w:rFonts w:hint="eastAsia" w:ascii="仿宋_GB2312" w:hAnsi="宋体" w:eastAsia="仿宋_GB2312" w:cs="宋体"/>
                                        <w:b/>
                                        <w:bCs/>
                                        <w:color w:val="333333"/>
                                        <w:kern w:val="0"/>
                                        <w:sz w:val="32"/>
                                        <w:szCs w:val="32"/>
                                      </w:rPr>
                                      <w:t>医疗卫生与计划生育（</w:t>
                                    </w:r>
                                    <w:r>
                                      <w:rPr>
                                        <w:rFonts w:ascii="仿宋_GB2312" w:hAnsi="宋体" w:eastAsia="仿宋_GB2312" w:cs="宋体"/>
                                        <w:b/>
                                        <w:bCs/>
                                        <w:color w:val="333333"/>
                                        <w:kern w:val="0"/>
                                        <w:sz w:val="32"/>
                                        <w:szCs w:val="32"/>
                                      </w:rPr>
                                      <w:t>210</w:t>
                                    </w:r>
                                    <w:r>
                                      <w:rPr>
                                        <w:rFonts w:hint="eastAsia" w:ascii="仿宋_GB2312" w:hAnsi="宋体" w:eastAsia="仿宋_GB2312" w:cs="宋体"/>
                                        <w:b/>
                                        <w:bCs/>
                                        <w:color w:val="333333"/>
                                        <w:kern w:val="0"/>
                                        <w:sz w:val="32"/>
                                        <w:szCs w:val="32"/>
                                      </w:rPr>
                                      <w:t>）行政事业单位医疗（</w:t>
                                    </w:r>
                                    <w:r>
                                      <w:rPr>
                                        <w:rFonts w:ascii="仿宋_GB2312" w:hAnsi="宋体" w:eastAsia="仿宋_GB2312" w:cs="宋体"/>
                                        <w:b/>
                                        <w:bCs/>
                                        <w:color w:val="333333"/>
                                        <w:kern w:val="0"/>
                                        <w:sz w:val="32"/>
                                        <w:szCs w:val="32"/>
                                      </w:rPr>
                                      <w:t>11</w:t>
                                    </w:r>
                                    <w:r>
                                      <w:rPr>
                                        <w:rFonts w:hint="eastAsia" w:ascii="仿宋_GB2312" w:hAnsi="宋体" w:eastAsia="仿宋_GB2312" w:cs="宋体"/>
                                        <w:b/>
                                        <w:bCs/>
                                        <w:color w:val="333333"/>
                                        <w:kern w:val="0"/>
                                        <w:sz w:val="32"/>
                                        <w:szCs w:val="32"/>
                                      </w:rPr>
                                      <w:t>）公务员医疗补助（</w:t>
                                    </w:r>
                                    <w:r>
                                      <w:rPr>
                                        <w:rFonts w:ascii="仿宋_GB2312" w:hAnsi="宋体" w:eastAsia="仿宋_GB2312" w:cs="宋体"/>
                                        <w:b/>
                                        <w:bCs/>
                                        <w:color w:val="333333"/>
                                        <w:kern w:val="0"/>
                                        <w:sz w:val="32"/>
                                        <w:szCs w:val="32"/>
                                      </w:rPr>
                                      <w:t>03</w:t>
                                    </w:r>
                                    <w:r>
                                      <w:rPr>
                                        <w:rFonts w:hint="eastAsia" w:ascii="仿宋_GB2312" w:hAnsi="宋体" w:eastAsia="仿宋_GB2312" w:cs="宋体"/>
                                        <w:b/>
                                        <w:bCs/>
                                        <w:color w:val="333333"/>
                                        <w:kern w:val="0"/>
                                        <w:sz w:val="32"/>
                                        <w:szCs w:val="32"/>
                                      </w:rPr>
                                      <w:t>）</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年预算数为13.39万元元，主要用于：局机关及参公管理事业单位集中缴纳公务员医疗补助支出。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b/>
                                        <w:bCs/>
                                        <w:color w:val="333333"/>
                                        <w:kern w:val="0"/>
                                        <w:sz w:val="32"/>
                                        <w:szCs w:val="32"/>
                                      </w:rPr>
                                      <w:t>6.</w:t>
                                    </w:r>
                                    <w:r>
                                      <w:rPr>
                                        <w:rFonts w:hint="eastAsia" w:ascii="仿宋_GB2312" w:hAnsi="宋体" w:eastAsia="仿宋_GB2312" w:cs="宋体"/>
                                        <w:b/>
                                        <w:bCs/>
                                        <w:color w:val="333333"/>
                                        <w:kern w:val="0"/>
                                        <w:sz w:val="32"/>
                                        <w:szCs w:val="32"/>
                                      </w:rPr>
                                      <w:t>住房保障（</w:t>
                                    </w:r>
                                    <w:r>
                                      <w:rPr>
                                        <w:rFonts w:ascii="仿宋_GB2312" w:hAnsi="宋体" w:eastAsia="仿宋_GB2312" w:cs="宋体"/>
                                        <w:b/>
                                        <w:bCs/>
                                        <w:color w:val="333333"/>
                                        <w:kern w:val="0"/>
                                        <w:sz w:val="32"/>
                                        <w:szCs w:val="32"/>
                                      </w:rPr>
                                      <w:t>221</w:t>
                                    </w:r>
                                    <w:r>
                                      <w:rPr>
                                        <w:rFonts w:hint="eastAsia" w:ascii="仿宋_GB2312" w:hAnsi="宋体" w:eastAsia="仿宋_GB2312" w:cs="宋体"/>
                                        <w:b/>
                                        <w:bCs/>
                                        <w:color w:val="333333"/>
                                        <w:kern w:val="0"/>
                                        <w:sz w:val="32"/>
                                        <w:szCs w:val="32"/>
                                      </w:rPr>
                                      <w:t>）住房改革支出（</w:t>
                                    </w:r>
                                    <w:r>
                                      <w:rPr>
                                        <w:rFonts w:ascii="仿宋_GB2312" w:hAnsi="宋体" w:eastAsia="仿宋_GB2312" w:cs="宋体"/>
                                        <w:b/>
                                        <w:bCs/>
                                        <w:color w:val="333333"/>
                                        <w:kern w:val="0"/>
                                        <w:sz w:val="32"/>
                                        <w:szCs w:val="32"/>
                                      </w:rPr>
                                      <w:t>02</w:t>
                                    </w:r>
                                    <w:r>
                                      <w:rPr>
                                        <w:rFonts w:hint="eastAsia" w:ascii="仿宋_GB2312" w:hAnsi="宋体" w:eastAsia="仿宋_GB2312" w:cs="宋体"/>
                                        <w:b/>
                                        <w:bCs/>
                                        <w:color w:val="333333"/>
                                        <w:kern w:val="0"/>
                                        <w:sz w:val="32"/>
                                        <w:szCs w:val="32"/>
                                      </w:rPr>
                                      <w:t>）住房公积金（</w:t>
                                    </w:r>
                                    <w:r>
                                      <w:rPr>
                                        <w:rFonts w:ascii="仿宋_GB2312" w:hAnsi="宋体" w:eastAsia="仿宋_GB2312" w:cs="宋体"/>
                                        <w:b/>
                                        <w:bCs/>
                                        <w:color w:val="333333"/>
                                        <w:kern w:val="0"/>
                                        <w:sz w:val="32"/>
                                        <w:szCs w:val="32"/>
                                      </w:rPr>
                                      <w:t>01</w:t>
                                    </w:r>
                                    <w:r>
                                      <w:rPr>
                                        <w:rFonts w:hint="eastAsia" w:ascii="仿宋_GB2312" w:hAnsi="宋体" w:eastAsia="仿宋_GB2312" w:cs="宋体"/>
                                        <w:b/>
                                        <w:bCs/>
                                        <w:color w:val="333333"/>
                                        <w:kern w:val="0"/>
                                        <w:sz w:val="32"/>
                                        <w:szCs w:val="32"/>
                                      </w:rPr>
                                      <w:t>）</w:t>
                                    </w:r>
                                  </w:p>
                                  <w:p>
                                    <w:pPr>
                                      <w:widowControl/>
                                      <w:spacing w:line="480" w:lineRule="atLeast"/>
                                      <w:ind w:firstLine="704" w:firstLineChars="220"/>
                                      <w:rPr>
                                        <w:rFonts w:hint="eastAsia" w:ascii="仿宋_GB2312" w:hAnsi="宋体" w:eastAsia="仿宋_GB2312" w:cs="宋体"/>
                                        <w:color w:val="333333"/>
                                        <w:kern w:val="0"/>
                                        <w:sz w:val="32"/>
                                        <w:szCs w:val="32"/>
                                      </w:rPr>
                                    </w:pP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年预算数为22.23万元，主要用于：部门按人力资源和社会保障部、财政部规定的基本工资和津贴补贴以及规定比例为职工缴纳的住房公积金支出。</w:t>
                                    </w:r>
                                  </w:p>
                                  <w:p>
                                    <w:pPr>
                                      <w:widowControl/>
                                      <w:spacing w:line="480" w:lineRule="atLeast"/>
                                      <w:ind w:firstLine="704" w:firstLineChars="220"/>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7、林业草原防灾减灾（2130234）</w:t>
                                    </w:r>
                                  </w:p>
                                  <w:p>
                                    <w:pPr>
                                      <w:widowControl/>
                                      <w:spacing w:line="480" w:lineRule="atLeast"/>
                                      <w:ind w:firstLine="704" w:firstLineChars="220"/>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年预算数为10万元，用于森林草原防火支出。</w:t>
                                    </w:r>
                                  </w:p>
                                  <w:p>
                                    <w:pPr>
                                      <w:widowControl/>
                                      <w:spacing w:line="480" w:lineRule="atLeast"/>
                                      <w:ind w:firstLine="707" w:firstLineChars="221"/>
                                      <w:rPr>
                                        <w:rFonts w:ascii="仿宋_GB2312" w:hAnsi="宋体" w:eastAsia="仿宋_GB2312" w:cs="宋体"/>
                                        <w:color w:val="333333"/>
                                        <w:kern w:val="0"/>
                                        <w:sz w:val="32"/>
                                        <w:szCs w:val="32"/>
                                      </w:rPr>
                                    </w:pPr>
                                    <w:r>
                                      <w:rPr>
                                        <w:rFonts w:hint="eastAsia" w:ascii="黑体" w:hAnsi="宋体" w:eastAsia="黑体" w:cs="宋体"/>
                                        <w:color w:val="333333"/>
                                        <w:kern w:val="0"/>
                                        <w:sz w:val="32"/>
                                        <w:szCs w:val="32"/>
                                      </w:rPr>
                                      <w:t>六、一般公共预算基本支出情况说明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2"/>
                                        <w:szCs w:val="32"/>
                                      </w:rPr>
                                      <w:t>财政厅</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年一般公共预算基本支出328.15</w:t>
                                    </w:r>
                                    <w:r>
                                      <w:rPr>
                                        <w:rFonts w:hint="eastAsia" w:ascii="仿宋_GB2312" w:eastAsia="仿宋_GB2312"/>
                                        <w:sz w:val="32"/>
                                        <w:szCs w:val="32"/>
                                      </w:rPr>
                                      <w:t>万</w:t>
                                    </w:r>
                                    <w:r>
                                      <w:rPr>
                                        <w:rFonts w:hint="eastAsia" w:ascii="仿宋_GB2312" w:hAnsi="宋体" w:eastAsia="仿宋_GB2312" w:cs="宋体"/>
                                        <w:color w:val="333333"/>
                                        <w:kern w:val="0"/>
                                        <w:sz w:val="32"/>
                                        <w:szCs w:val="32"/>
                                      </w:rPr>
                                      <w:t>元，主要包括：基本工资、津贴补贴、奖金、社会保险缴费等支出。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公用经费18.74</w:t>
                                    </w:r>
                                    <w:r>
                                      <w:rPr>
                                        <w:rFonts w:hint="eastAsia" w:ascii="仿宋_GB2312" w:eastAsia="仿宋_GB2312"/>
                                        <w:sz w:val="32"/>
                                        <w:szCs w:val="32"/>
                                      </w:rPr>
                                      <w:t>万</w:t>
                                    </w:r>
                                    <w:r>
                                      <w:rPr>
                                        <w:rFonts w:hint="eastAsia" w:ascii="仿宋_GB2312" w:hAnsi="宋体" w:eastAsia="仿宋_GB2312" w:cs="宋体"/>
                                        <w:color w:val="333333"/>
                                        <w:kern w:val="0"/>
                                        <w:sz w:val="32"/>
                                        <w:szCs w:val="32"/>
                                      </w:rPr>
                                      <w:t>元，主要包括：办公费、水费、电费、邮电费、印刷费、差旅费、维修（护）费、劳务费等支出。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32"/>
                                        <w:szCs w:val="32"/>
                                      </w:rPr>
                                      <w:t>七、“三公”经费财政拨款预算安排情况说明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2"/>
                                        <w:szCs w:val="32"/>
                                      </w:rPr>
                                      <w:t>林业局</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年“三公”经费财政拨款预算数3.34元，其中：公务接待费0.34万元，公务用车购置及运行维护费3万元</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32"/>
                                        <w:szCs w:val="32"/>
                                      </w:rPr>
                                      <w:t>（一）公务接待费</w:t>
                                    </w:r>
                                    <w:r>
                                      <w:rPr>
                                        <w:rFonts w:ascii="仿宋_GB2312" w:hAnsi="宋体" w:eastAsia="仿宋_GB2312" w:cs="宋体"/>
                                        <w:b/>
                                        <w:bCs/>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年公务接待费计划用于执行公务、考察调研、检查指导等公务活动开支的交通费、住宿费、用餐费等。</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仿宋_GB2312" w:hAnsi="宋体" w:eastAsia="仿宋_GB2312" w:cs="宋体"/>
                                        <w:b/>
                                        <w:bCs/>
                                        <w:color w:val="333333"/>
                                        <w:kern w:val="0"/>
                                        <w:sz w:val="32"/>
                                        <w:szCs w:val="32"/>
                                      </w:rPr>
                                      <w:t>（三）公务用车购置及运行维护费。</w:t>
                                    </w:r>
                                    <w:r>
                                      <w:rPr>
                                        <w:rFonts w:ascii="仿宋_GB2312" w:hAnsi="宋体" w:eastAsia="仿宋_GB2312" w:cs="宋体"/>
                                        <w:b/>
                                        <w:bCs/>
                                        <w:color w:val="333333"/>
                                        <w:kern w:val="0"/>
                                        <w:sz w:val="32"/>
                                        <w:szCs w:val="32"/>
                                      </w:rPr>
                                      <w:br w:type="textWrapping"/>
                                    </w:r>
                                    <w:r>
                                      <w:rPr>
                                        <w:rFonts w:hint="eastAsia" w:ascii="仿宋_GB2312" w:hAnsi="宋体" w:eastAsia="仿宋_GB2312" w:cs="宋体"/>
                                        <w:color w:val="333333"/>
                                        <w:kern w:val="0"/>
                                        <w:sz w:val="32"/>
                                        <w:szCs w:val="32"/>
                                      </w:rPr>
                                      <w:t>　　单位现有公务用车</w:t>
                                    </w: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辆，其中：越野车</w:t>
                                    </w: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辆，特种车辆</w:t>
                                    </w: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辆。</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202</w:t>
                                    </w:r>
                                    <w:r>
                                      <w:rPr>
                                        <w:rFonts w:hint="eastAsia" w:ascii="仿宋_GB2312" w:hAnsi="宋体" w:eastAsia="仿宋_GB2312" w:cs="宋体"/>
                                        <w:color w:val="333333"/>
                                        <w:kern w:val="0"/>
                                        <w:sz w:val="32"/>
                                        <w:szCs w:val="32"/>
                                      </w:rPr>
                                      <w:t>1年未安排公务用车购置费。</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年安排公务用车运行维护费3万元，用于</w:t>
                                    </w: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辆公务用车燃油、过路（桥）、维修、保险等方面支出。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32"/>
                                        <w:szCs w:val="32"/>
                                      </w:rPr>
                                      <w:t>　八、政府性基金预算支出情况说明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年没有使用政府性基金预算拨款安排的支出。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32"/>
                                        <w:szCs w:val="32"/>
                                      </w:rPr>
                                      <w:t>九、国有资本经营预算支出情况说明</w:t>
                                    </w:r>
                                    <w:r>
                                      <w:rPr>
                                        <w:rFonts w:ascii="黑体" w:hAnsi="宋体" w:eastAsia="黑体"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年没有使用国有资本经营预算拨款安排的支出。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32"/>
                                        <w:szCs w:val="32"/>
                                      </w:rPr>
                                      <w:t>十、其他重要事项的情况说明</w:t>
                                    </w:r>
                                    <w:r>
                                      <w:rPr>
                                        <w:rFonts w:ascii="黑体" w:hAnsi="宋体" w:eastAsia="黑体"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楷体_GB2312" w:hAnsi="宋体" w:eastAsia="楷体_GB2312" w:cs="宋体"/>
                                        <w:b/>
                                        <w:bCs/>
                                        <w:color w:val="333333"/>
                                        <w:kern w:val="0"/>
                                        <w:sz w:val="32"/>
                                        <w:szCs w:val="32"/>
                                      </w:rPr>
                                      <w:t>（一）机关运行经费。</w:t>
                                    </w:r>
                                    <w:r>
                                      <w:rPr>
                                        <w:rFonts w:ascii="楷体_GB2312" w:hAnsi="宋体" w:eastAsia="楷体_GB2312" w:cs="宋体"/>
                                        <w:b/>
                                        <w:bCs/>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2021</w:t>
                                    </w:r>
                                    <w:r>
                                      <w:rPr>
                                        <w:rFonts w:hint="eastAsia" w:ascii="仿宋_GB2312" w:hAnsi="宋体" w:eastAsia="仿宋_GB2312" w:cs="宋体"/>
                                        <w:color w:val="333333"/>
                                        <w:kern w:val="0"/>
                                        <w:sz w:val="32"/>
                                        <w:szCs w:val="32"/>
                                      </w:rPr>
                                      <w:t>年，林业局机关运行经费财政拨款预算为</w:t>
                                    </w:r>
                                    <w:r>
                                      <w:rPr>
                                        <w:rFonts w:hint="eastAsia" w:ascii="仿宋_GB2312" w:eastAsia="仿宋_GB2312"/>
                                        <w:sz w:val="32"/>
                                        <w:szCs w:val="32"/>
                                      </w:rPr>
                                      <w:t>18.74万</w:t>
                                    </w:r>
                                    <w:r>
                                      <w:rPr>
                                        <w:rFonts w:hint="eastAsia" w:ascii="仿宋_GB2312" w:hAnsi="宋体" w:eastAsia="仿宋_GB2312" w:cs="宋体"/>
                                        <w:color w:val="333333"/>
                                        <w:kern w:val="0"/>
                                        <w:sz w:val="32"/>
                                        <w:szCs w:val="32"/>
                                      </w:rPr>
                                      <w:t>元。</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楷体_GB2312" w:hAnsi="宋体" w:eastAsia="楷体_GB2312" w:cs="宋体"/>
                                        <w:b/>
                                        <w:bCs/>
                                        <w:color w:val="333333"/>
                                        <w:kern w:val="0"/>
                                        <w:sz w:val="32"/>
                                        <w:szCs w:val="32"/>
                                      </w:rPr>
                                      <w:t>（二）政府采购情况。</w:t>
                                    </w:r>
                                    <w:r>
                                      <w:rPr>
                                        <w:rFonts w:ascii="楷体_GB2312" w:hAnsi="宋体" w:eastAsia="楷体_GB2312" w:cs="宋体"/>
                                        <w:b/>
                                        <w:bCs/>
                                        <w:color w:val="333333"/>
                                        <w:kern w:val="0"/>
                                        <w:sz w:val="32"/>
                                        <w:szCs w:val="32"/>
                                      </w:rPr>
                                      <w:br w:type="textWrapping"/>
                                    </w:r>
                                    <w:r>
                                      <w:rPr>
                                        <w:rFonts w:hint="eastAsia" w:ascii="仿宋_GB2312" w:hAnsi="宋体" w:eastAsia="仿宋_GB2312" w:cs="宋体"/>
                                        <w:color w:val="333333"/>
                                        <w:kern w:val="0"/>
                                        <w:sz w:val="32"/>
                                        <w:szCs w:val="32"/>
                                      </w:rPr>
                                      <w:t>　　无　　</w:t>
                                    </w:r>
                                  </w:p>
                                  <w:p>
                                    <w:pPr>
                                      <w:widowControl/>
                                      <w:spacing w:line="480" w:lineRule="atLeast"/>
                                      <w:ind w:firstLine="710" w:firstLineChars="221"/>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32"/>
                                        <w:szCs w:val="32"/>
                                      </w:rPr>
                                      <w:t>（三）国有资产占有使用情况。</w:t>
                                    </w:r>
                                    <w:r>
                                      <w:rPr>
                                        <w:rFonts w:ascii="楷体_GB2312" w:hAnsi="宋体" w:eastAsia="楷体_GB2312" w:cs="宋体"/>
                                        <w:b/>
                                        <w:bCs/>
                                        <w:color w:val="333333"/>
                                        <w:kern w:val="0"/>
                                        <w:sz w:val="32"/>
                                        <w:szCs w:val="32"/>
                                      </w:rPr>
                                      <w:br w:type="textWrapping"/>
                                    </w:r>
                                    <w:r>
                                      <w:rPr>
                                        <w:rFonts w:hint="eastAsia" w:ascii="仿宋_GB2312" w:hAnsi="宋体" w:eastAsia="仿宋_GB2312" w:cs="宋体"/>
                                        <w:color w:val="333333"/>
                                        <w:kern w:val="0"/>
                                        <w:sz w:val="32"/>
                                        <w:szCs w:val="32"/>
                                      </w:rPr>
                                      <w:t>　　截至</w:t>
                                    </w:r>
                                    <w:r>
                                      <w:rPr>
                                        <w:rFonts w:ascii="仿宋_GB2312" w:hAnsi="宋体" w:eastAsia="仿宋_GB2312" w:cs="宋体"/>
                                        <w:color w:val="333333"/>
                                        <w:kern w:val="0"/>
                                        <w:sz w:val="32"/>
                                        <w:szCs w:val="32"/>
                                      </w:rPr>
                                      <w:t>2020</w:t>
                                    </w:r>
                                    <w:r>
                                      <w:rPr>
                                        <w:rFonts w:hint="eastAsia" w:ascii="仿宋_GB2312" w:hAnsi="宋体" w:eastAsia="仿宋_GB2312" w:cs="宋体"/>
                                        <w:color w:val="333333"/>
                                        <w:kern w:val="0"/>
                                        <w:sz w:val="32"/>
                                        <w:szCs w:val="32"/>
                                      </w:rPr>
                                      <w:t>年底，林业局共有车辆</w:t>
                                    </w: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辆，其中，省部级领导干部用车</w:t>
                                    </w:r>
                                    <w:r>
                                      <w:rPr>
                                        <w:rFonts w:ascii="仿宋_GB2312" w:hAnsi="宋体" w:eastAsia="仿宋_GB2312" w:cs="宋体"/>
                                        <w:color w:val="333333"/>
                                        <w:kern w:val="0"/>
                                        <w:sz w:val="32"/>
                                        <w:szCs w:val="32"/>
                                      </w:rPr>
                                      <w:t>0</w:t>
                                    </w:r>
                                    <w:r>
                                      <w:rPr>
                                        <w:rFonts w:hint="eastAsia" w:ascii="仿宋_GB2312" w:hAnsi="宋体" w:eastAsia="仿宋_GB2312" w:cs="宋体"/>
                                        <w:color w:val="333333"/>
                                        <w:kern w:val="0"/>
                                        <w:sz w:val="32"/>
                                        <w:szCs w:val="32"/>
                                      </w:rPr>
                                      <w:t>辆、定向保障用车</w:t>
                                    </w: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辆、执法执勤用车</w:t>
                                    </w: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辆。单位价值</w:t>
                                    </w:r>
                                    <w:r>
                                      <w:rPr>
                                        <w:rFonts w:ascii="仿宋_GB2312" w:hAnsi="宋体" w:eastAsia="仿宋_GB2312" w:cs="宋体"/>
                                        <w:color w:val="333333"/>
                                        <w:kern w:val="0"/>
                                        <w:sz w:val="32"/>
                                        <w:szCs w:val="32"/>
                                      </w:rPr>
                                      <w:t>200</w:t>
                                    </w:r>
                                    <w:r>
                                      <w:rPr>
                                        <w:rFonts w:hint="eastAsia" w:ascii="仿宋_GB2312" w:hAnsi="宋体" w:eastAsia="仿宋_GB2312" w:cs="宋体"/>
                                        <w:color w:val="333333"/>
                                        <w:kern w:val="0"/>
                                        <w:sz w:val="32"/>
                                        <w:szCs w:val="32"/>
                                      </w:rPr>
                                      <w:t>万元以上大型设备</w:t>
                                    </w:r>
                                    <w:r>
                                      <w:rPr>
                                        <w:rFonts w:ascii="仿宋_GB2312" w:hAnsi="宋体" w:eastAsia="仿宋_GB2312" w:cs="宋体"/>
                                        <w:color w:val="333333"/>
                                        <w:kern w:val="0"/>
                                        <w:sz w:val="32"/>
                                        <w:szCs w:val="32"/>
                                      </w:rPr>
                                      <w:t>0</w:t>
                                    </w:r>
                                    <w:r>
                                      <w:rPr>
                                        <w:rFonts w:hint="eastAsia" w:ascii="仿宋_GB2312" w:hAnsi="宋体" w:eastAsia="仿宋_GB2312" w:cs="宋体"/>
                                        <w:color w:val="333333"/>
                                        <w:kern w:val="0"/>
                                        <w:sz w:val="32"/>
                                        <w:szCs w:val="32"/>
                                      </w:rPr>
                                      <w:t>台（套）。</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202</w:t>
                                    </w:r>
                                    <w:r>
                                      <w:rPr>
                                        <w:rFonts w:hint="eastAsia" w:ascii="仿宋_GB2312" w:hAnsi="宋体" w:eastAsia="仿宋_GB2312" w:cs="宋体"/>
                                        <w:color w:val="333333"/>
                                        <w:kern w:val="0"/>
                                        <w:sz w:val="32"/>
                                        <w:szCs w:val="32"/>
                                      </w:rPr>
                                      <w:t>1年部门预算未安排购置车辆及单位价值</w:t>
                                    </w:r>
                                    <w:r>
                                      <w:rPr>
                                        <w:rFonts w:ascii="仿宋_GB2312" w:hAnsi="宋体" w:eastAsia="仿宋_GB2312" w:cs="宋体"/>
                                        <w:color w:val="333333"/>
                                        <w:kern w:val="0"/>
                                        <w:sz w:val="32"/>
                                        <w:szCs w:val="32"/>
                                      </w:rPr>
                                      <w:t>200</w:t>
                                    </w:r>
                                    <w:r>
                                      <w:rPr>
                                        <w:rFonts w:hint="eastAsia" w:ascii="仿宋_GB2312" w:hAnsi="宋体" w:eastAsia="仿宋_GB2312" w:cs="宋体"/>
                                        <w:color w:val="333333"/>
                                        <w:kern w:val="0"/>
                                        <w:sz w:val="32"/>
                                        <w:szCs w:val="32"/>
                                      </w:rPr>
                                      <w:t>万元以上大型设备。</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楷体_GB2312" w:hAnsi="宋体" w:eastAsia="楷体_GB2312" w:cs="宋体"/>
                                        <w:b/>
                                        <w:bCs/>
                                        <w:color w:val="333333"/>
                                        <w:kern w:val="0"/>
                                        <w:sz w:val="32"/>
                                        <w:szCs w:val="32"/>
                                      </w:rPr>
                                      <w:t>（四）绩效目标设置情况。</w:t>
                                    </w:r>
                                    <w:r>
                                      <w:rPr>
                                        <w:rFonts w:ascii="楷体_GB2312" w:hAnsi="宋体" w:eastAsia="楷体_GB2312" w:cs="宋体"/>
                                        <w:b/>
                                        <w:bCs/>
                                        <w:color w:val="333333"/>
                                        <w:kern w:val="0"/>
                                        <w:sz w:val="32"/>
                                        <w:szCs w:val="32"/>
                                      </w:rPr>
                                      <w:br w:type="textWrapping"/>
                                    </w:r>
                                    <w:r>
                                      <w:rPr>
                                        <w:rFonts w:hint="eastAsia" w:ascii="仿宋_GB2312" w:hAnsi="宋体" w:eastAsia="仿宋_GB2312" w:cs="宋体"/>
                                        <w:color w:val="333333"/>
                                        <w:kern w:val="0"/>
                                        <w:sz w:val="32"/>
                                        <w:szCs w:val="32"/>
                                      </w:rPr>
                                      <w:t>　　绩效目标是预算编制的前提和基础，按照“费随事定”的原则，</w:t>
                                    </w:r>
                                    <w:r>
                                      <w:rPr>
                                        <w:rFonts w:ascii="仿宋_GB2312" w:hAnsi="宋体" w:eastAsia="仿宋_GB2312" w:cs="宋体"/>
                                        <w:color w:val="333333"/>
                                        <w:kern w:val="0"/>
                                        <w:sz w:val="32"/>
                                        <w:szCs w:val="32"/>
                                      </w:rPr>
                                      <w:t>202</w:t>
                                    </w:r>
                                    <w:r>
                                      <w:rPr>
                                        <w:rFonts w:hint="eastAsia" w:ascii="仿宋_GB2312" w:hAnsi="宋体" w:eastAsia="仿宋_GB2312" w:cs="宋体"/>
                                        <w:color w:val="333333"/>
                                        <w:kern w:val="0"/>
                                        <w:sz w:val="32"/>
                                        <w:szCs w:val="32"/>
                                      </w:rPr>
                                      <w:t>1年林业局</w:t>
                                    </w:r>
                                    <w:r>
                                      <w:rPr>
                                        <w:rFonts w:ascii="仿宋_GB2312" w:hAnsi="宋体" w:eastAsia="仿宋_GB2312" w:cs="宋体"/>
                                        <w:color w:val="333333"/>
                                        <w:kern w:val="0"/>
                                        <w:sz w:val="32"/>
                                        <w:szCs w:val="32"/>
                                      </w:rPr>
                                      <w:t>100</w:t>
                                    </w:r>
                                    <w:r>
                                      <w:rPr>
                                        <w:rFonts w:hint="eastAsia" w:ascii="仿宋_GB2312" w:hAnsi="宋体" w:eastAsia="仿宋_GB2312" w:cs="宋体"/>
                                        <w:color w:val="333333"/>
                                        <w:kern w:val="0"/>
                                        <w:sz w:val="32"/>
                                        <w:szCs w:val="32"/>
                                      </w:rPr>
                                      <w:t>万元以上专用项目按要求编制了绩效目标</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从项目完成、项目效益、满意度等方面设置了绩效指标，综合反映项目预期完成的数量、成本、时效、质量，预期达到的社会效益、经济效益、生态效益、可持续影响以及服务对象满意度等情况。</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hint="eastAsia" w:ascii="黑体" w:hAnsi="宋体" w:eastAsia="黑体" w:cs="宋体"/>
                                        <w:color w:val="333333"/>
                                        <w:kern w:val="0"/>
                                        <w:sz w:val="32"/>
                                        <w:szCs w:val="32"/>
                                      </w:rPr>
                                      <w:t>十一、名词解释</w:t>
                                    </w:r>
                                    <w:r>
                                      <w:rPr>
                                        <w:rFonts w:ascii="黑体" w:hAnsi="宋体" w:eastAsia="黑体"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一般公共预算拨款收入：指省级财政当年拨付的资金。</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上年结转：指以前年度尚未完成，结转到本年仍按原规定用途继续使用的资金。</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一般公共服务（类）财政事务（款）行政运行（项）：指厅机关及参公管理事业单位用于保障机构正常运行、开展日常工作的基本支出。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一般公共服务（类）财政事务（款）一般行政管理事务（项）：指厅机关及参公管理事业单位开展财政综合业务、预决算编审等未单独设置项级科目的专门性财政管理工作的项目支出。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一般公共服务（类）财政事务（款）机关服务（项）：指后勤服务中心、信息中心为本部门各单位正常运行提供服务的支出。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一般公共服务（类）财政事务（款）信息化建设（项）：指财政厅用于财政信息化建设等方面的项目支出。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一般公共服务（类）财政事务（款）其他财政事务支出（项）：指财政厅除上述项目外，开展其他财政事务方面专门性工作任务的项目支出，如全省会计专业技术资格考试考务费等。</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教育（类）进修及培训（款）培训支出（项）：指为配合财政业务开展，用于部门内部在职人员参加相关财政财务工作外部培训的经费支出。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10.</w:t>
                                    </w:r>
                                    <w:r>
                                      <w:rPr>
                                        <w:rFonts w:hint="eastAsia" w:ascii="仿宋_GB2312" w:hAnsi="宋体" w:eastAsia="仿宋_GB2312" w:cs="宋体"/>
                                        <w:color w:val="333333"/>
                                        <w:kern w:val="0"/>
                                        <w:sz w:val="32"/>
                                        <w:szCs w:val="32"/>
                                      </w:rPr>
                                      <w:t>社会保障和就业（类）行政事业单位离退休（款）事业单位离退休（项）：指财政科学研究所的离退休人员的支出。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11.</w:t>
                                    </w:r>
                                    <w:r>
                                      <w:rPr>
                                        <w:rFonts w:hint="eastAsia" w:ascii="仿宋_GB2312" w:hAnsi="宋体" w:eastAsia="仿宋_GB2312" w:cs="宋体"/>
                                        <w:color w:val="333333"/>
                                        <w:kern w:val="0"/>
                                        <w:sz w:val="32"/>
                                        <w:szCs w:val="32"/>
                                      </w:rPr>
                                      <w:t>社会保障和就业（类）行政事业单位离退休（款）未归口管理的行政单位离退休（项）：指厅机关离退休人员的支出。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12.</w:t>
                                    </w:r>
                                    <w:r>
                                      <w:rPr>
                                        <w:rFonts w:hint="eastAsia" w:ascii="仿宋_GB2312" w:hAnsi="宋体" w:eastAsia="仿宋_GB2312" w:cs="宋体"/>
                                        <w:color w:val="333333"/>
                                        <w:kern w:val="0"/>
                                        <w:sz w:val="32"/>
                                        <w:szCs w:val="32"/>
                                      </w:rPr>
                                      <w:t>社会保障和就业（类）行政事业单位离退休（款）机关事业单位基本养老保险缴费支出（项）：指部门实施养老保险制度由单位缴纳的养老保险费的支出。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13.</w:t>
                                    </w:r>
                                    <w:r>
                                      <w:rPr>
                                        <w:rFonts w:hint="eastAsia" w:ascii="仿宋_GB2312" w:hAnsi="宋体" w:eastAsia="仿宋_GB2312" w:cs="宋体"/>
                                        <w:color w:val="333333"/>
                                        <w:kern w:val="0"/>
                                        <w:sz w:val="32"/>
                                        <w:szCs w:val="32"/>
                                      </w:rPr>
                                      <w:t>社会保障和就业（类）行政事业单位离退休（款）机关事业单位职业年金缴费支出（项）：指部门实施养老保险制度由单位缴纳的职业年金的支出。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14.</w:t>
                                    </w:r>
                                    <w:r>
                                      <w:rPr>
                                        <w:rFonts w:hint="eastAsia" w:ascii="仿宋_GB2312" w:hAnsi="宋体" w:eastAsia="仿宋_GB2312" w:cs="宋体"/>
                                        <w:color w:val="333333"/>
                                        <w:kern w:val="0"/>
                                        <w:sz w:val="32"/>
                                        <w:szCs w:val="32"/>
                                      </w:rPr>
                                      <w:t>社会保障和就业（类）其他社会保障和就业（款）其他社会保障和就业支出（项）：指除上述项目外，其他用于行政事业单位离退休方面的支出。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15.</w:t>
                                    </w:r>
                                    <w:r>
                                      <w:rPr>
                                        <w:rFonts w:hint="eastAsia" w:ascii="仿宋_GB2312" w:hAnsi="宋体" w:eastAsia="仿宋_GB2312" w:cs="宋体"/>
                                        <w:color w:val="333333"/>
                                        <w:kern w:val="0"/>
                                        <w:sz w:val="32"/>
                                        <w:szCs w:val="32"/>
                                      </w:rPr>
                                      <w:t>医疗卫生与计划生育（类）行政事业单位医疗（款）行政单位医疗（项）：指厅机关及参公管理事业单位用于缴纳单位基本医疗保险支出。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16.</w:t>
                                    </w:r>
                                    <w:r>
                                      <w:rPr>
                                        <w:rFonts w:hint="eastAsia" w:ascii="仿宋_GB2312" w:hAnsi="宋体" w:eastAsia="仿宋_GB2312" w:cs="宋体"/>
                                        <w:color w:val="333333"/>
                                        <w:kern w:val="0"/>
                                        <w:sz w:val="32"/>
                                        <w:szCs w:val="32"/>
                                      </w:rPr>
                                      <w:t>医疗卫生与计划生育（类）行政事业单位医疗（款）事业单位医疗（项）：指事业单位用于缴纳单位基本医疗保险支出。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17.</w:t>
                                    </w:r>
                                    <w:r>
                                      <w:rPr>
                                        <w:rFonts w:hint="eastAsia" w:ascii="仿宋_GB2312" w:hAnsi="宋体" w:eastAsia="仿宋_GB2312" w:cs="宋体"/>
                                        <w:color w:val="333333"/>
                                        <w:kern w:val="0"/>
                                        <w:sz w:val="32"/>
                                        <w:szCs w:val="32"/>
                                      </w:rPr>
                                      <w:t>医疗卫生与计划生育（类）行政事业单位医疗（款）公务员医疗补助（项）：指厅机关及参公管理事业单位用于集中缴纳公务员医疗补助支出。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18.</w:t>
                                    </w:r>
                                    <w:r>
                                      <w:rPr>
                                        <w:rFonts w:hint="eastAsia" w:ascii="仿宋_GB2312" w:hAnsi="宋体" w:eastAsia="仿宋_GB2312" w:cs="宋体"/>
                                        <w:color w:val="333333"/>
                                        <w:kern w:val="0"/>
                                        <w:sz w:val="32"/>
                                        <w:szCs w:val="32"/>
                                      </w:rPr>
                                      <w:t>住房保障（类）住房改革支出（款）住房公积金（项）：指按照《住房公积金管理条例》的规定，由单位及其在职职工缴存的长期住房储金。</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19.</w:t>
                                    </w:r>
                                    <w:r>
                                      <w:rPr>
                                        <w:rFonts w:hint="eastAsia" w:ascii="仿宋_GB2312" w:hAnsi="宋体" w:eastAsia="仿宋_GB2312" w:cs="宋体"/>
                                        <w:color w:val="333333"/>
                                        <w:kern w:val="0"/>
                                        <w:sz w:val="32"/>
                                        <w:szCs w:val="32"/>
                                      </w:rPr>
                                      <w:t>住房保障（类）住房改革支出（款）购房补贴（项）：指按房改政策规定的标准，向符合条件职工发放的用于购买住房的补贴。</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20.</w:t>
                                    </w:r>
                                    <w:r>
                                      <w:rPr>
                                        <w:rFonts w:hint="eastAsia" w:ascii="仿宋_GB2312" w:hAnsi="宋体" w:eastAsia="仿宋_GB2312" w:cs="宋体"/>
                                        <w:color w:val="333333"/>
                                        <w:kern w:val="0"/>
                                        <w:sz w:val="32"/>
                                        <w:szCs w:val="32"/>
                                      </w:rPr>
                                      <w:t>基本支出：指为保证机构正常运转，完成日常工作任务而发生的人员支出和公用支出。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21.</w:t>
                                    </w:r>
                                    <w:r>
                                      <w:rPr>
                                        <w:rFonts w:hint="eastAsia" w:ascii="仿宋_GB2312" w:hAnsi="宋体" w:eastAsia="仿宋_GB2312" w:cs="宋体"/>
                                        <w:color w:val="333333"/>
                                        <w:kern w:val="0"/>
                                        <w:sz w:val="32"/>
                                        <w:szCs w:val="32"/>
                                      </w:rPr>
                                      <w:t>项目支出：指在基本支出之外为完成特定行政任务和事业发展目标所发生的支出。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22.</w:t>
                                    </w:r>
                                    <w:r>
                                      <w:rPr>
                                        <w:rFonts w:hint="eastAsia" w:ascii="仿宋_GB2312" w:hAnsi="宋体" w:eastAsia="仿宋_GB2312" w:cs="宋体"/>
                                        <w:color w:val="333333"/>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w:t>
                                    </w:r>
                                    <w:r>
                                      <w:rPr>
                                        <w:rFonts w:ascii="仿宋_GB2312" w:hAnsi="宋体" w:eastAsia="仿宋_GB2312" w:cs="宋体"/>
                                        <w:color w:val="333333"/>
                                        <w:kern w:val="0"/>
                                        <w:sz w:val="32"/>
                                        <w:szCs w:val="32"/>
                                      </w:rPr>
                                      <w:t>23.</w:t>
                                    </w:r>
                                    <w:r>
                                      <w:rPr>
                                        <w:rFonts w:hint="eastAsia" w:ascii="仿宋_GB2312" w:hAnsi="宋体" w:eastAsia="仿宋_GB2312" w:cs="宋体"/>
                                        <w:color w:val="333333"/>
                                        <w:kern w:val="0"/>
                                        <w:sz w:val="32"/>
                                        <w:szCs w:val="32"/>
                                      </w:rPr>
                                      <w:t>机关运行经费：为保障行政单位（包含参照公务员法管理的事业单位）运行用于购买货物和服务的各项资金。包括办公及办公费、水费、电费、印刷费、邮电费、差旅费、会议费等费用开支。</w:t>
                                    </w:r>
                                    <w:r>
                                      <w:rPr>
                                        <w:rFonts w:ascii="仿宋_GB2312" w:hAnsi="宋体" w:eastAsia="仿宋_GB2312" w:cs="宋体"/>
                                        <w:color w:val="333333"/>
                                        <w:kern w:val="0"/>
                                        <w:sz w:val="32"/>
                                        <w:szCs w:val="32"/>
                                      </w:rPr>
                                      <w:br w:type="textWrapping"/>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附件：表</w:t>
                                    </w: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部门收支总表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1-1.</w:t>
                                    </w:r>
                                    <w:r>
                                      <w:rPr>
                                        <w:rFonts w:hint="eastAsia" w:ascii="仿宋_GB2312" w:hAnsi="宋体" w:eastAsia="仿宋_GB2312" w:cs="宋体"/>
                                        <w:color w:val="333333"/>
                                        <w:kern w:val="0"/>
                                        <w:sz w:val="32"/>
                                        <w:szCs w:val="32"/>
                                      </w:rPr>
                                      <w:t>部门收入总表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1-2.</w:t>
                                    </w:r>
                                    <w:r>
                                      <w:rPr>
                                        <w:rFonts w:hint="eastAsia" w:ascii="仿宋_GB2312" w:hAnsi="宋体" w:eastAsia="仿宋_GB2312" w:cs="宋体"/>
                                        <w:color w:val="333333"/>
                                        <w:kern w:val="0"/>
                                        <w:sz w:val="32"/>
                                        <w:szCs w:val="32"/>
                                      </w:rPr>
                                      <w:t>部门支出总表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财政拨款收支预算总表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2-1.</w:t>
                                    </w:r>
                                    <w:r>
                                      <w:rPr>
                                        <w:rFonts w:hint="eastAsia" w:ascii="仿宋_GB2312" w:hAnsi="宋体" w:eastAsia="仿宋_GB2312" w:cs="宋体"/>
                                        <w:color w:val="333333"/>
                                        <w:kern w:val="0"/>
                                        <w:sz w:val="32"/>
                                        <w:szCs w:val="32"/>
                                      </w:rPr>
                                      <w:t>财政拨款支出预算表（政府经济分类科目）</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一般公共预算支出预算表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3-1.</w:t>
                                    </w:r>
                                    <w:r>
                                      <w:rPr>
                                        <w:rFonts w:hint="eastAsia" w:ascii="仿宋_GB2312" w:hAnsi="宋体" w:eastAsia="仿宋_GB2312" w:cs="宋体"/>
                                        <w:color w:val="333333"/>
                                        <w:kern w:val="0"/>
                                        <w:sz w:val="32"/>
                                        <w:szCs w:val="32"/>
                                      </w:rPr>
                                      <w:t>一般公共预算基本支出预算表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3-2.</w:t>
                                    </w:r>
                                    <w:r>
                                      <w:rPr>
                                        <w:rFonts w:hint="eastAsia" w:ascii="仿宋_GB2312" w:hAnsi="宋体" w:eastAsia="仿宋_GB2312" w:cs="宋体"/>
                                        <w:color w:val="333333"/>
                                        <w:kern w:val="0"/>
                                        <w:sz w:val="32"/>
                                        <w:szCs w:val="32"/>
                                      </w:rPr>
                                      <w:t>一般公共预算项目支出预算表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3-3.</w:t>
                                    </w:r>
                                    <w:r>
                                      <w:rPr>
                                        <w:rFonts w:hint="eastAsia" w:ascii="仿宋_GB2312" w:hAnsi="宋体" w:eastAsia="仿宋_GB2312" w:cs="宋体"/>
                                        <w:color w:val="333333"/>
                                        <w:kern w:val="0"/>
                                        <w:sz w:val="32"/>
                                        <w:szCs w:val="32"/>
                                      </w:rPr>
                                      <w:t>一般公共预算“三公”经费支出预算表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政府性基金支出预算表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4-1.</w:t>
                                    </w:r>
                                    <w:r>
                                      <w:rPr>
                                        <w:rFonts w:hint="eastAsia" w:ascii="仿宋_GB2312" w:hAnsi="宋体" w:eastAsia="仿宋_GB2312" w:cs="宋体"/>
                                        <w:color w:val="333333"/>
                                        <w:kern w:val="0"/>
                                        <w:sz w:val="32"/>
                                        <w:szCs w:val="32"/>
                                      </w:rPr>
                                      <w:t>政府性基金预算“三公”经费支出预算表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国有资本经营预算支出预算表</w:t>
                                    </w:r>
                                    <w:r>
                                      <w:rPr>
                                        <w:rFonts w:ascii="仿宋_GB2312" w:hAnsi="宋体" w:eastAsia="仿宋_GB2312" w:cs="宋体"/>
                                        <w:color w:val="333333"/>
                                        <w:kern w:val="0"/>
                                        <w:sz w:val="32"/>
                                        <w:szCs w:val="32"/>
                                      </w:rPr>
                                      <w:br w:type="textWrapping"/>
                                    </w:r>
                                    <w:r>
                                      <w:rPr>
                                        <w:rFonts w:hint="eastAsia" w:ascii="仿宋_GB2312" w:hAnsi="宋体" w:eastAsia="仿宋_GB2312" w:cs="宋体"/>
                                        <w:color w:val="333333"/>
                                        <w:kern w:val="0"/>
                                        <w:sz w:val="32"/>
                                        <w:szCs w:val="32"/>
                                      </w:rPr>
                                      <w:t>　　　　　表</w:t>
                                    </w:r>
                                    <w:r>
                                      <w:rPr>
                                        <w:rFonts w:ascii="仿宋_GB2312" w:hAnsi="宋体" w:eastAsia="仿宋_GB2312" w:cs="宋体"/>
                                        <w:color w:val="333333"/>
                                        <w:kern w:val="0"/>
                                        <w:sz w:val="32"/>
                                        <w:szCs w:val="32"/>
                                      </w:rPr>
                                      <w:t>6.2020</w:t>
                                    </w:r>
                                    <w:r>
                                      <w:rPr>
                                        <w:rFonts w:hint="eastAsia" w:ascii="仿宋_GB2312" w:hAnsi="宋体" w:eastAsia="仿宋_GB2312" w:cs="宋体"/>
                                        <w:color w:val="333333"/>
                                        <w:kern w:val="0"/>
                                        <w:sz w:val="32"/>
                                        <w:szCs w:val="32"/>
                                      </w:rPr>
                                      <w:t>年省级部门预算项目绩效目标</w:t>
                                    </w: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0" w:type="auto"/>
                              <w:shd w:val="clear" w:color="auto" w:fill="FFFFFF"/>
                            </w:tcPr>
                            <w:tbl>
                              <w:tblPr>
                                <w:tblStyle w:val="4"/>
                                <w:tblW w:w="8685" w:type="dxa"/>
                                <w:jc w:val="center"/>
                                <w:tblCellSpacing w:w="0" w:type="dxa"/>
                                <w:tblLayout w:type="autofit"/>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color w:val="333333"/>
                                        <w:kern w:val="0"/>
                                        <w:szCs w:val="21"/>
                                      </w:rPr>
                                    </w:pPr>
                                  </w:p>
                                </w:tc>
                                <w:tc>
                                  <w:tcPr>
                                    <w:tcW w:w="0" w:type="auto"/>
                                    <w:vAlign w:val="center"/>
                                  </w:tcPr>
                                  <w:tbl>
                                    <w:tblPr>
                                      <w:tblStyle w:val="4"/>
                                      <w:tblW w:w="5000" w:type="pct"/>
                                      <w:tblCellSpacing w:w="0" w:type="dxa"/>
                                      <w:tblInd w:w="0" w:type="dxa"/>
                                      <w:tblLayout w:type="autofit"/>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0" w:type="auto"/>
                                          <w:vAlign w:val="center"/>
                                        </w:tcPr>
                                        <w:p>
                                          <w:pPr>
                                            <w:widowControl/>
                                            <w:jc w:val="left"/>
                                            <w:rPr>
                                              <w:rFonts w:ascii="宋体" w:cs="宋体"/>
                                              <w:kern w:val="0"/>
                                              <w:szCs w:val="21"/>
                                            </w:rPr>
                                          </w:pPr>
                                        </w:p>
                                      </w:tc>
                                    </w:tr>
                                  </w:tbl>
                                  <w:p>
                                    <w:pPr>
                                      <w:widowControl/>
                                      <w:spacing w:line="390" w:lineRule="atLeast"/>
                                      <w:ind w:firstLine="60"/>
                                      <w:jc w:val="left"/>
                                      <w:rPr>
                                        <w:rFonts w:ascii="宋体" w:cs="宋体"/>
                                        <w:color w:val="333333"/>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0" w:type="auto"/>
                        <w:gridSpan w:val="2"/>
                        <w:tcMar>
                          <w:top w:w="0" w:type="dxa"/>
                          <w:left w:w="0" w:type="dxa"/>
                          <w:bottom w:w="0" w:type="dxa"/>
                          <w:right w:w="1950" w:type="dxa"/>
                        </w:tcMar>
                        <w:vAlign w:val="center"/>
                      </w:tcPr>
                      <w:tbl>
                        <w:tblPr>
                          <w:tblStyle w:val="4"/>
                          <w:tblW w:w="5000" w:type="pct"/>
                          <w:jc w:val="right"/>
                          <w:tblCellSpacing w:w="0" w:type="dxa"/>
                          <w:tblLayout w:type="autofit"/>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0" w:type="auto"/>
                              <w:vAlign w:val="center"/>
                            </w:tcPr>
                            <w:p>
                              <w:pPr>
                                <w:widowControl/>
                                <w:jc w:val="right"/>
                                <w:rPr>
                                  <w:rFonts w:ascii="宋体" w:hAnsi="宋体" w:cs="宋体"/>
                                  <w:kern w:val="0"/>
                                  <w:szCs w:val="21"/>
                                </w:rPr>
                              </w:pPr>
                              <w:r>
                                <w:rPr>
                                  <w:rFonts w:ascii="宋体" w:hAnsi="宋体" w:cs="宋体"/>
                                  <w:kern w:val="0"/>
                                  <w:szCs w:val="21"/>
                                </w:rPr>
                                <w:t xml:space="preserve"> </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0" w:type="auto"/>
            <w:vAlign w:val="center"/>
          </w:tcPr>
          <w:p>
            <w:pPr>
              <w:widowControl/>
              <w:jc w:val="left"/>
              <w:rPr>
                <w:rFonts w:ascii="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0110AB"/>
    <w:rsid w:val="00015EBC"/>
    <w:rsid w:val="000A61B9"/>
    <w:rsid w:val="000B7ED2"/>
    <w:rsid w:val="000D140B"/>
    <w:rsid w:val="00133EEB"/>
    <w:rsid w:val="00165E5A"/>
    <w:rsid w:val="001C1247"/>
    <w:rsid w:val="00275896"/>
    <w:rsid w:val="002E04CD"/>
    <w:rsid w:val="00305385"/>
    <w:rsid w:val="00305440"/>
    <w:rsid w:val="003242F3"/>
    <w:rsid w:val="0034068F"/>
    <w:rsid w:val="003447E4"/>
    <w:rsid w:val="003665AC"/>
    <w:rsid w:val="003B1805"/>
    <w:rsid w:val="003C3DA8"/>
    <w:rsid w:val="003E394D"/>
    <w:rsid w:val="00447467"/>
    <w:rsid w:val="004A1671"/>
    <w:rsid w:val="00505DC9"/>
    <w:rsid w:val="0053535C"/>
    <w:rsid w:val="005A4F86"/>
    <w:rsid w:val="005A7DFD"/>
    <w:rsid w:val="005E6200"/>
    <w:rsid w:val="00617AAE"/>
    <w:rsid w:val="006278B3"/>
    <w:rsid w:val="0069128D"/>
    <w:rsid w:val="006D59E0"/>
    <w:rsid w:val="006E3742"/>
    <w:rsid w:val="007202B9"/>
    <w:rsid w:val="00735E00"/>
    <w:rsid w:val="0079144A"/>
    <w:rsid w:val="00804D77"/>
    <w:rsid w:val="00812584"/>
    <w:rsid w:val="00825DD3"/>
    <w:rsid w:val="0085543F"/>
    <w:rsid w:val="008D4D36"/>
    <w:rsid w:val="008E7FCF"/>
    <w:rsid w:val="009D0776"/>
    <w:rsid w:val="00A0764F"/>
    <w:rsid w:val="00A10676"/>
    <w:rsid w:val="00A21F94"/>
    <w:rsid w:val="00A77362"/>
    <w:rsid w:val="00AE060F"/>
    <w:rsid w:val="00B31082"/>
    <w:rsid w:val="00B52686"/>
    <w:rsid w:val="00C10C8B"/>
    <w:rsid w:val="00C26FF7"/>
    <w:rsid w:val="00C41C7F"/>
    <w:rsid w:val="00C71A7F"/>
    <w:rsid w:val="00C90BE8"/>
    <w:rsid w:val="00CD7199"/>
    <w:rsid w:val="00CE2F6C"/>
    <w:rsid w:val="00CE761A"/>
    <w:rsid w:val="00CE791B"/>
    <w:rsid w:val="00D04CCC"/>
    <w:rsid w:val="00D21EF0"/>
    <w:rsid w:val="00D24160"/>
    <w:rsid w:val="00D43403"/>
    <w:rsid w:val="00D96BD8"/>
    <w:rsid w:val="00DB3E04"/>
    <w:rsid w:val="00E23956"/>
    <w:rsid w:val="00EB1EA0"/>
    <w:rsid w:val="00EF294F"/>
    <w:rsid w:val="00EF587F"/>
    <w:rsid w:val="00F51F8B"/>
    <w:rsid w:val="00F777F1"/>
    <w:rsid w:val="00FD3FEF"/>
    <w:rsid w:val="1B2A662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iPriority w:val="99"/>
    <w:pPr>
      <w:tabs>
        <w:tab w:val="center" w:pos="4153"/>
        <w:tab w:val="right" w:pos="8306"/>
      </w:tabs>
      <w:snapToGrid w:val="0"/>
      <w:jc w:val="left"/>
    </w:pPr>
    <w:rPr>
      <w:sz w:val="18"/>
      <w:szCs w:val="18"/>
    </w:rPr>
  </w:style>
  <w:style w:type="paragraph" w:styleId="3">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99"/>
    <w:rPr>
      <w:rFonts w:cs="Times New Roman"/>
      <w:b/>
      <w:bCs/>
    </w:rPr>
  </w:style>
  <w:style w:type="character" w:customStyle="1" w:styleId="7">
    <w:name w:val="pagetext0031"/>
    <w:basedOn w:val="5"/>
    <w:uiPriority w:val="99"/>
    <w:rPr>
      <w:rFonts w:ascii="宋体" w:hAnsi="宋体" w:eastAsia="宋体" w:cs="Times New Roman"/>
      <w:color w:val="555555"/>
      <w:sz w:val="21"/>
      <w:szCs w:val="21"/>
    </w:rPr>
  </w:style>
  <w:style w:type="character" w:customStyle="1" w:styleId="8">
    <w:name w:val="页眉 Char"/>
    <w:basedOn w:val="5"/>
    <w:link w:val="3"/>
    <w:semiHidden/>
    <w:locked/>
    <w:uiPriority w:val="99"/>
    <w:rPr>
      <w:rFonts w:cs="Times New Roman"/>
      <w:sz w:val="18"/>
      <w:szCs w:val="18"/>
    </w:rPr>
  </w:style>
  <w:style w:type="character" w:customStyle="1" w:styleId="9">
    <w:name w:val="页脚 Char"/>
    <w:basedOn w:val="5"/>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13</Pages>
  <Words>944</Words>
  <Characters>5386</Characters>
  <Lines>44</Lines>
  <Paragraphs>12</Paragraphs>
  <TotalTime>1</TotalTime>
  <ScaleCrop>false</ScaleCrop>
  <LinksUpToDate>false</LinksUpToDate>
  <CharactersWithSpaces>6318</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2020-12-30T09:06:00Z</dcterms:created>
  <dc:creator>Lenovo User</dc:creator>
  <cp:lastModifiedBy>平淡无奇</cp:lastModifiedBy>
  <dcterms:modified xsi:type="dcterms:W3CDTF">2021-04-16T02:59:32Z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7E9D176B86D140C9BAAD51218BD707D9</vt:lpwstr>
  </property>
</Properties>
</file>