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jc w:val="both"/>
        <w:rPr>
          <w:rFonts w:ascii="Times New Roman" w:eastAsia="方正小标宋简体" w:cs="Times New Roman" w:hAnsi="Times New Roman" w:hint="eastAsia"/>
          <w:color w:val="auto"/>
          <w:kern w:val="2"/>
          <w:sz w:val="44"/>
          <w:szCs w:val="44"/>
          <w:lang w:val="en-US" w:eastAsia="zh-CN" w:bidi="ar-SA"/>
          <w:highlight w:val="auto"/>
        </w:rPr>
      </w:pPr>
      <w:bookmarkStart w:id="0" w:name="_Toc15377425"/>
      <w:bookmarkStart w:id="1" w:name="_Toc15378441"/>
      <w:bookmarkStart w:id="2" w:name="_Toc15377193"/>
      <w:bookmarkStart w:id="3" w:name="_Toc15396597"/>
      <w:bookmarkStart w:id="4" w:name="_Toc15396475"/>
      <w:bookmarkStart w:id="5" w:name="_Toc15306267"/>
    </w:p>
    <w:p>
      <w:pPr>
        <w:pStyle w:val="16"/>
        <w:jc w:val="both"/>
        <w:rPr>
          <w:rFonts w:ascii="Times New Roman" w:eastAsia="方正小标宋简体" w:cs="Times New Roman" w:hAnsi="Times New Roman" w:hint="eastAsia"/>
          <w:color w:val="auto"/>
          <w:kern w:val="2"/>
          <w:sz w:val="44"/>
          <w:szCs w:val="44"/>
          <w:lang w:val="en-US" w:eastAsia="zh-CN" w:bidi="ar-SA"/>
          <w:highlight w:val="auto"/>
        </w:rPr>
      </w:pPr>
    </w:p>
    <w:p>
      <w:pPr>
        <w:pStyle w:val="16"/>
        <w:jc w:val="both"/>
        <w:rPr>
          <w:rFonts w:ascii="Times New Roman" w:eastAsia="方正小标宋简体" w:cs="Times New Roman" w:hAnsi="Times New Roman" w:hint="eastAsia"/>
          <w:color w:val="auto"/>
          <w:kern w:val="2"/>
          <w:sz w:val="44"/>
          <w:szCs w:val="44"/>
          <w:lang w:val="en-US" w:eastAsia="zh-CN" w:bidi="ar-SA"/>
          <w:highlight w:val="auto"/>
        </w:rPr>
      </w:pPr>
    </w:p>
    <w:p>
      <w:pPr>
        <w:pStyle w:val="16"/>
        <w:jc w:val="both"/>
        <w:rPr>
          <w:rFonts w:ascii="Times New Roman" w:eastAsia="方正小标宋简体" w:cs="Times New Roman" w:hAnsi="Times New Roman" w:hint="eastAsia"/>
          <w:color w:val="auto"/>
          <w:kern w:val="2"/>
          <w:sz w:val="44"/>
          <w:szCs w:val="44"/>
          <w:lang w:val="en-US" w:eastAsia="zh-CN" w:bidi="ar-SA"/>
          <w:highlight w:val="auto"/>
        </w:rPr>
      </w:pPr>
    </w:p>
    <w:p>
      <w:pPr>
        <w:pStyle w:val="16"/>
        <w:jc w:val="center"/>
        <w:rPr>
          <w:rFonts w:ascii="Times New Roman" w:eastAsia="方正小标宋简体" w:cs="Times New Roman" w:hAnsi="Times New Roman" w:hint="eastAsia"/>
          <w:color w:val="auto"/>
          <w:kern w:val="2"/>
          <w:sz w:val="44"/>
          <w:szCs w:val="44"/>
          <w:lang w:val="en-US" w:eastAsia="zh-CN" w:bidi="ar-SA"/>
          <w:highlight w:val="auto"/>
        </w:rPr>
      </w:pPr>
      <w:bookmarkStart w:id="6" w:name="_Toc15377194"/>
      <w:bookmarkStart w:id="7" w:name="_Toc15396476"/>
      <w:bookmarkStart w:id="8" w:name="_Toc15377426"/>
      <w:bookmarkStart w:id="9" w:name="_Toc15378442"/>
      <w:bookmarkStart w:id="10" w:name="_Toc15396598"/>
      <w:bookmarkEnd w:id="0"/>
      <w:bookmarkEnd w:id="1"/>
      <w:bookmarkEnd w:id="2"/>
      <w:bookmarkEnd w:id="3"/>
      <w:bookmarkEnd w:id="4"/>
      <w:r>
        <w:rPr>
          <w:rFonts w:ascii="Times New Roman" w:eastAsia="方正小标宋简体" w:cs="Times New Roman" w:hAnsi="Times New Roman" w:hint="eastAsia"/>
          <w:color w:val="auto"/>
          <w:kern w:val="2"/>
          <w:sz w:val="44"/>
          <w:szCs w:val="44"/>
          <w:lang w:val="en-US" w:eastAsia="zh-CN" w:bidi="ar-SA"/>
          <w:highlight w:val="auto"/>
        </w:rPr>
        <w:t>2024年度四川省</w:t>
      </w:r>
      <w:bookmarkStart w:id="11" w:name="_Toc15306268"/>
      <w:bookmarkEnd w:id="5"/>
      <w:r>
        <w:rPr>
          <w:rFonts w:ascii="Times New Roman" w:eastAsia="方正小标宋简体" w:cs="Times New Roman" w:hAnsi="Times New Roman" w:hint="eastAsia"/>
          <w:color w:val="auto"/>
          <w:kern w:val="2"/>
          <w:sz w:val="44"/>
          <w:szCs w:val="44"/>
          <w:lang w:val="en-US" w:eastAsia="zh-CN" w:bidi="ar-SA"/>
          <w:highlight w:val="auto"/>
        </w:rPr>
        <w:t>金川县科学技术和农业畜牧局部门决算</w:t>
      </w:r>
      <w:bookmarkEnd w:id="6"/>
      <w:bookmarkEnd w:id="7"/>
      <w:bookmarkEnd w:id="8"/>
      <w:bookmarkEnd w:id="9"/>
      <w:bookmarkEnd w:id="10"/>
      <w:bookmarkEnd w:id="11"/>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Chars="200" w:firstLine="720"/>
        <w:jc w:val="left"/>
        <w:textAlignment w:val="auto"/>
        <w:rPr>
          <w:rFonts w:ascii="Times New Roman" w:eastAsia="仿宋_GB2312" w:cs="仿宋_GB2312" w:hAnsi="Times New Roman" w:hint="eastAsia"/>
          <w:b/>
          <w:bCs/>
          <w:color w:val="auto"/>
          <w:sz w:val="32"/>
          <w:szCs w:val="32"/>
          <w:lang w:eastAsia="zh-CN"/>
          <w:highlight w:val="auto"/>
        </w:rPr>
      </w:pPr>
      <w:r>
        <w:rPr>
          <w:rFonts w:ascii="Times New Roman" w:eastAsia="方正小标宋简体" w:hAnsi="Times New Roman"/>
          <w:color w:val="auto"/>
          <w:sz w:val="36"/>
          <w:szCs w:val="36"/>
          <w:highlight w:val="auto"/>
        </w:rPr>
        <w:br w:type="page"/>
      </w:r>
    </w:p>
    <w:p>
      <w:pPr>
        <w:keepNext w:val="0"/>
        <w:keepLines w:val="0"/>
        <w:pageBreakBefore w:val="0"/>
        <w:widowControl/>
        <w:kinsoku/>
        <w:wordWrap/>
        <w:overflowPunct/>
        <w:topLinePunct w:val="0"/>
        <w:autoSpaceDE/>
        <w:autoSpaceDN/>
        <w:bidi w:val="0"/>
        <w:spacing w:line="560" w:lineRule="exact"/>
        <w:jc w:val="center"/>
        <w:textAlignment w:val="auto"/>
        <w:rPr>
          <w:rFonts w:ascii="Times New Roman" w:eastAsia="仿宋_GB2312" w:cs="仿宋_GB2312" w:hAnsi="Times New Roman" w:hint="eastAsia"/>
          <w:b/>
          <w:color w:val="auto"/>
          <w:sz w:val="32"/>
          <w:szCs w:val="32"/>
          <w:highlight w:val="auto"/>
        </w:rPr>
      </w:pPr>
      <w:bookmarkStart w:id="12" w:name="_Toc15377196"/>
      <w:bookmarkStart w:id="13" w:name="_Toc15396599"/>
      <w:r>
        <w:rPr>
          <w:rFonts w:ascii="Times New Roman" w:eastAsia="仿宋_GB2312" w:cs="仿宋_GB2312" w:hAnsi="Times New Roman"/>
          <w:b/>
          <w:color w:val="auto"/>
          <w:sz w:val="32"/>
          <w:szCs w:val="32"/>
          <w:highlight w:val="auto"/>
        </w:rPr>
        <w:t>公开时间：2025年8月29日</w:t>
      </w:r>
    </w:p>
    <w:sdt>
      <w:sdtPr>
        <w:rPr>
          <w:rFonts w:ascii="宋体" w:eastAsia="宋体" w:cs="Times New Roman"/>
          <w:kern w:val="2"/>
          <w:sz w:val="21"/>
          <w:szCs w:val="24"/>
          <w:lang w:val="en-US" w:eastAsia="zh-CN" w:bidi="ar-SA"/>
        </w:rPr>
        <w:id w:val="-586929"/>
        <w15:color w:val="DBDBDB"/>
        <w:docPartObj>
          <w:docPartGallery w:val="Table of Contents"/>
          <w:docPartUnique/>
        </w:docPartObj>
      </w:sdtPr>
      <w:sdtEndPr>
        <w:rPr>
          <w:rFonts w:ascii="Times New Roman" w:hAnsi="Times New Roman" w:hint="eastAsia"/>
        </w:rPr>
      </w:sdtEndPr>
      <w:sdtContent>
        <w:p>
          <w:pPr>
            <w:spacing w:before="0" w:after="0" w:line="240" w:lineRule="auto"/>
            <w:ind w:left="0" w:right="0" w:firstLine="0"/>
            <w:jc w:val="center"/>
          </w:pPr>
          <w:r>
            <w:rPr>
              <w:rFonts w:ascii="黑体" w:eastAsia="黑体" w:cs="黑体" w:hint="eastAsia"/>
              <w:sz w:val="32"/>
              <w:szCs w:val="32"/>
            </w:rPr>
            <w:t>目录</w:t>
          </w:r>
        </w:p>
        <w:p>
          <w:pPr>
            <w:pStyle w:val="23"/>
            <w:tabs>
              <w:tab w:val="clear" w:pos="8296"/>
              <w:tab w:val="right" w:leader="dot" w:pos="8306"/>
            </w:tabs>
          </w:pPr>
          <w:r>
            <w:rPr>
              <w:rFonts w:hint="eastAsia"/>
            </w:rPr>
            <w:fldChar w:fldCharType="begin"/>
          </w:r>
          <w:r>
            <w:rPr>
              <w:rFonts w:hint="eastAsia"/>
            </w:rPr>
            <w:instrText xml:space="preserve">TOC \o "1-2" \h \u </w:instrText>
          </w:r>
          <w:r>
            <w:rPr>
              <w:rFonts w:hint="eastAsia"/>
            </w:rPr>
            <w:fldChar w:fldCharType="separate"/>
          </w:r>
          <w:r>
            <w:rPr>
              <w:rFonts w:ascii="黑体" w:eastAsia="黑体" w:cs="黑体" w:hint="eastAsia"/>
              <w:sz w:val="32"/>
              <w:szCs w:val="32"/>
            </w:rPr>
            <w:fldChar w:fldCharType="begin"/>
          </w:r>
          <w:r>
            <w:rPr>
              <w:rFonts w:ascii="黑体" w:eastAsia="黑体" w:cs="黑体" w:hint="eastAsia"/>
              <w:sz w:val="32"/>
              <w:szCs w:val="32"/>
            </w:rPr>
            <w:instrText xml:space="preserve"> HYPERLINK \l _Toc15149 </w:instrText>
          </w:r>
          <w:r>
            <w:rPr>
              <w:rFonts w:ascii="黑体" w:eastAsia="黑体" w:cs="黑体" w:hint="eastAsia"/>
              <w:sz w:val="32"/>
              <w:szCs w:val="32"/>
            </w:rPr>
            <w:fldChar w:fldCharType="separate"/>
          </w:r>
          <w:r>
            <w:rPr>
              <w:rFonts w:ascii="黑体" w:eastAsia="黑体" w:cs="黑体" w:hint="eastAsia"/>
              <w:sz w:val="32"/>
              <w:szCs w:val="32"/>
            </w:rPr>
            <w:t>第一部分</w:t>
          </w:r>
          <w:r>
            <w:rPr>
              <w:rFonts w:ascii="黑体" w:eastAsia="黑体" w:cs="黑体" w:hint="eastAsia"/>
              <w:sz w:val="32"/>
              <w:szCs w:val="32"/>
              <w:lang w:val="en-US" w:eastAsia="zh-CN"/>
            </w:rPr>
            <w:t xml:space="preserve"> </w:t>
          </w:r>
          <w:r>
            <w:rPr>
              <w:rFonts w:ascii="黑体" w:eastAsia="黑体" w:cs="黑体" w:hint="eastAsia"/>
              <w:sz w:val="32"/>
              <w:szCs w:val="32"/>
            </w:rPr>
            <w:t xml:space="preserve"> 部门概况</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_Toc15149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w:t>
          </w:r>
          <w:r>
            <w:rPr>
              <w:rFonts w:ascii="仿宋_GB2312" w:eastAsia="仿宋_GB2312" w:cs="仿宋_GB2312" w:hint="eastAsia"/>
              <w:sz w:val="32"/>
              <w:szCs w:val="32"/>
            </w:rPr>
            <w:fldChar w:fldCharType="end"/>
          </w:r>
          <w:r>
            <w:rPr>
              <w:rFonts w:ascii="黑体" w:eastAsia="黑体" w:cs="黑体"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_Toc8558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w:t>
          </w:r>
          <w:r>
            <w:rPr>
              <w:rFonts w:ascii="仿宋_GB2312" w:eastAsia="仿宋_GB2312" w:cs="仿宋_GB2312" w:hint="eastAsia"/>
              <w:sz w:val="32"/>
              <w:szCs w:val="32"/>
              <w:lang w:eastAsia="zh-CN"/>
            </w:rPr>
            <w:t>部门职责</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_Toc8558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_Toc23216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二、机</w:t>
          </w:r>
          <w:r>
            <w:rPr>
              <w:rFonts w:ascii="仿宋_GB2312" w:eastAsia="仿宋_GB2312" w:cs="仿宋_GB2312" w:hint="eastAsia"/>
              <w:bCs w:val="0"/>
              <w:sz w:val="32"/>
              <w:szCs w:val="32"/>
              <w:highlight w:val="auto"/>
            </w:rPr>
            <w:t>构设置</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_Toc23216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6</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3"/>
            <w:tabs>
              <w:tab w:val="clear" w:pos="8296"/>
              <w:tab w:val="right" w:leader="dot" w:pos="8306"/>
            </w:tabs>
          </w:pPr>
          <w:r>
            <w:rPr>
              <w:rFonts w:hint="eastAsia"/>
            </w:rPr>
            <w:fldChar w:fldCharType="begin"/>
          </w:r>
          <w:r>
            <w:rPr>
              <w:rFonts w:hint="eastAsia"/>
            </w:rPr>
            <w:instrText xml:space="preserve"> HYPERLINK \l _Toc12746 </w:instrText>
          </w:r>
          <w:r>
            <w:rPr>
              <w:rFonts w:hint="eastAsia"/>
            </w:rPr>
            <w:fldChar w:fldCharType="separate"/>
          </w:r>
          <w:r>
            <w:rPr>
              <w:rFonts w:ascii="黑体" w:eastAsia="黑体" w:cs="黑体" w:hint="eastAsia"/>
              <w:sz w:val="32"/>
              <w:szCs w:val="32"/>
              <w:highlight w:val="auto"/>
            </w:rPr>
            <w:t>第二部分</w:t>
          </w:r>
          <w:r>
            <w:rPr>
              <w:rFonts w:ascii="黑体" w:eastAsia="黑体" w:cs="黑体" w:hint="eastAsia"/>
              <w:sz w:val="32"/>
              <w:szCs w:val="32"/>
              <w:lang w:val="en-US" w:eastAsia="zh-CN"/>
              <w:highlight w:val="auto"/>
            </w:rPr>
            <w:t xml:space="preserve"> </w:t>
          </w:r>
          <w:r>
            <w:rPr>
              <w:rFonts w:ascii="黑体" w:eastAsia="黑体" w:cs="黑体" w:hint="eastAsia"/>
              <w:sz w:val="32"/>
              <w:szCs w:val="32"/>
              <w:highlight w:val="auto"/>
            </w:rPr>
            <w:t xml:space="preserve"> </w:t>
          </w:r>
          <w:r>
            <w:rPr>
              <w:rFonts w:ascii="黑体" w:eastAsia="黑体" w:cs="黑体" w:hint="eastAsia"/>
              <w:sz w:val="32"/>
              <w:szCs w:val="32"/>
              <w:lang w:val="en-US" w:eastAsia="zh-CN"/>
              <w:highlight w:val="auto"/>
            </w:rPr>
            <w:t>2024年度</w:t>
          </w:r>
          <w:r>
            <w:rPr>
              <w:rFonts w:ascii="黑体" w:eastAsia="黑体" w:cs="黑体" w:hint="eastAsia"/>
              <w:sz w:val="32"/>
              <w:szCs w:val="32"/>
              <w:highlight w:val="auto"/>
            </w:rPr>
            <w:t>部门决算情况说明</w:t>
          </w:r>
          <w:r>
            <w:tab/>
          </w:r>
          <w:r>
            <w:fldChar w:fldCharType="begin"/>
          </w:r>
          <w:r>
            <w:instrText xml:space="preserve"> PAGEREF _Toc12746 \h </w:instrText>
          </w:r>
          <w:r>
            <w:fldChar w:fldCharType="separate"/>
          </w:r>
          <w:r>
            <w:t>7</w:t>
          </w:r>
          <w:r>
            <w:fldChar w:fldCharType="end"/>
          </w:r>
          <w:r>
            <w:rPr>
              <w:rFonts w:hint="eastAsia"/>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_Toc3849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lang w:eastAsia="zh-CN"/>
              <w:highlight w:val="auto"/>
            </w:rPr>
            <w:t>一、</w:t>
          </w:r>
          <w:r>
            <w:rPr>
              <w:rFonts w:ascii="仿宋_GB2312" w:eastAsia="仿宋_GB2312" w:cs="仿宋_GB2312" w:hint="eastAsia"/>
              <w:sz w:val="32"/>
              <w:szCs w:val="32"/>
              <w:highlight w:val="auto"/>
            </w:rPr>
            <w:t>收入支出决算总体情况说明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_Toc3849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7</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_Toc19991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lang w:eastAsia="zh-CN"/>
              <w:highlight w:val="auto"/>
            </w:rPr>
            <w:t>二、收入决算情况说明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_Toc19991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7</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_Toc20800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lang w:eastAsia="zh-CN"/>
              <w:highlight w:val="auto"/>
            </w:rPr>
            <w:t>三、</w:t>
          </w:r>
          <w:r>
            <w:rPr>
              <w:rFonts w:ascii="仿宋_GB2312" w:eastAsia="仿宋_GB2312" w:cs="仿宋_GB2312" w:hint="eastAsia"/>
              <w:sz w:val="32"/>
              <w:szCs w:val="32"/>
              <w:highlight w:val="auto"/>
            </w:rPr>
            <w:t>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_Toc20800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8</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_Toc30905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四、财政拨款收入支出决算总体情况说明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_Toc30905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_Toc22944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五、一般公共预算财政拨款支出决算情况说明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_Toc22944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_Toc12903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六、一般公共预算财政拨款基本支出决算情况说明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_Toc12903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22</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_Toc29006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七、财政拨款“三公”经费支出决算情况说明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_Toc29006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23</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_Toc26062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八、政府性基金预算支出决算情况说明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_Toc26062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_Toc31076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lang w:eastAsia="zh-CN"/>
              <w:highlight w:val="auto"/>
            </w:rPr>
            <w:t>九、</w:t>
          </w:r>
          <w:r>
            <w:rPr>
              <w:rFonts w:ascii="仿宋_GB2312" w:eastAsia="仿宋_GB2312" w:cs="仿宋_GB2312" w:hint="eastAsia"/>
              <w:sz w:val="32"/>
              <w:szCs w:val="32"/>
              <w:highlight w:val="auto"/>
            </w:rPr>
            <w:t>国有资本经营预算支出决算情况说明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_Toc31076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25</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6"/>
            <w:tabs>
              <w:tab w:val="clear" w:pos="8296"/>
              <w:tab w:val="right" w:leader="dot" w:pos="8306"/>
            </w:tabs>
          </w:pPr>
          <w:bookmarkStart w:id="14" w:name="_GoBack"/>
          <w:bookmarkEnd w:id="14"/>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_Toc205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lang w:eastAsia="zh-CN"/>
              <w:highlight w:val="auto"/>
            </w:rPr>
            <w:t>十、</w:t>
          </w:r>
          <w:r>
            <w:rPr>
              <w:rFonts w:ascii="仿宋_GB2312" w:eastAsia="仿宋_GB2312" w:cs="仿宋_GB2312" w:hint="eastAsia"/>
              <w:sz w:val="32"/>
              <w:szCs w:val="32"/>
              <w:highlight w:val="auto"/>
            </w:rPr>
            <w:t>其他重要事项的情况说明</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_Toc205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25</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3"/>
            <w:tabs>
              <w:tab w:val="clear" w:pos="8296"/>
              <w:tab w:val="right" w:leader="dot" w:pos="8306"/>
            </w:tabs>
          </w:pPr>
          <w:r>
            <w:rPr>
              <w:rFonts w:hint="eastAsia"/>
            </w:rPr>
            <w:fldChar w:fldCharType="begin"/>
          </w:r>
          <w:r>
            <w:rPr>
              <w:rFonts w:hint="eastAsia"/>
            </w:rPr>
            <w:instrText xml:space="preserve"> HYPERLINK \l _Toc28050 </w:instrText>
          </w:r>
          <w:r>
            <w:rPr>
              <w:rFonts w:hint="eastAsia"/>
            </w:rPr>
            <w:fldChar w:fldCharType="separate"/>
          </w:r>
          <w:r>
            <w:rPr>
              <w:rFonts w:ascii="黑体" w:eastAsia="黑体" w:cs="Times New Roman" w:hint="eastAsia"/>
              <w:sz w:val="32"/>
              <w:szCs w:val="32"/>
            </w:rPr>
            <w:t xml:space="preserve">第三部分 </w:t>
          </w:r>
          <w:r>
            <w:rPr>
              <w:rFonts w:ascii="黑体" w:eastAsia="黑体" w:hint="eastAsia"/>
              <w:bCs/>
              <w:sz w:val="32"/>
              <w:szCs w:val="32"/>
            </w:rPr>
            <w:t>名</w:t>
          </w:r>
          <w:r>
            <w:rPr>
              <w:rFonts w:ascii="黑体" w:eastAsia="黑体" w:hint="eastAsia"/>
              <w:sz w:val="32"/>
              <w:szCs w:val="32"/>
            </w:rPr>
            <w:t>词解释</w:t>
          </w:r>
          <w:r>
            <w:tab/>
          </w:r>
          <w:r>
            <w:fldChar w:fldCharType="begin"/>
          </w:r>
          <w:r>
            <w:instrText xml:space="preserve"> PAGEREF _Toc28050 \h </w:instrText>
          </w:r>
          <w:r>
            <w:fldChar w:fldCharType="separate"/>
          </w:r>
          <w:r>
            <w:t>26</w:t>
          </w:r>
          <w:r>
            <w:fldChar w:fldCharType="end"/>
          </w:r>
          <w:r>
            <w:rPr>
              <w:rFonts w:hint="eastAsia"/>
            </w:rPr>
            <w:fldChar w:fldCharType="end"/>
          </w:r>
        </w:p>
        <w:p>
          <w:pPr>
            <w:pStyle w:val="23"/>
            <w:tabs>
              <w:tab w:val="clear" w:pos="8296"/>
              <w:tab w:val="right" w:leader="dot" w:pos="8306"/>
            </w:tabs>
          </w:pPr>
          <w:r>
            <w:rPr>
              <w:rFonts w:hint="eastAsia"/>
            </w:rPr>
            <w:fldChar w:fldCharType="begin"/>
          </w:r>
          <w:r>
            <w:rPr>
              <w:rFonts w:hint="eastAsia"/>
            </w:rPr>
            <w:instrText xml:space="preserve"> HYPERLINK \l _Toc4742 </w:instrText>
          </w:r>
          <w:r>
            <w:rPr>
              <w:rFonts w:hint="eastAsia"/>
            </w:rPr>
            <w:fldChar w:fldCharType="separate"/>
          </w:r>
          <w:r>
            <w:rPr>
              <w:rFonts w:ascii="黑体" w:eastAsia="黑体" w:cs="黑体" w:hint="eastAsia"/>
              <w:sz w:val="32"/>
              <w:szCs w:val="32"/>
            </w:rPr>
            <w:t>第四部分</w:t>
          </w:r>
          <w:r>
            <w:rPr>
              <w:rFonts w:ascii="黑体" w:eastAsia="黑体" w:cs="黑体" w:hint="eastAsia"/>
              <w:sz w:val="32"/>
              <w:szCs w:val="32"/>
              <w:lang w:val="en-US" w:eastAsia="zh-CN"/>
            </w:rPr>
            <w:t xml:space="preserve"> </w:t>
          </w:r>
          <w:r>
            <w:rPr>
              <w:rFonts w:ascii="黑体" w:eastAsia="黑体" w:cs="黑体" w:hint="eastAsia"/>
              <w:sz w:val="32"/>
              <w:szCs w:val="32"/>
            </w:rPr>
            <w:t xml:space="preserve"> 附件</w:t>
          </w:r>
          <w:r>
            <w:tab/>
          </w:r>
          <w:r>
            <w:fldChar w:fldCharType="begin"/>
          </w:r>
          <w:r>
            <w:instrText xml:space="preserve"> PAGEREF _Toc4742 \h </w:instrText>
          </w:r>
          <w:r>
            <w:fldChar w:fldCharType="separate"/>
          </w:r>
          <w:r>
            <w:t>29</w:t>
          </w:r>
          <w:r>
            <w:fldChar w:fldCharType="end"/>
          </w:r>
          <w:r>
            <w:rPr>
              <w:rFonts w:hint="eastAsia"/>
            </w:rPr>
            <w:fldChar w:fldCharType="end"/>
          </w:r>
        </w:p>
        <w:p>
          <w:pPr>
            <w:pStyle w:val="23"/>
            <w:tabs>
              <w:tab w:val="clear" w:pos="8296"/>
              <w:tab w:val="right" w:leader="dot" w:pos="8306"/>
            </w:tabs>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_Toc7057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highlight w:val="auto"/>
            </w:rPr>
            <w:t>附件</w:t>
          </w:r>
          <w:r>
            <w:rPr>
              <w:rFonts w:ascii="仿宋_GB2312" w:eastAsia="仿宋_GB2312" w:cs="仿宋_GB2312" w:hint="eastAsia"/>
              <w:sz w:val="32"/>
              <w:szCs w:val="32"/>
              <w:lang w:val="en-US" w:eastAsia="zh-CN"/>
              <w:highlight w:val="auto"/>
            </w:rPr>
            <w:t>1</w:t>
          </w:r>
          <w:r>
            <w:rPr>
              <w:rFonts w:ascii="仿宋_GB2312" w:eastAsia="仿宋_GB2312" w:cs="仿宋_GB2312" w:hint="eastAsia"/>
              <w:sz w:val="32"/>
              <w:szCs w:val="32"/>
              <w:lang w:val="en-US" w:eastAsia="zh-CN"/>
            </w:rPr>
            <w:t>金川县科学技术和农业畜牧局2024年</w:t>
          </w:r>
          <w:r>
            <w:rPr>
              <w:rFonts w:ascii="仿宋_GB2312" w:eastAsia="仿宋_GB2312" w:cs="仿宋_GB2312" w:hint="eastAsia"/>
              <w:sz w:val="32"/>
              <w:szCs w:val="32"/>
              <w:lang w:eastAsia="zh-CN"/>
            </w:rPr>
            <w:t>预算</w:t>
          </w:r>
          <w:r>
            <w:rPr>
              <w:rFonts w:ascii="仿宋_GB2312" w:eastAsia="仿宋_GB2312" w:cs="仿宋_GB2312" w:hint="eastAsia"/>
              <w:sz w:val="32"/>
              <w:szCs w:val="32"/>
            </w:rPr>
            <w:t>绩效</w:t>
          </w:r>
          <w:r>
            <w:rPr>
              <w:rFonts w:ascii="仿宋_GB2312" w:eastAsia="仿宋_GB2312" w:cs="仿宋_GB2312" w:hint="eastAsia"/>
              <w:sz w:val="32"/>
              <w:szCs w:val="32"/>
              <w:lang w:eastAsia="zh-CN"/>
            </w:rPr>
            <w:t>自评</w:t>
          </w:r>
          <w:r>
            <w:rPr>
              <w:rFonts w:ascii="仿宋_GB2312" w:eastAsia="仿宋_GB2312" w:cs="仿宋_GB2312" w:hint="eastAsia"/>
              <w:sz w:val="32"/>
              <w:szCs w:val="32"/>
            </w:rPr>
            <w:t>报告</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_Toc7057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3"/>
            <w:tabs>
              <w:tab w:val="clear" w:pos="8296"/>
              <w:tab w:val="right" w:leader="dot" w:pos="8306"/>
            </w:tabs>
          </w:pPr>
          <w:r>
            <w:rPr>
              <w:rFonts w:hint="eastAsia"/>
            </w:rPr>
            <w:fldChar w:fldCharType="begin"/>
          </w:r>
          <w:r>
            <w:rPr>
              <w:rFonts w:hint="eastAsia"/>
            </w:rPr>
            <w:instrText xml:space="preserve"> HYPERLINK \l _Toc6918 </w:instrText>
          </w:r>
          <w:r>
            <w:rPr>
              <w:rFonts w:hint="eastAsia"/>
            </w:rPr>
            <w:fldChar w:fldCharType="separate"/>
          </w:r>
          <w:r>
            <w:rPr>
              <w:rFonts w:ascii="黑体" w:eastAsia="黑体" w:cs="黑体" w:hint="eastAsia"/>
              <w:sz w:val="32"/>
              <w:szCs w:val="32"/>
            </w:rPr>
            <w:t>第五部分 附表</w:t>
          </w:r>
          <w:r>
            <w:tab/>
          </w:r>
          <w:r>
            <w:fldChar w:fldCharType="begin"/>
          </w:r>
          <w:r>
            <w:instrText xml:space="preserve"> PAGEREF _Toc6918 \h </w:instrText>
          </w:r>
          <w:r>
            <w:fldChar w:fldCharType="separate"/>
          </w:r>
          <w:r>
            <w:t>50</w:t>
          </w:r>
          <w:r>
            <w:fldChar w:fldCharType="end"/>
          </w:r>
          <w:r>
            <w:rPr>
              <w:rFonts w:hint="eastAsia"/>
            </w:rPr>
            <w:fldChar w:fldCharType="end"/>
          </w:r>
        </w:p>
        <w:p>
          <w:pPr>
            <w:pStyle w:val="15"/>
            <w:rPr>
              <w:rFonts w:ascii="Times New Roman" w:eastAsia="宋体" w:cs="Times New Roman" w:hAnsi="Times New Roman" w:hint="eastAsia"/>
              <w:kern w:val="2"/>
              <w:sz w:val="21"/>
              <w:szCs w:val="24"/>
              <w:lang w:val="en-US" w:eastAsia="zh-CN" w:bidi="ar-SA"/>
            </w:rPr>
          </w:pPr>
          <w:r>
            <w:rPr>
              <w:rFonts w:hint="eastAsia"/>
            </w:rPr>
            <w:fldChar w:fldCharType="end"/>
          </w:r>
        </w:p>
      </w:sdtContent>
    </w:sdt>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7577"/>
        </w:tabs>
        <w:bidi w:val="0"/>
        <w:jc w:val="left"/>
        <w:rPr>
          <w:rFonts w:hint="eastAsia"/>
          <w:lang w:val="en-US" w:eastAsia="zh-CN"/>
        </w:rPr>
        <w:sectPr>
          <w:headerReference w:type="default" r:id="rId2"/>
          <w:footerReference w:type="default" r:id="rId3"/>
          <w:footerReference w:type="first" r:id="rId4"/>
          <w:pgSz w:w="11906" w:h="16838"/>
          <w:pgMar w:top="1440" w:right="1800" w:bottom="1440" w:left="1800" w:header="851" w:footer="992" w:gutter="0"/>
          <w:pgNumType/>
          <w:docGrid w:type="lines" w:linePitch="312" w:charSpace="0"/>
        </w:sectPr>
      </w:pPr>
      <w:r>
        <w:rPr>
          <w:rFonts w:hint="eastAsia"/>
          <w:lang w:val="en-US" w:eastAsia="zh-CN"/>
        </w:rPr>
        <w:tab/>
      </w:r>
    </w:p>
    <w:p>
      <w:pPr>
        <w:pStyle w:val="15"/>
        <w:rPr>
          <w:rFonts w:ascii="Times New Roman" w:eastAsia="宋体" w:cs="Times New Roman" w:hAnsi="Times New Roman" w:hint="eastAsia"/>
          <w:kern w:val="2"/>
          <w:sz w:val="21"/>
          <w:szCs w:val="24"/>
          <w:lang w:val="en-US" w:eastAsia="zh-CN" w:bidi="ar-SA"/>
        </w:rPr>
      </w:pPr>
    </w:p>
    <w:p>
      <w:pPr>
        <w:pStyle w:val="1"/>
        <w:bidi w:val="0"/>
        <w:jc w:val="center"/>
        <w:rPr>
          <w:rStyle w:val="1Char"/>
          <w:rFonts w:ascii="Times New Roman" w:eastAsia="方正小标宋简体" w:cs="方正小标宋简体" w:hAnsi="Times New Roman" w:hint="eastAsia"/>
          <w:b/>
          <w:bCs w:val="0"/>
          <w:color w:val="auto"/>
          <w:highlight w:val="auto"/>
        </w:rPr>
      </w:pPr>
      <w:bookmarkStart w:id="15" w:name="_Toc15149"/>
      <w:r>
        <w:rPr>
          <w:rFonts w:hint="eastAsia"/>
        </w:rPr>
        <w:t>第一部分</w:t>
      </w:r>
      <w:r>
        <w:rPr>
          <w:rFonts w:hint="eastAsia"/>
          <w:lang w:val="en-US" w:eastAsia="zh-CN"/>
        </w:rPr>
        <w:t xml:space="preserve"> </w:t>
      </w:r>
      <w:r>
        <w:rPr>
          <w:rFonts w:hint="eastAsia"/>
        </w:rPr>
        <w:t xml:space="preserve"> 部门概况</w:t>
      </w:r>
      <w:bookmarkEnd w:id="12"/>
      <w:bookmarkEnd w:id="13"/>
      <w:bookmarkEnd w:id="15"/>
    </w:p>
    <w:p>
      <w:pPr>
        <w:widowControl/>
        <w:jc w:val="left"/>
        <w:rPr>
          <w:rFonts w:ascii="Times New Roman" w:eastAsia="黑体" w:hAnsi="Times New Roman"/>
          <w:color w:val="auto"/>
          <w:sz w:val="32"/>
          <w:szCs w:val="32"/>
          <w:highlight w:val="auto"/>
        </w:rPr>
      </w:pPr>
    </w:p>
    <w:p>
      <w:pPr>
        <w:pStyle w:val="2"/>
        <w:bidi w:val="0"/>
        <w:rPr>
          <w:rFonts w:hint="eastAsia"/>
          <w:lang w:eastAsia="zh-CN"/>
        </w:rPr>
      </w:pPr>
      <w:bookmarkStart w:id="16" w:name="_Toc15377197"/>
      <w:bookmarkStart w:id="17" w:name="_Toc15396600"/>
      <w:bookmarkStart w:id="18" w:name="_Toc8558"/>
      <w:r>
        <w:rPr>
          <w:rFonts w:hint="eastAsia"/>
        </w:rPr>
        <w:t>一、</w:t>
      </w:r>
      <w:bookmarkEnd w:id="16"/>
      <w:bookmarkEnd w:id="17"/>
      <w:r>
        <w:rPr>
          <w:rFonts w:hint="eastAsia"/>
          <w:lang w:eastAsia="zh-CN"/>
        </w:rPr>
        <w:t>部门职责</w:t>
      </w:r>
      <w:bookmarkEnd w:id="18"/>
    </w:p>
    <w:p>
      <w:pPr>
        <w:pStyle w:val="38"/>
        <w:spacing w:before="0" w:after="0" w:line="520" w:lineRule="atLeast"/>
        <w:ind w:firstLine="640"/>
      </w:pPr>
      <w:r>
        <w:rPr>
          <w:rFonts w:ascii="仿宋_GB2312" w:eastAsia="仿宋_GB2312" w:cs="仿宋_GB2312"/>
          <w:sz w:val="32"/>
          <w:szCs w:val="32"/>
        </w:rPr>
        <w:t>1．主要职能。</w:t>
      </w:r>
    </w:p>
    <w:p>
      <w:pPr>
        <w:pStyle w:val="38"/>
        <w:spacing w:before="0" w:after="0" w:line="520" w:lineRule="atLeast"/>
        <w:ind w:firstLineChars="200" w:firstLine="640"/>
        <w:rPr>
          <w:rFonts w:ascii="仿宋_GB2312" w:eastAsia="仿宋_GB2312" w:cs="仿宋_GB2312"/>
          <w:sz w:val="32"/>
          <w:szCs w:val="32"/>
        </w:rPr>
      </w:pPr>
      <w:r>
        <w:rPr>
          <w:rFonts w:ascii="仿宋_GB2312" w:eastAsia="仿宋_GB2312" w:cs="仿宋_GB2312"/>
          <w:sz w:val="32"/>
          <w:szCs w:val="32"/>
        </w:rPr>
        <w:t>贯彻执行国家有关种植业、农业机械化等各产业工作方针、政策和法律、法规；拟订全县农业、畜牧业经济发展战略、中长期发展规划、政策和年度计划并组织实施；组织起草有关农业和农村经济的地方性法规、规章草案；参与拟订涉农财税、价格、金融保险等政策，提出农业产业保护的政策建议，推进依法行政。2.承担完善农村经营管理体制的责任。提出深化农村经济体制改革和稳定完善农村基本经营制度的政策建议，指导农村土地承包、耕地使用权流转和承包纠纷仲裁管理。指导、监督减轻农民负担和村民筹资筹劳管理工作，指导农村集体资产和财务管理。拟订农业产业化经营的发展规划与政策并组织实施，指导、扶持农业社会化服务体系、农村合作经济组织、农民专业合作社和农产品行业协会的建设与发展。3.指导产业化经营，促进产前、产中、产后一体化发展。组织拟订优势特色效益农业发展、现代农业产业基地建设等政策与规划并组织实施，提出促进大宗农产品流通政策，研究制订大综农产品市场体系建设与发</w:t>
      </w:r>
    </w:p>
    <w:p>
      <w:pPr>
        <w:pStyle w:val="38"/>
        <w:spacing w:before="0" w:after="0" w:line="520" w:lineRule="atLeast"/>
      </w:pPr>
      <w:r>
        <w:rPr>
          <w:rFonts w:ascii="仿宋_GB2312" w:eastAsia="仿宋_GB2312" w:cs="仿宋_GB2312"/>
          <w:sz w:val="32"/>
          <w:szCs w:val="32"/>
        </w:rPr>
        <w:t>展规划，培育、保护和发展农产品品牌。组织协调“菜篮子”工程有关工作。4.负责制订全县农业机械化发展规划并组织实施。承担推广先进适用的农业机械化新技术、新机械并组织生产作业，指导农村机电提灌、机耕道建设，承担负责农业机械使用安全监管的责任。5.承担农业防灾减灾责任。监测、发布农业灾情，组织种子、化肥、种苗、消毒剂等救灾物资的储备和调拨，提出生产救灾资金安排建议，指导紧急救灾和灾后生产恢复。6.管理农业、经济信息，监测分析农业、经济运行。开展相关统计工作，发布相关经济信息，负责相关信息体系建设，指导相关信息服务。7.制定全县农牧渔业科研、农牧渔业技术推广的规划、计划和政策并组织实施，会同有关部门组织县级农牧科技创新体系、农牧渔业产业技术体系建设。组织引进农牧渔业先进技术，组织实施农牧渔业领域的高新技术和应用技术研究、农牧渔业科技成果转化和技术推广，负责农牧渔业科技成果管理，指导农技推广体系改革与建设，负责农牧渔业新品种保护、农牧渔业转基因生物的安全监督管理。 8.负责农牧资源区划和资源保护工作。指导农牧业用地、渔业水域、草原、宜农宜牧滩涂、宜农宜牧湿地以及农牧业生物物种资源的保护和管理；拟订耕地及基本农田质量保护与改良政策并指导实施，依法管理耕地质量，运用工程设施、农艺、农机、生物等措施发展资源节约型环境友好型农业。</w:t>
      </w:r>
    </w:p>
    <w:p>
      <w:pPr>
        <w:rPr>
          <w:rFonts w:hint="eastAsia"/>
          <w:lang w:eastAsia="zh-CN"/>
        </w:rPr>
      </w:pPr>
    </w:p>
    <w:p>
      <w:pPr>
        <w:pStyle w:val="2"/>
        <w:rPr>
          <w:rStyle w:val="2Char"/>
          <w:rFonts w:ascii="Times New Roman" w:hAnsi="Times New Roman"/>
          <w:b w:val="0"/>
          <w:bCs w:val="0"/>
          <w:color w:val="auto"/>
          <w:highlight w:val="auto"/>
        </w:rPr>
      </w:pPr>
      <w:bookmarkStart w:id="19" w:name="_Toc23216"/>
      <w:bookmarkStart w:id="20" w:name="_Toc15396601"/>
      <w:bookmarkStart w:id="21" w:name="_Toc15377200"/>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19"/>
      <w:bookmarkEnd w:id="20"/>
      <w:bookmarkEnd w:id="21"/>
    </w:p>
    <w:p>
      <w:pPr>
        <w:pStyle w:val="38"/>
        <w:spacing w:before="0" w:after="0" w:line="520" w:lineRule="atLeast"/>
        <w:ind w:firstLine="640"/>
      </w:pPr>
      <w:r>
        <w:rPr>
          <w:rFonts w:ascii="仿宋_GB2312" w:eastAsia="仿宋_GB2312" w:cs="仿宋_GB2312"/>
          <w:sz w:val="32"/>
          <w:szCs w:val="32"/>
        </w:rPr>
        <w:t>行政单位4个，事业单位1个；独立编制机构数3个，分别为金川县科学技术和农业畜牧局、金川县农村经营管理站、金川县农业技术推广站。</w:t>
      </w:r>
    </w:p>
    <w:p>
      <w:pPr>
        <w:pStyle w:val="38"/>
        <w:spacing w:before="0" w:after="0" w:line="520" w:lineRule="atLeast"/>
        <w:ind w:firstLine="640"/>
        <w:jc w:val="both"/>
      </w:pPr>
      <w:r>
        <w:rPr>
          <w:rFonts w:ascii="仿宋_GB2312" w:eastAsia="仿宋_GB2312" w:cs="仿宋_GB2312"/>
          <w:sz w:val="32"/>
          <w:szCs w:val="32"/>
        </w:rPr>
        <w:t>3．人员情况，包括当年变动情况及原因。</w:t>
      </w:r>
    </w:p>
    <w:p>
      <w:pPr>
        <w:widowControl/>
        <w:ind w:firstLineChars="200" w:firstLine="640"/>
        <w:jc w:val="left"/>
        <w:rPr>
          <w:rFonts w:ascii="Times New Roman" w:eastAsia="仿宋" w:hAnsi="Times New Roman"/>
          <w:color w:val="auto"/>
          <w:kern w:val="0"/>
          <w:sz w:val="32"/>
          <w:szCs w:val="32"/>
          <w:highlight w:val="auto"/>
        </w:rPr>
      </w:pPr>
      <w:r>
        <w:rPr>
          <w:rFonts w:ascii="仿宋_GB2312" w:eastAsia="仿宋_GB2312" w:cs="仿宋_GB2312"/>
          <w:sz w:val="32"/>
          <w:szCs w:val="32"/>
        </w:rPr>
        <w:t>202</w:t>
      </w:r>
      <w:r>
        <w:rPr>
          <w:rFonts w:ascii="仿宋_GB2312" w:eastAsia="仿宋_GB2312" w:cs="仿宋_GB2312" w:hint="eastAsia"/>
          <w:sz w:val="32"/>
          <w:szCs w:val="32"/>
          <w:lang w:val="en-US" w:eastAsia="zh-CN"/>
        </w:rPr>
        <w:t>4</w:t>
      </w:r>
      <w:r>
        <w:rPr>
          <w:rFonts w:ascii="仿宋_GB2312" w:eastAsia="仿宋_GB2312" w:cs="仿宋_GB2312"/>
          <w:sz w:val="32"/>
          <w:szCs w:val="32"/>
        </w:rPr>
        <w:t>年年末实有在职83人，其中公务员13人，参公14人，事业56人。</w:t>
      </w:r>
      <w:r>
        <w:rPr>
          <w:rFonts w:ascii="Times New Roman" w:eastAsia="仿宋" w:hAnsi="Times New Roman"/>
          <w:color w:val="auto"/>
          <w:sz w:val="32"/>
          <w:szCs w:val="32"/>
          <w:highlight w:val="auto"/>
        </w:rPr>
        <w:br w:type="page"/>
      </w:r>
    </w:p>
    <w:p>
      <w:pPr>
        <w:pStyle w:val="1"/>
        <w:jc w:val="center"/>
        <w:rPr>
          <w:rFonts w:ascii="Times New Roman" w:eastAsia="方正小标宋简体" w:cs="方正小标宋简体" w:hAnsi="Times New Roman" w:hint="eastAsia"/>
          <w:b w:val="0"/>
          <w:color w:val="auto"/>
          <w:highlight w:val="auto"/>
        </w:rPr>
      </w:pPr>
      <w:bookmarkStart w:id="22" w:name="_Toc15396602"/>
      <w:bookmarkStart w:id="23" w:name="_Toc15377204"/>
      <w:bookmarkStart w:id="24" w:name="_Toc12746"/>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22"/>
      <w:bookmarkEnd w:id="23"/>
      <w:bookmarkEnd w:id="24"/>
    </w:p>
    <w:p>
      <w:pPr>
        <w:rPr>
          <w:rFonts w:ascii="Times New Roman" w:hAnsi="Times New Roman"/>
          <w:color w:val="auto"/>
          <w:highlight w:val="auto"/>
        </w:rPr>
      </w:pPr>
    </w:p>
    <w:p>
      <w:pPr>
        <w:pStyle w:val="34"/>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25" w:name="_Toc15377205"/>
      <w:bookmarkStart w:id="26" w:name="_Toc15396603"/>
      <w:bookmarkStart w:id="27" w:name="_Toc3849"/>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25"/>
      <w:bookmarkEnd w:id="26"/>
      <w:bookmarkEnd w:id="27"/>
    </w:p>
    <w:p>
      <w:pPr>
        <w:pStyle w:val="38"/>
        <w:spacing w:before="0" w:after="0" w:line="520" w:lineRule="atLeast"/>
        <w:ind w:firstLine="720"/>
        <w:jc w:val="both"/>
      </w:pPr>
      <w:r>
        <w:rPr>
          <w:rFonts w:ascii="仿宋_GB2312" w:eastAsia="仿宋_GB2312" w:cs="仿宋_GB2312"/>
          <w:sz w:val="32"/>
          <w:szCs w:val="32"/>
        </w:rPr>
        <w:t>本年度全年预算收入数为19,090.42万元，上年度全年预算收入数为16,942.04万元，比去年增加2148.38万元，原因：。本年度全年预算支出数为19,090.42万元，上年度全年预算支出数为16,942.04万元，比去年增加2148.38万元，原因：。</w:t>
      </w:r>
    </w:p>
    <w:p>
      <w:pPr>
        <w:pStyle w:val="38"/>
        <w:spacing w:before="0" w:after="0" w:line="520" w:lineRule="atLeast"/>
        <w:ind w:left="540"/>
        <w:jc w:val="both"/>
      </w:pPr>
      <w:r>
        <w:rPr>
          <w:rFonts w:ascii="仿宋_GB2312" w:eastAsia="仿宋_GB2312" w:cs="仿宋_GB2312"/>
          <w:sz w:val="32"/>
          <w:szCs w:val="32"/>
        </w:rPr>
        <w:t>图2、全年预算收支分析表</w:t>
      </w:r>
    </w:p>
    <w:p>
      <w:pPr>
        <w:pStyle w:val="38"/>
        <w:spacing w:before="0" w:after="0" w:line="520" w:lineRule="atLeast"/>
        <w:ind w:firstLine="720"/>
        <w:jc w:val="both"/>
      </w:pPr>
      <w:r>
        <w:rPr>
          <w:rFonts w:asci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eastAsia="仿宋_GB2312" w:cs="仿宋_GB2312" w:hAnsi="Times New Roman" w:hint="eastAsia"/>
          <w:color w:val="auto"/>
          <w:sz w:val="32"/>
          <w:szCs w:val="32"/>
          <w:highlight w:val="auto"/>
        </w:rPr>
      </w:pPr>
    </w:p>
    <w:p>
      <w:pPr>
        <w:pStyle w:val="34"/>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28" w:name="_Toc15377206"/>
      <w:bookmarkStart w:id="29" w:name="_Toc15396604"/>
      <w:bookmarkStart w:id="30" w:name="_Toc19991"/>
      <w:r>
        <w:rPr>
          <w:rFonts w:ascii="Times New Roman" w:eastAsia="黑体" w:hAnsi="Times New Roman" w:hint="eastAsia"/>
          <w:color w:val="auto"/>
          <w:sz w:val="32"/>
          <w:szCs w:val="32"/>
          <w:lang w:eastAsia="zh-CN"/>
          <w:highlight w:val="auto"/>
        </w:rPr>
        <w:t>二、收入决算情况说明</w:t>
      </w:r>
      <w:bookmarkEnd w:id="28"/>
      <w:bookmarkEnd w:id="29"/>
      <w:bookmarkEnd w:id="30"/>
    </w:p>
    <w:p>
      <w:pPr>
        <w:ind w:firstLineChars="250" w:firstLine="800"/>
        <w:rPr>
          <w:rFonts w:ascii="Times New Roman" w:eastAsia="仿宋_GB2312" w:cs="仿宋_GB2312" w:hAnsi="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sz w:val="32"/>
          <w:szCs w:val="32"/>
        </w:rPr>
        <w:t>19090.42万元，其中：一般公共预算财政拨款收入19090.42</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%；政府性基金预算财政拨款收入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%；国有资本经营预算财政拨款收入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%；上级补助收入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%；事业收入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%；附属单位上缴收入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%；其他收入</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全年预算收入</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全年决算收入</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年初预算收入</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一般公共预算财政拨款收入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19,090.42</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19,090.42</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1,915.64</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政府性基金预算财政拨款收入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国有资本经营预算财政拨款收入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上级补助收入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事业收入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经营收入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附属单位上缴收入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其他收入</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pStyle w:val="34"/>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31" w:name="_Toc15396605"/>
      <w:bookmarkStart w:id="32" w:name="_Toc20800"/>
      <w:bookmarkStart w:id="33" w:name="_Toc15377207"/>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31"/>
      <w:bookmarkEnd w:id="32"/>
      <w:bookmarkEnd w:id="33"/>
    </w:p>
    <w:p>
      <w:pPr>
        <w:ind w:firstLineChars="250" w:firstLine="800"/>
        <w:rPr>
          <w:rFonts w:ascii="Times New Roman" w:eastAsia="仿宋_GB2312" w:cs="仿宋_GB2312" w:hAnsi="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19090.42</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2260.47</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11.84</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16829.94</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88.15</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w:t>
      </w: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年初预算支出</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基本支出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2,260.47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2,260.47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1,675.34</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人员经费</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2,140.51</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2,140.51</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1,609.46</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公用经费</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119.97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119.97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65.88</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项目支出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16,829.94</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16,829.94</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240.30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基本建设类项目</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上缴上级支出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经营支出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对附属单位补助支出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Pr>
        <w:ind w:firstLineChars="250" w:firstLine="800"/>
        <w:rPr>
          <w:rFonts w:ascii="Times New Roman" w:eastAsia="仿宋_GB2312" w:cs="仿宋_GB2312" w:hAnsi="Times New Roman" w:hint="eastAsia"/>
          <w:color w:val="auto"/>
          <w:sz w:val="32"/>
          <w:szCs w:val="32"/>
          <w:lang w:eastAsia="zh-CN"/>
          <w:highlight w:val="auto"/>
        </w:rPr>
      </w:pPr>
    </w:p>
    <w:p>
      <w:pPr>
        <w:ind w:firstLineChars="250" w:firstLine="800"/>
        <w:rPr>
          <w:rFonts w:ascii="Times New Roman" w:eastAsia="仿宋_GB2312" w:cs="仿宋_GB2312" w:hAnsi="Times New Roman" w:hint="eastAsia"/>
          <w:color w:val="auto"/>
          <w:sz w:val="32"/>
          <w:szCs w:val="32"/>
          <w:lang w:eastAsia="zh-CN"/>
          <w:highlight w:val="auto"/>
        </w:rPr>
      </w:pPr>
    </w:p>
    <w:p>
      <w:pPr>
        <w:spacing w:line="600" w:lineRule="exact"/>
        <w:ind w:firstLineChars="200" w:firstLine="640"/>
        <w:outlineLvl w:val="1"/>
        <w:rPr>
          <w:rStyle w:val="2Char"/>
          <w:rFonts w:ascii="Times New Roman" w:eastAsia="黑体" w:hAnsi="Times New Roman"/>
          <w:b w:val="0"/>
          <w:color w:val="auto"/>
          <w:highlight w:val="auto"/>
        </w:rPr>
      </w:pPr>
      <w:bookmarkStart w:id="34" w:name="_Toc15396606"/>
      <w:bookmarkStart w:id="35" w:name="_Toc15377208"/>
      <w:bookmarkStart w:id="36" w:name="_Toc30905"/>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34"/>
      <w:bookmarkEnd w:id="35"/>
      <w:bookmarkEnd w:id="36"/>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2024年度财政拨款收入、支出总计均为</w:t>
      </w:r>
      <w:r>
        <w:rPr>
          <w:rFonts w:ascii="仿宋_GB2312" w:eastAsia="仿宋_GB2312" w:cs="仿宋_GB2312" w:hint="eastAsia"/>
          <w:sz w:val="32"/>
          <w:szCs w:val="32"/>
        </w:rPr>
        <w:t>19090.42</w:t>
      </w:r>
      <w:r>
        <w:rPr>
          <w:rFonts w:ascii="Times New Roman" w:eastAsia="仿宋_GB2312" w:cs="仿宋_GB2312" w:hAnsi="Times New Roman" w:hint="eastAsia"/>
          <w:color w:val="auto"/>
          <w:kern w:val="2"/>
          <w:sz w:val="32"/>
          <w:szCs w:val="32"/>
          <w:lang w:val="en-US" w:eastAsia="zh-CN" w:bidi="ar-SA"/>
          <w:highlight w:val="auto"/>
        </w:rPr>
        <w:t>万元。与2023年度相比，财政拨款收入总计</w:t>
      </w:r>
      <w:r>
        <w:rPr>
          <w:rFonts w:ascii="仿宋_GB2312" w:eastAsia="仿宋_GB2312" w:cs="仿宋_GB2312"/>
          <w:sz w:val="32"/>
          <w:szCs w:val="32"/>
        </w:rPr>
        <w:t>增加2148.38万元</w:t>
      </w:r>
      <w:r>
        <w:rPr>
          <w:rFonts w:ascii="Times New Roman" w:eastAsia="仿宋_GB2312" w:cs="仿宋_GB2312" w:hAnsi="Times New Roman" w:hint="eastAsia"/>
          <w:color w:val="auto"/>
          <w:kern w:val="2"/>
          <w:sz w:val="32"/>
          <w:szCs w:val="32"/>
          <w:lang w:val="en-US" w:eastAsia="zh-CN" w:bidi="ar-SA"/>
          <w:highlight w:val="auto"/>
        </w:rPr>
        <w:t>、支出总计各</w:t>
      </w:r>
      <w:r>
        <w:rPr>
          <w:rFonts w:ascii="仿宋_GB2312" w:eastAsia="仿宋_GB2312" w:cs="仿宋_GB2312"/>
          <w:sz w:val="32"/>
          <w:szCs w:val="32"/>
        </w:rPr>
        <w:t>增加2148.38万元</w:t>
      </w:r>
      <w:r>
        <w:rPr>
          <w:rFonts w:ascii="Times New Roman" w:eastAsia="仿宋_GB2312" w:cs="仿宋_GB2312" w:hAnsi="Times New Roman" w:hint="eastAsia"/>
          <w:color w:val="auto"/>
          <w:kern w:val="2"/>
          <w:sz w:val="32"/>
          <w:szCs w:val="32"/>
          <w:lang w:val="en-US" w:eastAsia="zh-CN" w:bidi="ar-SA"/>
          <w:highlight w:val="auto"/>
        </w:rPr>
        <w:t>，增长/下降</w:t>
      </w:r>
      <w:r>
        <w:rPr>
          <w:rFonts w:eastAsia="仿宋_GB2312" w:cs="仿宋_GB2312" w:hint="eastAsia"/>
          <w:color w:val="auto"/>
          <w:kern w:val="2"/>
          <w:sz w:val="32"/>
          <w:szCs w:val="32"/>
          <w:lang w:val="en-US" w:eastAsia="zh-CN" w:bidi="ar-SA"/>
          <w:highlight w:val="auto"/>
        </w:rPr>
        <w:t>11.25</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eastAsia="仿宋_GB2312" w:cs="仿宋_GB2312" w:hint="eastAsia"/>
          <w:color w:val="auto"/>
          <w:kern w:val="2"/>
          <w:sz w:val="32"/>
          <w:szCs w:val="32"/>
          <w:lang w:val="en-US" w:eastAsia="zh-CN" w:bidi="ar-SA"/>
          <w:highlight w:val="auto"/>
        </w:rPr>
        <w:t>项目增加、人员变动导致收入支出增加。</w:t>
      </w:r>
    </w:p>
    <w:p>
      <w:pPr>
        <w:spacing w:line="600" w:lineRule="exact"/>
        <w:ind w:firstLine="640"/>
        <w:rPr>
          <w:rFonts w:ascii="Times New Roman" w:eastAsia="黑体" w:hAnsi="Times New Roman" w:hint="eastAsia"/>
          <w:color w:val="auto"/>
          <w:sz w:val="32"/>
          <w:szCs w:val="32"/>
          <w:highlight w:val="auto"/>
        </w:rPr>
      </w:pPr>
      <w:r>
        <w:drawing>
          <wp:anchor distT="0" distB="0" distL="114300" distR="114300" simplePos="0" relativeHeight="18" behindDoc="0" locked="0" layoutInCell="1" hidden="0" allowOverlap="1">
            <wp:simplePos x="0" y="0"/>
            <wp:positionH relativeFrom="column">
              <wp:posOffset>662305</wp:posOffset>
            </wp:positionH>
            <wp:positionV relativeFrom="paragraph">
              <wp:posOffset>361315</wp:posOffset>
            </wp:positionV>
            <wp:extent cx="3261995" cy="1711959"/>
            <wp:effectExtent l="0" t="0" r="0" b="0"/>
            <wp:wrapTopAndBottom/>
            <wp:docPr id="16" name="图表 2"/>
            <wp:cNvGraphicFramePr>
              <a:graphicFrameLocks noChangeAspect="0"/>
            </wp:cNvGraphicFramePr>
            <a:graphic>
              <a:graphicData uri="http://schemas.openxmlformats.org/drawingml/2006/chart">
                <c:chart xmlns:c="http://schemas.openxmlformats.org/drawingml/2006/chart" r:id="rId6"/>
              </a:graphicData>
            </a:graphic>
          </wp:anchor>
        </w:drawing>
      </w:r>
      <w:bookmarkStart w:id="37" w:name="_Toc15377209"/>
      <w:bookmarkStart w:id="38" w:name="_Toc15396607"/>
    </w:p>
    <w:p>
      <w:pPr>
        <w:spacing w:line="600" w:lineRule="exact"/>
        <w:ind w:firstLineChars="200" w:firstLine="640"/>
        <w:outlineLvl w:val="1"/>
        <w:rPr>
          <w:rStyle w:val="2Char"/>
          <w:rFonts w:ascii="Times New Roman" w:eastAsia="黑体" w:hAnsi="Times New Roman"/>
          <w:b w:val="0"/>
          <w:color w:val="auto"/>
          <w:highlight w:val="auto"/>
        </w:rPr>
      </w:pPr>
      <w:bookmarkStart w:id="39" w:name="_Toc22944"/>
      <w:r>
        <w:rPr>
          <w:rFonts w:ascii="Times New Roman" w:eastAsia="黑体" w:hAnsi="Times New Roman" w:hint="eastAsia"/>
          <w:color w:val="auto"/>
          <w:sz w:val="32"/>
          <w:szCs w:val="32"/>
          <w:highlight w:val="auto"/>
        </w:rPr>
        <w:t>五、</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般公共预算财政拨款支出决算情况说明</w:t>
      </w:r>
      <w:bookmarkEnd w:id="37"/>
      <w:bookmarkEnd w:id="38"/>
      <w:bookmarkEnd w:id="39"/>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0" w:name="_Toc15377210"/>
      <w:r>
        <w:rPr>
          <w:rFonts w:ascii="Times New Roman" w:eastAsia="楷体_GB2312" w:cs="楷体_GB2312" w:hAnsi="Times New Roman" w:hint="eastAsia"/>
          <w:b/>
          <w:color w:val="auto"/>
          <w:sz w:val="32"/>
          <w:szCs w:val="32"/>
          <w:highlight w:val="auto"/>
        </w:rPr>
        <w:t>（一）一般公共预算财政拨款支出决算总体情况</w:t>
      </w:r>
      <w:bookmarkEnd w:id="40"/>
    </w:p>
    <w:p>
      <w:pPr>
        <w:spacing w:line="600" w:lineRule="exact"/>
        <w:ind w:firstLine="640"/>
      </w:pPr>
      <w:r>
        <w:drawing>
          <wp:anchor distT="0" distB="0" distL="114300" distR="114300" simplePos="0" relativeHeight="20" behindDoc="0" locked="0" layoutInCell="1" hidden="0" allowOverlap="1">
            <wp:simplePos x="0" y="0"/>
            <wp:positionH relativeFrom="column">
              <wp:posOffset>720090</wp:posOffset>
            </wp:positionH>
            <wp:positionV relativeFrom="paragraph">
              <wp:posOffset>1669415</wp:posOffset>
            </wp:positionV>
            <wp:extent cx="3838575" cy="1722754"/>
            <wp:effectExtent l="0" t="0" r="0" b="0"/>
            <wp:wrapTopAndBottom/>
            <wp:docPr id="17" name="图表 2"/>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19090.42</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%。与2023年度相比，一般公共预算财政拨款支出</w:t>
      </w:r>
      <w:r>
        <w:rPr>
          <w:rFonts w:ascii="仿宋_GB2312" w:eastAsia="仿宋_GB2312" w:cs="仿宋_GB2312"/>
          <w:sz w:val="32"/>
          <w:szCs w:val="32"/>
        </w:rPr>
        <w:t>增加2148.38万元</w:t>
      </w:r>
      <w:r>
        <w:rPr>
          <w:rFonts w:ascii="Times New Roman" w:eastAsia="仿宋_GB2312" w:cs="仿宋_GB2312" w:hAnsi="Times New Roman" w:hint="eastAsia"/>
          <w:color w:val="auto"/>
          <w:kern w:val="2"/>
          <w:sz w:val="32"/>
          <w:szCs w:val="32"/>
          <w:lang w:val="en-US" w:eastAsia="zh-CN" w:bidi="ar-SA"/>
          <w:highlight w:val="auto"/>
        </w:rPr>
        <w:t>增长/下降</w:t>
      </w:r>
      <w:r>
        <w:rPr>
          <w:rFonts w:eastAsia="仿宋_GB2312" w:cs="仿宋_GB2312" w:hint="eastAsia"/>
          <w:color w:val="auto"/>
          <w:kern w:val="2"/>
          <w:sz w:val="32"/>
          <w:szCs w:val="32"/>
          <w:lang w:val="en-US" w:eastAsia="zh-CN" w:bidi="ar-SA"/>
          <w:highlight w:val="auto"/>
        </w:rPr>
        <w:t>11.25</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eastAsia="仿宋_GB2312" w:cs="仿宋_GB2312" w:hint="eastAsia"/>
          <w:color w:val="auto"/>
          <w:kern w:val="2"/>
          <w:sz w:val="32"/>
          <w:szCs w:val="32"/>
          <w:lang w:val="en-US" w:eastAsia="zh-CN" w:bidi="ar-SA"/>
          <w:highlight w:val="auto"/>
        </w:rPr>
        <w:t>项目增加、人员变动导致收入支出增加。</w:t>
      </w:r>
    </w:p>
    <w:p>
      <w:pPr>
        <w:spacing w:line="600" w:lineRule="exact"/>
        <w:rPr>
          <w:rFonts w:hint="eastAsia"/>
          <w:lang w:val="en-US" w:eastAsia="zh-CN"/>
        </w:rPr>
      </w:pP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1" w:name="_Toc15377211"/>
      <w:r>
        <w:rPr>
          <w:rFonts w:ascii="Times New Roman" w:eastAsia="楷体_GB2312" w:cs="楷体_GB2312" w:hAnsi="Times New Roman" w:hint="eastAsia"/>
          <w:b/>
          <w:color w:val="auto"/>
          <w:sz w:val="32"/>
          <w:szCs w:val="32"/>
          <w:highlight w:val="auto"/>
        </w:rPr>
        <w:t>（二）一般公共预算财政拨款支出决算结构情况</w:t>
      </w:r>
      <w:bookmarkEnd w:id="41"/>
    </w:p>
    <w:p>
      <w:pPr>
        <w:pStyle w:val="38"/>
        <w:spacing w:before="0" w:after="0" w:line="520" w:lineRule="atLeast"/>
        <w:ind w:firstLine="720"/>
      </w:pPr>
      <w:r>
        <w:rPr>
          <w:rFonts w:ascii="仿宋_GB2312" w:eastAsia="仿宋_GB2312" w:cs="仿宋_GB2312"/>
          <w:sz w:val="32"/>
          <w:szCs w:val="32"/>
        </w:rPr>
        <w:t>2024年本年支出合计为19,090.42万元；与上年支出相比增加2148.38万元，增减比例为12.68%。其中重点功能分类科目：</w:t>
        <w:tab/>
        <w:t>2019999-其他一般公共服务支出本年支出数为1,918.73万元，占全年总支出数10.05%;</w:t>
      </w:r>
    </w:p>
    <w:p>
      <w:pPr>
        <w:pStyle w:val="38"/>
        <w:shd w:val="clear" w:color="auto" w:fill="auto"/>
        <w:spacing w:before="0" w:after="0" w:line="520" w:lineRule="atLeast"/>
        <w:ind w:firstLine="720"/>
      </w:pPr>
      <w:r>
        <w:rPr>
          <w:rFonts w:ascii="仿宋_GB2312" w:eastAsia="仿宋_GB2312" w:cs="仿宋_GB2312"/>
          <w:sz w:val="32"/>
          <w:szCs w:val="32"/>
        </w:rPr>
        <w:tab/>
        <w:t>2050803-培训支出本年支出数为0.70万元，占全年总支出数0%;</w:t>
      </w:r>
    </w:p>
    <w:p>
      <w:pPr>
        <w:pStyle w:val="38"/>
        <w:shd w:val="clear" w:color="auto" w:fill="auto"/>
        <w:spacing w:before="0" w:after="0" w:line="520" w:lineRule="atLeast"/>
        <w:ind w:firstLine="720"/>
      </w:pPr>
      <w:r>
        <w:rPr>
          <w:rFonts w:ascii="仿宋_GB2312" w:eastAsia="仿宋_GB2312" w:cs="仿宋_GB2312"/>
          <w:sz w:val="32"/>
          <w:szCs w:val="32"/>
        </w:rPr>
        <w:tab/>
        <w:t>2060404-科技成果转化与扩散本年支出数为50.27万元，占全年总支出数0.26%;</w:t>
      </w:r>
    </w:p>
    <w:p>
      <w:pPr>
        <w:pStyle w:val="38"/>
        <w:shd w:val="clear" w:color="auto" w:fill="auto"/>
        <w:spacing w:before="0" w:after="0" w:line="520" w:lineRule="atLeast"/>
        <w:ind w:firstLine="720"/>
      </w:pPr>
      <w:r>
        <w:rPr>
          <w:rFonts w:ascii="仿宋_GB2312" w:eastAsia="仿宋_GB2312" w:cs="仿宋_GB2312"/>
          <w:sz w:val="32"/>
          <w:szCs w:val="32"/>
        </w:rPr>
        <w:tab/>
        <w:t>2060499-其他技术研究与开发支出本年支出数为23.38万元，占全年总支出数0.12%;</w:t>
      </w:r>
    </w:p>
    <w:p>
      <w:pPr>
        <w:pStyle w:val="38"/>
        <w:shd w:val="clear" w:color="auto" w:fill="auto"/>
        <w:spacing w:before="0" w:after="0" w:line="520" w:lineRule="atLeast"/>
        <w:ind w:firstLine="720"/>
      </w:pPr>
      <w:r>
        <w:rPr>
          <w:rFonts w:ascii="仿宋_GB2312" w:eastAsia="仿宋_GB2312" w:cs="仿宋_GB2312"/>
          <w:sz w:val="32"/>
          <w:szCs w:val="32"/>
        </w:rPr>
        <w:tab/>
        <w:t>2060699-其他社会科学支出本年支出数为50.00万元，占全年总支出数0.26%;</w:t>
      </w:r>
    </w:p>
    <w:p>
      <w:pPr>
        <w:pStyle w:val="38"/>
        <w:shd w:val="clear" w:color="auto" w:fill="auto"/>
        <w:spacing w:before="0" w:after="0" w:line="520" w:lineRule="atLeast"/>
        <w:ind w:firstLine="720"/>
      </w:pPr>
      <w:r>
        <w:rPr>
          <w:rFonts w:ascii="仿宋_GB2312" w:eastAsia="仿宋_GB2312" w:cs="仿宋_GB2312"/>
          <w:sz w:val="32"/>
          <w:szCs w:val="32"/>
        </w:rPr>
        <w:tab/>
        <w:t>2069999-其他科学技术支出本年支出数为154.03万元，占全年总支出数0.81%;</w:t>
      </w:r>
    </w:p>
    <w:p>
      <w:pPr>
        <w:pStyle w:val="38"/>
        <w:shd w:val="clear" w:color="auto" w:fill="auto"/>
        <w:spacing w:before="0" w:after="0" w:line="520" w:lineRule="atLeast"/>
        <w:ind w:firstLine="720"/>
      </w:pPr>
      <w:r>
        <w:rPr>
          <w:rFonts w:ascii="仿宋_GB2312" w:eastAsia="仿宋_GB2312" w:cs="仿宋_GB2312"/>
          <w:sz w:val="32"/>
          <w:szCs w:val="32"/>
        </w:rPr>
        <w:tab/>
        <w:t>2080505-机关事业单位基本养老保险缴费支出本年支出数为196.91万元，占全年总支出数1.03%;</w:t>
      </w:r>
    </w:p>
    <w:p>
      <w:pPr>
        <w:pStyle w:val="38"/>
        <w:shd w:val="clear" w:color="auto" w:fill="auto"/>
        <w:spacing w:before="0" w:after="0" w:line="520" w:lineRule="atLeast"/>
        <w:ind w:firstLine="720"/>
      </w:pPr>
      <w:r>
        <w:rPr>
          <w:rFonts w:ascii="仿宋_GB2312" w:eastAsia="仿宋_GB2312" w:cs="仿宋_GB2312"/>
          <w:sz w:val="32"/>
          <w:szCs w:val="32"/>
        </w:rPr>
        <w:tab/>
        <w:t>2080506-机关事业单位职业年金缴费支出本年支出数为98.90万元，占全年总支出数0.52%;</w:t>
      </w:r>
    </w:p>
    <w:p>
      <w:pPr>
        <w:pStyle w:val="38"/>
        <w:shd w:val="clear" w:color="auto" w:fill="auto"/>
        <w:spacing w:before="0" w:after="0" w:line="520" w:lineRule="atLeast"/>
        <w:ind w:firstLine="720"/>
      </w:pPr>
      <w:r>
        <w:rPr>
          <w:rFonts w:ascii="仿宋_GB2312" w:eastAsia="仿宋_GB2312" w:cs="仿宋_GB2312"/>
          <w:sz w:val="32"/>
          <w:szCs w:val="32"/>
        </w:rPr>
        <w:tab/>
        <w:t>2080801-死亡抚恤本年支出数为21.75万元，占全年总支出数0.11%;</w:t>
      </w:r>
    </w:p>
    <w:p>
      <w:pPr>
        <w:pStyle w:val="38"/>
        <w:shd w:val="clear" w:color="auto" w:fill="auto"/>
        <w:spacing w:before="0" w:after="0" w:line="520" w:lineRule="atLeast"/>
        <w:ind w:firstLine="720"/>
      </w:pPr>
      <w:r>
        <w:rPr>
          <w:rFonts w:ascii="仿宋_GB2312" w:eastAsia="仿宋_GB2312" w:cs="仿宋_GB2312"/>
          <w:sz w:val="32"/>
          <w:szCs w:val="32"/>
        </w:rPr>
        <w:tab/>
        <w:t>2101101-行政单位医疗本年支出数为21.91万元，占全年总支出数0.11%;</w:t>
      </w:r>
    </w:p>
    <w:p>
      <w:pPr>
        <w:pStyle w:val="38"/>
        <w:shd w:val="clear" w:color="auto" w:fill="auto"/>
        <w:spacing w:before="0" w:after="0" w:line="520" w:lineRule="atLeast"/>
        <w:ind w:firstLine="720"/>
      </w:pPr>
      <w:r>
        <w:rPr>
          <w:rFonts w:ascii="仿宋_GB2312" w:eastAsia="仿宋_GB2312" w:cs="仿宋_GB2312"/>
          <w:sz w:val="32"/>
          <w:szCs w:val="32"/>
        </w:rPr>
        <w:tab/>
        <w:t>2101102-事业单位医疗本年支出数为73.39万元，占全年总支出数0.38%;</w:t>
      </w:r>
    </w:p>
    <w:p>
      <w:pPr>
        <w:pStyle w:val="38"/>
        <w:shd w:val="clear" w:color="auto" w:fill="auto"/>
        <w:spacing w:before="0" w:after="0" w:line="520" w:lineRule="atLeast"/>
        <w:ind w:firstLine="720"/>
      </w:pPr>
      <w:r>
        <w:rPr>
          <w:rFonts w:ascii="仿宋_GB2312" w:eastAsia="仿宋_GB2312" w:cs="仿宋_GB2312"/>
          <w:sz w:val="32"/>
          <w:szCs w:val="32"/>
        </w:rPr>
        <w:tab/>
        <w:t>2101103-公务员医疗补助本年支出数为10.50万元，占全年总支出数0.06%;</w:t>
      </w:r>
    </w:p>
    <w:p>
      <w:pPr>
        <w:pStyle w:val="38"/>
        <w:shd w:val="clear" w:color="auto" w:fill="auto"/>
        <w:spacing w:before="0" w:after="0" w:line="520" w:lineRule="atLeast"/>
        <w:ind w:firstLine="720"/>
      </w:pPr>
      <w:r>
        <w:rPr>
          <w:rFonts w:ascii="仿宋_GB2312" w:eastAsia="仿宋_GB2312" w:cs="仿宋_GB2312"/>
          <w:sz w:val="32"/>
          <w:szCs w:val="32"/>
        </w:rPr>
        <w:tab/>
        <w:t>2101199-其他行政事业单位医疗支出本年支出数为24.68万元，占全年总支出数0.13%;</w:t>
      </w:r>
    </w:p>
    <w:p>
      <w:pPr>
        <w:pStyle w:val="38"/>
        <w:shd w:val="clear" w:color="auto" w:fill="auto"/>
        <w:spacing w:before="0" w:after="0" w:line="520" w:lineRule="atLeast"/>
        <w:ind w:firstLine="720"/>
      </w:pPr>
      <w:r>
        <w:rPr>
          <w:rFonts w:ascii="仿宋_GB2312" w:eastAsia="仿宋_GB2312" w:cs="仿宋_GB2312"/>
          <w:sz w:val="32"/>
          <w:szCs w:val="32"/>
        </w:rPr>
        <w:tab/>
        <w:t>2110399-其他污染防治支出本年支出数为913.63万元，占全年总支出数4.79%;</w:t>
      </w:r>
    </w:p>
    <w:p>
      <w:pPr>
        <w:pStyle w:val="38"/>
        <w:shd w:val="clear" w:color="auto" w:fill="auto"/>
        <w:spacing w:before="0" w:after="0" w:line="520" w:lineRule="atLeast"/>
        <w:ind w:firstLine="720"/>
      </w:pPr>
      <w:r>
        <w:rPr>
          <w:rFonts w:ascii="仿宋_GB2312" w:eastAsia="仿宋_GB2312" w:cs="仿宋_GB2312"/>
          <w:sz w:val="32"/>
          <w:szCs w:val="32"/>
        </w:rPr>
        <w:tab/>
        <w:t>2119999-其他节能环保支出本年支出数为2,500.00万元，占全年总支出数13.1%;</w:t>
      </w:r>
    </w:p>
    <w:p>
      <w:pPr>
        <w:pStyle w:val="38"/>
        <w:shd w:val="clear" w:color="auto" w:fill="auto"/>
        <w:spacing w:before="0" w:after="0" w:line="520" w:lineRule="atLeast"/>
        <w:ind w:firstLine="720"/>
      </w:pPr>
      <w:r>
        <w:rPr>
          <w:rFonts w:ascii="仿宋_GB2312" w:eastAsia="仿宋_GB2312" w:cs="仿宋_GB2312"/>
          <w:sz w:val="32"/>
          <w:szCs w:val="32"/>
        </w:rPr>
        <w:tab/>
        <w:t>2130101-行政运行本年支出数为460.38万元，占全年总支出数2.41%;</w:t>
      </w:r>
    </w:p>
    <w:p>
      <w:pPr>
        <w:pStyle w:val="38"/>
        <w:shd w:val="clear" w:color="auto" w:fill="auto"/>
        <w:spacing w:before="0" w:after="0" w:line="520" w:lineRule="atLeast"/>
        <w:ind w:firstLine="720"/>
      </w:pPr>
      <w:r>
        <w:rPr>
          <w:rFonts w:ascii="仿宋_GB2312" w:eastAsia="仿宋_GB2312" w:cs="仿宋_GB2312"/>
          <w:sz w:val="32"/>
          <w:szCs w:val="32"/>
        </w:rPr>
        <w:tab/>
        <w:t>2130104-事业运行本年支出数为1,053.37万元，占全年总支出数5.52%;</w:t>
      </w:r>
    </w:p>
    <w:p>
      <w:pPr>
        <w:pStyle w:val="38"/>
        <w:shd w:val="clear" w:color="auto" w:fill="auto"/>
        <w:spacing w:before="0" w:after="0" w:line="520" w:lineRule="atLeast"/>
        <w:ind w:firstLine="720"/>
      </w:pPr>
      <w:r>
        <w:rPr>
          <w:rFonts w:ascii="仿宋_GB2312" w:eastAsia="仿宋_GB2312" w:cs="仿宋_GB2312"/>
          <w:sz w:val="32"/>
          <w:szCs w:val="32"/>
        </w:rPr>
        <w:tab/>
        <w:t>2130109-农产品质量安全本年支出数为11.88万元，占全年总支出数0.06%;</w:t>
      </w:r>
    </w:p>
    <w:p>
      <w:pPr>
        <w:pStyle w:val="38"/>
        <w:shd w:val="clear" w:color="auto" w:fill="auto"/>
        <w:spacing w:before="0" w:after="0" w:line="520" w:lineRule="atLeast"/>
        <w:ind w:firstLine="720"/>
      </w:pPr>
      <w:r>
        <w:rPr>
          <w:rFonts w:ascii="仿宋_GB2312" w:eastAsia="仿宋_GB2312" w:cs="仿宋_GB2312"/>
          <w:sz w:val="32"/>
          <w:szCs w:val="32"/>
        </w:rPr>
        <w:tab/>
        <w:t>2130120-稳定农民收入补贴本年支出数为351.17万元，占全年总支出数1.84%;</w:t>
      </w:r>
    </w:p>
    <w:p>
      <w:pPr>
        <w:pStyle w:val="38"/>
        <w:shd w:val="clear" w:color="auto" w:fill="auto"/>
        <w:spacing w:before="0" w:after="0" w:line="520" w:lineRule="atLeast"/>
        <w:ind w:firstLine="720"/>
      </w:pPr>
      <w:r>
        <w:rPr>
          <w:rFonts w:ascii="仿宋_GB2312" w:eastAsia="仿宋_GB2312" w:cs="仿宋_GB2312"/>
          <w:sz w:val="32"/>
          <w:szCs w:val="32"/>
        </w:rPr>
        <w:tab/>
        <w:t>2130122-农业生产发展本年支出数为7.69万元，占全年总支出数0.04%;</w:t>
      </w:r>
    </w:p>
    <w:p>
      <w:pPr>
        <w:pStyle w:val="38"/>
        <w:shd w:val="clear" w:color="auto" w:fill="auto"/>
        <w:spacing w:before="0" w:after="0" w:line="520" w:lineRule="atLeast"/>
        <w:ind w:firstLine="720"/>
      </w:pPr>
      <w:r>
        <w:rPr>
          <w:rFonts w:ascii="仿宋_GB2312" w:eastAsia="仿宋_GB2312" w:cs="仿宋_GB2312"/>
          <w:sz w:val="32"/>
          <w:szCs w:val="32"/>
        </w:rPr>
        <w:tab/>
        <w:t>2130124-农村合作经济本年支出数为25.00万元，占全年总支出数0.13%;</w:t>
      </w:r>
    </w:p>
    <w:p>
      <w:pPr>
        <w:pStyle w:val="38"/>
        <w:shd w:val="clear" w:color="auto" w:fill="auto"/>
        <w:spacing w:before="0" w:after="0" w:line="520" w:lineRule="atLeast"/>
        <w:ind w:firstLine="720"/>
      </w:pPr>
      <w:r>
        <w:rPr>
          <w:rFonts w:ascii="仿宋_GB2312" w:eastAsia="仿宋_GB2312" w:cs="仿宋_GB2312"/>
          <w:sz w:val="32"/>
          <w:szCs w:val="32"/>
        </w:rPr>
        <w:tab/>
        <w:t>2130153-耕地建设与利用本年支出数为447.93万元，占全年总支出数2.35%;</w:t>
      </w:r>
    </w:p>
    <w:p>
      <w:pPr>
        <w:pStyle w:val="38"/>
        <w:shd w:val="clear" w:color="auto" w:fill="auto"/>
        <w:spacing w:before="0" w:after="0" w:line="520" w:lineRule="atLeast"/>
        <w:ind w:firstLine="720"/>
      </w:pPr>
      <w:r>
        <w:rPr>
          <w:rFonts w:ascii="仿宋_GB2312" w:eastAsia="仿宋_GB2312" w:cs="仿宋_GB2312"/>
          <w:sz w:val="32"/>
          <w:szCs w:val="32"/>
        </w:rPr>
        <w:tab/>
        <w:t>2130199-其他农业农村支出本年支出数为1,379.50万元，占全年总支出数7.23%;</w:t>
      </w:r>
    </w:p>
    <w:p>
      <w:pPr>
        <w:pStyle w:val="38"/>
        <w:shd w:val="clear" w:color="auto" w:fill="auto"/>
        <w:spacing w:before="0" w:after="0" w:line="520" w:lineRule="atLeast"/>
        <w:ind w:firstLine="720"/>
      </w:pPr>
      <w:r>
        <w:rPr>
          <w:rFonts w:ascii="仿宋_GB2312" w:eastAsia="仿宋_GB2312" w:cs="仿宋_GB2312"/>
          <w:sz w:val="32"/>
          <w:szCs w:val="32"/>
        </w:rPr>
        <w:tab/>
        <w:t>2130501-行政运行本年支出数为67.66万元，占全年总支出数0.35%;</w:t>
      </w:r>
    </w:p>
    <w:p>
      <w:pPr>
        <w:pStyle w:val="38"/>
        <w:shd w:val="clear" w:color="auto" w:fill="auto"/>
        <w:spacing w:before="0" w:after="0" w:line="520" w:lineRule="atLeast"/>
        <w:ind w:firstLine="720"/>
      </w:pPr>
      <w:r>
        <w:rPr>
          <w:rFonts w:ascii="仿宋_GB2312" w:eastAsia="仿宋_GB2312" w:cs="仿宋_GB2312"/>
          <w:sz w:val="32"/>
          <w:szCs w:val="32"/>
        </w:rPr>
        <w:tab/>
        <w:t>2130504-农村基础设施建设本年支出数为254.85万元，占全年总支出数1.33%;</w:t>
      </w:r>
    </w:p>
    <w:p>
      <w:pPr>
        <w:pStyle w:val="38"/>
        <w:shd w:val="clear" w:color="auto" w:fill="auto"/>
        <w:spacing w:before="0" w:after="0" w:line="520" w:lineRule="atLeast"/>
        <w:ind w:firstLine="720"/>
      </w:pPr>
      <w:r>
        <w:rPr>
          <w:rFonts w:ascii="仿宋_GB2312" w:eastAsia="仿宋_GB2312" w:cs="仿宋_GB2312"/>
          <w:sz w:val="32"/>
          <w:szCs w:val="32"/>
        </w:rPr>
        <w:tab/>
        <w:t>2130505-生产发展本年支出数为611.26万元，占全年总支出数3.2%;</w:t>
      </w:r>
    </w:p>
    <w:p>
      <w:pPr>
        <w:pStyle w:val="38"/>
        <w:shd w:val="clear" w:color="auto" w:fill="auto"/>
        <w:spacing w:before="0" w:after="0" w:line="520" w:lineRule="atLeast"/>
        <w:ind w:firstLine="720"/>
      </w:pPr>
      <w:r>
        <w:rPr>
          <w:rFonts w:ascii="仿宋_GB2312" w:eastAsia="仿宋_GB2312" w:cs="仿宋_GB2312"/>
          <w:sz w:val="32"/>
          <w:szCs w:val="32"/>
        </w:rPr>
        <w:tab/>
        <w:t>2130550-事业运行本年支出数为66.75万元，占全年总支出数0.35%;</w:t>
      </w:r>
    </w:p>
    <w:p>
      <w:pPr>
        <w:pStyle w:val="38"/>
        <w:shd w:val="clear" w:color="auto" w:fill="auto"/>
        <w:spacing w:before="0" w:after="0" w:line="520" w:lineRule="atLeast"/>
        <w:ind w:firstLine="720"/>
      </w:pPr>
      <w:r>
        <w:rPr>
          <w:rFonts w:ascii="仿宋_GB2312" w:eastAsia="仿宋_GB2312" w:cs="仿宋_GB2312"/>
          <w:sz w:val="32"/>
          <w:szCs w:val="32"/>
        </w:rPr>
        <w:tab/>
        <w:t>2130599-其他巩固脱贫攻坚成果衔接乡村振兴支出本年支出数为7,918.78万元，占全年总支出数41.48%;</w:t>
      </w:r>
    </w:p>
    <w:p>
      <w:pPr>
        <w:pStyle w:val="38"/>
        <w:shd w:val="clear" w:color="auto" w:fill="auto"/>
        <w:spacing w:before="0" w:after="0" w:line="520" w:lineRule="atLeast"/>
        <w:ind w:firstLine="720"/>
      </w:pPr>
      <w:r>
        <w:rPr>
          <w:rFonts w:ascii="仿宋_GB2312" w:eastAsia="仿宋_GB2312" w:cs="仿宋_GB2312"/>
          <w:sz w:val="32"/>
          <w:szCs w:val="32"/>
        </w:rPr>
        <w:tab/>
        <w:t>2130799-其他农村综合改革支出本年支出数为56.59万元，占全年总支出数0.3%;</w:t>
      </w:r>
    </w:p>
    <w:p>
      <w:pPr>
        <w:pStyle w:val="38"/>
        <w:shd w:val="clear" w:color="auto" w:fill="auto"/>
        <w:spacing w:before="0" w:after="0" w:line="520" w:lineRule="atLeast"/>
        <w:ind w:firstLine="720"/>
      </w:pPr>
      <w:r>
        <w:rPr>
          <w:rFonts w:ascii="仿宋_GB2312" w:eastAsia="仿宋_GB2312" w:cs="仿宋_GB2312"/>
          <w:sz w:val="32"/>
          <w:szCs w:val="32"/>
        </w:rPr>
        <w:tab/>
        <w:t>2139999-其他农林水支出本年支出数为155.25万元，占全年总支出数0.81%;</w:t>
      </w:r>
    </w:p>
    <w:p>
      <w:pPr>
        <w:pStyle w:val="38"/>
        <w:shd w:val="clear" w:color="auto" w:fill="auto"/>
        <w:spacing w:before="0" w:after="0" w:line="520" w:lineRule="atLeast"/>
        <w:ind w:firstLine="720"/>
      </w:pPr>
      <w:r>
        <w:rPr>
          <w:rFonts w:ascii="仿宋_GB2312" w:eastAsia="仿宋_GB2312" w:cs="仿宋_GB2312"/>
          <w:sz w:val="32"/>
          <w:szCs w:val="32"/>
        </w:rPr>
        <w:tab/>
        <w:t>2210201-住房公积金本年支出数为157.48万元，占全年总支出数0.82%;</w:t>
      </w:r>
    </w:p>
    <w:p>
      <w:pPr>
        <w:pStyle w:val="38"/>
        <w:shd w:val="clear" w:color="auto" w:fill="auto"/>
        <w:spacing w:before="0" w:after="0" w:line="520" w:lineRule="atLeast"/>
        <w:ind w:firstLine="720"/>
      </w:pPr>
      <w:r>
        <w:rPr>
          <w:rFonts w:ascii="仿宋_GB2312" w:eastAsia="仿宋_GB2312" w:cs="仿宋_GB2312"/>
          <w:sz w:val="32"/>
          <w:szCs w:val="32"/>
        </w:rPr>
        <w:tab/>
        <w:t>2210203-购房补贴本年支出数为6.09万元，占全年总支出数0.03%</w:t>
      </w:r>
    </w:p>
    <w:p>
      <w:pPr>
        <w:spacing w:line="600" w:lineRule="exact"/>
        <w:ind w:firstLine="640"/>
        <w:rPr>
          <w:rFonts w:ascii="Times New Roman" w:eastAsia="仿宋_GB2312" w:cs="仿宋_GB2312" w:hAnsi="Times New Roman" w:hint="eastAsia"/>
          <w:b/>
          <w:bCs/>
          <w:color w:val="FF0000"/>
          <w:kern w:val="2"/>
          <w:sz w:val="32"/>
          <w:szCs w:val="32"/>
          <w:lang w:val="en-US" w:eastAsia="zh-CN" w:bidi="ar-SA"/>
          <w:highlight w:val="auto"/>
        </w:rPr>
      </w:pPr>
    </w:p>
    <w:tbl>
      <w:tblPr>
        <w:jc w:val="left"/>
        <w:tblInd w:w="0" w:type="dxa"/>
        <w:tblBorders>
          <w:top w:val="single" w:sz="4" w:space="0" w:color="auto"/>
          <w:left w:val="single" w:sz="4" w:space="0" w:color="auto"/>
          <w:bottom w:val="single" w:sz="4" w:space="0" w:color="auto"/>
          <w:right w:val="single" w:sz="4" w:space="0" w:color="auto"/>
          <w:insideH w:val="single" w:sz="12" w:space="0" w:color="999999"/>
          <w:insideV w:val="single" w:sz="4" w:space="0" w:color="999999"/>
        </w:tblBorders>
        <w:tblCellMar>
          <w:top w:w="0" w:type="dxa"/>
          <w:left w:w="108" w:type="dxa"/>
          <w:bottom w:w="0" w:type="dxa"/>
          <w:right w:w="108" w:type="dxa"/>
        </w:tblCellMar>
      </w:tblPr>
      <w:tblGrid>
        <w:gridCol w:w="2158"/>
        <w:gridCol w:w="2158"/>
        <w:gridCol w:w="2158"/>
        <w:gridCol w:w="2158"/>
      </w:tblGrid>
      <w:tr>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项目</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年初预算支出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全年预算支出</w:t>
            </w:r>
          </w:p>
        </w:tc>
        <w:tc>
          <w:tcPr>
            <w:tcW w:w="2158" w:type="dxa"/>
            <w:tcBorders>
              <w:top w:val="single" w:sz="4" w:space="0" w:color="auto"/>
              <w:left w:val="single" w:sz="4" w:space="0" w:color="auto"/>
              <w:bottom w:val="single" w:sz="12" w:space="0" w:color="666666"/>
              <w:right w:val="single" w:sz="4" w:space="0" w:color="auto"/>
            </w:tcBorders>
            <w:noWrap/>
            <w:vAlign w:val="center"/>
          </w:tcPr>
          <w:p>
            <w:pPr>
              <w:spacing w:after="0" w:line="240" w:lineRule="auto"/>
              <w:jc w:val="center"/>
              <w:rPr>
                <w:b/>
                <w:bCs/>
              </w:rPr>
            </w:pPr>
            <w:r>
              <w:rPr>
                <w:b/>
                <w:bCs/>
              </w:rPr>
              <w:t>全年决算支出</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一般公共服务支出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1,918.73</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1,918.73</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外交支出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国防支出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公共安全支出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教育支出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0.70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0.70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0.70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科学技术支出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277.68</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277.68</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文化旅游体育与传媒支出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社会保障和就业支出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253.57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317.56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317.56</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卫生健康支出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112.47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130.48</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130.48</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节能环保支出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3,413.63</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3,413.63</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城乡社区支出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农林水支出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1,398.03</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12,868.06</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12,868.06</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交通运输支出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资源勘探工业信息等支出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商业服务业等支出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金融支出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援助其他地区支出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自然资源海洋气象等支出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住房保障支出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140.88</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163.57</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163.57</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粮油物资储备支出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国有资本经营预算支出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灾害防治及应急管理支出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其他支出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债务还本支出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债务付息支出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r>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center"/>
              <w:rPr>
                <w:b/>
                <w:bCs/>
              </w:rPr>
            </w:pPr>
            <w:r>
              <w:rPr>
                <w:b/>
                <w:bCs/>
              </w:rPr>
              <w:t>抗疫特别国债安排的支出</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c>
          <w:tcPr>
            <w:tcW w:w="2158" w:type="dxa"/>
            <w:tcBorders>
              <w:top w:val="single" w:sz="4" w:space="0" w:color="auto"/>
              <w:left w:val="single" w:sz="4" w:space="0" w:color="auto"/>
              <w:bottom w:val="single" w:sz="4" w:space="0" w:color="auto"/>
              <w:right w:val="single" w:sz="4" w:space="0" w:color="auto"/>
            </w:tcBorders>
            <w:noWrap/>
            <w:vAlign w:val="center"/>
          </w:tcPr>
          <w:p>
            <w:pPr>
              <w:spacing w:after="0" w:line="240" w:lineRule="auto"/>
              <w:jc w:val="right"/>
            </w:pPr>
            <w:r>
              <w:t>0.00</w:t>
            </w:r>
          </w:p>
        </w:tc>
      </w:tr>
    </w:tbl>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2" w:name="_Toc15377212"/>
      <w:r>
        <w:rPr>
          <w:rFonts w:ascii="Times New Roman" w:eastAsia="楷体_GB2312" w:cs="楷体_GB2312" w:hAnsi="Times New Roman" w:hint="eastAsia"/>
          <w:b/>
          <w:color w:val="auto"/>
          <w:sz w:val="32"/>
          <w:szCs w:val="32"/>
          <w:highlight w:val="auto"/>
        </w:rPr>
        <w:t>（三）一般公共预算财政拨款支出决算具体情况</w:t>
      </w:r>
      <w:bookmarkEnd w:id="4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43" w:name="_Toc15378460"/>
      <w:bookmarkStart w:id="44" w:name="_Toc15377444"/>
      <w:bookmarkStart w:id="45" w:name="_Toc15377213"/>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19090.42</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eastAsia="仿宋_GB2312" w:cs="仿宋_GB2312" w:hint="eastAsia"/>
          <w:color w:val="auto"/>
          <w:kern w:val="2"/>
          <w:sz w:val="32"/>
          <w:szCs w:val="32"/>
          <w:lang w:val="en-US" w:eastAsia="zh-CN" w:bidi="ar-SA"/>
          <w:highlight w:val="auto"/>
        </w:rPr>
        <w:t>996</w:t>
      </w:r>
      <w:r>
        <w:rPr>
          <w:rFonts w:ascii="Times New Roman" w:eastAsia="仿宋_GB2312" w:cs="仿宋_GB2312" w:hAnsi="Times New Roman" w:hint="eastAsia"/>
          <w:color w:val="auto"/>
          <w:kern w:val="2"/>
          <w:sz w:val="32"/>
          <w:szCs w:val="32"/>
          <w:lang w:val="en-US" w:eastAsia="zh-CN" w:bidi="ar-SA"/>
          <w:highlight w:val="auto"/>
        </w:rPr>
        <w:t>%。其中：</w:t>
      </w:r>
      <w:bookmarkEnd w:id="43"/>
      <w:bookmarkEnd w:id="44"/>
      <w:bookmarkEnd w:id="45"/>
    </w:p>
    <w:p>
      <w:pPr>
        <w:pStyle w:val="38"/>
        <w:spacing w:before="0" w:after="0" w:line="520" w:lineRule="atLeast"/>
      </w:pPr>
      <w:r>
        <w:rPr>
          <w:rFonts w:ascii="仿宋_GB2312" w:eastAsia="仿宋_GB2312" w:cs="仿宋_GB2312"/>
          <w:sz w:val="32"/>
          <w:szCs w:val="32"/>
        </w:rPr>
        <w:t>201-一般公共服务支出，本年收入1,918.73万元，其中基本支出0.00万元，项目支出1,918.73万元;</w:t>
      </w:r>
    </w:p>
    <w:p>
      <w:pPr>
        <w:pStyle w:val="38"/>
        <w:shd w:val="clear" w:color="auto" w:fill="auto"/>
        <w:spacing w:before="0" w:after="0" w:line="520" w:lineRule="atLeast"/>
      </w:pPr>
      <w:r>
        <w:rPr>
          <w:rFonts w:ascii="仿宋_GB2312" w:eastAsia="仿宋_GB2312" w:cs="仿宋_GB2312"/>
          <w:sz w:val="32"/>
          <w:szCs w:val="32"/>
        </w:rPr>
        <w:tab/>
        <w:t>20199-其他一般公共服务支出，本年收入1,918.73万元，其中基本支出0.00万元，项目支出1,918.73万元;</w:t>
      </w:r>
    </w:p>
    <w:p>
      <w:pPr>
        <w:pStyle w:val="38"/>
        <w:shd w:val="clear" w:color="auto" w:fill="auto"/>
        <w:spacing w:before="0" w:after="0" w:line="520" w:lineRule="atLeast"/>
      </w:pPr>
      <w:r>
        <w:rPr>
          <w:rFonts w:ascii="仿宋_GB2312" w:eastAsia="仿宋_GB2312" w:cs="仿宋_GB2312"/>
          <w:sz w:val="32"/>
          <w:szCs w:val="32"/>
        </w:rPr>
        <w:tab/>
        <w:t>2019999-其他一般公共服务支出，本年收入1,918.73万元，其中基本支出0.00万元，项目支出1,918.73万元;</w:t>
      </w:r>
    </w:p>
    <w:p>
      <w:pPr>
        <w:pStyle w:val="38"/>
        <w:shd w:val="clear" w:color="auto" w:fill="auto"/>
        <w:spacing w:before="0" w:after="0" w:line="520" w:lineRule="atLeast"/>
      </w:pPr>
      <w:r>
        <w:rPr>
          <w:rFonts w:ascii="仿宋_GB2312" w:eastAsia="仿宋_GB2312" w:cs="仿宋_GB2312"/>
          <w:sz w:val="32"/>
          <w:szCs w:val="32"/>
        </w:rPr>
        <w:tab/>
        <w:t>205-教育支出，本年收入0.70万元，其中基本支出0.70万元，项目支出0.00万元;</w:t>
      </w:r>
    </w:p>
    <w:p>
      <w:pPr>
        <w:pStyle w:val="38"/>
        <w:shd w:val="clear" w:color="auto" w:fill="auto"/>
        <w:spacing w:before="0" w:after="0" w:line="520" w:lineRule="atLeast"/>
      </w:pPr>
      <w:r>
        <w:rPr>
          <w:rFonts w:ascii="仿宋_GB2312" w:eastAsia="仿宋_GB2312" w:cs="仿宋_GB2312"/>
          <w:sz w:val="32"/>
          <w:szCs w:val="32"/>
        </w:rPr>
        <w:tab/>
        <w:t>20508-进修及培训，本年收入0.70万元，其中基本支出0.70万元，项目支出0.00万元;</w:t>
      </w:r>
    </w:p>
    <w:p>
      <w:pPr>
        <w:pStyle w:val="38"/>
        <w:shd w:val="clear" w:color="auto" w:fill="auto"/>
        <w:spacing w:before="0" w:after="0" w:line="520" w:lineRule="atLeast"/>
      </w:pPr>
      <w:r>
        <w:rPr>
          <w:rFonts w:ascii="仿宋_GB2312" w:eastAsia="仿宋_GB2312" w:cs="仿宋_GB2312"/>
          <w:sz w:val="32"/>
          <w:szCs w:val="32"/>
        </w:rPr>
        <w:tab/>
        <w:t>2050803-培训支出，本年收入0.70万元，其中基本支出0.70万元，项目支出0.00万元;</w:t>
      </w:r>
    </w:p>
    <w:p>
      <w:pPr>
        <w:pStyle w:val="38"/>
        <w:shd w:val="clear" w:color="auto" w:fill="auto"/>
        <w:spacing w:before="0" w:after="0" w:line="520" w:lineRule="atLeast"/>
      </w:pPr>
      <w:r>
        <w:rPr>
          <w:rFonts w:ascii="仿宋_GB2312" w:eastAsia="仿宋_GB2312" w:cs="仿宋_GB2312"/>
          <w:sz w:val="32"/>
          <w:szCs w:val="32"/>
        </w:rPr>
        <w:tab/>
        <w:t>206-科学技术支出，本年收入277.68万元，其中基本支出0.00万元，项目支出277.68万元;</w:t>
      </w:r>
    </w:p>
    <w:p>
      <w:pPr>
        <w:pStyle w:val="38"/>
        <w:shd w:val="clear" w:color="auto" w:fill="auto"/>
        <w:spacing w:before="0" w:after="0" w:line="520" w:lineRule="atLeast"/>
      </w:pPr>
      <w:r>
        <w:rPr>
          <w:rFonts w:ascii="仿宋_GB2312" w:eastAsia="仿宋_GB2312" w:cs="仿宋_GB2312"/>
          <w:sz w:val="32"/>
          <w:szCs w:val="32"/>
        </w:rPr>
        <w:tab/>
        <w:t>20604-技术研究与开发，本年收入73.65万元，其中基本支出0.00万元，项目支出73.65万元;</w:t>
      </w:r>
    </w:p>
    <w:p>
      <w:pPr>
        <w:pStyle w:val="38"/>
        <w:shd w:val="clear" w:color="auto" w:fill="auto"/>
        <w:spacing w:before="0" w:after="0" w:line="520" w:lineRule="atLeast"/>
      </w:pPr>
      <w:r>
        <w:rPr>
          <w:rFonts w:ascii="仿宋_GB2312" w:eastAsia="仿宋_GB2312" w:cs="仿宋_GB2312"/>
          <w:sz w:val="32"/>
          <w:szCs w:val="32"/>
        </w:rPr>
        <w:tab/>
        <w:t>2060404-科技成果转化与扩散，本年收入50.27万元，其中基本支出0.00万元，项目支出50.27万元;</w:t>
      </w:r>
    </w:p>
    <w:p>
      <w:pPr>
        <w:pStyle w:val="38"/>
        <w:shd w:val="clear" w:color="auto" w:fill="auto"/>
        <w:spacing w:before="0" w:after="0" w:line="520" w:lineRule="atLeast"/>
      </w:pPr>
      <w:r>
        <w:rPr>
          <w:rFonts w:ascii="仿宋_GB2312" w:eastAsia="仿宋_GB2312" w:cs="仿宋_GB2312"/>
          <w:sz w:val="32"/>
          <w:szCs w:val="32"/>
        </w:rPr>
        <w:tab/>
        <w:t>2060499-其他技术研究与开发支出，本年收入23.38万元，其中基本支出0.00万元，项目支出23.38万元;</w:t>
      </w:r>
    </w:p>
    <w:p>
      <w:pPr>
        <w:pStyle w:val="38"/>
        <w:shd w:val="clear" w:color="auto" w:fill="auto"/>
        <w:spacing w:before="0" w:after="0" w:line="520" w:lineRule="atLeast"/>
      </w:pPr>
      <w:r>
        <w:rPr>
          <w:rFonts w:ascii="仿宋_GB2312" w:eastAsia="仿宋_GB2312" w:cs="仿宋_GB2312"/>
          <w:sz w:val="32"/>
          <w:szCs w:val="32"/>
        </w:rPr>
        <w:tab/>
        <w:t>20606-社会科学，本年收入50.00万元，其中基本支出0.00万元，项目支出50.00万元;</w:t>
      </w:r>
    </w:p>
    <w:p>
      <w:pPr>
        <w:pStyle w:val="38"/>
        <w:shd w:val="clear" w:color="auto" w:fill="auto"/>
        <w:spacing w:before="0" w:after="0" w:line="520" w:lineRule="atLeast"/>
      </w:pPr>
      <w:r>
        <w:rPr>
          <w:rFonts w:ascii="仿宋_GB2312" w:eastAsia="仿宋_GB2312" w:cs="仿宋_GB2312"/>
          <w:sz w:val="32"/>
          <w:szCs w:val="32"/>
        </w:rPr>
        <w:tab/>
        <w:t>2060699-其他社会科学支出，本年收入50.00万元，其中基本支出0.00万元，项目支出50.00万元;</w:t>
      </w:r>
    </w:p>
    <w:p>
      <w:pPr>
        <w:pStyle w:val="38"/>
        <w:shd w:val="clear" w:color="auto" w:fill="auto"/>
        <w:spacing w:before="0" w:after="0" w:line="520" w:lineRule="atLeast"/>
      </w:pPr>
      <w:r>
        <w:rPr>
          <w:rFonts w:ascii="仿宋_GB2312" w:eastAsia="仿宋_GB2312" w:cs="仿宋_GB2312"/>
          <w:sz w:val="32"/>
          <w:szCs w:val="32"/>
        </w:rPr>
        <w:tab/>
        <w:t>20699-其他科学技术支出，本年收入154.03万元，其中基本支出0.00万元，项目支出154.03万元;</w:t>
      </w:r>
    </w:p>
    <w:p>
      <w:pPr>
        <w:pStyle w:val="38"/>
        <w:shd w:val="clear" w:color="auto" w:fill="auto"/>
        <w:spacing w:before="0" w:after="0" w:line="520" w:lineRule="atLeast"/>
      </w:pPr>
      <w:r>
        <w:rPr>
          <w:rFonts w:ascii="仿宋_GB2312" w:eastAsia="仿宋_GB2312" w:cs="仿宋_GB2312"/>
          <w:sz w:val="32"/>
          <w:szCs w:val="32"/>
        </w:rPr>
        <w:tab/>
        <w:t>2069999-其他科学技术支出，本年收入154.03万元，其中基本支出0.00万元，项目支出154.03万元;</w:t>
      </w:r>
    </w:p>
    <w:p>
      <w:pPr>
        <w:pStyle w:val="38"/>
        <w:shd w:val="clear" w:color="auto" w:fill="auto"/>
        <w:spacing w:before="0" w:after="0" w:line="520" w:lineRule="atLeast"/>
      </w:pPr>
      <w:r>
        <w:rPr>
          <w:rFonts w:ascii="仿宋_GB2312" w:eastAsia="仿宋_GB2312" w:cs="仿宋_GB2312"/>
          <w:sz w:val="32"/>
          <w:szCs w:val="32"/>
        </w:rPr>
        <w:tab/>
        <w:t>208-社会保障和就业支出，本年收入317.56万元，其中基本支出317.56万元，项目支出0.00万元;</w:t>
      </w:r>
    </w:p>
    <w:p>
      <w:pPr>
        <w:pStyle w:val="38"/>
        <w:shd w:val="clear" w:color="auto" w:fill="auto"/>
        <w:spacing w:before="0" w:after="0" w:line="520" w:lineRule="atLeast"/>
      </w:pPr>
      <w:r>
        <w:rPr>
          <w:rFonts w:ascii="仿宋_GB2312" w:eastAsia="仿宋_GB2312" w:cs="仿宋_GB2312"/>
          <w:sz w:val="32"/>
          <w:szCs w:val="32"/>
        </w:rPr>
        <w:tab/>
        <w:t>20805-行政事业单位养老支出，本年收入295.81万元，其中基本支出295.81万元，项目支出0.00万元;</w:t>
      </w:r>
    </w:p>
    <w:p>
      <w:pPr>
        <w:pStyle w:val="38"/>
        <w:shd w:val="clear" w:color="auto" w:fill="auto"/>
        <w:spacing w:before="0" w:after="0" w:line="520" w:lineRule="atLeast"/>
      </w:pPr>
      <w:r>
        <w:rPr>
          <w:rFonts w:ascii="仿宋_GB2312" w:eastAsia="仿宋_GB2312" w:cs="仿宋_GB2312"/>
          <w:sz w:val="32"/>
          <w:szCs w:val="32"/>
        </w:rPr>
        <w:tab/>
        <w:t>2080505-机关事业单位基本养老保险缴费支出，本年收入196.91万元，其中基本支出196.91万元，项目支出0.00万元;</w:t>
      </w:r>
    </w:p>
    <w:p>
      <w:pPr>
        <w:pStyle w:val="38"/>
        <w:shd w:val="clear" w:color="auto" w:fill="auto"/>
        <w:spacing w:before="0" w:after="0" w:line="520" w:lineRule="atLeast"/>
      </w:pPr>
      <w:r>
        <w:rPr>
          <w:rFonts w:ascii="仿宋_GB2312" w:eastAsia="仿宋_GB2312" w:cs="仿宋_GB2312"/>
          <w:sz w:val="32"/>
          <w:szCs w:val="32"/>
        </w:rPr>
        <w:tab/>
        <w:t>2080506-机关事业单位职业年金缴费支出，本年收入98.90万元，其中基本支出98.90万元，项目支出0.00万元;</w:t>
      </w:r>
    </w:p>
    <w:p>
      <w:pPr>
        <w:pStyle w:val="38"/>
        <w:shd w:val="clear" w:color="auto" w:fill="auto"/>
        <w:spacing w:before="0" w:after="0" w:line="520" w:lineRule="atLeast"/>
      </w:pPr>
      <w:r>
        <w:rPr>
          <w:rFonts w:ascii="仿宋_GB2312" w:eastAsia="仿宋_GB2312" w:cs="仿宋_GB2312"/>
          <w:sz w:val="32"/>
          <w:szCs w:val="32"/>
        </w:rPr>
        <w:tab/>
        <w:t>20808-抚恤，本年收入21.75万元，其中基本支出21.75万元，项目支出0.00万元;</w:t>
      </w:r>
    </w:p>
    <w:p>
      <w:pPr>
        <w:pStyle w:val="38"/>
        <w:shd w:val="clear" w:color="auto" w:fill="auto"/>
        <w:spacing w:before="0" w:after="0" w:line="520" w:lineRule="atLeast"/>
      </w:pPr>
      <w:r>
        <w:rPr>
          <w:rFonts w:ascii="仿宋_GB2312" w:eastAsia="仿宋_GB2312" w:cs="仿宋_GB2312"/>
          <w:sz w:val="32"/>
          <w:szCs w:val="32"/>
        </w:rPr>
        <w:tab/>
        <w:t>2080801-死亡抚恤，本年收入21.75万元，其中基本支出21.75万元，项目支出0.00万元;</w:t>
      </w:r>
    </w:p>
    <w:p>
      <w:pPr>
        <w:pStyle w:val="38"/>
        <w:shd w:val="clear" w:color="auto" w:fill="auto"/>
        <w:spacing w:before="0" w:after="0" w:line="520" w:lineRule="atLeast"/>
      </w:pPr>
      <w:r>
        <w:rPr>
          <w:rFonts w:ascii="仿宋_GB2312" w:eastAsia="仿宋_GB2312" w:cs="仿宋_GB2312"/>
          <w:sz w:val="32"/>
          <w:szCs w:val="32"/>
        </w:rPr>
        <w:tab/>
        <w:t>210-卫生健康支出，本年收入130.48万元，其中基本支出130.48万元，项目支出0.00万元;</w:t>
      </w:r>
    </w:p>
    <w:p>
      <w:pPr>
        <w:pStyle w:val="38"/>
        <w:shd w:val="clear" w:color="auto" w:fill="auto"/>
        <w:spacing w:before="0" w:after="0" w:line="520" w:lineRule="atLeast"/>
      </w:pPr>
      <w:r>
        <w:rPr>
          <w:rFonts w:ascii="仿宋_GB2312" w:eastAsia="仿宋_GB2312" w:cs="仿宋_GB2312"/>
          <w:sz w:val="32"/>
          <w:szCs w:val="32"/>
        </w:rPr>
        <w:tab/>
        <w:t>21011-行政事业单位医疗，本年收入130.48万元，其中基本支出130.48万元，项目支出0.00万元;</w:t>
      </w:r>
    </w:p>
    <w:p>
      <w:pPr>
        <w:pStyle w:val="38"/>
        <w:shd w:val="clear" w:color="auto" w:fill="auto"/>
        <w:spacing w:before="0" w:after="0" w:line="520" w:lineRule="atLeast"/>
      </w:pPr>
      <w:r>
        <w:rPr>
          <w:rFonts w:ascii="仿宋_GB2312" w:eastAsia="仿宋_GB2312" w:cs="仿宋_GB2312"/>
          <w:sz w:val="32"/>
          <w:szCs w:val="32"/>
        </w:rPr>
        <w:tab/>
        <w:t>2101101-行政单位医疗，本年收入21.91万元，其中基本支出21.91万元，项目支出0.00万元;</w:t>
      </w:r>
    </w:p>
    <w:p>
      <w:pPr>
        <w:pStyle w:val="38"/>
        <w:shd w:val="clear" w:color="auto" w:fill="auto"/>
        <w:spacing w:before="0" w:after="0" w:line="520" w:lineRule="atLeast"/>
      </w:pPr>
      <w:r>
        <w:rPr>
          <w:rFonts w:ascii="仿宋_GB2312" w:eastAsia="仿宋_GB2312" w:cs="仿宋_GB2312"/>
          <w:sz w:val="32"/>
          <w:szCs w:val="32"/>
        </w:rPr>
        <w:tab/>
        <w:t>2101102-事业单位医疗，本年收入73.39万元，其中基本支出73.39万元，项目支出0.00万元;</w:t>
      </w:r>
    </w:p>
    <w:p>
      <w:pPr>
        <w:pStyle w:val="38"/>
        <w:shd w:val="clear" w:color="auto" w:fill="auto"/>
        <w:spacing w:before="0" w:after="0" w:line="520" w:lineRule="atLeast"/>
      </w:pPr>
      <w:r>
        <w:rPr>
          <w:rFonts w:ascii="仿宋_GB2312" w:eastAsia="仿宋_GB2312" w:cs="仿宋_GB2312"/>
          <w:sz w:val="32"/>
          <w:szCs w:val="32"/>
        </w:rPr>
        <w:tab/>
        <w:t>2101103-公务员医疗补助，本年收入10.50万元，其中基本支出10.50万元，项目支出0.00万元;</w:t>
      </w:r>
    </w:p>
    <w:p>
      <w:pPr>
        <w:pStyle w:val="38"/>
        <w:shd w:val="clear" w:color="auto" w:fill="auto"/>
        <w:spacing w:before="0" w:after="0" w:line="520" w:lineRule="atLeast"/>
      </w:pPr>
      <w:r>
        <w:rPr>
          <w:rFonts w:ascii="仿宋_GB2312" w:eastAsia="仿宋_GB2312" w:cs="仿宋_GB2312"/>
          <w:sz w:val="32"/>
          <w:szCs w:val="32"/>
        </w:rPr>
        <w:tab/>
        <w:t>2101199-其他行政事业单位医疗支出，本年收入24.68万元，其中基本支出24.68万元，项目支出0.00万元;</w:t>
      </w:r>
    </w:p>
    <w:p>
      <w:pPr>
        <w:pStyle w:val="38"/>
        <w:shd w:val="clear" w:color="auto" w:fill="auto"/>
        <w:spacing w:before="0" w:after="0" w:line="520" w:lineRule="atLeast"/>
      </w:pPr>
      <w:r>
        <w:rPr>
          <w:rFonts w:ascii="仿宋_GB2312" w:eastAsia="仿宋_GB2312" w:cs="仿宋_GB2312"/>
          <w:sz w:val="32"/>
          <w:szCs w:val="32"/>
        </w:rPr>
        <w:tab/>
        <w:t>211-节能环保支出，本年收入3,413.63万元，其中基本支出0.00万元，项目支出3,413.63万元;</w:t>
      </w:r>
    </w:p>
    <w:p>
      <w:pPr>
        <w:pStyle w:val="38"/>
        <w:shd w:val="clear" w:color="auto" w:fill="auto"/>
        <w:spacing w:before="0" w:after="0" w:line="520" w:lineRule="atLeast"/>
      </w:pPr>
      <w:r>
        <w:rPr>
          <w:rFonts w:ascii="仿宋_GB2312" w:eastAsia="仿宋_GB2312" w:cs="仿宋_GB2312"/>
          <w:sz w:val="32"/>
          <w:szCs w:val="32"/>
        </w:rPr>
        <w:tab/>
        <w:t>21103-污染防治，本年收入913.63万元，其中基本支出0.00万元，项目支出913.63万元;</w:t>
      </w:r>
    </w:p>
    <w:p>
      <w:pPr>
        <w:pStyle w:val="38"/>
        <w:shd w:val="clear" w:color="auto" w:fill="auto"/>
        <w:spacing w:before="0" w:after="0" w:line="520" w:lineRule="atLeast"/>
      </w:pPr>
      <w:r>
        <w:rPr>
          <w:rFonts w:ascii="仿宋_GB2312" w:eastAsia="仿宋_GB2312" w:cs="仿宋_GB2312"/>
          <w:sz w:val="32"/>
          <w:szCs w:val="32"/>
        </w:rPr>
        <w:tab/>
        <w:t>2110399-其他污染防治支出，本年收入913.63万元，其中基本支出0.00万元，项目支出913.63万元;</w:t>
      </w:r>
    </w:p>
    <w:p>
      <w:pPr>
        <w:pStyle w:val="38"/>
        <w:shd w:val="clear" w:color="auto" w:fill="auto"/>
        <w:spacing w:before="0" w:after="0" w:line="520" w:lineRule="atLeast"/>
      </w:pPr>
      <w:r>
        <w:rPr>
          <w:rFonts w:ascii="仿宋_GB2312" w:eastAsia="仿宋_GB2312" w:cs="仿宋_GB2312"/>
          <w:sz w:val="32"/>
          <w:szCs w:val="32"/>
        </w:rPr>
        <w:tab/>
        <w:t>21199-其他节能环保支出，本年收入2,500.00万元，其中基本支出0.00万元，项目支出2,500.00万元;</w:t>
      </w:r>
    </w:p>
    <w:p>
      <w:pPr>
        <w:pStyle w:val="38"/>
        <w:shd w:val="clear" w:color="auto" w:fill="auto"/>
        <w:spacing w:before="0" w:after="0" w:line="520" w:lineRule="atLeast"/>
      </w:pPr>
      <w:r>
        <w:rPr>
          <w:rFonts w:ascii="仿宋_GB2312" w:eastAsia="仿宋_GB2312" w:cs="仿宋_GB2312"/>
          <w:sz w:val="32"/>
          <w:szCs w:val="32"/>
        </w:rPr>
        <w:tab/>
        <w:t>2119999-其他节能环保支出，本年收入2,500.00万元，其中基本支出0.00万元，项目支出2,500.00万元;</w:t>
      </w:r>
    </w:p>
    <w:p>
      <w:pPr>
        <w:pStyle w:val="38"/>
        <w:shd w:val="clear" w:color="auto" w:fill="auto"/>
        <w:spacing w:before="0" w:after="0" w:line="520" w:lineRule="atLeast"/>
      </w:pPr>
      <w:r>
        <w:rPr>
          <w:rFonts w:ascii="仿宋_GB2312" w:eastAsia="仿宋_GB2312" w:cs="仿宋_GB2312"/>
          <w:sz w:val="32"/>
          <w:szCs w:val="32"/>
        </w:rPr>
        <w:tab/>
        <w:t>213-农林水支出，本年收入12,868.06万元，其中基本支出1,648.16万元，项目支出11,219.90万元;</w:t>
      </w:r>
    </w:p>
    <w:p>
      <w:pPr>
        <w:pStyle w:val="38"/>
        <w:shd w:val="clear" w:color="auto" w:fill="auto"/>
        <w:spacing w:before="0" w:after="0" w:line="520" w:lineRule="atLeast"/>
      </w:pPr>
      <w:r>
        <w:rPr>
          <w:rFonts w:ascii="仿宋_GB2312" w:eastAsia="仿宋_GB2312" w:cs="仿宋_GB2312"/>
          <w:sz w:val="32"/>
          <w:szCs w:val="32"/>
        </w:rPr>
        <w:tab/>
        <w:t>21301-农业农村，本年收入3,736.92万元，其中基本支出1,513.75万元，项目支出2,223.18万元;</w:t>
      </w:r>
    </w:p>
    <w:p>
      <w:pPr>
        <w:pStyle w:val="38"/>
        <w:shd w:val="clear" w:color="auto" w:fill="auto"/>
        <w:spacing w:before="0" w:after="0" w:line="520" w:lineRule="atLeast"/>
      </w:pPr>
      <w:r>
        <w:rPr>
          <w:rFonts w:ascii="仿宋_GB2312" w:eastAsia="仿宋_GB2312" w:cs="仿宋_GB2312"/>
          <w:sz w:val="32"/>
          <w:szCs w:val="32"/>
        </w:rPr>
        <w:tab/>
        <w:t>2130101-行政运行，本年收入460.38万元，其中基本支出460.38万元，项目支出0.00万元;</w:t>
      </w:r>
    </w:p>
    <w:p>
      <w:pPr>
        <w:pStyle w:val="38"/>
        <w:shd w:val="clear" w:color="auto" w:fill="auto"/>
        <w:spacing w:before="0" w:after="0" w:line="520" w:lineRule="atLeast"/>
      </w:pPr>
      <w:r>
        <w:rPr>
          <w:rFonts w:ascii="仿宋_GB2312" w:eastAsia="仿宋_GB2312" w:cs="仿宋_GB2312"/>
          <w:sz w:val="32"/>
          <w:szCs w:val="32"/>
        </w:rPr>
        <w:tab/>
        <w:t>2130104-事业运行，本年收入1,053.37万元，其中基本支出1,053.37万元，项目支出0.00万元;</w:t>
      </w:r>
    </w:p>
    <w:p>
      <w:pPr>
        <w:pStyle w:val="38"/>
        <w:shd w:val="clear" w:color="auto" w:fill="auto"/>
        <w:spacing w:before="0" w:after="0" w:line="520" w:lineRule="atLeast"/>
      </w:pPr>
      <w:r>
        <w:rPr>
          <w:rFonts w:ascii="仿宋_GB2312" w:eastAsia="仿宋_GB2312" w:cs="仿宋_GB2312"/>
          <w:sz w:val="32"/>
          <w:szCs w:val="32"/>
        </w:rPr>
        <w:tab/>
        <w:t>2130109-农产品质量安全，本年收入11.88万元，其中基本支出0.00万元，项目支出11.88万元;</w:t>
      </w:r>
    </w:p>
    <w:p>
      <w:pPr>
        <w:pStyle w:val="38"/>
        <w:shd w:val="clear" w:color="auto" w:fill="auto"/>
        <w:spacing w:before="0" w:after="0" w:line="520" w:lineRule="atLeast"/>
      </w:pPr>
      <w:r>
        <w:rPr>
          <w:rFonts w:ascii="仿宋_GB2312" w:eastAsia="仿宋_GB2312" w:cs="仿宋_GB2312"/>
          <w:sz w:val="32"/>
          <w:szCs w:val="32"/>
        </w:rPr>
        <w:tab/>
        <w:t>2130120-稳定农民收入补贴，本年收入351.17万元，其中基本支出0.00万元，项目支出351.17万元;</w:t>
      </w:r>
    </w:p>
    <w:p>
      <w:pPr>
        <w:pStyle w:val="38"/>
        <w:shd w:val="clear" w:color="auto" w:fill="auto"/>
        <w:spacing w:before="0" w:after="0" w:line="520" w:lineRule="atLeast"/>
      </w:pPr>
      <w:r>
        <w:rPr>
          <w:rFonts w:ascii="仿宋_GB2312" w:eastAsia="仿宋_GB2312" w:cs="仿宋_GB2312"/>
          <w:sz w:val="32"/>
          <w:szCs w:val="32"/>
        </w:rPr>
        <w:tab/>
        <w:t>2130122-农业生产发展，本年收入7.69万元，其中基本支出0.00万元，项目支出7.69万元;</w:t>
      </w:r>
    </w:p>
    <w:p>
      <w:pPr>
        <w:pStyle w:val="38"/>
        <w:shd w:val="clear" w:color="auto" w:fill="auto"/>
        <w:spacing w:before="0" w:after="0" w:line="520" w:lineRule="atLeast"/>
      </w:pPr>
      <w:r>
        <w:rPr>
          <w:rFonts w:ascii="仿宋_GB2312" w:eastAsia="仿宋_GB2312" w:cs="仿宋_GB2312"/>
          <w:sz w:val="32"/>
          <w:szCs w:val="32"/>
        </w:rPr>
        <w:tab/>
        <w:t>2130124-农村合作经济，本年收入25.00万元，其中基本支出0.00万元，项目支出25.00万元;</w:t>
      </w:r>
    </w:p>
    <w:p>
      <w:pPr>
        <w:pStyle w:val="38"/>
        <w:shd w:val="clear" w:color="auto" w:fill="auto"/>
        <w:spacing w:before="0" w:after="0" w:line="520" w:lineRule="atLeast"/>
      </w:pPr>
      <w:r>
        <w:rPr>
          <w:rFonts w:ascii="仿宋_GB2312" w:eastAsia="仿宋_GB2312" w:cs="仿宋_GB2312"/>
          <w:sz w:val="32"/>
          <w:szCs w:val="32"/>
        </w:rPr>
        <w:tab/>
        <w:t>2130153-耕地建设与利用，本年收入447.93万元，其中基本支出0.00万元，项目支出447.93万元;</w:t>
      </w:r>
    </w:p>
    <w:p>
      <w:pPr>
        <w:pStyle w:val="38"/>
        <w:shd w:val="clear" w:color="auto" w:fill="auto"/>
        <w:spacing w:before="0" w:after="0" w:line="520" w:lineRule="atLeast"/>
      </w:pPr>
      <w:r>
        <w:rPr>
          <w:rFonts w:ascii="仿宋_GB2312" w:eastAsia="仿宋_GB2312" w:cs="仿宋_GB2312"/>
          <w:sz w:val="32"/>
          <w:szCs w:val="32"/>
        </w:rPr>
        <w:tab/>
        <w:t>2130199-其他农业农村支出，本年收入1,379.50万元，其中基本支出0.00万元，项目支出1,379.50万元;</w:t>
      </w:r>
    </w:p>
    <w:p>
      <w:pPr>
        <w:pStyle w:val="38"/>
        <w:shd w:val="clear" w:color="auto" w:fill="auto"/>
        <w:spacing w:before="0" w:after="0" w:line="520" w:lineRule="atLeast"/>
      </w:pPr>
      <w:r>
        <w:rPr>
          <w:rFonts w:ascii="仿宋_GB2312" w:eastAsia="仿宋_GB2312" w:cs="仿宋_GB2312"/>
          <w:sz w:val="32"/>
          <w:szCs w:val="32"/>
        </w:rPr>
        <w:tab/>
        <w:t>21305-巩固脱贫攻坚成果衔接乡村振兴，本年收入8,919.30万元，其中基本支出134.41万元，项目支出8,784.89万元;</w:t>
      </w:r>
    </w:p>
    <w:p>
      <w:pPr>
        <w:pStyle w:val="38"/>
        <w:shd w:val="clear" w:color="auto" w:fill="auto"/>
        <w:spacing w:before="0" w:after="0" w:line="520" w:lineRule="atLeast"/>
      </w:pPr>
      <w:r>
        <w:rPr>
          <w:rFonts w:ascii="仿宋_GB2312" w:eastAsia="仿宋_GB2312" w:cs="仿宋_GB2312"/>
          <w:sz w:val="32"/>
          <w:szCs w:val="32"/>
        </w:rPr>
        <w:tab/>
        <w:t>2130501-行政运行，本年收入67.66万元，其中基本支出67.66万元，项目支出0.00万元;</w:t>
      </w:r>
    </w:p>
    <w:p>
      <w:pPr>
        <w:pStyle w:val="38"/>
        <w:shd w:val="clear" w:color="auto" w:fill="auto"/>
        <w:spacing w:before="0" w:after="0" w:line="520" w:lineRule="atLeast"/>
      </w:pPr>
      <w:r>
        <w:rPr>
          <w:rFonts w:ascii="仿宋_GB2312" w:eastAsia="仿宋_GB2312" w:cs="仿宋_GB2312"/>
          <w:sz w:val="32"/>
          <w:szCs w:val="32"/>
        </w:rPr>
        <w:tab/>
        <w:t>2130504-农村基础设施建设，本年收入254.85万元，其中基本支出0.00万元，项目支出254.85万元;</w:t>
      </w:r>
    </w:p>
    <w:p>
      <w:pPr>
        <w:pStyle w:val="38"/>
        <w:shd w:val="clear" w:color="auto" w:fill="auto"/>
        <w:spacing w:before="0" w:after="0" w:line="520" w:lineRule="atLeast"/>
      </w:pPr>
      <w:r>
        <w:rPr>
          <w:rFonts w:ascii="仿宋_GB2312" w:eastAsia="仿宋_GB2312" w:cs="仿宋_GB2312"/>
          <w:sz w:val="32"/>
          <w:szCs w:val="32"/>
        </w:rPr>
        <w:tab/>
        <w:t>2130505-生产发展，本年收入611.26万元，其中基本支出0.00万元，项目支出611.26万元;</w:t>
      </w:r>
    </w:p>
    <w:p>
      <w:pPr>
        <w:pStyle w:val="38"/>
        <w:shd w:val="clear" w:color="auto" w:fill="auto"/>
        <w:spacing w:before="0" w:after="0" w:line="520" w:lineRule="atLeast"/>
      </w:pPr>
      <w:r>
        <w:rPr>
          <w:rFonts w:ascii="仿宋_GB2312" w:eastAsia="仿宋_GB2312" w:cs="仿宋_GB2312"/>
          <w:sz w:val="32"/>
          <w:szCs w:val="32"/>
        </w:rPr>
        <w:tab/>
        <w:t>2130550-事业运行，本年收入66.75万元，其中基本支出66.75万元，项目支出0.00万元;</w:t>
      </w:r>
    </w:p>
    <w:p>
      <w:pPr>
        <w:pStyle w:val="38"/>
        <w:shd w:val="clear" w:color="auto" w:fill="auto"/>
        <w:spacing w:before="0" w:after="0" w:line="520" w:lineRule="atLeast"/>
      </w:pPr>
      <w:r>
        <w:rPr>
          <w:rFonts w:ascii="仿宋_GB2312" w:eastAsia="仿宋_GB2312" w:cs="仿宋_GB2312"/>
          <w:sz w:val="32"/>
          <w:szCs w:val="32"/>
        </w:rPr>
        <w:tab/>
        <w:t>2130599-其他巩固脱贫攻坚成果衔接乡村振兴支出，本年收入7,918.78万元，其中基本支出0.00万元，项目支出7,918.78万元;</w:t>
      </w:r>
    </w:p>
    <w:p>
      <w:pPr>
        <w:pStyle w:val="38"/>
        <w:shd w:val="clear" w:color="auto" w:fill="auto"/>
        <w:spacing w:before="0" w:after="0" w:line="520" w:lineRule="atLeast"/>
      </w:pPr>
      <w:r>
        <w:rPr>
          <w:rFonts w:ascii="仿宋_GB2312" w:eastAsia="仿宋_GB2312" w:cs="仿宋_GB2312"/>
          <w:sz w:val="32"/>
          <w:szCs w:val="32"/>
        </w:rPr>
        <w:tab/>
        <w:t>21307-农村综合改革，本年收入56.59万元，其中基本支出0.00万元，项目支出56.59万元;</w:t>
      </w:r>
    </w:p>
    <w:p>
      <w:pPr>
        <w:pStyle w:val="38"/>
        <w:shd w:val="clear" w:color="auto" w:fill="auto"/>
        <w:spacing w:before="0" w:after="0" w:line="520" w:lineRule="atLeast"/>
      </w:pPr>
      <w:r>
        <w:rPr>
          <w:rFonts w:ascii="仿宋_GB2312" w:eastAsia="仿宋_GB2312" w:cs="仿宋_GB2312"/>
          <w:sz w:val="32"/>
          <w:szCs w:val="32"/>
        </w:rPr>
        <w:tab/>
        <w:t>2130799-其他农村综合改革支出，本年收入56.59万元，其中基本支出0.00万元，项目支出56.59万元;</w:t>
      </w:r>
    </w:p>
    <w:p>
      <w:pPr>
        <w:pStyle w:val="38"/>
        <w:shd w:val="clear" w:color="auto" w:fill="auto"/>
        <w:spacing w:before="0" w:after="0" w:line="520" w:lineRule="atLeast"/>
      </w:pPr>
      <w:r>
        <w:rPr>
          <w:rFonts w:ascii="仿宋_GB2312" w:eastAsia="仿宋_GB2312" w:cs="仿宋_GB2312"/>
          <w:sz w:val="32"/>
          <w:szCs w:val="32"/>
        </w:rPr>
        <w:tab/>
        <w:t>21399-其他农林水支出，本年收入155.25万元，其中基本支出0.00万元，项目支出155.25万元;</w:t>
      </w:r>
    </w:p>
    <w:p>
      <w:pPr>
        <w:pStyle w:val="38"/>
        <w:shd w:val="clear" w:color="auto" w:fill="auto"/>
        <w:spacing w:before="0" w:after="0" w:line="520" w:lineRule="atLeast"/>
      </w:pPr>
      <w:r>
        <w:rPr>
          <w:rFonts w:ascii="仿宋_GB2312" w:eastAsia="仿宋_GB2312" w:cs="仿宋_GB2312"/>
          <w:sz w:val="32"/>
          <w:szCs w:val="32"/>
        </w:rPr>
        <w:tab/>
        <w:t>2139999-其他农林水支出，本年收入155.25万元，其中基本支出0.00万元，项目支出155.25万元;</w:t>
      </w:r>
    </w:p>
    <w:p>
      <w:pPr>
        <w:pStyle w:val="38"/>
        <w:shd w:val="clear" w:color="auto" w:fill="auto"/>
        <w:spacing w:before="0" w:after="0" w:line="520" w:lineRule="atLeast"/>
      </w:pPr>
      <w:r>
        <w:rPr>
          <w:rFonts w:ascii="仿宋_GB2312" w:eastAsia="仿宋_GB2312" w:cs="仿宋_GB2312"/>
          <w:sz w:val="32"/>
          <w:szCs w:val="32"/>
        </w:rPr>
        <w:tab/>
        <w:t>221-住房保障支出，本年收入163.57万元，其中基本支出163.57万元，项目支出0.00万元;</w:t>
      </w:r>
    </w:p>
    <w:p>
      <w:pPr>
        <w:pStyle w:val="38"/>
        <w:shd w:val="clear" w:color="auto" w:fill="auto"/>
        <w:spacing w:before="0" w:after="0" w:line="520" w:lineRule="atLeast"/>
      </w:pPr>
      <w:r>
        <w:rPr>
          <w:rFonts w:ascii="仿宋_GB2312" w:eastAsia="仿宋_GB2312" w:cs="仿宋_GB2312"/>
          <w:sz w:val="32"/>
          <w:szCs w:val="32"/>
        </w:rPr>
        <w:tab/>
        <w:t>22102-住房改革支出，本年收入163.57万元，其中基本支出163.57万元，项目支出0.00万元;</w:t>
      </w:r>
    </w:p>
    <w:p>
      <w:pPr>
        <w:pStyle w:val="38"/>
        <w:shd w:val="clear" w:color="auto" w:fill="auto"/>
        <w:spacing w:before="0" w:after="0" w:line="520" w:lineRule="atLeast"/>
      </w:pPr>
      <w:r>
        <w:rPr>
          <w:rFonts w:ascii="仿宋_GB2312" w:eastAsia="仿宋_GB2312" w:cs="仿宋_GB2312"/>
          <w:sz w:val="32"/>
          <w:szCs w:val="32"/>
        </w:rPr>
        <w:tab/>
        <w:t>2210201-住房公积金，本年收入157.48万元，其中基本支出157.48万元，项目支出0.00万元;</w:t>
      </w:r>
    </w:p>
    <w:p>
      <w:pPr>
        <w:pStyle w:val="38"/>
        <w:shd w:val="clear" w:color="auto" w:fill="auto"/>
        <w:spacing w:before="0" w:after="0" w:line="520" w:lineRule="atLeast"/>
      </w:pPr>
      <w:r>
        <w:rPr>
          <w:rFonts w:ascii="仿宋_GB2312" w:eastAsia="仿宋_GB2312" w:cs="仿宋_GB2312"/>
          <w:sz w:val="32"/>
          <w:szCs w:val="32"/>
        </w:rPr>
        <w:tab/>
        <w:t>2210203-购房补贴，本年收入6.09万元，其中基本支出6.09万元，项目支出0.00万元</w:t>
      </w:r>
    </w:p>
    <w:p>
      <w:pPr>
        <w:pStyle w:val="38"/>
        <w:spacing w:before="0" w:after="0" w:line="520" w:lineRule="atLeast"/>
        <w:ind w:firstLine="720"/>
      </w:pPr>
      <w:r>
        <w:rPr>
          <w:rFonts w:ascii="仿宋_GB2312" w:eastAsia="仿宋_GB2312" w:cs="仿宋_GB2312"/>
          <w:sz w:val="32"/>
          <w:szCs w:val="32"/>
        </w:rPr>
        <w:t>2024年财政本年支出合计为19,090.42万元，与上年全年支出相比增加2148.38万元，增减比列为12.68%。</w:t>
      </w:r>
    </w:p>
    <w:p>
      <w:pPr>
        <w:pStyle w:val="38"/>
        <w:spacing w:before="0" w:after="0" w:line="520" w:lineRule="atLeast"/>
      </w:pPr>
      <w:r>
        <w:rPr>
          <w:rFonts w:ascii="仿宋_GB2312" w:eastAsia="仿宋_GB2312" w:cs="仿宋_GB2312"/>
          <w:sz w:val="32"/>
          <w:szCs w:val="32"/>
        </w:rPr>
        <w:tab/>
        <w:t>2019999-其他一般公共服务支出，本年收入1,918.73万元，其中基本支出0.00万元，项目支出1,918.73万元;</w:t>
      </w:r>
    </w:p>
    <w:p>
      <w:pPr>
        <w:pStyle w:val="38"/>
        <w:shd w:val="clear" w:color="auto" w:fill="auto"/>
        <w:spacing w:before="0" w:after="0" w:line="520" w:lineRule="atLeast"/>
      </w:pPr>
      <w:r>
        <w:rPr>
          <w:rFonts w:ascii="仿宋_GB2312" w:eastAsia="仿宋_GB2312" w:cs="仿宋_GB2312"/>
          <w:sz w:val="32"/>
          <w:szCs w:val="32"/>
        </w:rPr>
        <w:tab/>
        <w:t>2050803-培训支出，本年收入0.70万元，其中基本支出0.70万元，项目支出0.00万元;</w:t>
      </w:r>
    </w:p>
    <w:p>
      <w:pPr>
        <w:pStyle w:val="38"/>
        <w:shd w:val="clear" w:color="auto" w:fill="auto"/>
        <w:spacing w:before="0" w:after="0" w:line="520" w:lineRule="atLeast"/>
      </w:pPr>
      <w:r>
        <w:rPr>
          <w:rFonts w:ascii="仿宋_GB2312" w:eastAsia="仿宋_GB2312" w:cs="仿宋_GB2312"/>
          <w:sz w:val="32"/>
          <w:szCs w:val="32"/>
        </w:rPr>
        <w:tab/>
        <w:t>2060404-科技成果转化与扩散，本年收入50.27万元，其中基本支出0.00万元，项目支出50.27万元;</w:t>
      </w:r>
    </w:p>
    <w:p>
      <w:pPr>
        <w:pStyle w:val="38"/>
        <w:shd w:val="clear" w:color="auto" w:fill="auto"/>
        <w:spacing w:before="0" w:after="0" w:line="520" w:lineRule="atLeast"/>
      </w:pPr>
      <w:r>
        <w:rPr>
          <w:rFonts w:ascii="仿宋_GB2312" w:eastAsia="仿宋_GB2312" w:cs="仿宋_GB2312"/>
          <w:sz w:val="32"/>
          <w:szCs w:val="32"/>
        </w:rPr>
        <w:tab/>
        <w:t>2060499-其他技术研究与开发支出，本年收入23.38万元，其中基本支出0.00万元，项目支出23.38万元;</w:t>
      </w:r>
    </w:p>
    <w:p>
      <w:pPr>
        <w:pStyle w:val="38"/>
        <w:shd w:val="clear" w:color="auto" w:fill="auto"/>
        <w:spacing w:before="0" w:after="0" w:line="520" w:lineRule="atLeast"/>
      </w:pPr>
      <w:r>
        <w:rPr>
          <w:rFonts w:ascii="仿宋_GB2312" w:eastAsia="仿宋_GB2312" w:cs="仿宋_GB2312"/>
          <w:sz w:val="32"/>
          <w:szCs w:val="32"/>
        </w:rPr>
        <w:tab/>
        <w:t>2060699-其他社会科学支出，本年收入50.00万元，其中基本支出0.00万元，项目支出50.00万元;</w:t>
      </w:r>
    </w:p>
    <w:p>
      <w:pPr>
        <w:pStyle w:val="38"/>
        <w:shd w:val="clear" w:color="auto" w:fill="auto"/>
        <w:spacing w:before="0" w:after="0" w:line="520" w:lineRule="atLeast"/>
      </w:pPr>
      <w:r>
        <w:rPr>
          <w:rFonts w:ascii="仿宋_GB2312" w:eastAsia="仿宋_GB2312" w:cs="仿宋_GB2312"/>
          <w:sz w:val="32"/>
          <w:szCs w:val="32"/>
        </w:rPr>
        <w:tab/>
        <w:t>2069999-其他科学技术支出，本年收入154.03万元，其中基本支出0.00万元，项目支出154.03万元;</w:t>
      </w:r>
    </w:p>
    <w:p>
      <w:pPr>
        <w:pStyle w:val="38"/>
        <w:shd w:val="clear" w:color="auto" w:fill="auto"/>
        <w:spacing w:before="0" w:after="0" w:line="520" w:lineRule="atLeast"/>
      </w:pPr>
      <w:r>
        <w:rPr>
          <w:rFonts w:ascii="仿宋_GB2312" w:eastAsia="仿宋_GB2312" w:cs="仿宋_GB2312"/>
          <w:sz w:val="32"/>
          <w:szCs w:val="32"/>
        </w:rPr>
        <w:tab/>
        <w:t>2080505-机关事业单位基本养老保险缴费支出，本年收入196.91万元，其中基本支出196.91万元，项目支出0.00万元;</w:t>
      </w:r>
    </w:p>
    <w:p>
      <w:pPr>
        <w:pStyle w:val="38"/>
        <w:shd w:val="clear" w:color="auto" w:fill="auto"/>
        <w:spacing w:before="0" w:after="0" w:line="520" w:lineRule="atLeast"/>
      </w:pPr>
      <w:r>
        <w:rPr>
          <w:rFonts w:ascii="仿宋_GB2312" w:eastAsia="仿宋_GB2312" w:cs="仿宋_GB2312"/>
          <w:sz w:val="32"/>
          <w:szCs w:val="32"/>
        </w:rPr>
        <w:tab/>
        <w:t>2080506-机关事业单位职业年金缴费支出，本年收入98.90万元，其中基本支出98.90万元，项目支出0.00万元;</w:t>
      </w:r>
    </w:p>
    <w:p>
      <w:pPr>
        <w:pStyle w:val="38"/>
        <w:shd w:val="clear" w:color="auto" w:fill="auto"/>
        <w:spacing w:before="0" w:after="0" w:line="520" w:lineRule="atLeast"/>
      </w:pPr>
      <w:r>
        <w:rPr>
          <w:rFonts w:ascii="仿宋_GB2312" w:eastAsia="仿宋_GB2312" w:cs="仿宋_GB2312"/>
          <w:sz w:val="32"/>
          <w:szCs w:val="32"/>
        </w:rPr>
        <w:tab/>
        <w:t>2080801-死亡抚恤，本年收入21.75万元，其中基本支出21.75万元，项目支出0.00万元;</w:t>
      </w:r>
    </w:p>
    <w:p>
      <w:pPr>
        <w:pStyle w:val="38"/>
        <w:shd w:val="clear" w:color="auto" w:fill="auto"/>
        <w:spacing w:before="0" w:after="0" w:line="520" w:lineRule="atLeast"/>
      </w:pPr>
      <w:r>
        <w:rPr>
          <w:rFonts w:ascii="仿宋_GB2312" w:eastAsia="仿宋_GB2312" w:cs="仿宋_GB2312"/>
          <w:sz w:val="32"/>
          <w:szCs w:val="32"/>
        </w:rPr>
        <w:tab/>
        <w:t>2101101-行政单位医疗，本年收入21.91万元，其中基本支出21.91万元，项目支出0.00万元;</w:t>
      </w:r>
    </w:p>
    <w:p>
      <w:pPr>
        <w:pStyle w:val="38"/>
        <w:shd w:val="clear" w:color="auto" w:fill="auto"/>
        <w:spacing w:before="0" w:after="0" w:line="520" w:lineRule="atLeast"/>
      </w:pPr>
      <w:r>
        <w:rPr>
          <w:rFonts w:ascii="仿宋_GB2312" w:eastAsia="仿宋_GB2312" w:cs="仿宋_GB2312"/>
          <w:sz w:val="32"/>
          <w:szCs w:val="32"/>
        </w:rPr>
        <w:tab/>
        <w:t>2101102-事业单位医疗，本年收入73.39万元，其中基本支出73.39万元，项目支出0.00万元;</w:t>
      </w:r>
    </w:p>
    <w:p>
      <w:pPr>
        <w:pStyle w:val="38"/>
        <w:shd w:val="clear" w:color="auto" w:fill="auto"/>
        <w:spacing w:before="0" w:after="0" w:line="520" w:lineRule="atLeast"/>
      </w:pPr>
      <w:r>
        <w:rPr>
          <w:rFonts w:ascii="仿宋_GB2312" w:eastAsia="仿宋_GB2312" w:cs="仿宋_GB2312"/>
          <w:sz w:val="32"/>
          <w:szCs w:val="32"/>
        </w:rPr>
        <w:tab/>
        <w:t>2101103-公务员医疗补助，本年收入10.50万元，其中基本支出10.50万元，项目支出0.00万元;</w:t>
      </w:r>
    </w:p>
    <w:p>
      <w:pPr>
        <w:pStyle w:val="38"/>
        <w:shd w:val="clear" w:color="auto" w:fill="auto"/>
        <w:spacing w:before="0" w:after="0" w:line="520" w:lineRule="atLeast"/>
      </w:pPr>
      <w:r>
        <w:rPr>
          <w:rFonts w:ascii="仿宋_GB2312" w:eastAsia="仿宋_GB2312" w:cs="仿宋_GB2312"/>
          <w:sz w:val="32"/>
          <w:szCs w:val="32"/>
        </w:rPr>
        <w:tab/>
        <w:t>2101199-其他行政事业单位医疗支出，本年收入24.68万元，其中基本支出24.68万元，项目支出0.00万元;</w:t>
      </w:r>
    </w:p>
    <w:p>
      <w:pPr>
        <w:pStyle w:val="38"/>
        <w:shd w:val="clear" w:color="auto" w:fill="auto"/>
        <w:spacing w:before="0" w:after="0" w:line="520" w:lineRule="atLeast"/>
      </w:pPr>
      <w:r>
        <w:rPr>
          <w:rFonts w:ascii="仿宋_GB2312" w:eastAsia="仿宋_GB2312" w:cs="仿宋_GB2312"/>
          <w:sz w:val="32"/>
          <w:szCs w:val="32"/>
        </w:rPr>
        <w:tab/>
        <w:t>2110399-其他污染防治支出，本年收入913.63万元，其中基本支出0.00万元，项目支出913.63万元;</w:t>
      </w:r>
    </w:p>
    <w:p>
      <w:pPr>
        <w:pStyle w:val="38"/>
        <w:shd w:val="clear" w:color="auto" w:fill="auto"/>
        <w:spacing w:before="0" w:after="0" w:line="520" w:lineRule="atLeast"/>
      </w:pPr>
      <w:r>
        <w:rPr>
          <w:rFonts w:ascii="仿宋_GB2312" w:eastAsia="仿宋_GB2312" w:cs="仿宋_GB2312"/>
          <w:sz w:val="32"/>
          <w:szCs w:val="32"/>
        </w:rPr>
        <w:tab/>
        <w:t>2119999-其他节能环保支出，本年收入2,500.00万元，其中基本支出0.00万元，项目支出2,500.00万元;</w:t>
      </w:r>
    </w:p>
    <w:p>
      <w:pPr>
        <w:pStyle w:val="38"/>
        <w:shd w:val="clear" w:color="auto" w:fill="auto"/>
        <w:spacing w:before="0" w:after="0" w:line="520" w:lineRule="atLeast"/>
      </w:pPr>
      <w:r>
        <w:rPr>
          <w:rFonts w:ascii="仿宋_GB2312" w:eastAsia="仿宋_GB2312" w:cs="仿宋_GB2312"/>
          <w:sz w:val="32"/>
          <w:szCs w:val="32"/>
        </w:rPr>
        <w:tab/>
        <w:t>2130101-行政运行，本年收入460.38万元，其中基本支出460.38万元，项目支出0.00万元;</w:t>
      </w:r>
    </w:p>
    <w:p>
      <w:pPr>
        <w:pStyle w:val="38"/>
        <w:shd w:val="clear" w:color="auto" w:fill="auto"/>
        <w:spacing w:before="0" w:after="0" w:line="520" w:lineRule="atLeast"/>
      </w:pPr>
      <w:r>
        <w:rPr>
          <w:rFonts w:ascii="仿宋_GB2312" w:eastAsia="仿宋_GB2312" w:cs="仿宋_GB2312"/>
          <w:sz w:val="32"/>
          <w:szCs w:val="32"/>
        </w:rPr>
        <w:tab/>
        <w:t>2130104-事业运行，本年收入1,053.37万元，其中基本支出1,053.37万元，项目支出0.00万元;</w:t>
      </w:r>
    </w:p>
    <w:p>
      <w:pPr>
        <w:pStyle w:val="38"/>
        <w:shd w:val="clear" w:color="auto" w:fill="auto"/>
        <w:spacing w:before="0" w:after="0" w:line="520" w:lineRule="atLeast"/>
      </w:pPr>
      <w:r>
        <w:rPr>
          <w:rFonts w:ascii="仿宋_GB2312" w:eastAsia="仿宋_GB2312" w:cs="仿宋_GB2312"/>
          <w:sz w:val="32"/>
          <w:szCs w:val="32"/>
        </w:rPr>
        <w:tab/>
        <w:t>2130109-农产品质量安全，本年收入11.88万元，其中基本支出0.00万元，项目支出11.88万元;</w:t>
      </w:r>
    </w:p>
    <w:p>
      <w:pPr>
        <w:pStyle w:val="38"/>
        <w:shd w:val="clear" w:color="auto" w:fill="auto"/>
        <w:spacing w:before="0" w:after="0" w:line="520" w:lineRule="atLeast"/>
      </w:pPr>
      <w:r>
        <w:rPr>
          <w:rFonts w:ascii="仿宋_GB2312" w:eastAsia="仿宋_GB2312" w:cs="仿宋_GB2312"/>
          <w:sz w:val="32"/>
          <w:szCs w:val="32"/>
        </w:rPr>
        <w:tab/>
        <w:t>2130120-稳定农民收入补贴，本年收入351.17万元，其中基本支出0.00万元，项目支出351.17万元;</w:t>
      </w:r>
    </w:p>
    <w:p>
      <w:pPr>
        <w:pStyle w:val="38"/>
        <w:shd w:val="clear" w:color="auto" w:fill="auto"/>
        <w:spacing w:before="0" w:after="0" w:line="520" w:lineRule="atLeast"/>
      </w:pPr>
      <w:r>
        <w:rPr>
          <w:rFonts w:ascii="仿宋_GB2312" w:eastAsia="仿宋_GB2312" w:cs="仿宋_GB2312"/>
          <w:sz w:val="32"/>
          <w:szCs w:val="32"/>
        </w:rPr>
        <w:tab/>
        <w:t>2130122-农业生产发展，本年收入7.69万元，其中基本支出0.00万元，项目支出7.69万元;</w:t>
      </w:r>
    </w:p>
    <w:p>
      <w:pPr>
        <w:pStyle w:val="38"/>
        <w:shd w:val="clear" w:color="auto" w:fill="auto"/>
        <w:spacing w:before="0" w:after="0" w:line="520" w:lineRule="atLeast"/>
      </w:pPr>
      <w:r>
        <w:rPr>
          <w:rFonts w:ascii="仿宋_GB2312" w:eastAsia="仿宋_GB2312" w:cs="仿宋_GB2312"/>
          <w:sz w:val="32"/>
          <w:szCs w:val="32"/>
        </w:rPr>
        <w:tab/>
        <w:t>2130124-农村合作经济，本年收入25.00万元，其中基本支出0.00万元，项目支出25.00万元;</w:t>
      </w:r>
    </w:p>
    <w:p>
      <w:pPr>
        <w:pStyle w:val="38"/>
        <w:shd w:val="clear" w:color="auto" w:fill="auto"/>
        <w:spacing w:before="0" w:after="0" w:line="520" w:lineRule="atLeast"/>
      </w:pPr>
      <w:r>
        <w:rPr>
          <w:rFonts w:ascii="仿宋_GB2312" w:eastAsia="仿宋_GB2312" w:cs="仿宋_GB2312"/>
          <w:sz w:val="32"/>
          <w:szCs w:val="32"/>
        </w:rPr>
        <w:tab/>
        <w:t>2130153-耕地建设与利用，本年收入447.93万元，其中基本支出0.00万元，项目支出447.93万元;</w:t>
      </w:r>
    </w:p>
    <w:p>
      <w:pPr>
        <w:pStyle w:val="38"/>
        <w:shd w:val="clear" w:color="auto" w:fill="auto"/>
        <w:spacing w:before="0" w:after="0" w:line="520" w:lineRule="atLeast"/>
      </w:pPr>
      <w:r>
        <w:rPr>
          <w:rFonts w:ascii="仿宋_GB2312" w:eastAsia="仿宋_GB2312" w:cs="仿宋_GB2312"/>
          <w:sz w:val="32"/>
          <w:szCs w:val="32"/>
        </w:rPr>
        <w:tab/>
        <w:t>2130199-其他农业农村支出，本年收入1,379.50万元，其中基本支出0.00万元，项目支出1,379.50万元;</w:t>
      </w:r>
    </w:p>
    <w:p>
      <w:pPr>
        <w:pStyle w:val="38"/>
        <w:shd w:val="clear" w:color="auto" w:fill="auto"/>
        <w:spacing w:before="0" w:after="0" w:line="520" w:lineRule="atLeast"/>
      </w:pPr>
      <w:r>
        <w:rPr>
          <w:rFonts w:ascii="仿宋_GB2312" w:eastAsia="仿宋_GB2312" w:cs="仿宋_GB2312"/>
          <w:sz w:val="32"/>
          <w:szCs w:val="32"/>
        </w:rPr>
        <w:tab/>
        <w:t>2130501-行政运行，本年收入67.66万元，其中基本支出67.66万元，项目支出0.00万元;</w:t>
      </w:r>
    </w:p>
    <w:p>
      <w:pPr>
        <w:pStyle w:val="38"/>
        <w:shd w:val="clear" w:color="auto" w:fill="auto"/>
        <w:spacing w:before="0" w:after="0" w:line="520" w:lineRule="atLeast"/>
      </w:pPr>
      <w:r>
        <w:rPr>
          <w:rFonts w:ascii="仿宋_GB2312" w:eastAsia="仿宋_GB2312" w:cs="仿宋_GB2312"/>
          <w:sz w:val="32"/>
          <w:szCs w:val="32"/>
        </w:rPr>
        <w:tab/>
        <w:t>2130504-农村基础设施建设，本年收入254.85万元，其中基本支出0.00万元，项目支出254.85万元;</w:t>
      </w:r>
    </w:p>
    <w:p>
      <w:pPr>
        <w:pStyle w:val="38"/>
        <w:shd w:val="clear" w:color="auto" w:fill="auto"/>
        <w:spacing w:before="0" w:after="0" w:line="520" w:lineRule="atLeast"/>
      </w:pPr>
      <w:r>
        <w:rPr>
          <w:rFonts w:ascii="仿宋_GB2312" w:eastAsia="仿宋_GB2312" w:cs="仿宋_GB2312"/>
          <w:sz w:val="32"/>
          <w:szCs w:val="32"/>
        </w:rPr>
        <w:tab/>
        <w:t>2130505-生产发展，本年收入611.26万元，其中基本支出0.00万元，项目支出611.26万元;</w:t>
      </w:r>
    </w:p>
    <w:p>
      <w:pPr>
        <w:pStyle w:val="38"/>
        <w:shd w:val="clear" w:color="auto" w:fill="auto"/>
        <w:spacing w:before="0" w:after="0" w:line="520" w:lineRule="atLeast"/>
      </w:pPr>
      <w:r>
        <w:rPr>
          <w:rFonts w:ascii="仿宋_GB2312" w:eastAsia="仿宋_GB2312" w:cs="仿宋_GB2312"/>
          <w:sz w:val="32"/>
          <w:szCs w:val="32"/>
        </w:rPr>
        <w:tab/>
        <w:t>2130550-事业运行，本年收入66.75万元，其中基本支出66.75万元，项目支出0.00万元;</w:t>
      </w:r>
    </w:p>
    <w:p>
      <w:pPr>
        <w:pStyle w:val="38"/>
        <w:shd w:val="clear" w:color="auto" w:fill="auto"/>
        <w:spacing w:before="0" w:after="0" w:line="520" w:lineRule="atLeast"/>
      </w:pPr>
      <w:r>
        <w:rPr>
          <w:rFonts w:ascii="仿宋_GB2312" w:eastAsia="仿宋_GB2312" w:cs="仿宋_GB2312"/>
          <w:sz w:val="32"/>
          <w:szCs w:val="32"/>
        </w:rPr>
        <w:tab/>
        <w:t>2130599-其他巩固脱贫攻坚成果衔接乡村振兴支出，本年收入7,918.78万元，其中基本支出0.00万元，项目支出7,918.78万元;</w:t>
      </w:r>
    </w:p>
    <w:p>
      <w:pPr>
        <w:pStyle w:val="38"/>
        <w:shd w:val="clear" w:color="auto" w:fill="auto"/>
        <w:spacing w:before="0" w:after="0" w:line="520" w:lineRule="atLeast"/>
      </w:pPr>
      <w:r>
        <w:rPr>
          <w:rFonts w:ascii="仿宋_GB2312" w:eastAsia="仿宋_GB2312" w:cs="仿宋_GB2312"/>
          <w:sz w:val="32"/>
          <w:szCs w:val="32"/>
        </w:rPr>
        <w:tab/>
        <w:t>2130799-其他农村综合改革支出，本年收入56.59万元，其中基本支出0.00万元，项目支出56.59万元;</w:t>
      </w:r>
    </w:p>
    <w:p>
      <w:pPr>
        <w:pStyle w:val="38"/>
        <w:shd w:val="clear" w:color="auto" w:fill="auto"/>
        <w:spacing w:before="0" w:after="0" w:line="520" w:lineRule="atLeast"/>
      </w:pPr>
      <w:r>
        <w:rPr>
          <w:rFonts w:ascii="仿宋_GB2312" w:eastAsia="仿宋_GB2312" w:cs="仿宋_GB2312"/>
          <w:sz w:val="32"/>
          <w:szCs w:val="32"/>
        </w:rPr>
        <w:tab/>
        <w:t>2139999-其他农林水支出，本年收入155.25万元，其中基本支出0.00万元，项目支出155.25万元;</w:t>
      </w:r>
    </w:p>
    <w:p>
      <w:pPr>
        <w:pStyle w:val="38"/>
        <w:shd w:val="clear" w:color="auto" w:fill="auto"/>
        <w:spacing w:before="0" w:after="0" w:line="520" w:lineRule="atLeast"/>
      </w:pPr>
      <w:r>
        <w:rPr>
          <w:rFonts w:ascii="仿宋_GB2312" w:eastAsia="仿宋_GB2312" w:cs="仿宋_GB2312"/>
          <w:sz w:val="32"/>
          <w:szCs w:val="32"/>
        </w:rPr>
        <w:tab/>
        <w:t>2210201-住房公积金，本年收入157.48万元，其中基本支出157.48万元，项目支出0.00万元;</w:t>
      </w:r>
    </w:p>
    <w:p>
      <w:pPr>
        <w:pStyle w:val="38"/>
        <w:shd w:val="clear" w:color="auto" w:fill="auto"/>
        <w:spacing w:before="0" w:after="0" w:line="520" w:lineRule="atLeast"/>
      </w:pPr>
      <w:r>
        <w:rPr>
          <w:rFonts w:ascii="仿宋_GB2312" w:eastAsia="仿宋_GB2312" w:cs="仿宋_GB2312"/>
          <w:sz w:val="32"/>
          <w:szCs w:val="32"/>
        </w:rPr>
        <w:tab/>
        <w:t>2210203-购房补贴，本年收入6.09万元，其中基本支出6.09万元，项目支出0.00万元</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tabs>
          <w:tab w:val="right" w:pos="8306"/>
        </w:tabs>
        <w:spacing w:line="600" w:lineRule="exact"/>
        <w:ind w:firstLine="640"/>
        <w:outlineLvl w:val="1"/>
        <w:rPr>
          <w:rStyle w:val="2Char"/>
          <w:rFonts w:ascii="Times New Roman" w:hAnsi="Times New Roman"/>
          <w:color w:val="auto"/>
          <w:highlight w:val="auto"/>
        </w:rPr>
      </w:pPr>
      <w:bookmarkStart w:id="46" w:name="_Toc15396608"/>
      <w:bookmarkStart w:id="47" w:name="_Toc12903"/>
      <w:bookmarkStart w:id="48" w:name="_Toc15377214"/>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46"/>
      <w:bookmarkEnd w:id="47"/>
      <w:bookmarkEnd w:id="48"/>
      <w:r>
        <w:rPr>
          <w:rStyle w:val="2Char"/>
          <w:rFonts w:ascii="Times New Roman" w:eastAsia="黑体" w:hAnsi="Times New Roman"/>
          <w:b w:val="0"/>
          <w:color w:val="auto"/>
          <w:highlight w:val="auto"/>
        </w:rPr>
        <w:tab/>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2260.47</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w:t>
      </w:r>
    </w:p>
    <w:p>
      <w:pPr>
        <w:spacing w:line="600" w:lineRule="exact"/>
        <w:ind w:firstLine="640"/>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pP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人员经费</w:t>
      </w:r>
      <w:r>
        <w:rPr>
          <w:rFonts w:ascii="仿宋_GB2312" w:eastAsia="仿宋_GB2312" w:cs="仿宋_GB2312" w:hint="eastAsia"/>
          <w:color w:val="000000"/>
          <w:sz w:val="32"/>
          <w:szCs w:val="32"/>
          <w14:textFill>
            <w14:solidFill>
              <w14:srgbClr w14:val="000000"/>
            </w14:solidFill>
          </w14:textFill>
        </w:rPr>
        <w:t>2140.51</w:t>
      </w:r>
      <w:r>
        <w:rPr>
          <w:rFonts w:ascii="仿宋_GB2312" w:eastAsia="仿宋_GB2312" w:cs="仿宋_GB2312" w:hint="eastAsia"/>
          <w:color w:val="000000"/>
          <w:kern w:val="2"/>
          <w:sz w:val="32"/>
          <w:szCs w:val="32"/>
          <w14:textFill>
            <w14:solidFill>
              <w14:srgbClr w14:val="000000"/>
            </w14:solidFill>
          </w14:textFill>
          <w:lang w:val="en-US" w:eastAsia="zh-CN" w:bidi="ar-SA"/>
          <w:highlight w:val="auto"/>
        </w:rPr>
        <w:t>万</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元，主要包括：基本工资</w:t>
      </w:r>
      <w:r>
        <w:rPr>
          <w:rFonts w:eastAsia="仿宋_GB2312" w:cs="仿宋_GB2312" w:hint="eastAsia"/>
          <w:color w:val="000000"/>
          <w:kern w:val="2"/>
          <w:sz w:val="32"/>
          <w:szCs w:val="32"/>
          <w14:textFill>
            <w14:solidFill>
              <w14:srgbClr w14:val="000000"/>
            </w14:solidFill>
          </w14:textFill>
          <w:lang w:val="en-US" w:eastAsia="zh-CN" w:bidi="ar-SA"/>
          <w:highlight w:val="auto"/>
        </w:rPr>
        <w:t>413.63万元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、津贴补贴</w:t>
      </w:r>
      <w:r>
        <w:rPr>
          <w:rFonts w:eastAsia="仿宋_GB2312" w:cs="仿宋_GB2312" w:hint="eastAsia"/>
          <w:color w:val="000000"/>
          <w:kern w:val="2"/>
          <w:sz w:val="32"/>
          <w:szCs w:val="32"/>
          <w14:textFill>
            <w14:solidFill>
              <w14:srgbClr w14:val="000000"/>
            </w14:solidFill>
          </w14:textFill>
          <w:lang w:val="en-US" w:eastAsia="zh-CN" w:bidi="ar-SA"/>
          <w:highlight w:val="auto"/>
        </w:rPr>
        <w:t>292.94万元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、奖金</w:t>
      </w:r>
      <w:r>
        <w:rPr>
          <w:rFonts w:eastAsia="仿宋_GB2312" w:cs="仿宋_GB2312" w:hint="eastAsia"/>
          <w:color w:val="000000"/>
          <w:kern w:val="2"/>
          <w:sz w:val="32"/>
          <w:szCs w:val="32"/>
          <w14:textFill>
            <w14:solidFill>
              <w14:srgbClr w14:val="000000"/>
            </w14:solidFill>
          </w14:textFill>
          <w:lang w:val="en-US" w:eastAsia="zh-CN" w:bidi="ar-SA"/>
          <w:highlight w:val="auto"/>
        </w:rPr>
        <w:t>497.66万元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、绩效工资</w:t>
      </w:r>
      <w:r>
        <w:rPr>
          <w:rFonts w:eastAsia="仿宋_GB2312" w:cs="仿宋_GB2312" w:hint="eastAsia"/>
          <w:color w:val="000000"/>
          <w:kern w:val="2"/>
          <w:sz w:val="32"/>
          <w:szCs w:val="32"/>
          <w14:textFill>
            <w14:solidFill>
              <w14:srgbClr w14:val="000000"/>
            </w14:solidFill>
          </w14:textFill>
          <w:lang w:val="en-US" w:eastAsia="zh-CN" w:bidi="ar-SA"/>
          <w:highlight w:val="auto"/>
        </w:rPr>
        <w:t>213.69万元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、机关事业单位基本养老保险缴费</w:t>
      </w:r>
      <w:r>
        <w:rPr>
          <w:rFonts w:eastAsia="仿宋_GB2312" w:cs="仿宋_GB2312" w:hint="eastAsia"/>
          <w:color w:val="000000"/>
          <w:kern w:val="2"/>
          <w:sz w:val="32"/>
          <w:szCs w:val="32"/>
          <w14:textFill>
            <w14:solidFill>
              <w14:srgbClr w14:val="000000"/>
            </w14:solidFill>
          </w14:textFill>
          <w:lang w:val="en-US" w:eastAsia="zh-CN" w:bidi="ar-SA"/>
          <w:highlight w:val="auto"/>
        </w:rPr>
        <w:t>196.91万元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、职业年金缴费</w:t>
      </w:r>
      <w:r>
        <w:rPr>
          <w:rFonts w:eastAsia="仿宋_GB2312" w:cs="仿宋_GB2312" w:hint="eastAsia"/>
          <w:color w:val="000000"/>
          <w:kern w:val="2"/>
          <w:sz w:val="32"/>
          <w:szCs w:val="32"/>
          <w14:textFill>
            <w14:solidFill>
              <w14:srgbClr w14:val="000000"/>
            </w14:solidFill>
          </w14:textFill>
          <w:lang w:val="en-US" w:eastAsia="zh-CN" w:bidi="ar-SA"/>
          <w:highlight w:val="auto"/>
        </w:rPr>
        <w:t>98.9万元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、其他社会保障缴费</w:t>
      </w:r>
      <w:r>
        <w:rPr>
          <w:rFonts w:eastAsia="仿宋_GB2312" w:cs="仿宋_GB2312" w:hint="eastAsia"/>
          <w:color w:val="000000"/>
          <w:kern w:val="2"/>
          <w:sz w:val="32"/>
          <w:szCs w:val="32"/>
          <w14:textFill>
            <w14:solidFill>
              <w14:srgbClr w14:val="000000"/>
            </w14:solidFill>
          </w14:textFill>
          <w:lang w:val="en-US" w:eastAsia="zh-CN" w:bidi="ar-SA"/>
          <w:highlight w:val="auto"/>
        </w:rPr>
        <w:t>52.15万元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、抚恤金</w:t>
      </w:r>
      <w:r>
        <w:rPr>
          <w:rFonts w:eastAsia="仿宋_GB2312" w:cs="仿宋_GB2312" w:hint="eastAsia"/>
          <w:color w:val="000000"/>
          <w:kern w:val="2"/>
          <w:sz w:val="32"/>
          <w:szCs w:val="32"/>
          <w14:textFill>
            <w14:solidFill>
              <w14:srgbClr w14:val="000000"/>
            </w14:solidFill>
          </w14:textFill>
          <w:lang w:val="en-US" w:eastAsia="zh-CN" w:bidi="ar-SA"/>
          <w:highlight w:val="auto"/>
        </w:rPr>
        <w:t>21.75万元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、生活补助</w:t>
      </w:r>
      <w:r>
        <w:rPr>
          <w:rFonts w:eastAsia="仿宋_GB2312" w:cs="仿宋_GB2312" w:hint="eastAsia"/>
          <w:color w:val="000000"/>
          <w:kern w:val="2"/>
          <w:sz w:val="32"/>
          <w:szCs w:val="32"/>
          <w14:textFill>
            <w14:solidFill>
              <w14:srgbClr w14:val="000000"/>
            </w14:solidFill>
          </w14:textFill>
          <w:lang w:val="en-US" w:eastAsia="zh-CN" w:bidi="ar-SA"/>
          <w:highlight w:val="auto"/>
        </w:rPr>
        <w:t>89.56万元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、奖励金</w:t>
      </w:r>
      <w:r>
        <w:rPr>
          <w:rFonts w:eastAsia="仿宋_GB2312" w:cs="仿宋_GB2312" w:hint="eastAsia"/>
          <w:color w:val="000000"/>
          <w:kern w:val="2"/>
          <w:sz w:val="32"/>
          <w:szCs w:val="32"/>
          <w14:textFill>
            <w14:solidFill>
              <w14:srgbClr w14:val="000000"/>
            </w14:solidFill>
          </w14:textFill>
          <w:lang w:val="en-US" w:eastAsia="zh-CN" w:bidi="ar-SA"/>
          <w:highlight w:val="auto"/>
        </w:rPr>
        <w:t>0.03万元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、住房公积金</w:t>
      </w:r>
      <w:r>
        <w:rPr>
          <w:rFonts w:eastAsia="仿宋_GB2312" w:cs="仿宋_GB2312" w:hint="eastAsia"/>
          <w:color w:val="000000"/>
          <w:kern w:val="2"/>
          <w:sz w:val="32"/>
          <w:szCs w:val="32"/>
          <w14:textFill>
            <w14:solidFill>
              <w14:srgbClr w14:val="000000"/>
            </w14:solidFill>
          </w14:textFill>
          <w:lang w:val="en-US" w:eastAsia="zh-CN" w:bidi="ar-SA"/>
          <w:highlight w:val="auto"/>
        </w:rPr>
        <w:t>157.48万元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w:t>
      </w:r>
    </w:p>
    <w:p>
      <w:pPr>
        <w:spacing w:line="600" w:lineRule="exact"/>
        <w:ind w:firstLine="640"/>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pP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　　公用经费</w:t>
      </w:r>
      <w:r>
        <w:rPr>
          <w:rFonts w:ascii="仿宋_GB2312" w:eastAsia="仿宋_GB2312" w:cs="仿宋_GB2312" w:hint="eastAsia"/>
          <w:color w:val="000000"/>
          <w:sz w:val="32"/>
          <w:szCs w:val="32"/>
          <w14:textFill>
            <w14:solidFill>
              <w14:srgbClr w14:val="000000"/>
            </w14:solidFill>
          </w14:textFill>
        </w:rPr>
        <w:t>119.97</w:t>
      </w:r>
      <w:r>
        <w:rPr>
          <w:rFonts w:ascii="仿宋_GB2312" w:eastAsia="仿宋_GB2312" w:cs="仿宋_GB2312" w:hint="eastAsia"/>
          <w:color w:val="000000"/>
          <w:kern w:val="2"/>
          <w:sz w:val="32"/>
          <w:szCs w:val="32"/>
          <w14:textFill>
            <w14:solidFill>
              <w14:srgbClr w14:val="000000"/>
            </w14:solidFill>
          </w14:textFill>
          <w:lang w:val="en-US" w:eastAsia="zh-CN" w:bidi="ar-SA"/>
          <w:highlight w:val="auto"/>
        </w:rPr>
        <w:t>万</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元，主要包括：办公费</w:t>
      </w:r>
      <w:r>
        <w:rPr>
          <w:rFonts w:eastAsia="仿宋_GB2312" w:cs="仿宋_GB2312" w:hint="eastAsia"/>
          <w:color w:val="000000"/>
          <w:kern w:val="2"/>
          <w:sz w:val="32"/>
          <w:szCs w:val="32"/>
          <w14:textFill>
            <w14:solidFill>
              <w14:srgbClr w14:val="000000"/>
            </w14:solidFill>
          </w14:textFill>
          <w:lang w:val="en-US" w:eastAsia="zh-CN" w:bidi="ar-SA"/>
          <w:highlight w:val="auto"/>
        </w:rPr>
        <w:t>22.8万元、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水费</w:t>
      </w:r>
      <w:r>
        <w:rPr>
          <w:rFonts w:eastAsia="仿宋_GB2312" w:cs="仿宋_GB2312" w:hint="eastAsia"/>
          <w:color w:val="000000"/>
          <w:kern w:val="2"/>
          <w:sz w:val="32"/>
          <w:szCs w:val="32"/>
          <w14:textFill>
            <w14:solidFill>
              <w14:srgbClr w14:val="000000"/>
            </w14:solidFill>
          </w14:textFill>
          <w:lang w:val="en-US" w:eastAsia="zh-CN" w:bidi="ar-SA"/>
          <w:highlight w:val="auto"/>
        </w:rPr>
        <w:t>0.84万元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、电费</w:t>
      </w:r>
      <w:r>
        <w:rPr>
          <w:rFonts w:eastAsia="仿宋_GB2312" w:cs="仿宋_GB2312" w:hint="eastAsia"/>
          <w:color w:val="000000"/>
          <w:kern w:val="2"/>
          <w:sz w:val="32"/>
          <w:szCs w:val="32"/>
          <w14:textFill>
            <w14:solidFill>
              <w14:srgbClr w14:val="000000"/>
            </w14:solidFill>
          </w14:textFill>
          <w:lang w:val="en-US" w:eastAsia="zh-CN" w:bidi="ar-SA"/>
          <w:highlight w:val="auto"/>
        </w:rPr>
        <w:t>4.5万元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、邮电费</w:t>
      </w:r>
      <w:r>
        <w:rPr>
          <w:rFonts w:eastAsia="仿宋_GB2312" w:cs="仿宋_GB2312" w:hint="eastAsia"/>
          <w:color w:val="000000"/>
          <w:kern w:val="2"/>
          <w:sz w:val="32"/>
          <w:szCs w:val="32"/>
          <w14:textFill>
            <w14:solidFill>
              <w14:srgbClr w14:val="000000"/>
            </w14:solidFill>
          </w14:textFill>
          <w:lang w:val="en-US" w:eastAsia="zh-CN" w:bidi="ar-SA"/>
          <w:highlight w:val="auto"/>
        </w:rPr>
        <w:t>6.36万元、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差旅费</w:t>
      </w:r>
      <w:r>
        <w:rPr>
          <w:rFonts w:eastAsia="仿宋_GB2312" w:cs="仿宋_GB2312" w:hint="eastAsia"/>
          <w:color w:val="000000"/>
          <w:kern w:val="2"/>
          <w:sz w:val="32"/>
          <w:szCs w:val="32"/>
          <w14:textFill>
            <w14:solidFill>
              <w14:srgbClr w14:val="000000"/>
            </w14:solidFill>
          </w14:textFill>
          <w:lang w:val="en-US" w:eastAsia="zh-CN" w:bidi="ar-SA"/>
          <w:highlight w:val="auto"/>
        </w:rPr>
        <w:t>38.75万元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、维修（护）费</w:t>
      </w:r>
      <w:r>
        <w:rPr>
          <w:rFonts w:eastAsia="仿宋_GB2312" w:cs="仿宋_GB2312" w:hint="eastAsia"/>
          <w:color w:val="000000"/>
          <w:kern w:val="2"/>
          <w:sz w:val="32"/>
          <w:szCs w:val="32"/>
          <w14:textFill>
            <w14:solidFill>
              <w14:srgbClr w14:val="000000"/>
            </w14:solidFill>
          </w14:textFill>
          <w:lang w:val="en-US" w:eastAsia="zh-CN" w:bidi="ar-SA"/>
          <w:highlight w:val="auto"/>
        </w:rPr>
        <w:t>2.87万元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、培训费</w:t>
      </w:r>
      <w:r>
        <w:rPr>
          <w:rFonts w:eastAsia="仿宋_GB2312" w:cs="仿宋_GB2312" w:hint="eastAsia"/>
          <w:color w:val="000000"/>
          <w:kern w:val="2"/>
          <w:sz w:val="32"/>
          <w:szCs w:val="32"/>
          <w14:textFill>
            <w14:solidFill>
              <w14:srgbClr w14:val="000000"/>
            </w14:solidFill>
          </w14:textFill>
          <w:lang w:val="en-US" w:eastAsia="zh-CN" w:bidi="ar-SA"/>
          <w:highlight w:val="auto"/>
        </w:rPr>
        <w:t>0.7万元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、公务接待费</w:t>
      </w:r>
      <w:r>
        <w:rPr>
          <w:rFonts w:eastAsia="仿宋_GB2312" w:cs="仿宋_GB2312" w:hint="eastAsia"/>
          <w:color w:val="000000"/>
          <w:kern w:val="2"/>
          <w:sz w:val="32"/>
          <w:szCs w:val="32"/>
          <w14:textFill>
            <w14:solidFill>
              <w14:srgbClr w14:val="000000"/>
            </w14:solidFill>
          </w14:textFill>
          <w:lang w:val="en-US" w:eastAsia="zh-CN" w:bidi="ar-SA"/>
          <w:highlight w:val="auto"/>
        </w:rPr>
        <w:t>0.75万元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、劳务费</w:t>
      </w:r>
      <w:r>
        <w:rPr>
          <w:rFonts w:eastAsia="仿宋_GB2312" w:cs="仿宋_GB2312" w:hint="eastAsia"/>
          <w:color w:val="000000"/>
          <w:kern w:val="2"/>
          <w:sz w:val="32"/>
          <w:szCs w:val="32"/>
          <w14:textFill>
            <w14:solidFill>
              <w14:srgbClr w14:val="000000"/>
            </w14:solidFill>
          </w14:textFill>
          <w:lang w:val="en-US" w:eastAsia="zh-CN" w:bidi="ar-SA"/>
          <w:highlight w:val="auto"/>
        </w:rPr>
        <w:t>18.67万元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、福利费</w:t>
      </w:r>
      <w:r>
        <w:rPr>
          <w:rFonts w:eastAsia="仿宋_GB2312" w:cs="仿宋_GB2312" w:hint="eastAsia"/>
          <w:color w:val="000000"/>
          <w:kern w:val="2"/>
          <w:sz w:val="32"/>
          <w:szCs w:val="32"/>
          <w14:textFill>
            <w14:solidFill>
              <w14:srgbClr w14:val="000000"/>
            </w14:solidFill>
          </w14:textFill>
          <w:lang w:val="en-US" w:eastAsia="zh-CN" w:bidi="ar-SA"/>
          <w:highlight w:val="auto"/>
        </w:rPr>
        <w:t>0.83万元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、公务用车运行维护费</w:t>
      </w:r>
      <w:r>
        <w:rPr>
          <w:rFonts w:eastAsia="仿宋_GB2312" w:cs="仿宋_GB2312" w:hint="eastAsia"/>
          <w:color w:val="000000"/>
          <w:kern w:val="2"/>
          <w:sz w:val="32"/>
          <w:szCs w:val="32"/>
          <w14:textFill>
            <w14:solidFill>
              <w14:srgbClr w14:val="000000"/>
            </w14:solidFill>
          </w14:textFill>
          <w:lang w:val="en-US" w:eastAsia="zh-CN" w:bidi="ar-SA"/>
          <w:highlight w:val="auto"/>
        </w:rPr>
        <w:t>6.16万元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、其他交通费</w:t>
      </w:r>
      <w:r>
        <w:rPr>
          <w:rFonts w:eastAsia="仿宋_GB2312" w:cs="仿宋_GB2312" w:hint="eastAsia"/>
          <w:color w:val="000000"/>
          <w:kern w:val="2"/>
          <w:sz w:val="32"/>
          <w:szCs w:val="32"/>
          <w14:textFill>
            <w14:solidFill>
              <w14:srgbClr w14:val="000000"/>
            </w14:solidFill>
          </w14:textFill>
          <w:lang w:val="en-US" w:eastAsia="zh-CN" w:bidi="ar-SA"/>
          <w:highlight w:val="auto"/>
        </w:rPr>
        <w:t>16.74万元</w:t>
      </w:r>
      <w:r>
        <w:rPr>
          <w:rFonts w:ascii="Times New Roman" w:eastAsia="仿宋_GB2312" w:cs="仿宋_GB2312" w:hAnsi="Times New Roman" w:hint="eastAsia"/>
          <w:color w:val="000000"/>
          <w:kern w:val="2"/>
          <w:sz w:val="32"/>
          <w:szCs w:val="32"/>
          <w14:textFill>
            <w14:solidFill>
              <w14:srgbClr w14:val="000000"/>
            </w14:solidFill>
          </w14:textFill>
          <w:lang w:val="en-US" w:eastAsia="zh-CN" w:bidi="ar-SA"/>
          <w:highlight w:val="auto"/>
        </w:rPr>
        <w:t>等。</w:t>
      </w:r>
    </w:p>
    <w:p>
      <w:pPr>
        <w:spacing w:line="600" w:lineRule="exact"/>
        <w:ind w:firstLine="640"/>
        <w:rPr>
          <w:rFonts w:ascii="Times New Roman" w:eastAsia="仿宋_GB2312" w:cs="仿宋_GB2312" w:hAnsi="Times New Roman" w:hint="eastAsia"/>
          <w:b/>
          <w:bCs/>
          <w:color w:val="000000"/>
          <w:kern w:val="2"/>
          <w:sz w:val="32"/>
          <w:szCs w:val="32"/>
          <w14:textFill>
            <w14:solidFill>
              <w14:srgbClr w14:val="000000"/>
            </w14:solidFill>
          </w14:textFill>
          <w:lang w:val="en-US" w:eastAsia="zh-CN" w:bidi="ar-SA"/>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640"/>
        <w:outlineLvl w:val="1"/>
        <w:rPr>
          <w:rStyle w:val="2Char"/>
          <w:rFonts w:ascii="Times New Roman" w:eastAsia="黑体" w:hAnsi="Times New Roman"/>
          <w:b w:val="0"/>
          <w:color w:val="auto"/>
          <w:highlight w:val="auto"/>
        </w:rPr>
      </w:pPr>
      <w:bookmarkStart w:id="49" w:name="_Toc15396609"/>
      <w:bookmarkStart w:id="50" w:name="_Toc29006"/>
      <w:bookmarkStart w:id="51" w:name="_Toc15377215"/>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49"/>
      <w:bookmarkEnd w:id="50"/>
      <w:bookmarkEnd w:id="51"/>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2" w:name="_Toc15377216"/>
      <w:r>
        <w:rPr>
          <w:rFonts w:ascii="Times New Roman" w:eastAsia="楷体_GB2312" w:cs="楷体_GB2312" w:hAnsi="Times New Roman" w:hint="eastAsia"/>
          <w:b/>
          <w:color w:val="auto"/>
          <w:sz w:val="32"/>
          <w:szCs w:val="32"/>
          <w:highlight w:val="auto"/>
        </w:rPr>
        <w:t>（一）“三公”经费财政拨款支出决算总体情况说明</w:t>
      </w:r>
      <w:bookmarkEnd w:id="5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6.91</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较上年度</w:t>
      </w:r>
      <w:r>
        <w:rPr>
          <w:rFonts w:eastAsia="仿宋_GB2312" w:cs="仿宋_GB2312" w:hint="eastAsia"/>
          <w:color w:val="auto"/>
          <w:kern w:val="2"/>
          <w:sz w:val="32"/>
          <w:szCs w:val="32"/>
          <w:lang w:val="en-US" w:eastAsia="zh-CN" w:bidi="ar-SA"/>
          <w:highlight w:val="auto"/>
        </w:rPr>
        <w:t>增加2.21</w:t>
      </w:r>
      <w:r>
        <w:rPr>
          <w:rFonts w:ascii="Times New Roman" w:eastAsia="仿宋_GB2312" w:cs="仿宋_GB2312" w:hAnsi="Times New Roman"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增加47.02</w:t>
      </w:r>
      <w:r>
        <w:rPr>
          <w:rFonts w:ascii="Times New Roman" w:eastAsia="仿宋_GB2312" w:cs="仿宋_GB2312" w:hAnsi="Times New Roman" w:hint="eastAsia"/>
          <w:color w:val="auto"/>
          <w:kern w:val="2"/>
          <w:sz w:val="32"/>
          <w:szCs w:val="32"/>
          <w:lang w:val="en-US" w:eastAsia="zh-CN" w:bidi="ar-SA"/>
          <w:highlight w:val="auto"/>
        </w:rPr>
        <w:t>%。决算数与预算数持平</w:t>
      </w:r>
      <w:r>
        <w:rPr>
          <w:rFonts w:eastAsia="仿宋_GB2312" w:cs="仿宋_GB2312" w:hint="eastAsia"/>
          <w:color w:val="auto"/>
          <w:kern w:val="2"/>
          <w:sz w:val="32"/>
          <w:szCs w:val="32"/>
          <w:lang w:val="en-US" w:eastAsia="zh-CN" w:bidi="ar-SA"/>
          <w:highlight w:val="auto"/>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3" w:name="_Toc15377217"/>
      <w:r>
        <w:rPr>
          <w:rFonts w:ascii="Times New Roman" w:eastAsia="楷体_GB2312" w:cs="楷体_GB2312" w:hAnsi="Times New Roman" w:hint="eastAsia"/>
          <w:b/>
          <w:color w:val="auto"/>
          <w:sz w:val="32"/>
          <w:szCs w:val="32"/>
          <w:highlight w:val="auto"/>
        </w:rPr>
        <w:t>（二）“三公”经费财政拨款支出决算具体情况说明</w:t>
      </w:r>
      <w:bookmarkEnd w:id="53"/>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万元，占0%；公务用车购置及运行维护费支出决算</w:t>
      </w:r>
      <w:r>
        <w:rPr>
          <w:rFonts w:ascii="仿宋_GB2312" w:eastAsia="仿宋_GB2312" w:cs="仿宋_GB2312" w:hint="eastAsia"/>
          <w:sz w:val="32"/>
          <w:szCs w:val="32"/>
        </w:rPr>
        <w:t>6.16</w:t>
      </w:r>
      <w:r>
        <w:rPr>
          <w:rFonts w:ascii="仿宋_GB2312" w:eastAsia="仿宋_GB2312" w:cs="仿宋_GB2312" w:hint="eastAsia"/>
          <w:color w:val="auto"/>
          <w:kern w:val="2"/>
          <w:sz w:val="32"/>
          <w:szCs w:val="32"/>
          <w:lang w:val="en-US" w:eastAsia="zh-CN" w:bidi="ar-SA"/>
          <w:highlight w:val="auto"/>
        </w:rPr>
        <w:t>万元，占89.15%；公务接待费支出决算</w:t>
      </w:r>
      <w:r>
        <w:rPr>
          <w:rFonts w:ascii="仿宋_GB2312" w:eastAsia="仿宋_GB2312" w:cs="仿宋_GB2312" w:hint="eastAsia"/>
          <w:sz w:val="32"/>
          <w:szCs w:val="32"/>
        </w:rPr>
        <w:t>0.75</w:t>
      </w:r>
      <w:r>
        <w:rPr>
          <w:rFonts w:ascii="仿宋_GB2312" w:eastAsia="仿宋_GB2312" w:cs="仿宋_GB2312" w:hint="eastAsia"/>
          <w:color w:val="auto"/>
          <w:kern w:val="2"/>
          <w:sz w:val="32"/>
          <w:szCs w:val="32"/>
          <w:lang w:val="en-US" w:eastAsia="zh-CN" w:bidi="ar-SA"/>
          <w:highlight w:val="auto"/>
        </w:rPr>
        <w:t>万元，占10.85%。具体情况如下：</w:t>
      </w:r>
    </w:p>
    <w:p>
      <w:pPr>
        <w:spacing w:line="600" w:lineRule="exact"/>
        <w:ind w:firstLine="640"/>
        <w:rPr>
          <w:rFonts w:ascii="Times New Roman" w:eastAsia="仿宋_GB2312" w:cs="仿宋_GB2312" w:hAnsi="Times New Roman" w:hint="eastAsia"/>
          <w:b/>
          <w:bCs/>
          <w:color w:val="auto"/>
          <w:kern w:val="2"/>
          <w:sz w:val="32"/>
          <w:szCs w:val="32"/>
          <w:lang w:val="en-US" w:eastAsia="zh-CN" w:bidi="ar-SA"/>
          <w:highlight w:val="auto"/>
        </w:rPr>
      </w:pPr>
    </w:p>
    <w:p>
      <w:pPr>
        <w:spacing w:line="600" w:lineRule="exact"/>
        <w:ind w:firstLine="640"/>
        <w:rPr>
          <w:rFonts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1.因公出国（境）经费支出</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万元，完成预算</w:t>
      </w:r>
      <w:r>
        <w:rPr>
          <w:rFonts w:eastAsia="仿宋_GB2312" w:cs="仿宋_GB2312" w:hint="eastAsia"/>
          <w:b/>
          <w:bCs/>
          <w:color w:val="auto"/>
          <w:kern w:val="2"/>
          <w:sz w:val="32"/>
          <w:szCs w:val="32"/>
          <w:lang w:val="en-US" w:eastAsia="zh-CN" w:bidi="ar-SA"/>
          <w:highlight w:val="auto"/>
        </w:rPr>
        <w:t>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全年安排因公出国（境）团</w:t>
      </w:r>
      <w:r>
        <w:rPr>
          <w:rFonts w:ascii="仿宋_GB2312" w:eastAsia="仿宋_GB2312" w:cs="仿宋_GB2312" w:hint="eastAsia"/>
          <w:color w:val="auto"/>
          <w:kern w:val="2"/>
          <w:sz w:val="32"/>
          <w:szCs w:val="32"/>
          <w:lang w:val="en-US" w:eastAsia="zh-CN" w:bidi="ar-SA"/>
          <w:highlight w:val="auto"/>
        </w:rPr>
        <w:t>组</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次，出国（境）</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人</w:t>
      </w:r>
      <w:r>
        <w:rPr>
          <w:rFonts w:ascii="Times New Roman" w:eastAsia="仿宋_GB2312" w:cs="仿宋_GB2312" w:hAnsi="Times New Roman" w:hint="eastAsia"/>
          <w:color w:val="auto"/>
          <w:kern w:val="2"/>
          <w:sz w:val="32"/>
          <w:szCs w:val="32"/>
          <w:lang w:val="en-US" w:eastAsia="zh-CN" w:bidi="ar-SA"/>
          <w:highlight w:val="auto"/>
        </w:rPr>
        <w:t>。因公出国（境）支出决算</w:t>
      </w:r>
      <w:r>
        <w:rPr>
          <w:rFonts w:eastAsia="仿宋_GB2312" w:cs="仿宋_GB2312" w:hint="eastAsia"/>
          <w:color w:val="auto"/>
          <w:kern w:val="2"/>
          <w:sz w:val="32"/>
          <w:szCs w:val="32"/>
          <w:lang w:val="en-US" w:eastAsia="zh-CN" w:bidi="ar-SA"/>
          <w:highlight w:val="auto"/>
        </w:rPr>
        <w:t>与</w:t>
      </w:r>
      <w:r>
        <w:rPr>
          <w:rFonts w:ascii="Times New Roman" w:eastAsia="仿宋_GB2312" w:cs="仿宋_GB2312" w:hAnsi="Times New Roman" w:hint="eastAsia"/>
          <w:color w:val="auto"/>
          <w:kern w:val="2"/>
          <w:sz w:val="32"/>
          <w:szCs w:val="32"/>
          <w:lang w:val="en-US" w:eastAsia="zh-CN" w:bidi="ar-SA"/>
          <w:highlight w:val="auto"/>
        </w:rPr>
        <w:t>2023年</w:t>
      </w:r>
      <w:r>
        <w:rPr>
          <w:rFonts w:eastAsia="仿宋_GB2312" w:cs="仿宋_GB2312" w:hint="eastAsia"/>
          <w:color w:val="auto"/>
          <w:kern w:val="2"/>
          <w:sz w:val="32"/>
          <w:szCs w:val="32"/>
          <w:lang w:val="en-US" w:eastAsia="zh-CN" w:bidi="ar-SA"/>
          <w:highlight w:val="auto"/>
        </w:rPr>
        <w:t>一样。</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2.公务用车购置及运行维护费支出</w:t>
      </w:r>
      <w:r>
        <w:rPr>
          <w:rFonts w:ascii="仿宋_GB2312" w:eastAsia="仿宋_GB2312" w:cs="仿宋_GB2312" w:hint="eastAsia"/>
          <w:b/>
          <w:bCs/>
          <w:color w:val="auto"/>
          <w:kern w:val="2"/>
          <w:sz w:val="32"/>
          <w:szCs w:val="32"/>
          <w:lang w:val="en-US" w:eastAsia="zh-CN" w:bidi="ar-SA"/>
          <w:highlight w:val="auto"/>
        </w:rPr>
        <w:t>6.16万</w:t>
      </w:r>
      <w:r>
        <w:rPr>
          <w:rFonts w:ascii="Times New Roman" w:eastAsia="仿宋_GB2312" w:cs="仿宋_GB2312" w:hAnsi="Times New Roman" w:hint="eastAsia"/>
          <w:b/>
          <w:bCs/>
          <w:color w:val="auto"/>
          <w:kern w:val="2"/>
          <w:sz w:val="32"/>
          <w:szCs w:val="32"/>
          <w:lang w:val="en-US" w:eastAsia="zh-CN" w:bidi="ar-SA"/>
          <w:highlight w:val="auto"/>
        </w:rPr>
        <w:t>元</w:t>
      </w:r>
      <w:r>
        <w:rPr>
          <w:rFonts w:eastAsia="仿宋_GB2312" w:cs="仿宋_GB2312" w:hint="eastAsia"/>
          <w:b/>
          <w:bCs/>
          <w:color w:val="auto"/>
          <w:kern w:val="2"/>
          <w:sz w:val="32"/>
          <w:szCs w:val="32"/>
          <w:lang w:val="en-US" w:eastAsia="zh-CN" w:bidi="ar-SA"/>
          <w:highlight w:val="auto"/>
        </w:rPr>
        <w:t>，</w:t>
      </w:r>
      <w:r>
        <w:rPr>
          <w:rFonts w:ascii="Times New Roman" w:eastAsia="仿宋_GB2312" w:cs="仿宋_GB2312" w:hAnsi="Times New Roman" w:hint="eastAsia"/>
          <w:b/>
          <w:bCs/>
          <w:color w:val="auto"/>
          <w:kern w:val="2"/>
          <w:sz w:val="32"/>
          <w:szCs w:val="32"/>
          <w:lang w:val="en-US" w:eastAsia="zh-CN" w:bidi="ar-SA"/>
          <w:highlight w:val="auto"/>
        </w:rPr>
        <w:t>完成预算</w:t>
      </w:r>
      <w:r>
        <w:rPr>
          <w:rFonts w:eastAsia="仿宋_GB2312" w:cs="仿宋_GB2312" w:hint="eastAsia"/>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公务用车购置及运行维护费支出决算比2023年度增加</w:t>
      </w:r>
      <w:r>
        <w:rPr>
          <w:rFonts w:eastAsia="仿宋_GB2312" w:cs="仿宋_GB2312" w:hint="eastAsia"/>
          <w:color w:val="auto"/>
          <w:kern w:val="2"/>
          <w:sz w:val="32"/>
          <w:szCs w:val="32"/>
          <w:lang w:val="en-US" w:eastAsia="zh-CN" w:bidi="ar-SA"/>
          <w:highlight w:val="auto"/>
        </w:rPr>
        <w:t>1.96</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46.67</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公务用车增加费用增加。</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其中：公务用车购置支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Times New Roman" w:eastAsia="仿宋_GB2312" w:cs="仿宋_GB2312" w:hAnsi="Times New Roman" w:hint="eastAsia"/>
          <w:color w:val="auto"/>
          <w:kern w:val="2"/>
          <w:sz w:val="32"/>
          <w:szCs w:val="32"/>
          <w:lang w:val="en-US" w:eastAsia="zh-CN" w:bidi="ar-SA"/>
          <w:highlight w:val="auto"/>
        </w:rPr>
        <w:t>万元。全年按规定更新购置公务用车</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辆。</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公务用车运行维护费支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6.16</w:t>
      </w:r>
      <w:r>
        <w:rPr>
          <w:rFonts w:ascii="Times New Roman" w:eastAsia="仿宋_GB2312" w:cs="仿宋_GB2312" w:hAnsi="Times New Roman" w:hint="eastAsia"/>
          <w:color w:val="auto"/>
          <w:kern w:val="2"/>
          <w:sz w:val="32"/>
          <w:szCs w:val="32"/>
          <w:lang w:val="en-US" w:eastAsia="zh-CN" w:bidi="ar-SA"/>
          <w:highlight w:val="auto"/>
        </w:rPr>
        <w:t>万元。主要用于</w:t>
      </w:r>
      <w:r>
        <w:rPr>
          <w:rFonts w:eastAsia="仿宋_GB2312" w:cs="仿宋_GB2312" w:hint="eastAsia"/>
          <w:color w:val="auto"/>
          <w:kern w:val="2"/>
          <w:sz w:val="32"/>
          <w:szCs w:val="32"/>
          <w:lang w:val="en-US" w:eastAsia="zh-CN" w:bidi="ar-SA"/>
          <w:highlight w:val="auto"/>
        </w:rPr>
        <w:t>单位开展日常工作</w:t>
      </w:r>
      <w:r>
        <w:rPr>
          <w:rFonts w:ascii="Times New Roman" w:eastAsia="仿宋_GB2312" w:cs="仿宋_GB2312" w:hAnsi="Times New Roman" w:hint="eastAsia"/>
          <w:color w:val="auto"/>
          <w:kern w:val="2"/>
          <w:sz w:val="32"/>
          <w:szCs w:val="32"/>
          <w:lang w:val="en-US" w:eastAsia="zh-CN" w:bidi="ar-SA"/>
          <w:highlight w:val="auto"/>
        </w:rPr>
        <w:t>所需的公务用车燃料费、维修费、过路过桥费、保险费等支出。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3.公务接待费支出</w:t>
      </w:r>
      <w:r>
        <w:rPr>
          <w:rFonts w:ascii="仿宋_GB2312" w:eastAsia="仿宋_GB2312" w:cs="仿宋_GB2312" w:hint="eastAsia"/>
          <w:b/>
          <w:bCs/>
          <w:color w:val="auto"/>
          <w:kern w:val="2"/>
          <w:sz w:val="32"/>
          <w:szCs w:val="32"/>
          <w:lang w:val="en-US" w:eastAsia="zh-CN" w:bidi="ar-SA"/>
          <w:highlight w:val="auto"/>
        </w:rPr>
        <w:t>0.75万</w:t>
      </w:r>
      <w:r>
        <w:rPr>
          <w:rFonts w:ascii="Times New Roman" w:eastAsia="仿宋_GB2312" w:cs="仿宋_GB2312" w:hAnsi="Times New Roman" w:hint="eastAsia"/>
          <w:b/>
          <w:bCs/>
          <w:color w:val="auto"/>
          <w:kern w:val="2"/>
          <w:sz w:val="32"/>
          <w:szCs w:val="32"/>
          <w:lang w:val="en-US" w:eastAsia="zh-CN" w:bidi="ar-SA"/>
          <w:highlight w:val="auto"/>
        </w:rPr>
        <w:t>元，完成预算</w:t>
      </w:r>
      <w:r>
        <w:rPr>
          <w:rFonts w:eastAsia="仿宋_GB2312" w:cs="仿宋_GB2312" w:hint="eastAsia"/>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公务接待费支出决算比2023年度增加</w:t>
      </w:r>
      <w:r>
        <w:rPr>
          <w:rFonts w:eastAsia="仿宋_GB2312" w:cs="仿宋_GB2312" w:hint="eastAsia"/>
          <w:color w:val="auto"/>
          <w:kern w:val="2"/>
          <w:sz w:val="32"/>
          <w:szCs w:val="32"/>
          <w:lang w:val="en-US" w:eastAsia="zh-CN" w:bidi="ar-SA"/>
          <w:highlight w:val="auto"/>
        </w:rPr>
        <w:t>0.25</w:t>
      </w:r>
      <w:r>
        <w:rPr>
          <w:rFonts w:ascii="Times New Roman" w:eastAsia="仿宋_GB2312" w:cs="仿宋_GB2312" w:hAnsi="Times New Roman" w:hint="eastAsia"/>
          <w:color w:val="auto"/>
          <w:kern w:val="2"/>
          <w:sz w:val="32"/>
          <w:szCs w:val="32"/>
          <w:lang w:val="en-US" w:eastAsia="zh-CN" w:bidi="ar-SA"/>
          <w:highlight w:val="auto"/>
        </w:rPr>
        <w:t>万元，增长</w:t>
      </w:r>
      <w:r>
        <w:rPr>
          <w:rFonts w:eastAsia="仿宋_GB2312" w:cs="仿宋_GB2312" w:hint="eastAsia"/>
          <w:color w:val="auto"/>
          <w:kern w:val="2"/>
          <w:sz w:val="32"/>
          <w:szCs w:val="32"/>
          <w:lang w:val="en-US" w:eastAsia="zh-CN" w:bidi="ar-SA"/>
          <w:highlight w:val="auto"/>
        </w:rPr>
        <w:t>50</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公务接待增加费用增加</w:t>
      </w:r>
      <w:r>
        <w:rPr>
          <w:rFonts w:ascii="Times New Roman" w:eastAsia="仿宋_GB2312" w:cs="仿宋_GB2312" w:hAnsi="Times New Roman" w:hint="eastAsia"/>
          <w:color w:val="auto"/>
          <w:kern w:val="2"/>
          <w:sz w:val="32"/>
          <w:szCs w:val="32"/>
          <w:lang w:val="en-US" w:eastAsia="zh-CN" w:bidi="ar-SA"/>
          <w:highlight w:val="auto"/>
        </w:rPr>
        <w:t>。其中：</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国内公务接待支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0.75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元，主要用于执行公务、开展业务活动开支的交通费、住宿费、用餐费等。国内公务接</w:t>
      </w:r>
      <w:r>
        <w:rPr>
          <w:rFonts w:ascii="仿宋_GB2312" w:eastAsia="仿宋_GB2312" w:cs="仿宋_GB2312" w:hint="eastAsia"/>
          <w:color w:val="auto"/>
          <w:kern w:val="2"/>
          <w:sz w:val="32"/>
          <w:szCs w:val="32"/>
          <w:lang w:val="en-US" w:eastAsia="zh-CN" w:bidi="ar-SA"/>
          <w:highlight w:val="auto"/>
        </w:rPr>
        <w:t>待</w:t>
      </w:r>
      <w:r>
        <w:rPr>
          <w:rFonts w:ascii="仿宋_GB2312" w:eastAsia="仿宋_GB2312" w:cs="仿宋_GB2312" w:hint="eastAsia"/>
          <w:sz w:val="32"/>
          <w:szCs w:val="32"/>
        </w:rPr>
        <w:t>19</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sz w:val="32"/>
          <w:szCs w:val="32"/>
        </w:rPr>
        <w:t>197</w:t>
      </w:r>
      <w:r>
        <w:rPr>
          <w:rFonts w:ascii="Times New Roman" w:eastAsia="仿宋_GB2312" w:cs="仿宋_GB2312" w:hAnsi="Times New Roman" w:hint="eastAsia"/>
          <w:color w:val="auto"/>
          <w:kern w:val="2"/>
          <w:sz w:val="32"/>
          <w:szCs w:val="32"/>
          <w:lang w:val="en-US" w:eastAsia="zh-CN" w:bidi="ar-SA"/>
          <w:highlight w:val="auto"/>
        </w:rPr>
        <w:t>人次（不包括陪同人员），共计支出</w:t>
      </w:r>
      <w:r>
        <w:rPr>
          <w:rFonts w:eastAsia="仿宋_GB2312" w:cs="仿宋_GB2312" w:hint="eastAsia"/>
          <w:color w:val="auto"/>
          <w:kern w:val="2"/>
          <w:sz w:val="32"/>
          <w:szCs w:val="32"/>
          <w:lang w:val="en-US" w:eastAsia="zh-CN" w:bidi="ar-SA"/>
          <w:highlight w:val="auto"/>
        </w:rPr>
        <w:t>0.75</w:t>
      </w:r>
      <w:r>
        <w:rPr>
          <w:rFonts w:ascii="Times New Roman" w:eastAsia="仿宋_GB2312" w:cs="仿宋_GB2312" w:hAnsi="Times New Roman" w:hint="eastAsia"/>
          <w:color w:val="auto"/>
          <w:kern w:val="2"/>
          <w:sz w:val="32"/>
          <w:szCs w:val="32"/>
          <w:lang w:val="en-US" w:eastAsia="zh-CN" w:bidi="ar-SA"/>
          <w:highlight w:val="auto"/>
        </w:rPr>
        <w:t>万元。</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外事接待支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54" w:name="_Toc15377218"/>
      <w:bookmarkStart w:id="55" w:name="_Toc15396610"/>
    </w:p>
    <w:p>
      <w:pPr>
        <w:spacing w:line="600" w:lineRule="exact"/>
        <w:ind w:firstLine="640"/>
        <w:outlineLvl w:val="1"/>
        <w:rPr>
          <w:rStyle w:val="2Char"/>
          <w:rFonts w:ascii="Times New Roman" w:eastAsia="黑体" w:hAnsi="Times New Roman"/>
          <w:color w:val="auto"/>
          <w:highlight w:val="auto"/>
        </w:rPr>
      </w:pPr>
      <w:bookmarkStart w:id="56" w:name="_Toc26062"/>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54"/>
      <w:bookmarkEnd w:id="55"/>
      <w:bookmarkEnd w:id="56"/>
    </w:p>
    <w:p>
      <w:pPr>
        <w:spacing w:line="600" w:lineRule="exact"/>
        <w:ind w:left="630"/>
        <w:outlineLvl w:val="1"/>
        <w:rPr>
          <w:rFonts w:ascii="Times New Roman" w:eastAsia="仿宋_GB2312" w:cs="仿宋_GB2312" w:hAnsi="Times New Roman" w:hint="eastAsia"/>
          <w:color w:val="auto"/>
          <w:kern w:val="2"/>
          <w:sz w:val="32"/>
          <w:szCs w:val="32"/>
          <w:lang w:val="en-US" w:eastAsia="zh-CN" w:bidi="ar-SA"/>
          <w:highlight w:val="auto"/>
        </w:rPr>
      </w:pPr>
      <w:bookmarkStart w:id="57" w:name="_Toc3552"/>
      <w:r>
        <w:rPr>
          <w:rFonts w:ascii="仿宋_GB2312" w:eastAsia="仿宋_GB2312" w:cs="仿宋_GB2312" w:hint="eastAsia"/>
          <w:color w:val="auto"/>
          <w:kern w:val="2"/>
          <w:sz w:val="32"/>
          <w:szCs w:val="32"/>
          <w:lang w:val="en-US" w:eastAsia="zh-CN" w:bidi="ar-SA"/>
          <w:highlight w:val="auto"/>
        </w:rPr>
        <w:t>2024年度政府性基金预算财政拨款支出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。与2023年度相比，政府性基金预算财政拨款支出增加/减少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w:t>
      </w:r>
      <w:bookmarkStart w:id="58" w:name="_Toc15377219"/>
      <w:bookmarkStart w:id="59" w:name="_Toc15396611"/>
      <w:bookmarkEnd w:id="57"/>
    </w:p>
    <w:p>
      <w:pPr>
        <w:spacing w:line="600" w:lineRule="exact"/>
        <w:ind w:left="630"/>
        <w:outlineLvl w:val="1"/>
        <w:rPr>
          <w:rStyle w:val="2Char"/>
          <w:rFonts w:ascii="Times New Roman" w:eastAsia="黑体" w:hAnsi="Times New Roman"/>
          <w:b w:val="0"/>
          <w:color w:val="auto"/>
          <w:highlight w:val="auto"/>
        </w:rPr>
      </w:pPr>
      <w:bookmarkStart w:id="60" w:name="_Toc31076"/>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58"/>
      <w:bookmarkEnd w:id="59"/>
      <w:bookmarkEnd w:id="60"/>
    </w:p>
    <w:p>
      <w:pPr>
        <w:spacing w:line="600" w:lineRule="exact"/>
        <w:ind w:left="630"/>
        <w:outlineLvl w:val="1"/>
        <w:rPr>
          <w:rFonts w:ascii="Times New Roman" w:eastAsia="仿宋_GB2312" w:cs="仿宋_GB2312" w:hAnsi="Times New Roman" w:hint="eastAsia"/>
          <w:color w:val="auto"/>
          <w:kern w:val="2"/>
          <w:sz w:val="32"/>
          <w:szCs w:val="32"/>
          <w:lang w:val="en-US" w:eastAsia="zh-CN" w:bidi="ar-SA"/>
          <w:highlight w:val="auto"/>
        </w:rPr>
      </w:pPr>
      <w:bookmarkStart w:id="61" w:name="_Toc28255"/>
      <w:r>
        <w:rPr>
          <w:rFonts w:ascii="Times New Roman" w:eastAsia="仿宋_GB2312" w:cs="仿宋_GB2312" w:hAnsi="Times New Roman" w:hint="eastAsia"/>
          <w:color w:val="auto"/>
          <w:kern w:val="2"/>
          <w:sz w:val="32"/>
          <w:szCs w:val="32"/>
          <w:lang w:val="en-US" w:eastAsia="zh-CN" w:bidi="ar-SA"/>
          <w:highlight w:val="auto"/>
        </w:rPr>
        <w:t>2024年度国有资本经营预算财政拨款支出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。与2023年度相比，国有资本经营预算财政拨款支出增加/减少</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万元，增长/下降</w:t>
      </w:r>
      <w:r>
        <w:rPr>
          <w:rFonts w:eastAsia="仿宋_GB2312" w:cs="仿宋_GB2312" w:hint="eastAsia"/>
          <w:color w:val="auto"/>
          <w:kern w:val="2"/>
          <w:sz w:val="32"/>
          <w:szCs w:val="32"/>
          <w:lang w:val="en-US" w:eastAsia="zh-CN" w:bidi="ar-SA"/>
          <w:highlight w:val="auto"/>
        </w:rPr>
        <w:t>0</w:t>
      </w:r>
      <w:r>
        <w:rPr>
          <w:rFonts w:ascii="Times New Roman" w:eastAsia="仿宋_GB2312" w:cs="仿宋_GB2312" w:hAnsi="Times New Roman" w:hint="eastAsia"/>
          <w:color w:val="auto"/>
          <w:kern w:val="2"/>
          <w:sz w:val="32"/>
          <w:szCs w:val="32"/>
          <w:lang w:val="en-US" w:eastAsia="zh-CN" w:bidi="ar-SA"/>
          <w:highlight w:val="auto"/>
        </w:rPr>
        <w:t>%。</w:t>
      </w:r>
      <w:bookmarkStart w:id="62" w:name="_Toc15396612"/>
      <w:bookmarkStart w:id="63" w:name="_Toc15377221"/>
      <w:bookmarkEnd w:id="61"/>
    </w:p>
    <w:p>
      <w:pPr>
        <w:spacing w:line="600" w:lineRule="exact"/>
        <w:ind w:left="630"/>
        <w:outlineLvl w:val="1"/>
        <w:rPr>
          <w:rStyle w:val="2Char"/>
          <w:rFonts w:ascii="Times New Roman" w:eastAsia="黑体" w:hAnsi="Times New Roman" w:hint="eastAsia"/>
          <w:b w:val="0"/>
          <w:color w:val="auto"/>
          <w:highlight w:val="auto"/>
        </w:rPr>
      </w:pPr>
      <w:bookmarkStart w:id="64" w:name="_Toc205"/>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62"/>
      <w:bookmarkEnd w:id="63"/>
      <w:bookmarkEnd w:id="64"/>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65" w:name="_Toc15377222"/>
      <w:r>
        <w:rPr>
          <w:rFonts w:ascii="Times New Roman" w:eastAsia="楷体_GB2312" w:cs="楷体_GB2312" w:hAnsi="Times New Roman" w:hint="eastAsia"/>
          <w:b/>
          <w:color w:val="auto"/>
          <w:sz w:val="32"/>
          <w:szCs w:val="32"/>
          <w:highlight w:val="auto"/>
        </w:rPr>
        <w:t>（一）机关运行经费支出情况</w:t>
      </w:r>
      <w:bookmarkEnd w:id="65"/>
    </w:p>
    <w:p>
      <w:pPr>
        <w:spacing w:line="600" w:lineRule="exact"/>
        <w:ind w:firstLine="640"/>
        <w:rPr>
          <w:rFonts w:ascii="Times New Roman" w:eastAsia="仿宋_GB2312" w:cs="仿宋_GB2312" w:hAnsi="Times New Roman"/>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金川县科学技术和农业畜牧局</w:t>
      </w:r>
      <w:r>
        <w:rPr>
          <w:rFonts w:ascii="仿宋_GB2312" w:eastAsia="仿宋_GB2312" w:cs="仿宋_GB2312" w:hint="eastAsia"/>
          <w:color w:val="auto"/>
          <w:kern w:val="2"/>
          <w:sz w:val="32"/>
          <w:szCs w:val="32"/>
          <w:lang w:val="en-US" w:eastAsia="zh-CN" w:bidi="ar-SA"/>
          <w:highlight w:val="auto"/>
        </w:rPr>
        <w:t>机关运行经费支出</w:t>
      </w:r>
      <w:r>
        <w:rPr>
          <w:rFonts w:ascii="仿宋_GB2312" w:eastAsia="仿宋_GB2312" w:cs="仿宋_GB2312" w:hint="eastAsia"/>
          <w:sz w:val="32"/>
          <w:szCs w:val="32"/>
        </w:rPr>
        <w:t>74.75</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元，比2023年度增加</w:t>
      </w:r>
      <w:r>
        <w:rPr>
          <w:rFonts w:eastAsia="仿宋_GB2312" w:cs="仿宋_GB2312" w:hint="eastAsia"/>
          <w:color w:val="auto"/>
          <w:kern w:val="2"/>
          <w:sz w:val="32"/>
          <w:szCs w:val="32"/>
          <w:lang w:val="en-US" w:eastAsia="zh-CN" w:bidi="ar-SA"/>
          <w:highlight w:val="auto"/>
        </w:rPr>
        <w:t>17.2</w:t>
      </w:r>
      <w:r>
        <w:rPr>
          <w:rFonts w:ascii="Times New Roman" w:eastAsia="仿宋_GB2312" w:cs="仿宋_GB2312" w:hAnsi="Times New Roman" w:hint="eastAsia"/>
          <w:color w:val="auto"/>
          <w:kern w:val="2"/>
          <w:sz w:val="32"/>
          <w:szCs w:val="32"/>
          <w:lang w:val="en-US" w:eastAsia="zh-CN" w:bidi="ar-SA"/>
          <w:highlight w:val="auto"/>
        </w:rPr>
        <w:t>万元，增长</w:t>
      </w:r>
      <w:r>
        <w:rPr>
          <w:rFonts w:eastAsia="仿宋_GB2312" w:cs="仿宋_GB2312" w:hint="eastAsia"/>
          <w:color w:val="auto"/>
          <w:kern w:val="2"/>
          <w:sz w:val="32"/>
          <w:szCs w:val="32"/>
          <w:lang w:val="en-US" w:eastAsia="zh-CN" w:bidi="ar-SA"/>
          <w:highlight w:val="auto"/>
        </w:rPr>
        <w:t>29.88</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24年单位项目增加差旅费增加</w:t>
      </w:r>
      <w:r>
        <w:rPr>
          <w:rFonts w:ascii="仿宋_GB2312" w:eastAsia="仿宋_GB2312" w:cs="仿宋_GB2312" w:hint="eastAsia"/>
          <w:color w:val="auto"/>
          <w:kern w:val="2"/>
          <w:sz w:val="32"/>
          <w:szCs w:val="32"/>
          <w:lang w:val="en-US" w:eastAsia="zh-CN" w:bidi="ar-SA"/>
          <w:highlight w:val="auto"/>
        </w:rPr>
        <w:t>机关运行经费增加。</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66" w:name="_Toc15377223"/>
      <w:r>
        <w:rPr>
          <w:rFonts w:ascii="Times New Roman" w:eastAsia="楷体_GB2312" w:cs="楷体_GB2312" w:hAnsi="Times New Roman" w:hint="eastAsia"/>
          <w:b/>
          <w:color w:val="auto"/>
          <w:sz w:val="32"/>
          <w:szCs w:val="32"/>
          <w:highlight w:val="auto"/>
        </w:rPr>
        <w:t>（二）政府采购支出情况</w:t>
      </w:r>
      <w:bookmarkEnd w:id="66"/>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w:t>
      </w:r>
      <w:r>
        <w:rPr>
          <w:rFonts w:ascii="仿宋_GB2312" w:eastAsia="仿宋_GB2312" w:cs="仿宋_GB2312" w:hint="eastAsia"/>
          <w:sz w:val="32"/>
          <w:szCs w:val="32"/>
        </w:rPr>
        <w:t>金川县科学技术和农业畜牧局</w:t>
      </w:r>
      <w:r>
        <w:rPr>
          <w:rFonts w:ascii="仿宋_GB2312" w:eastAsia="仿宋_GB2312" w:cs="仿宋_GB2312" w:hint="eastAsia"/>
          <w:color w:val="auto"/>
          <w:kern w:val="2"/>
          <w:sz w:val="32"/>
          <w:szCs w:val="32"/>
          <w:lang w:val="en-US" w:eastAsia="zh-CN" w:bidi="ar-SA"/>
          <w:highlight w:val="auto"/>
        </w:rPr>
        <w:t>政府采购支出总额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万元，其中：政府采购货物支出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万元、政府采购工程支出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万元、政府采购服务支出</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万元。主要用于…。授予中小企业合同金额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%，其中：授予小微企业合同金额</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万元，占政府采购支出总额的</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67" w:name="_Toc15377224"/>
      <w:r>
        <w:rPr>
          <w:rFonts w:ascii="Times New Roman" w:eastAsia="楷体_GB2312" w:cs="楷体_GB2312" w:hAnsi="Times New Roman" w:hint="eastAsia"/>
          <w:b/>
          <w:color w:val="auto"/>
          <w:sz w:val="32"/>
          <w:szCs w:val="32"/>
          <w:highlight w:val="auto"/>
        </w:rPr>
        <w:t>（三）国有资产占有使用情况</w:t>
      </w:r>
      <w:bookmarkEnd w:id="67"/>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金川县科学技术和农业畜牧局</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rPr>
        <w:t>7</w:t>
      </w:r>
      <w:r>
        <w:rPr>
          <w:rFonts w:ascii="仿宋_GB2312" w:eastAsia="仿宋_GB2312" w:cs="仿宋_GB2312" w:hint="eastAsia"/>
          <w:color w:val="auto"/>
          <w:kern w:val="2"/>
          <w:sz w:val="32"/>
          <w:szCs w:val="32"/>
          <w:lang w:val="en-US" w:eastAsia="zh-CN" w:bidi="ar-SA"/>
          <w:highlight w:val="auto"/>
        </w:rPr>
        <w:t>辆，其中：主要负责人用车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sz w:val="32"/>
          <w:szCs w:val="32"/>
        </w:rPr>
        <w:t>7</w:t>
      </w:r>
      <w:r>
        <w:rPr>
          <w:rFonts w:ascii="仿宋_GB2312" w:eastAsia="仿宋_GB2312" w:cs="仿宋_GB2312" w:hint="eastAsia"/>
          <w:color w:val="auto"/>
          <w:kern w:val="2"/>
          <w:sz w:val="32"/>
          <w:szCs w:val="32"/>
          <w:lang w:val="en-US" w:eastAsia="zh-CN" w:bidi="ar-SA"/>
          <w:highlight w:val="auto"/>
        </w:rPr>
        <w:t>辆，其他用车主要是用于单位职工下乡、出差等用车。单价100万元（含）以上设备（不含车辆）</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台（套）</w:t>
      </w:r>
      <w:r>
        <w:rPr>
          <w:rFonts w:ascii="Times New Roman" w:eastAsia="仿宋_GB2312" w:cs="仿宋_GB2312" w:hAnsi="Times New Roman" w:hint="eastAsia"/>
          <w:color w:val="auto"/>
          <w:kern w:val="2"/>
          <w:sz w:val="32"/>
          <w:szCs w:val="32"/>
          <w:lang w:val="en-US" w:eastAsia="zh-CN" w:bidi="ar-SA"/>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Chars="200" w:firstLine="640"/>
        <w:outlineLvl w:val="2"/>
        <w:rPr>
          <w:rFonts w:ascii="Times New Roman" w:eastAsia="楷体_GB2312" w:cs="楷体_GB2312" w:hAnsi="Times New Roman" w:hint="eastAsia"/>
          <w:b/>
          <w:color w:val="FF0000"/>
          <w:sz w:val="32"/>
          <w:szCs w:val="32"/>
          <w:highlight w:val="auto"/>
        </w:rPr>
      </w:pPr>
      <w:r>
        <w:rPr>
          <w:rFonts w:ascii="仿宋_GB2312" w:eastAsia="仿宋_GB2312" w:cs="Times New Roman" w:hint="eastAsia"/>
          <w:color w:val="000000"/>
          <w:sz w:val="32"/>
          <w:szCs w:val="32"/>
        </w:rPr>
        <w:t>（四）预算绩效管理情况</w:t>
      </w:r>
    </w:p>
    <w:p>
      <w:pPr>
        <w:spacing w:line="580" w:lineRule="exact"/>
        <w:ind w:firstLineChars="200" w:firstLine="640"/>
        <w:rPr>
          <w:rFonts w:ascii="楷体_GB2312" w:eastAsia="楷体_GB2312" w:cs="楷体_GB2312"/>
          <w:b/>
          <w:bCs/>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绩效目标管理情况</w:t>
      </w:r>
    </w:p>
    <w:p>
      <w:pPr>
        <w:spacing w:line="53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w:t>
      </w:r>
      <w:r>
        <w:rPr>
          <w:rFonts w:ascii="仿宋_GB2312" w:eastAsia="仿宋_GB2312" w:hint="eastAsia"/>
          <w:color w:val="000000"/>
          <w:sz w:val="32"/>
          <w:szCs w:val="32"/>
          <w:lang w:eastAsia="zh-CN"/>
        </w:rPr>
        <w:t>单位</w:t>
      </w:r>
      <w:r>
        <w:rPr>
          <w:rFonts w:ascii="仿宋_GB2312" w:eastAsia="仿宋_GB2312" w:hint="eastAsia"/>
          <w:color w:val="000000"/>
          <w:sz w:val="32"/>
          <w:szCs w:val="32"/>
        </w:rPr>
        <w:t>对</w:t>
      </w:r>
      <w:r>
        <w:rPr>
          <w:rFonts w:ascii="仿宋_GB2312" w:eastAsia="仿宋_GB2312" w:hint="eastAsia"/>
          <w:color w:val="000000"/>
          <w:sz w:val="32"/>
          <w:szCs w:val="32"/>
          <w:lang w:eastAsia="zh-CN"/>
        </w:rPr>
        <w:t>2024</w:t>
      </w:r>
      <w:r>
        <w:rPr>
          <w:rFonts w:ascii="仿宋_GB2312" w:eastAsia="仿宋_GB2312" w:hint="eastAsia"/>
          <w:color w:val="000000"/>
          <w:sz w:val="32"/>
          <w:szCs w:val="32"/>
        </w:rPr>
        <w:t>年部门预算整体支出和部门项目支出开展了绩效目标管理，共编制绩效目标</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p>
    <w:p>
      <w:pPr>
        <w:spacing w:line="580" w:lineRule="exact"/>
        <w:ind w:firstLineChars="200" w:firstLine="640"/>
        <w:rPr>
          <w:rFonts w:ascii="楷体_GB2312" w:eastAsia="楷体_GB2312" w:cs="楷体_GB2312"/>
          <w:b/>
          <w:bCs/>
          <w:sz w:val="32"/>
          <w:szCs w:val="32"/>
        </w:rPr>
      </w:pPr>
      <w:r>
        <w:rPr>
          <w:rFonts w:ascii="仿宋_GB2312" w:eastAsia="仿宋_GB2312" w:hint="eastAsia"/>
          <w:b/>
          <w:color w:val="000000"/>
          <w:sz w:val="32"/>
          <w:szCs w:val="32"/>
          <w:lang w:val="en-US" w:eastAsia="zh-CN"/>
        </w:rPr>
        <w:t>2.部门整体支出绩效自评开展情况</w:t>
      </w:r>
    </w:p>
    <w:p>
      <w:pPr>
        <w:spacing w:line="58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按照预算绩效管理要求，本</w:t>
      </w:r>
      <w:r>
        <w:rPr>
          <w:rFonts w:ascii="仿宋_GB2312" w:eastAsia="仿宋_GB2312" w:hint="eastAsia"/>
          <w:color w:val="000000"/>
          <w:sz w:val="32"/>
          <w:szCs w:val="32"/>
          <w:lang w:eastAsia="zh-CN"/>
        </w:rPr>
        <w:t>单位</w:t>
      </w:r>
      <w:r>
        <w:rPr>
          <w:rFonts w:ascii="仿宋_GB2312" w:eastAsia="仿宋_GB2312" w:cs="仿宋_GB2312" w:hint="eastAsia"/>
          <w:sz w:val="32"/>
          <w:szCs w:val="32"/>
        </w:rPr>
        <w:t>对</w:t>
      </w:r>
      <w:r>
        <w:rPr>
          <w:rFonts w:ascii="仿宋_GB2312" w:eastAsia="仿宋_GB2312" w:cs="仿宋_GB2312" w:hint="eastAsia"/>
          <w:sz w:val="32"/>
          <w:szCs w:val="32"/>
          <w:lang w:eastAsia="zh-CN"/>
        </w:rPr>
        <w:t>2024</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《金川县</w:t>
      </w:r>
      <w:r>
        <w:rPr>
          <w:rFonts w:ascii="仿宋_GB2312" w:eastAsia="仿宋_GB2312" w:hint="eastAsia"/>
          <w:sz w:val="32"/>
          <w:szCs w:val="32"/>
          <w:lang w:eastAsia="zh-CN"/>
        </w:rPr>
        <w:t>科学技术和农业畜牧局2024</w:t>
      </w:r>
      <w:r>
        <w:rPr>
          <w:rFonts w:ascii="仿宋_GB2312" w:eastAsia="仿宋_GB2312" w:hint="eastAsia"/>
          <w:sz w:val="32"/>
          <w:szCs w:val="32"/>
        </w:rPr>
        <w:t>年部门预算整体支出绩效评价报告》《</w:t>
      </w:r>
      <w:r>
        <w:rPr>
          <w:rFonts w:ascii="仿宋_GB2312" w:eastAsia="仿宋_GB2312" w:hint="eastAsia"/>
          <w:sz w:val="32"/>
          <w:szCs w:val="32"/>
          <w:lang w:val="en-US" w:eastAsia="zh-CN"/>
        </w:rPr>
        <w:t>2024年部门预算整体支出绩效自评表》</w:t>
      </w:r>
      <w:r>
        <w:rPr>
          <w:rFonts w:ascii="仿宋_GB2312" w:eastAsia="仿宋_GB2312" w:cs="仿宋_GB2312" w:hint="eastAsia"/>
          <w:sz w:val="32"/>
          <w:szCs w:val="32"/>
        </w:rPr>
        <w:t>见附件。</w:t>
      </w:r>
    </w:p>
    <w:p/>
    <w:p>
      <w:pPr>
        <w:spacing w:line="600" w:lineRule="exact"/>
        <w:jc w:val="left"/>
        <w:rPr>
          <w:rFonts w:ascii="Times New Roman" w:hAnsi="Times New Roman"/>
          <w:b/>
          <w:color w:val="auto"/>
          <w:sz w:val="44"/>
          <w:szCs w:val="44"/>
          <w:highlight w:val="auto"/>
        </w:rPr>
      </w:pPr>
    </w:p>
    <w:p>
      <w:pPr>
        <w:numPr>
          <w:ilvl w:val="0"/>
          <w:numId w:val="1"/>
        </w:numPr>
        <w:spacing w:line="600" w:lineRule="exact"/>
        <w:ind w:left="0" w:firstLineChars="150" w:firstLine="660"/>
        <w:jc w:val="center"/>
        <w:outlineLvl w:val="0"/>
        <w:rPr>
          <w:rStyle w:val="1Char"/>
          <w:rFonts w:ascii="黑体" w:eastAsia="黑体"/>
          <w:b w:val="0"/>
        </w:rPr>
      </w:pPr>
      <w:bookmarkStart w:id="68" w:name="_Toc5986"/>
      <w:bookmarkStart w:id="69" w:name="_Toc28050"/>
      <w:r>
        <w:rPr>
          <w:rFonts w:ascii="黑体" w:eastAsia="黑体" w:hint="eastAsia"/>
          <w:b w:val="0"/>
          <w:bCs/>
          <w:color w:val="000000"/>
          <w:sz w:val="44"/>
          <w:szCs w:val="44"/>
        </w:rPr>
        <w:t>名</w:t>
      </w:r>
      <w:r>
        <w:rPr>
          <w:rStyle w:val="1Char"/>
          <w:rFonts w:ascii="黑体" w:eastAsia="黑体" w:hint="eastAsia"/>
          <w:b w:val="0"/>
        </w:rPr>
        <w:t>词解释</w:t>
      </w:r>
      <w:bookmarkEnd w:id="68"/>
      <w:bookmarkEnd w:id="69"/>
    </w:p>
    <w:p>
      <w:pPr>
        <w:pStyle w:val="33"/>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结余分配：指事业单位按照事业单位会计制度的规定从非财政补助结余中分配的事业基金和职工福利基金等。</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cs="仿宋" w:hint="eastAsia"/>
          <w:color w:val="000000"/>
          <w:kern w:val="0"/>
          <w:sz w:val="32"/>
          <w:szCs w:val="32"/>
        </w:rPr>
        <w:t>一般公共服务（类）相关机构事务（款）行政运行（项）：指行政单位的基本支出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cs="仿宋" w:hint="eastAsia"/>
          <w:color w:val="000000"/>
          <w:kern w:val="0"/>
          <w:sz w:val="32"/>
          <w:szCs w:val="32"/>
        </w:rPr>
        <w:t>一般公共服务（类）相关机构事务（款）一般行政管理事务（项）：</w:t>
      </w:r>
      <w:r>
        <w:rPr>
          <w:rFonts w:ascii="仿宋_GB2312" w:eastAsia="仿宋_GB2312" w:hint="eastAsia"/>
          <w:color w:val="000000"/>
          <w:sz w:val="32"/>
          <w:szCs w:val="32"/>
        </w:rPr>
        <w:t>指反映行政单位未单独设置</w:t>
      </w:r>
      <w:r>
        <w:rPr>
          <w:rFonts w:ascii="仿宋_GB2312" w:eastAsia="仿宋_GB2312" w:hint="eastAsia"/>
          <w:color w:val="000000"/>
          <w:sz w:val="32"/>
          <w:szCs w:val="32"/>
          <w:lang w:eastAsia="zh-CN"/>
        </w:rPr>
        <w:t>项级</w:t>
      </w:r>
      <w:r>
        <w:rPr>
          <w:rFonts w:ascii="仿宋_GB2312" w:eastAsia="仿宋_GB2312" w:hint="eastAsia"/>
          <w:color w:val="000000"/>
          <w:sz w:val="32"/>
          <w:szCs w:val="32"/>
        </w:rPr>
        <w:t>科目的其他项目支出。</w:t>
      </w:r>
    </w:p>
    <w:p>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除上述项目以外用于教育管理事务方面的支出。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Chars="200" w:firstLine="640"/>
        <w:rPr>
          <w:rFonts w:ascii="黑体" w:eastAsia="黑体"/>
          <w:color w:val="000000"/>
          <w:sz w:val="44"/>
          <w:szCs w:val="44"/>
        </w:rPr>
      </w:pPr>
      <w:r>
        <w:rPr>
          <w:rFonts w:ascii="仿宋_GB2312" w:eastAsia="仿宋_GB2312"/>
          <w:sz w:val="32"/>
          <w:szCs w:val="32"/>
        </w:rPr>
        <w:t>19.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
      <w:pPr>
        <w:spacing w:line="600" w:lineRule="exact"/>
        <w:ind w:firstLine="640"/>
        <w:rPr>
          <w:rFonts w:ascii="Times New Roman" w:eastAsia="仿宋_GB2312" w:cs="仿宋_GB2312" w:hAnsi="Times New Roman" w:hint="eastAsia"/>
          <w:b/>
          <w:bCs/>
          <w:color w:val="FF0000"/>
          <w:kern w:val="2"/>
          <w:sz w:val="32"/>
          <w:szCs w:val="32"/>
          <w:lang w:val="en-US" w:eastAsia="zh-CN" w:bidi="ar-SA"/>
          <w:highlight w:val="auto"/>
        </w:rPr>
      </w:pPr>
    </w:p>
    <w:p>
      <w:pPr>
        <w:pStyle w:val="1"/>
        <w:bidi w:val="0"/>
        <w:jc w:val="center"/>
        <w:rPr>
          <w:rStyle w:val="1Char"/>
          <w:rFonts w:ascii="Times New Roman" w:eastAsia="黑体" w:hAnsi="Times New Roman" w:hint="eastAsia"/>
          <w:b w:val="0"/>
          <w:bCs/>
          <w:color w:val="auto"/>
          <w:lang w:eastAsia="zh-CN"/>
          <w:highlight w:val="auto"/>
        </w:rPr>
      </w:pPr>
      <w:bookmarkStart w:id="70" w:name="_Toc15377226"/>
      <w:r>
        <w:rPr>
          <w:rFonts w:ascii="Times New Roman" w:eastAsia="仿宋_GB2312" w:cs="仿宋_GB2312" w:hAnsi="Times New Roman" w:hint="eastAsia"/>
          <w:color w:val="FF0000"/>
          <w:kern w:val="2"/>
          <w:szCs w:val="32"/>
          <w:lang w:val="en-US" w:eastAsia="zh-CN" w:bidi="ar-SA"/>
          <w:highlight w:val="auto"/>
        </w:rPr>
        <w:br w:type="page"/>
      </w:r>
      <w:bookmarkStart w:id="71" w:name="_Toc4742"/>
      <w:bookmarkStart w:id="72" w:name="_Toc15396614"/>
      <w:r>
        <w:rPr>
          <w:rFonts w:hint="eastAsia"/>
        </w:rPr>
        <w:t>第四部分</w:t>
      </w:r>
      <w:r>
        <w:rPr>
          <w:rFonts w:hint="eastAsia"/>
          <w:lang w:val="en-US" w:eastAsia="zh-CN"/>
        </w:rPr>
        <w:t xml:space="preserve"> </w:t>
      </w:r>
      <w:r>
        <w:rPr>
          <w:rFonts w:hint="eastAsia"/>
        </w:rPr>
        <w:t xml:space="preserve"> 附件</w:t>
      </w:r>
      <w:bookmarkEnd w:id="71"/>
      <w:bookmarkEnd w:id="72"/>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方正小标宋简体" w:hAnsi="Times New Roman" w:hint="eastAsia"/>
          <w:color w:val="auto"/>
          <w:sz w:val="44"/>
          <w:szCs w:val="44"/>
          <w:lang w:val="en-US" w:eastAsia="zh-CN"/>
          <w:highlight w:val="auto"/>
        </w:rPr>
      </w:pPr>
      <w:bookmarkStart w:id="73" w:name="_Toc7057"/>
      <w:r>
        <w:rPr>
          <w:rFonts w:ascii="Times New Roman" w:eastAsia="黑体" w:cs="黑体" w:hAnsi="Times New Roman" w:hint="eastAsia"/>
          <w:color w:val="auto"/>
          <w:sz w:val="32"/>
          <w:szCs w:val="32"/>
          <w:highlight w:val="auto"/>
        </w:rPr>
        <w:t>附件</w:t>
      </w:r>
      <w:r>
        <w:rPr>
          <w:rFonts w:ascii="Times New Roman" w:eastAsia="黑体" w:cs="黑体" w:hAnsi="Times New Roman" w:hint="eastAsia"/>
          <w:color w:val="auto"/>
          <w:sz w:val="32"/>
          <w:szCs w:val="32"/>
          <w:lang w:val="en-US" w:eastAsia="zh-CN"/>
          <w:highlight w:val="auto"/>
        </w:rPr>
        <w:t>1</w:t>
      </w:r>
      <w:bookmarkEnd w:id="73"/>
    </w:p>
    <w:p>
      <w:pPr>
        <w:pStyle w:val="2"/>
        <w:bidi w:val="0"/>
        <w:jc w:val="center"/>
        <w:rPr>
          <w:rFonts w:hint="eastAsia"/>
          <w:sz w:val="44"/>
          <w:szCs w:val="44"/>
          <w:lang w:val="en-US" w:eastAsia="zh-CN"/>
        </w:rPr>
      </w:pPr>
      <w:bookmarkStart w:id="74" w:name="_Toc11177"/>
      <w:r>
        <w:rPr>
          <w:rFonts w:hint="eastAsia"/>
          <w:sz w:val="44"/>
          <w:szCs w:val="44"/>
          <w:lang w:val="en-US" w:eastAsia="zh-CN"/>
        </w:rPr>
        <w:t>金川县科学技术和农业畜牧局</w:t>
      </w:r>
      <w:bookmarkEnd w:id="74"/>
    </w:p>
    <w:p>
      <w:pPr>
        <w:pStyle w:val="2"/>
        <w:bidi w:val="0"/>
        <w:jc w:val="center"/>
      </w:pPr>
      <w:bookmarkStart w:id="75" w:name="_Toc231"/>
      <w:r>
        <w:rPr>
          <w:rFonts w:hint="eastAsia"/>
          <w:sz w:val="44"/>
          <w:szCs w:val="44"/>
          <w:lang w:val="en-US" w:eastAsia="zh-CN"/>
        </w:rPr>
        <w:t>2024年</w:t>
      </w:r>
      <w:r>
        <w:rPr>
          <w:sz w:val="44"/>
          <w:szCs w:val="44"/>
          <w:lang w:eastAsia="zh-CN"/>
        </w:rPr>
        <w:t>预算</w:t>
      </w:r>
      <w:r>
        <w:rPr>
          <w:sz w:val="44"/>
          <w:szCs w:val="44"/>
        </w:rPr>
        <w:t>绩效</w:t>
      </w:r>
      <w:r>
        <w:rPr>
          <w:rFonts w:hint="eastAsia"/>
          <w:sz w:val="44"/>
          <w:szCs w:val="44"/>
          <w:lang w:eastAsia="zh-CN"/>
        </w:rPr>
        <w:t>自评</w:t>
      </w:r>
      <w:r>
        <w:rPr>
          <w:sz w:val="44"/>
          <w:szCs w:val="44"/>
        </w:rPr>
        <w:t>报告</w:t>
      </w:r>
      <w:bookmarkEnd w:id="75"/>
    </w:p>
    <w:p>
      <w:pPr>
        <w:keepNext w:val="0"/>
        <w:keepLines w:val="0"/>
        <w:pageBreakBefore w:val="0"/>
        <w:widowControl w:val="0"/>
        <w:kinsoku/>
        <w:wordWrap/>
        <w:overflowPunct/>
        <w:topLinePunct w:val="0"/>
        <w:autoSpaceDE/>
        <w:autoSpaceDN/>
        <w:bidi w:val="0"/>
        <w:adjustRightInd/>
        <w:snapToGrid/>
        <w:spacing w:line="576" w:lineRule="exact"/>
        <w:textAlignment w:val="auto"/>
        <w:rPr>
          <w:rFonts w:ascii="方正仿宋_GBK" w:eastAsia="方正仿宋_GBK" w:cs="方正仿宋_GBK" w:hint="eastAsia"/>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sz w:val="32"/>
          <w:szCs w:val="32"/>
        </w:rPr>
      </w:pPr>
      <w:r>
        <w:rPr>
          <w:rFonts w:ascii="方正仿宋_GBK" w:eastAsia="方正仿宋_GBK" w:cs="方正仿宋_GBK" w:hint="eastAsia"/>
          <w:color w:val="000000"/>
          <w:kern w:val="0"/>
          <w:sz w:val="32"/>
          <w:szCs w:val="32"/>
          <w:shd w:val="clear" w:color="auto" w:fill="FFFFFF"/>
          <w:lang w:val="zh-CN"/>
          <w:highlight w:val="auto"/>
        </w:rPr>
        <w:t>一、部门（单位）基本情况</w:t>
      </w:r>
    </w:p>
    <w:p>
      <w:pPr>
        <w:pStyle w:val="38"/>
        <w:keepNext w:val="0"/>
        <w:keepLines w:val="0"/>
        <w:pageBreakBefore w:val="0"/>
        <w:kinsoku/>
        <w:wordWrap/>
        <w:overflowPunct/>
        <w:topLinePunct w:val="0"/>
        <w:autoSpaceDE/>
        <w:autoSpaceDN/>
        <w:bidi w:val="0"/>
        <w:spacing w:before="0" w:after="0" w:line="576" w:lineRule="exact"/>
        <w:ind w:firstLine="640"/>
        <w:textAlignment w:val="auto"/>
        <w:rPr>
          <w:rFonts w:ascii="方正仿宋_GBK" w:eastAsia="方正仿宋_GBK" w:cs="方正仿宋_GBK" w:hint="eastAsia"/>
          <w:b/>
          <w:bCs/>
          <w:color w:val="000000"/>
          <w:kern w:val="0"/>
          <w:sz w:val="32"/>
          <w:szCs w:val="32"/>
          <w:shd w:val="clear" w:color="auto" w:fill="FFFFFF"/>
          <w:lang w:val="zh-CN"/>
          <w:highlight w:val="auto"/>
        </w:rPr>
      </w:pPr>
      <w:r>
        <w:rPr>
          <w:rFonts w:ascii="方正仿宋_GBK" w:eastAsia="方正仿宋_GBK" w:cs="方正仿宋_GBK" w:hint="eastAsia"/>
          <w:b/>
          <w:bCs/>
          <w:color w:val="000000"/>
          <w:kern w:val="0"/>
          <w:sz w:val="32"/>
          <w:szCs w:val="32"/>
          <w:shd w:val="clear" w:color="auto" w:fill="FFFFFF"/>
          <w:lang w:val="zh-CN"/>
          <w:highlight w:val="auto"/>
        </w:rPr>
        <w:t>（一）机构组成。</w:t>
      </w:r>
    </w:p>
    <w:p>
      <w:pPr>
        <w:pStyle w:val="38"/>
        <w:keepNext w:val="0"/>
        <w:keepLines w:val="0"/>
        <w:pageBreakBefore w:val="0"/>
        <w:kinsoku/>
        <w:wordWrap/>
        <w:overflowPunct/>
        <w:topLinePunct w:val="0"/>
        <w:autoSpaceDE/>
        <w:autoSpaceDN/>
        <w:bidi w:val="0"/>
        <w:spacing w:before="0" w:after="0" w:line="576" w:lineRule="exact"/>
        <w:ind w:firstLine="640"/>
        <w:textAlignment w:val="auto"/>
        <w:rPr>
          <w:rFonts w:ascii="方正仿宋_GBK" w:eastAsia="方正仿宋_GBK" w:cs="方正仿宋_GBK" w:hint="eastAsia"/>
          <w:b/>
          <w:bCs/>
          <w:color w:val="000000"/>
          <w:kern w:val="0"/>
          <w:sz w:val="32"/>
          <w:szCs w:val="32"/>
          <w:shd w:val="clear" w:color="auto" w:fill="FFFFFF"/>
          <w:lang w:val="zh-CN"/>
          <w:highlight w:val="auto"/>
        </w:rPr>
      </w:pPr>
      <w:r>
        <w:rPr>
          <w:rFonts w:ascii="方正仿宋_GBK" w:eastAsia="方正仿宋_GBK" w:cs="方正仿宋_GBK" w:hint="eastAsia"/>
          <w:color w:val="000000"/>
          <w:kern w:val="0"/>
          <w:sz w:val="32"/>
          <w:szCs w:val="32"/>
          <w:lang w:val="zh-CN" w:eastAsia="zh-CN"/>
        </w:rPr>
        <w:t>我单位属独立编制机构，是独立核算的行政单位。</w:t>
      </w:r>
      <w:r>
        <w:rPr>
          <w:rFonts w:ascii="方正仿宋_GBK" w:eastAsia="方正仿宋_GBK" w:cs="方正仿宋_GBK" w:hint="eastAsia"/>
          <w:sz w:val="32"/>
          <w:szCs w:val="32"/>
        </w:rPr>
        <w:t>行政单位4个，事业单位1个；独立编制机构数3个，分别为金川县科学技术和农业畜牧局、金川县农村经营管理站、金川县农业技术推广站。</w:t>
      </w:r>
    </w:p>
    <w:p>
      <w:pPr>
        <w:pStyle w:val="38"/>
        <w:keepNext w:val="0"/>
        <w:keepLines w:val="0"/>
        <w:pageBreakBefore w:val="0"/>
        <w:numPr>
          <w:ilvl w:val="0"/>
          <w:numId w:val="2"/>
        </w:numPr>
        <w:kinsoku/>
        <w:wordWrap/>
        <w:overflowPunct/>
        <w:topLinePunct w:val="0"/>
        <w:autoSpaceDE/>
        <w:autoSpaceDN/>
        <w:bidi w:val="0"/>
        <w:spacing w:before="0" w:after="0" w:line="576" w:lineRule="exact"/>
        <w:ind w:left="0" w:firstLine="640"/>
        <w:textAlignment w:val="auto"/>
        <w:rPr>
          <w:rFonts w:ascii="方正仿宋_GBK" w:eastAsia="方正仿宋_GBK" w:cs="方正仿宋_GBK" w:hint="eastAsia"/>
          <w:b/>
          <w:bCs/>
          <w:color w:val="000000"/>
          <w:kern w:val="0"/>
          <w:sz w:val="32"/>
          <w:szCs w:val="32"/>
          <w:shd w:val="clear" w:color="auto" w:fill="FFFFFF"/>
          <w:lang w:val="zh-CN"/>
          <w:highlight w:val="auto"/>
        </w:rPr>
      </w:pPr>
      <w:r>
        <w:rPr>
          <w:rFonts w:ascii="方正仿宋_GBK" w:eastAsia="方正仿宋_GBK" w:cs="方正仿宋_GBK" w:hint="eastAsia"/>
          <w:b/>
          <w:bCs/>
          <w:color w:val="000000"/>
          <w:kern w:val="0"/>
          <w:sz w:val="32"/>
          <w:szCs w:val="32"/>
          <w:shd w:val="clear" w:color="auto" w:fill="FFFFFF"/>
          <w:lang w:val="zh-CN"/>
          <w:highlight w:val="auto"/>
        </w:rPr>
        <w:t>机构职能。</w:t>
      </w:r>
    </w:p>
    <w:p>
      <w:pPr>
        <w:pStyle w:val="38"/>
        <w:keepNext w:val="0"/>
        <w:keepLines w:val="0"/>
        <w:pageBreakBefore w:val="0"/>
        <w:kinsoku/>
        <w:wordWrap/>
        <w:overflowPunct/>
        <w:topLinePunct w:val="0"/>
        <w:autoSpaceDE/>
        <w:autoSpaceDN/>
        <w:bidi w:val="0"/>
        <w:spacing w:before="0" w:after="0" w:line="576" w:lineRule="exact"/>
        <w:ind w:left="0"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1．主要职能。</w:t>
      </w:r>
    </w:p>
    <w:p>
      <w:pPr>
        <w:pStyle w:val="38"/>
        <w:keepNext w:val="0"/>
        <w:keepLines w:val="0"/>
        <w:pageBreakBefore w:val="0"/>
        <w:kinsoku/>
        <w:wordWrap/>
        <w:overflowPunct/>
        <w:topLinePunct w:val="0"/>
        <w:autoSpaceDE/>
        <w:autoSpaceDN/>
        <w:bidi w:val="0"/>
        <w:spacing w:before="0" w:after="0" w:line="576" w:lineRule="exact"/>
        <w:ind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 贯彻执行国家有关种植业、农业机械化等各产业工作方针、政策和法律、法规；拟订全县农业、畜牧业经济发展战略、中长期发展规划、政策和年度计划并组织实施；组织起草有关农业和农村经济的地方性法规、规章草案；参与拟订涉农财税、价格、金融保险等政策，提出农业产业保护的政策建议，推进依法行政。 2.承担完善农村经营管理体制的责任。提出深化农村经济体制改革和稳定完善农村基本经营制度的政策建议，指导农村土地承包、耕地使用权流转和承包纠纷仲裁管理。指导、监督减轻农民负担和村民筹资筹劳管理工作，指导农村集体资产和财务管理。拟订农业产业化经营的发展规划与政策并组织实施，指导、扶持农业社会化服务体系、农村合作经济组织、农民专业合作社和农产品行业协会的建设与发展。 3.指导产业化经营，促进产前、产中、产后一体化发展。组织拟订优势特色效益农业发展、现代农业产业基地建设等政策与规划并组织实施，提出促进大宗农产品流通政策，研究制订大综农产品市场体系建设与发展规划，培育、保护和发展农产品品牌。组织协调“菜篮子”工程有关工作。 4.负责制订全县农业机械化发展规划并组织实施。承担推广先进适用的农业机械化新技术、新机械并组织生产作业，指导农村机电提灌、机耕道建设，承担负责农业机械使用安全监管的责任。 5.承担农业防灾减灾责任。监测、发布农业灾情，组织种子、化肥、种苗、消毒剂等救灾物资的储备和调拨，提出生产救灾资金安排建议，指导紧急救灾和灾后生产恢复。 6.管理农业、经济信息，监测分析农业、经济运行。开展相关统计工作，发布相关经济信息，负责相关信息体系建设，指导相关信息服务。 7.制定全县农牧渔业科研、农牧渔业技术推广的规划、计划和政策并组织实施，会同有关部门组织县级农牧科技创新体系、农牧渔业产业技术体系建设。组织引进农牧渔业先进技术，组织实施农牧渔业领域的高新技术和应用技术研究、农牧渔业科技成果转化和技术推广，负责农牧渔业科技成果管理，指导农技推广体系改革与建设，负责农牧渔业新品种保护、农牧渔业转基因生物的安全监督管理。 8.负责农牧资源区划和资源保护工作。指导农牧业用地、渔业水域、草原、宜农宜牧滩涂、宜农宜牧湿地以及农牧业生物物种资源的保护和管理；拟订耕地及基本农田质量保护与改良政策并指导实施，依法管理耕地质量，运用工程设施、农艺、农机、生物等措施发展资源节约型环境友好型农业。</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方正仿宋_GBK" w:eastAsia="方正仿宋_GBK" w:cs="方正仿宋_GBK" w:hint="eastAsia"/>
          <w:sz w:val="32"/>
          <w:szCs w:val="32"/>
        </w:rPr>
      </w:pPr>
      <w:r>
        <w:rPr>
          <w:rFonts w:ascii="方正仿宋_GBK" w:eastAsia="方正仿宋_GBK" w:cs="方正仿宋_GBK" w:hint="eastAsia"/>
          <w:b/>
          <w:bCs/>
          <w:color w:val="000000"/>
          <w:kern w:val="0"/>
          <w:sz w:val="32"/>
          <w:szCs w:val="32"/>
          <w:shd w:val="clear" w:color="auto" w:fill="FFFFFF"/>
          <w:lang w:val="zh-CN"/>
          <w:highlight w:val="auto"/>
        </w:rPr>
        <w:t>（三）人员概况。</w:t>
      </w:r>
      <w:r>
        <w:rPr>
          <w:rFonts w:ascii="方正仿宋_GBK" w:eastAsia="方正仿宋_GBK" w:cs="方正仿宋_GBK" w:hint="eastAsia"/>
          <w:sz w:val="32"/>
          <w:szCs w:val="32"/>
        </w:rPr>
        <w:t> 202</w:t>
      </w:r>
      <w:r>
        <w:rPr>
          <w:rFonts w:ascii="方正仿宋_GBK" w:eastAsia="方正仿宋_GBK" w:cs="方正仿宋_GBK" w:hint="eastAsia"/>
          <w:sz w:val="32"/>
          <w:szCs w:val="32"/>
          <w:lang w:val="en-US" w:eastAsia="zh-CN"/>
        </w:rPr>
        <w:t>4</w:t>
      </w:r>
      <w:r>
        <w:rPr>
          <w:rFonts w:ascii="方正仿宋_GBK" w:eastAsia="方正仿宋_GBK" w:cs="方正仿宋_GBK" w:hint="eastAsia"/>
          <w:sz w:val="32"/>
          <w:szCs w:val="32"/>
        </w:rPr>
        <w:t>年年末实有在职83人，其中公务员13人，参公14人，事业56人。</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highlight w:val="auto"/>
        </w:rPr>
      </w:pPr>
      <w:r>
        <w:rPr>
          <w:rFonts w:ascii="方正仿宋_GBK" w:eastAsia="方正仿宋_GBK" w:cs="方正仿宋_GBK" w:hint="eastAsia"/>
          <w:color w:val="000000"/>
          <w:kern w:val="0"/>
          <w:sz w:val="32"/>
          <w:szCs w:val="32"/>
          <w:shd w:val="clear" w:color="auto" w:fill="FFFFFF"/>
          <w:highlight w:val="auto"/>
        </w:rPr>
        <w:t>二、</w:t>
      </w:r>
      <w:r>
        <w:rPr>
          <w:rFonts w:ascii="方正仿宋_GBK" w:eastAsia="方正仿宋_GBK" w:cs="方正仿宋_GBK" w:hint="eastAsia"/>
          <w:color w:val="000000"/>
          <w:kern w:val="0"/>
          <w:sz w:val="32"/>
          <w:szCs w:val="32"/>
          <w:shd w:val="clear" w:color="auto" w:fill="FFFFFF"/>
          <w:lang w:eastAsia="zh-CN"/>
          <w:highlight w:val="auto"/>
        </w:rPr>
        <w:t>部门</w:t>
      </w:r>
      <w:r>
        <w:rPr>
          <w:rFonts w:ascii="方正仿宋_GBK" w:eastAsia="方正仿宋_GBK" w:cs="方正仿宋_GBK" w:hint="eastAsia"/>
          <w:color w:val="000000"/>
          <w:kern w:val="0"/>
          <w:sz w:val="32"/>
          <w:szCs w:val="32"/>
          <w:shd w:val="clear" w:color="auto" w:fill="FFFFFF"/>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en-US"/>
        </w:rPr>
      </w:pPr>
      <w:r>
        <w:rPr>
          <w:rFonts w:ascii="方正仿宋_GBK" w:eastAsia="方正仿宋_GBK" w:cs="方正仿宋_GBK" w:hint="eastAsia"/>
          <w:b/>
          <w:bCs/>
          <w:color w:val="000000"/>
          <w:kern w:val="0"/>
          <w:sz w:val="32"/>
          <w:szCs w:val="32"/>
          <w:shd w:val="clear" w:color="auto" w:fill="FFFFFF"/>
          <w:lang w:val="zh-CN"/>
        </w:rPr>
        <w:t>（一）收入情况。</w:t>
      </w:r>
      <w:r>
        <w:rPr>
          <w:rFonts w:ascii="方正仿宋_GBK" w:eastAsia="方正仿宋_GBK" w:cs="方正仿宋_GBK" w:hint="eastAsia"/>
          <w:color w:val="000000"/>
          <w:sz w:val="32"/>
          <w:szCs w:val="32"/>
          <w:lang w:val="en-US" w:eastAsia="zh-CN"/>
        </w:rPr>
        <w:t>本单位本年度收入的年初预算数为</w:t>
      </w:r>
      <w:r>
        <w:rPr>
          <w:rFonts w:ascii="方正仿宋_GBK" w:eastAsia="方正仿宋_GBK" w:cs="方正仿宋_GBK" w:hint="eastAsia"/>
          <w:sz w:val="32"/>
          <w:szCs w:val="32"/>
        </w:rPr>
        <w:t>1,915.64</w:t>
      </w:r>
      <w:r>
        <w:rPr>
          <w:rFonts w:ascii="方正仿宋_GBK" w:eastAsia="方正仿宋_GBK" w:cs="方正仿宋_GBK" w:hint="eastAsia"/>
          <w:color w:val="000000"/>
          <w:sz w:val="32"/>
          <w:szCs w:val="32"/>
          <w:lang w:val="en-US" w:eastAsia="zh-CN"/>
        </w:rPr>
        <w:t>万元，</w:t>
      </w:r>
      <w:r>
        <w:rPr>
          <w:rFonts w:ascii="方正仿宋_GBK" w:eastAsia="方正仿宋_GBK" w:cs="方正仿宋_GBK" w:hint="eastAsia"/>
          <w:color w:val="000000"/>
          <w:sz w:val="32"/>
          <w:szCs w:val="32"/>
          <w:lang w:eastAsia="zh-CN"/>
        </w:rPr>
        <w:t>决算报表</w:t>
      </w:r>
      <w:r>
        <w:rPr>
          <w:rFonts w:ascii="方正仿宋_GBK" w:eastAsia="方正仿宋_GBK" w:cs="方正仿宋_GBK" w:hint="eastAsia"/>
          <w:color w:val="000000"/>
          <w:sz w:val="32"/>
          <w:szCs w:val="32"/>
        </w:rPr>
        <w:t>收</w:t>
      </w:r>
      <w:r>
        <w:rPr>
          <w:rFonts w:ascii="方正仿宋_GBK" w:eastAsia="方正仿宋_GBK" w:cs="方正仿宋_GBK" w:hint="eastAsia"/>
          <w:color w:val="000000"/>
          <w:sz w:val="32"/>
          <w:szCs w:val="32"/>
          <w:lang w:val="en-US" w:eastAsia="zh-CN"/>
        </w:rPr>
        <w:t>入19090.42万元</w:t>
      </w:r>
      <w:r>
        <w:rPr>
          <w:rFonts w:ascii="方正仿宋_GBK" w:eastAsia="方正仿宋_GBK" w:cs="方正仿宋_GBK" w:hint="eastAsia"/>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b/>
          <w:bCs/>
          <w:color w:val="000000"/>
          <w:kern w:val="0"/>
          <w:sz w:val="32"/>
          <w:szCs w:val="32"/>
          <w:shd w:val="clear" w:color="auto" w:fill="FFFFFF"/>
          <w:lang w:val="en-US"/>
        </w:rPr>
      </w:pPr>
      <w:r>
        <w:rPr>
          <w:rFonts w:ascii="方正仿宋_GBK" w:eastAsia="方正仿宋_GBK" w:cs="方正仿宋_GBK" w:hint="eastAsia"/>
          <w:b/>
          <w:bCs/>
          <w:color w:val="000000"/>
          <w:kern w:val="0"/>
          <w:sz w:val="32"/>
          <w:szCs w:val="32"/>
          <w:shd w:val="clear" w:color="auto" w:fill="FFFFFF"/>
          <w:lang w:val="zh-CN"/>
        </w:rPr>
        <w:t>（二）支出情况。</w:t>
      </w:r>
      <w:r>
        <w:rPr>
          <w:rFonts w:ascii="方正仿宋_GBK" w:eastAsia="方正仿宋_GBK" w:cs="方正仿宋_GBK" w:hint="eastAsia"/>
          <w:color w:val="000000"/>
          <w:sz w:val="32"/>
          <w:szCs w:val="32"/>
          <w:lang w:val="en-US" w:eastAsia="zh-CN"/>
        </w:rPr>
        <w:t>本单位本年度支出的年初预算数为</w:t>
      </w:r>
      <w:r>
        <w:rPr>
          <w:rFonts w:ascii="方正仿宋_GBK" w:eastAsia="方正仿宋_GBK" w:cs="方正仿宋_GBK" w:hint="eastAsia"/>
          <w:sz w:val="32"/>
          <w:szCs w:val="32"/>
        </w:rPr>
        <w:t>1,915.64</w:t>
      </w:r>
      <w:r>
        <w:rPr>
          <w:rFonts w:ascii="方正仿宋_GBK" w:eastAsia="方正仿宋_GBK" w:cs="方正仿宋_GBK" w:hint="eastAsia"/>
          <w:color w:val="000000"/>
          <w:sz w:val="32"/>
          <w:szCs w:val="32"/>
          <w:lang w:val="en-US" w:eastAsia="zh-CN"/>
        </w:rPr>
        <w:t>万元，</w:t>
      </w:r>
      <w:r>
        <w:rPr>
          <w:rFonts w:ascii="方正仿宋_GBK" w:eastAsia="方正仿宋_GBK" w:cs="方正仿宋_GBK" w:hint="eastAsia"/>
          <w:color w:val="000000"/>
          <w:sz w:val="32"/>
          <w:szCs w:val="32"/>
          <w:lang w:eastAsia="zh-CN"/>
        </w:rPr>
        <w:t>决算报表支出</w:t>
      </w:r>
      <w:r>
        <w:rPr>
          <w:rFonts w:ascii="方正仿宋_GBK" w:eastAsia="方正仿宋_GBK" w:cs="方正仿宋_GBK" w:hint="eastAsia"/>
          <w:color w:val="000000"/>
          <w:sz w:val="32"/>
          <w:szCs w:val="32"/>
          <w:lang w:val="en-US" w:eastAsia="zh-CN"/>
        </w:rPr>
        <w:t>19090.42万元</w:t>
      </w:r>
      <w:r>
        <w:rPr>
          <w:rFonts w:ascii="方正仿宋_GBK" w:eastAsia="方正仿宋_GBK" w:cs="方正仿宋_GBK" w:hint="eastAsia"/>
          <w:sz w:val="32"/>
          <w:szCs w:val="32"/>
          <w:lang w:val="en-US" w:eastAsia="zh-CN"/>
        </w:rPr>
        <w:t>。</w:t>
      </w:r>
    </w:p>
    <w:p>
      <w:pPr>
        <w:pStyle w:val="38"/>
        <w:keepNext w:val="0"/>
        <w:keepLines w:val="0"/>
        <w:pageBreakBefore w:val="0"/>
        <w:numPr>
          <w:ilvl w:val="0"/>
          <w:numId w:val="2"/>
        </w:numPr>
        <w:kinsoku/>
        <w:wordWrap/>
        <w:overflowPunct/>
        <w:topLinePunct w:val="0"/>
        <w:autoSpaceDE/>
        <w:autoSpaceDN/>
        <w:bidi w:val="0"/>
        <w:spacing w:before="0" w:after="0" w:line="576" w:lineRule="exact"/>
        <w:ind w:left="0" w:firstLine="640"/>
        <w:textAlignment w:val="auto"/>
        <w:rPr>
          <w:rFonts w:ascii="方正仿宋_GBK" w:eastAsia="方正仿宋_GBK" w:cs="方正仿宋_GBK" w:hint="eastAsia"/>
          <w:b/>
          <w:sz w:val="32"/>
          <w:szCs w:val="32"/>
          <w:lang w:eastAsia="zh-CN"/>
        </w:rPr>
      </w:pPr>
      <w:r>
        <w:rPr>
          <w:rFonts w:ascii="方正仿宋_GBK" w:eastAsia="方正仿宋_GBK" w:cs="方正仿宋_GBK" w:hint="eastAsia"/>
          <w:b/>
          <w:sz w:val="32"/>
          <w:szCs w:val="32"/>
        </w:rPr>
        <w:t>结余分配和结转结余情况</w:t>
      </w:r>
      <w:r>
        <w:rPr>
          <w:rFonts w:ascii="方正仿宋_GBK" w:eastAsia="方正仿宋_GBK" w:cs="方正仿宋_GBK" w:hint="eastAsia"/>
          <w:b/>
          <w:sz w:val="32"/>
          <w:szCs w:val="32"/>
          <w:lang w:eastAsia="zh-CN"/>
        </w:rPr>
        <w:t>。</w:t>
      </w:r>
    </w:p>
    <w:p>
      <w:pPr>
        <w:pStyle w:val="38"/>
        <w:keepNext w:val="0"/>
        <w:keepLines w:val="0"/>
        <w:pageBreakBefore w:val="0"/>
        <w:kinsoku/>
        <w:wordWrap/>
        <w:overflowPunct/>
        <w:topLinePunct w:val="0"/>
        <w:autoSpaceDE/>
        <w:autoSpaceDN/>
        <w:bidi w:val="0"/>
        <w:spacing w:before="0" w:after="0" w:line="576" w:lineRule="exact"/>
        <w:ind w:left="640" w:firstLineChars="100" w:firstLine="32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1.财政拨款结转和结余</w:t>
      </w:r>
    </w:p>
    <w:p>
      <w:pPr>
        <w:pStyle w:val="38"/>
        <w:keepNext w:val="0"/>
        <w:keepLines w:val="0"/>
        <w:pageBreakBefore w:val="0"/>
        <w:kinsoku/>
        <w:wordWrap/>
        <w:overflowPunct/>
        <w:topLinePunct w:val="0"/>
        <w:autoSpaceDE/>
        <w:autoSpaceDN/>
        <w:bidi w:val="0"/>
        <w:spacing w:before="0" w:after="0" w:line="576" w:lineRule="exact"/>
        <w:ind w:firstLine="72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无财政拨款结转和结余</w:t>
      </w:r>
    </w:p>
    <w:p>
      <w:pPr>
        <w:pStyle w:val="38"/>
        <w:keepNext w:val="0"/>
        <w:keepLines w:val="0"/>
        <w:pageBreakBefore w:val="0"/>
        <w:kinsoku/>
        <w:wordWrap/>
        <w:overflowPunct/>
        <w:topLinePunct w:val="0"/>
        <w:autoSpaceDE/>
        <w:autoSpaceDN/>
        <w:bidi w:val="0"/>
        <w:spacing w:before="0" w:after="0" w:line="576" w:lineRule="exact"/>
        <w:ind w:firstLine="640"/>
        <w:textAlignment w:val="auto"/>
        <w:rPr>
          <w:rFonts w:ascii="方正仿宋_GBK" w:eastAsia="方正仿宋_GBK" w:cs="方正仿宋_GBK" w:hint="eastAsia"/>
          <w:sz w:val="32"/>
          <w:szCs w:val="32"/>
        </w:rPr>
      </w:pPr>
      <w:r>
        <w:rPr>
          <w:rFonts w:ascii="方正仿宋_GBK" w:eastAsia="方正仿宋_GBK" w:cs="方正仿宋_GBK" w:hint="eastAsia"/>
          <w:sz w:val="32"/>
          <w:szCs w:val="32"/>
        </w:rPr>
        <w:t>2.非财政拨款结转和结余</w:t>
      </w:r>
    </w:p>
    <w:p>
      <w:pPr>
        <w:pStyle w:val="38"/>
        <w:keepNext w:val="0"/>
        <w:keepLines w:val="0"/>
        <w:pageBreakBefore w:val="0"/>
        <w:kinsoku/>
        <w:wordWrap/>
        <w:overflowPunct/>
        <w:topLinePunct w:val="0"/>
        <w:autoSpaceDE/>
        <w:autoSpaceDN/>
        <w:bidi w:val="0"/>
        <w:spacing w:before="0" w:after="0" w:line="576" w:lineRule="exact"/>
        <w:ind w:firstLine="720"/>
        <w:textAlignment w:val="auto"/>
        <w:rPr>
          <w:rFonts w:ascii="方正仿宋_GBK" w:eastAsia="方正仿宋_GBK" w:cs="方正仿宋_GBK" w:hint="eastAsia"/>
          <w:b w:val="0"/>
          <w:bCs w:val="0"/>
          <w:color w:val="000000"/>
          <w:kern w:val="0"/>
          <w:sz w:val="32"/>
          <w:szCs w:val="32"/>
          <w:shd w:val="clear" w:color="auto" w:fill="FFFFFF"/>
          <w:lang w:val="zh-CN" w:eastAsia="zh-CN"/>
          <w:highlight w:val="auto"/>
        </w:rPr>
      </w:pPr>
      <w:r>
        <w:rPr>
          <w:rFonts w:ascii="方正仿宋_GBK" w:eastAsia="方正仿宋_GBK" w:cs="方正仿宋_GBK" w:hint="eastAsia"/>
          <w:sz w:val="32"/>
          <w:szCs w:val="32"/>
        </w:rPr>
        <w:t>本年非财政拨款结转和结余0.00万元，与上年度相比增减0万元,其中：基本支出结转结余0.00万元，项目支出结转0.00万元，项目支出结余0.00万元，经营支出结余0.00万元，</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highlight w:val="auto"/>
        </w:rPr>
      </w:pPr>
      <w:r>
        <w:rPr>
          <w:rFonts w:ascii="方正仿宋_GBK" w:eastAsia="方正仿宋_GBK" w:cs="方正仿宋_GBK" w:hint="eastAsia"/>
          <w:color w:val="000000"/>
          <w:kern w:val="0"/>
          <w:sz w:val="32"/>
          <w:szCs w:val="32"/>
          <w:shd w:val="clear" w:color="auto" w:fill="FFFFFF"/>
          <w:highlight w:val="auto"/>
        </w:rPr>
        <w:t>三、</w:t>
      </w:r>
      <w:r>
        <w:rPr>
          <w:rFonts w:ascii="方正仿宋_GBK" w:eastAsia="方正仿宋_GBK" w:cs="方正仿宋_GBK" w:hint="eastAsia"/>
          <w:color w:val="000000"/>
          <w:kern w:val="0"/>
          <w:sz w:val="32"/>
          <w:szCs w:val="32"/>
          <w:u w:val="none"/>
          <w:shd w:val="clear" w:color="auto" w:fill="FFFFFF"/>
          <w:highlight w:val="auto"/>
        </w:rPr>
        <w:t>部门</w:t>
      </w:r>
      <w:r>
        <w:rPr>
          <w:rFonts w:ascii="方正仿宋_GBK" w:eastAsia="方正仿宋_GBK" w:cs="方正仿宋_GBK" w:hint="eastAsia"/>
          <w:color w:val="000000"/>
          <w:kern w:val="0"/>
          <w:sz w:val="32"/>
          <w:szCs w:val="32"/>
          <w:u w:val="none"/>
          <w:shd w:val="clear" w:color="auto" w:fill="FFFFFF"/>
          <w:lang w:eastAsia="zh-CN"/>
          <w:highlight w:val="auto"/>
        </w:rPr>
        <w:t>预算</w:t>
      </w:r>
      <w:r>
        <w:rPr>
          <w:rFonts w:ascii="方正仿宋_GBK" w:eastAsia="方正仿宋_GBK" w:cs="方正仿宋_GBK" w:hint="eastAsia"/>
          <w:color w:val="000000"/>
          <w:kern w:val="0"/>
          <w:sz w:val="32"/>
          <w:szCs w:val="32"/>
          <w:u w:val="none"/>
          <w:shd w:val="clear" w:color="auto" w:fill="FFFFFF"/>
          <w:highlight w:val="auto"/>
        </w:rPr>
        <w:t>绩效</w:t>
      </w:r>
      <w:r>
        <w:rPr>
          <w:rFonts w:ascii="方正仿宋_GBK" w:eastAsia="方正仿宋_GBK" w:cs="方正仿宋_GBK" w:hint="eastAsia"/>
          <w:color w:val="000000"/>
          <w:kern w:val="0"/>
          <w:sz w:val="32"/>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highlight w:val="auto"/>
        </w:rPr>
      </w:pPr>
      <w:r>
        <w:rPr>
          <w:rFonts w:ascii="方正仿宋_GBK" w:eastAsia="方正仿宋_GBK" w:cs="方正仿宋_GBK" w:hint="eastAsia"/>
          <w:b/>
          <w:bCs/>
          <w:color w:val="000000"/>
          <w:kern w:val="0"/>
          <w:sz w:val="32"/>
          <w:szCs w:val="32"/>
          <w:shd w:val="clear" w:color="auto" w:fill="FFFFFF"/>
          <w:lang w:val="zh-CN"/>
          <w:highlight w:val="auto"/>
        </w:rPr>
        <w:t>（一）部门预算总体绩效分析。</w:t>
      </w:r>
      <w:r>
        <w:rPr>
          <w:rFonts w:ascii="方正仿宋_GBK" w:eastAsia="方正仿宋_GBK" w:cs="方正仿宋_GBK" w:hint="eastAsia"/>
          <w:color w:val="000000"/>
          <w:kern w:val="0"/>
          <w:sz w:val="32"/>
          <w:szCs w:val="32"/>
          <w:shd w:val="clear" w:color="auto" w:fill="FFFFFF"/>
          <w:lang w:val="zh-CN"/>
          <w:highlight w:val="auto"/>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highlight w:val="auto"/>
        </w:rPr>
      </w:pPr>
      <w:r>
        <w:rPr>
          <w:rFonts w:ascii="方正仿宋_GBK" w:eastAsia="方正仿宋_GBK" w:cs="方正仿宋_GBK" w:hint="eastAsia"/>
          <w:color w:val="000000"/>
          <w:kern w:val="0"/>
          <w:sz w:val="32"/>
          <w:szCs w:val="32"/>
          <w:shd w:val="clear" w:color="auto" w:fill="FFFFFF"/>
          <w:lang w:val="en-US" w:eastAsia="zh-CN"/>
          <w:highlight w:val="auto"/>
        </w:rPr>
        <w:t>1.</w:t>
      </w:r>
      <w:r>
        <w:rPr>
          <w:rFonts w:ascii="方正仿宋_GBK" w:eastAsia="方正仿宋_GBK" w:cs="方正仿宋_GBK" w:hint="eastAsia"/>
          <w:color w:val="000000"/>
          <w:kern w:val="0"/>
          <w:sz w:val="32"/>
          <w:szCs w:val="32"/>
          <w:shd w:val="clear" w:color="auto" w:fill="FFFFFF"/>
          <w:lang w:val="zh-CN"/>
          <w:highlight w:val="auto"/>
        </w:rPr>
        <w:t>履职效能。</w:t>
      </w:r>
      <w:r>
        <w:rPr>
          <w:rFonts w:ascii="方正仿宋_GBK" w:eastAsia="方正仿宋_GBK" w:cs="方正仿宋_GBK" w:hint="eastAsia"/>
          <w:color w:val="000000"/>
          <w:kern w:val="0"/>
          <w:sz w:val="32"/>
          <w:szCs w:val="32"/>
          <w:shd w:val="clear" w:color="auto" w:fill="FFFFFF"/>
          <w:lang w:val="en-US" w:eastAsia="zh-CN"/>
          <w:highlight w:val="auto"/>
        </w:rPr>
        <w:t>已完成年度整体目标</w:t>
      </w:r>
      <w:r>
        <w:rPr>
          <w:rFonts w:ascii="方正仿宋_GBK" w:eastAsia="方正仿宋_GBK" w:cs="方正仿宋_GBK" w:hint="eastAsia"/>
          <w:color w:val="000000"/>
          <w:kern w:val="0"/>
          <w:sz w:val="32"/>
          <w:szCs w:val="32"/>
          <w:shd w:val="clear" w:color="auto" w:fill="FFFFFF"/>
          <w:lang w:val="zh-CN"/>
          <w:highlight w:val="auto"/>
        </w:rPr>
        <w:t>一聚焦乡村振兴“示范”建设。以“三乡一镇”建设为契机，大力抓好“三乡一镇”产业发展，建设川西北最大综合田园示范体，形成示范带动效应；二聚焦农业产业“园区”建设。对业主经营的1200余亩园区，除了道路、灌溉等基础设施外，业主使用的土地和财政投入形成的资产明晰产权，并进行股权量化。对现有规划园区，继续做好省、州、县园区申创；三聚焦主导产业“雪梨”发展。突出金川“梨”的核心带动作用，创建新机制，强力推进金川梨振兴工程，以保护梨树种为抓手，以提升梨品质为目标、以挖掘梨文化为引领、以丰富梨业态为导向，全力保障金川雪梨发展“续航力”。</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方正仿宋_GBK" w:eastAsia="方正仿宋_GBK" w:cs="方正仿宋_GBK" w:hint="eastAsia"/>
          <w:sz w:val="32"/>
          <w:szCs w:val="32"/>
          <w:lang w:val="en-US" w:eastAsia="zh-CN"/>
        </w:rPr>
      </w:pPr>
      <w:r>
        <w:rPr>
          <w:rFonts w:ascii="方正仿宋_GBK" w:eastAsia="方正仿宋_GBK" w:cs="方正仿宋_GBK" w:hint="eastAsia"/>
          <w:color w:val="000000"/>
          <w:kern w:val="0"/>
          <w:sz w:val="32"/>
          <w:szCs w:val="32"/>
          <w:shd w:val="clear" w:color="auto" w:fill="FFFFFF"/>
          <w:lang w:val="en-US" w:eastAsia="zh-CN"/>
        </w:rPr>
        <w:t>2.</w:t>
      </w:r>
      <w:r>
        <w:rPr>
          <w:rFonts w:ascii="方正仿宋_GBK" w:eastAsia="方正仿宋_GBK" w:cs="方正仿宋_GBK" w:hint="eastAsia"/>
          <w:color w:val="000000"/>
          <w:kern w:val="0"/>
          <w:sz w:val="32"/>
          <w:szCs w:val="32"/>
          <w:shd w:val="clear" w:color="auto" w:fill="FFFFFF"/>
          <w:lang w:val="zh-CN"/>
        </w:rPr>
        <w:t>预算管理。</w:t>
      </w:r>
      <w:r>
        <w:rPr>
          <w:rFonts w:ascii="方正仿宋_GBK" w:eastAsia="方正仿宋_GBK" w:cs="方正仿宋_GBK" w:hint="eastAsia"/>
          <w:sz w:val="32"/>
          <w:szCs w:val="32"/>
          <w:lang w:val="zh-CN" w:eastAsia="zh-CN"/>
        </w:rPr>
        <w:t>我部门严格按照要求编制年初部门预算，年初预算编制科学性合理、准确性较高；部门统筹自有收入包括主要每月转入职工保险、职工每月缴纳的伙食费及其他需要转入我单位账户的其他资金，收入资金均按时按规、合理合法的进行了支付。</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方正仿宋_GBK" w:eastAsia="方正仿宋_GBK" w:cs="方正仿宋_GBK" w:hint="eastAsia"/>
          <w:sz w:val="32"/>
          <w:szCs w:val="32"/>
          <w:lang w:val="en-US" w:eastAsia="zh-CN"/>
        </w:rPr>
      </w:pPr>
      <w:r>
        <w:rPr>
          <w:rFonts w:ascii="方正仿宋_GBK" w:eastAsia="方正仿宋_GBK" w:cs="方正仿宋_GBK" w:hint="eastAsia"/>
          <w:sz w:val="32"/>
          <w:szCs w:val="32"/>
          <w:lang w:val="en-US" w:eastAsia="zh-CN"/>
        </w:rPr>
        <w:t>2024年末我部门预算调整后无预算结余及结转情况，部门严格控制“三公”经费、会议、培训、差旅、办公设备购置、信息网络及软件购置更新等一般性支出情况。</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sz w:val="32"/>
          <w:szCs w:val="32"/>
          <w:lang w:val="zh-CN" w:eastAsia="zh-CN"/>
        </w:rPr>
      </w:pPr>
      <w:r>
        <w:rPr>
          <w:rFonts w:ascii="方正仿宋_GBK" w:eastAsia="方正仿宋_GBK" w:cs="方正仿宋_GBK" w:hint="eastAsia"/>
          <w:color w:val="000000"/>
          <w:kern w:val="0"/>
          <w:sz w:val="32"/>
          <w:szCs w:val="32"/>
          <w:shd w:val="clear" w:color="auto" w:fill="FFFFFF"/>
          <w:lang w:val="en-US" w:eastAsia="zh-CN"/>
        </w:rPr>
        <w:t>3.</w:t>
      </w:r>
      <w:r>
        <w:rPr>
          <w:rFonts w:ascii="方正仿宋_GBK" w:eastAsia="方正仿宋_GBK" w:cs="方正仿宋_GBK" w:hint="eastAsia"/>
          <w:color w:val="000000"/>
          <w:kern w:val="0"/>
          <w:sz w:val="32"/>
          <w:szCs w:val="32"/>
          <w:shd w:val="clear" w:color="auto" w:fill="FFFFFF"/>
          <w:lang w:val="zh-CN"/>
        </w:rPr>
        <w:t>财务管理。</w:t>
      </w:r>
      <w:r>
        <w:rPr>
          <w:rFonts w:ascii="方正仿宋_GBK" w:eastAsia="方正仿宋_GBK" w:cs="方正仿宋_GBK" w:hint="eastAsia"/>
          <w:sz w:val="32"/>
          <w:szCs w:val="32"/>
          <w:lang w:val="en-US" w:eastAsia="zh-CN"/>
        </w:rPr>
        <w:t>完善了部门的各项管理制度，包括财务及采购等的管理制度，理顺了内部管理流程，部门整体支出管理情况得到了提升。部门财务岗位也严格按照相关财务管理制度设置；</w:t>
      </w:r>
      <w:r>
        <w:rPr>
          <w:rFonts w:ascii="方正仿宋_GBK" w:eastAsia="方正仿宋_GBK" w:cs="方正仿宋_GBK" w:hint="eastAsia"/>
          <w:sz w:val="32"/>
          <w:szCs w:val="32"/>
          <w:lang w:val="zh-CN" w:eastAsia="zh-CN"/>
        </w:rPr>
        <w:t>资金专款专用，资金支付依据和开支标准合法合规，严格执行政府采购，并依法接受财政监督。</w:t>
      </w:r>
      <w:r>
        <w:rPr>
          <w:rFonts w:ascii="方正仿宋_GBK" w:eastAsia="方正仿宋_GBK" w:cs="方正仿宋_GBK" w:hint="eastAsia"/>
          <w:sz w:val="32"/>
          <w:szCs w:val="32"/>
          <w:lang w:val="en-US" w:eastAsia="zh-CN"/>
        </w:rPr>
        <w:t>财务支出符合相关要求规定，充分发挥了财政资金的作用。</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sz w:val="32"/>
          <w:szCs w:val="32"/>
          <w:lang w:val="zh-CN" w:eastAsia="zh-CN"/>
        </w:rPr>
      </w:pPr>
      <w:r>
        <w:rPr>
          <w:rFonts w:ascii="方正仿宋_GBK" w:eastAsia="方正仿宋_GBK" w:cs="方正仿宋_GBK" w:hint="eastAsia"/>
          <w:color w:val="000000"/>
          <w:kern w:val="0"/>
          <w:sz w:val="32"/>
          <w:szCs w:val="32"/>
          <w:shd w:val="clear" w:color="auto" w:fill="FFFFFF"/>
          <w:lang w:val="en-US" w:eastAsia="zh-CN"/>
        </w:rPr>
        <w:t>4.</w:t>
      </w:r>
      <w:r>
        <w:rPr>
          <w:rFonts w:ascii="方正仿宋_GBK" w:eastAsia="方正仿宋_GBK" w:cs="方正仿宋_GBK" w:hint="eastAsia"/>
          <w:color w:val="000000"/>
          <w:kern w:val="0"/>
          <w:sz w:val="32"/>
          <w:szCs w:val="32"/>
          <w:shd w:val="clear" w:color="auto" w:fill="FFFFFF"/>
          <w:lang w:val="zh-CN"/>
        </w:rPr>
        <w:t>资产管理。</w:t>
      </w:r>
      <w:r>
        <w:rPr>
          <w:rFonts w:ascii="方正仿宋_GBK" w:eastAsia="方正仿宋_GBK" w:cs="方正仿宋_GBK" w:hint="eastAsia"/>
          <w:sz w:val="32"/>
          <w:szCs w:val="32"/>
          <w:lang w:val="en-US" w:eastAsia="zh-CN"/>
        </w:rPr>
        <w:t>部门人均资产率变化不大；资产利用率较高；资产盘活率交差；下一步将严格按照资产管理相关制度提高资产使用率，并建立定期清查制度。每年至少对资产进行一次全面清查，摸清“家底”，找出盘亏、盘盈资产的具体原因，分清责任按现行规定及时处理；建立重点抽查制度。财务部门依据会计核算资料，对资产使用重点部门进行抽查核对，做到账、卡、物相符；建立离任核查制度。单位领导或资产管理人员离任时，要组织核查，办理资产移交手续，确保人走账清。</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sz w:val="32"/>
          <w:szCs w:val="32"/>
          <w:lang w:val="zh-CN" w:eastAsia="zh-CN"/>
        </w:rPr>
      </w:pPr>
      <w:r>
        <w:rPr>
          <w:rFonts w:ascii="方正仿宋_GBK" w:eastAsia="方正仿宋_GBK" w:cs="方正仿宋_GBK" w:hint="eastAsia"/>
          <w:sz w:val="32"/>
          <w:szCs w:val="32"/>
          <w:lang w:val="en-US" w:eastAsia="zh-CN"/>
        </w:rPr>
        <w:t>5.</w:t>
      </w:r>
      <w:r>
        <w:rPr>
          <w:rFonts w:ascii="方正仿宋_GBK" w:eastAsia="方正仿宋_GBK" w:cs="方正仿宋_GBK" w:hint="eastAsia"/>
          <w:sz w:val="32"/>
          <w:szCs w:val="32"/>
          <w:lang w:val="zh-CN" w:eastAsia="zh-CN"/>
        </w:rPr>
        <w:t>采购管理。我部门严格执行政府采购促进中小企业发展相关管理办法，</w:t>
      </w:r>
      <w:r>
        <w:rPr>
          <w:rFonts w:ascii="方正仿宋_GBK" w:eastAsia="方正仿宋_GBK" w:cs="方正仿宋_GBK" w:hint="eastAsia"/>
          <w:sz w:val="32"/>
          <w:szCs w:val="32"/>
          <w:lang w:val="en-US" w:eastAsia="zh-CN"/>
        </w:rPr>
        <w:t>政府采购目录内的货物与服务全部按要求实施了政府采购，应记为固定资产的都登记入账。政府采购项目资金支付率高。</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en-US" w:eastAsia="zh-CN"/>
          <w:highlight w:val="auto"/>
        </w:rPr>
      </w:pPr>
      <w:r>
        <w:rPr>
          <w:rFonts w:ascii="方正仿宋_GBK" w:eastAsia="方正仿宋_GBK" w:cs="方正仿宋_GBK" w:hint="eastAsia"/>
          <w:b/>
          <w:bCs/>
          <w:color w:val="000000"/>
          <w:kern w:val="0"/>
          <w:sz w:val="32"/>
          <w:szCs w:val="32"/>
          <w:shd w:val="clear" w:color="auto" w:fill="FFFFFF"/>
          <w:lang w:val="zh-CN"/>
          <w:highlight w:val="auto"/>
        </w:rPr>
        <w:t>（二）部门预算项目绩效分析。</w:t>
      </w:r>
      <w:r>
        <w:rPr>
          <w:rFonts w:ascii="方正仿宋_GBK" w:eastAsia="方正仿宋_GBK" w:cs="方正仿宋_GBK" w:hint="eastAsia"/>
          <w:color w:val="000000"/>
          <w:kern w:val="0"/>
          <w:sz w:val="32"/>
          <w:szCs w:val="32"/>
          <w:shd w:val="clear" w:color="auto" w:fill="FFFFFF"/>
          <w:lang w:val="zh-CN" w:eastAsia="zh-CN"/>
          <w:highlight w:val="auto"/>
        </w:rPr>
        <w:t>填报以下数据，</w:t>
      </w:r>
      <w:r>
        <w:rPr>
          <w:rFonts w:ascii="方正仿宋_GBK" w:eastAsia="方正仿宋_GBK" w:cs="方正仿宋_GBK" w:hint="eastAsia"/>
          <w:color w:val="000000"/>
          <w:kern w:val="0"/>
          <w:sz w:val="32"/>
          <w:szCs w:val="32"/>
          <w:shd w:val="clear" w:color="auto" w:fill="FFFFFF"/>
          <w:lang w:val="zh-CN"/>
          <w:highlight w:val="auto"/>
        </w:rPr>
        <w:t>并根据部门预算绩效评价指标体系“项目绩效”涉及二、三级指标进行逐项绩效分析并评分，依次包括项目</w:t>
      </w:r>
      <w:r>
        <w:rPr>
          <w:rFonts w:ascii="方正仿宋_GBK" w:eastAsia="方正仿宋_GBK" w:cs="方正仿宋_GBK" w:hint="eastAsia"/>
          <w:color w:val="000000"/>
          <w:kern w:val="0"/>
          <w:sz w:val="32"/>
          <w:szCs w:val="32"/>
          <w:shd w:val="clear" w:color="auto" w:fill="FFFFFF"/>
          <w:lang w:val="en-US" w:eastAsia="zh-CN"/>
          <w:highlight w:val="auto"/>
        </w:rPr>
        <w:t>决策、项目执行、目标实现等情况。</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highlight w:val="auto"/>
        </w:rPr>
      </w:pPr>
      <w:r>
        <w:rPr>
          <w:rFonts w:ascii="方正仿宋_GBK" w:eastAsia="方正仿宋_GBK" w:cs="方正仿宋_GBK" w:hint="eastAsia"/>
          <w:color w:val="000000"/>
          <w:kern w:val="0"/>
          <w:sz w:val="32"/>
          <w:szCs w:val="32"/>
          <w:shd w:val="clear" w:color="auto" w:fill="FFFFFF"/>
          <w:lang w:val="en-US" w:eastAsia="zh-CN"/>
          <w:highlight w:val="auto"/>
        </w:rPr>
        <w:t>常年项目绩效分析。</w:t>
      </w:r>
      <w:r>
        <w:rPr>
          <w:rFonts w:ascii="方正仿宋_GBK" w:eastAsia="方正仿宋_GBK" w:cs="方正仿宋_GBK" w:hint="eastAsia"/>
          <w:color w:val="000000"/>
          <w:kern w:val="0"/>
          <w:sz w:val="32"/>
          <w:szCs w:val="32"/>
          <w:shd w:val="clear" w:color="auto" w:fill="FFFFFF"/>
          <w:lang w:val="zh-CN" w:eastAsia="zh-CN"/>
          <w:highlight w:val="auto"/>
        </w:rPr>
        <w:t>该类项目总数</w:t>
      </w:r>
      <w:r>
        <w:rPr>
          <w:rFonts w:ascii="方正仿宋_GBK" w:eastAsia="方正仿宋_GBK" w:cs="方正仿宋_GBK" w:hint="eastAsia"/>
          <w:color w:val="000000"/>
          <w:kern w:val="0"/>
          <w:sz w:val="32"/>
          <w:szCs w:val="32"/>
          <w:shd w:val="clear" w:color="auto" w:fill="FFFFFF"/>
          <w:lang w:val="en-US" w:eastAsia="zh-CN"/>
          <w:highlight w:val="auto"/>
        </w:rPr>
        <w:t>80</w:t>
      </w:r>
      <w:r>
        <w:rPr>
          <w:rFonts w:ascii="方正仿宋_GBK" w:eastAsia="方正仿宋_GBK" w:cs="方正仿宋_GBK" w:hint="eastAsia"/>
          <w:color w:val="000000"/>
          <w:kern w:val="0"/>
          <w:sz w:val="32"/>
          <w:szCs w:val="32"/>
          <w:shd w:val="clear" w:color="auto" w:fill="FFFFFF"/>
          <w:lang w:val="zh-CN" w:eastAsia="zh-CN"/>
          <w:highlight w:val="auto"/>
        </w:rPr>
        <w:t>个，涉及预算总金额</w:t>
      </w:r>
      <w:r>
        <w:rPr>
          <w:rFonts w:ascii="方正仿宋_GBK" w:eastAsia="方正仿宋_GBK" w:cs="方正仿宋_GBK" w:hint="eastAsia"/>
          <w:color w:val="000000"/>
          <w:kern w:val="0"/>
          <w:sz w:val="32"/>
          <w:szCs w:val="32"/>
          <w:shd w:val="clear" w:color="auto" w:fill="FFFFFF"/>
          <w:lang w:val="en-US" w:eastAsia="zh-CN"/>
          <w:highlight w:val="auto"/>
        </w:rPr>
        <w:t xml:space="preserve">   21156.36</w:t>
      </w:r>
      <w:r>
        <w:rPr>
          <w:rFonts w:ascii="方正仿宋_GBK" w:eastAsia="方正仿宋_GBK" w:cs="方正仿宋_GBK" w:hint="eastAsia"/>
          <w:color w:val="000000"/>
          <w:kern w:val="0"/>
          <w:sz w:val="32"/>
          <w:szCs w:val="32"/>
          <w:shd w:val="clear" w:color="auto" w:fill="FFFFFF"/>
          <w:lang w:val="zh-CN" w:eastAsia="zh-CN"/>
          <w:highlight w:val="auto"/>
        </w:rPr>
        <w:t>万元，</w:t>
      </w:r>
      <w:r>
        <w:rPr>
          <w:rFonts w:ascii="方正仿宋_GBK" w:eastAsia="方正仿宋_GBK" w:cs="方正仿宋_GBK" w:hint="eastAsia"/>
          <w:color w:val="000000"/>
          <w:kern w:val="0"/>
          <w:sz w:val="32"/>
          <w:szCs w:val="32"/>
          <w:shd w:val="clear" w:color="auto" w:fill="FFFFFF"/>
          <w:lang w:val="zh-CN"/>
          <w:highlight w:val="auto"/>
        </w:rPr>
        <w:t>1</w:t>
      </w:r>
      <w:r>
        <w:rPr>
          <w:rFonts w:ascii="方正仿宋_GBK" w:eastAsia="方正仿宋_GBK" w:cs="方正仿宋_GBK" w:hint="eastAsia"/>
          <w:color w:val="000000"/>
          <w:kern w:val="0"/>
          <w:sz w:val="32"/>
          <w:szCs w:val="32"/>
          <w:shd w:val="clear" w:color="auto" w:fill="FFFFFF"/>
          <w:lang w:val="zh-CN" w:eastAsia="zh-CN"/>
          <w:highlight w:val="auto"/>
        </w:rPr>
        <w:t>—</w:t>
      </w:r>
      <w:r>
        <w:rPr>
          <w:rFonts w:ascii="方正仿宋_GBK" w:eastAsia="方正仿宋_GBK" w:cs="方正仿宋_GBK" w:hint="eastAsia"/>
          <w:color w:val="000000"/>
          <w:kern w:val="0"/>
          <w:sz w:val="32"/>
          <w:szCs w:val="32"/>
          <w:shd w:val="clear" w:color="auto" w:fill="FFFFFF"/>
          <w:lang w:val="zh-CN"/>
          <w:highlight w:val="auto"/>
        </w:rPr>
        <w:t>1</w:t>
      </w:r>
      <w:r>
        <w:rPr>
          <w:rFonts w:ascii="方正仿宋_GBK" w:eastAsia="方正仿宋_GBK" w:cs="方正仿宋_GBK" w:hint="eastAsia"/>
          <w:color w:val="000000"/>
          <w:kern w:val="0"/>
          <w:sz w:val="32"/>
          <w:szCs w:val="32"/>
          <w:shd w:val="clear" w:color="auto" w:fill="FFFFFF"/>
          <w:lang w:val="en-US" w:eastAsia="zh-CN"/>
          <w:highlight w:val="auto"/>
        </w:rPr>
        <w:t>2</w:t>
      </w:r>
      <w:r>
        <w:rPr>
          <w:rFonts w:ascii="方正仿宋_GBK" w:eastAsia="方正仿宋_GBK" w:cs="方正仿宋_GBK" w:hint="eastAsia"/>
          <w:color w:val="000000"/>
          <w:kern w:val="0"/>
          <w:sz w:val="32"/>
          <w:szCs w:val="32"/>
          <w:shd w:val="clear" w:color="auto" w:fill="FFFFFF"/>
          <w:lang w:val="zh-CN"/>
          <w:highlight w:val="auto"/>
        </w:rPr>
        <w:t>月预算执行总体进度为</w:t>
      </w:r>
      <w:r>
        <w:rPr>
          <w:rFonts w:ascii="方正仿宋_GBK" w:eastAsia="方正仿宋_GBK" w:cs="方正仿宋_GBK" w:hint="eastAsia"/>
          <w:color w:val="000000"/>
          <w:kern w:val="0"/>
          <w:sz w:val="32"/>
          <w:szCs w:val="32"/>
          <w:shd w:val="clear" w:color="auto" w:fill="FFFFFF"/>
          <w:lang w:val="en-US" w:eastAsia="zh-CN"/>
          <w:highlight w:val="auto"/>
        </w:rPr>
        <w:t>75.91</w:t>
      </w:r>
      <w:r>
        <w:rPr>
          <w:rFonts w:ascii="方正仿宋_GBK" w:eastAsia="方正仿宋_GBK" w:cs="方正仿宋_GBK" w:hint="eastAsia"/>
          <w:color w:val="000000"/>
          <w:kern w:val="0"/>
          <w:sz w:val="32"/>
          <w:szCs w:val="32"/>
          <w:shd w:val="clear" w:color="auto" w:fill="FFFFFF"/>
          <w:lang w:val="zh-CN"/>
          <w:highlight w:val="auto"/>
        </w:rPr>
        <w:t>%，其中：</w:t>
      </w:r>
      <w:r>
        <w:rPr>
          <w:rFonts w:ascii="方正仿宋_GBK" w:eastAsia="方正仿宋_GBK" w:cs="方正仿宋_GBK" w:hint="eastAsia"/>
          <w:color w:val="000000"/>
          <w:kern w:val="0"/>
          <w:sz w:val="32"/>
          <w:szCs w:val="32"/>
          <w:shd w:val="clear" w:color="auto" w:fill="FFFFFF"/>
          <w:lang w:val="zh-CN" w:eastAsia="zh-CN"/>
          <w:highlight w:val="auto"/>
        </w:rPr>
        <w:t>预算结余率大于</w:t>
      </w:r>
      <w:r>
        <w:rPr>
          <w:rFonts w:ascii="方正仿宋_GBK" w:eastAsia="方正仿宋_GBK" w:cs="方正仿宋_GBK" w:hint="eastAsia"/>
          <w:color w:val="000000"/>
          <w:kern w:val="0"/>
          <w:sz w:val="32"/>
          <w:szCs w:val="32"/>
          <w:shd w:val="clear" w:color="auto" w:fill="FFFFFF"/>
          <w:lang w:val="en-US" w:eastAsia="zh-CN"/>
          <w:highlight w:val="auto"/>
        </w:rPr>
        <w:t>10%</w:t>
      </w:r>
      <w:r>
        <w:rPr>
          <w:rFonts w:ascii="方正仿宋_GBK" w:eastAsia="方正仿宋_GBK" w:cs="方正仿宋_GBK" w:hint="eastAsia"/>
          <w:color w:val="000000"/>
          <w:kern w:val="0"/>
          <w:sz w:val="32"/>
          <w:szCs w:val="32"/>
          <w:shd w:val="clear" w:color="auto" w:fill="FFFFFF"/>
          <w:lang w:val="zh-CN" w:eastAsia="zh-CN"/>
          <w:highlight w:val="auto"/>
        </w:rPr>
        <w:t>的项目共计</w:t>
      </w:r>
      <w:r>
        <w:rPr>
          <w:rFonts w:ascii="方正仿宋_GBK" w:eastAsia="方正仿宋_GBK" w:cs="方正仿宋_GBK" w:hint="eastAsia"/>
          <w:color w:val="000000"/>
          <w:kern w:val="0"/>
          <w:sz w:val="32"/>
          <w:szCs w:val="32"/>
          <w:shd w:val="clear" w:color="auto" w:fill="FFFFFF"/>
          <w:lang w:val="en-US" w:eastAsia="zh-CN"/>
          <w:highlight w:val="auto"/>
        </w:rPr>
        <w:t>27</w:t>
      </w:r>
      <w:r>
        <w:rPr>
          <w:rFonts w:ascii="方正仿宋_GBK" w:eastAsia="方正仿宋_GBK" w:cs="方正仿宋_GBK" w:hint="eastAsia"/>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rPr>
      </w:pPr>
      <w:r>
        <w:rPr>
          <w:rFonts w:ascii="方正仿宋_GBK" w:eastAsia="方正仿宋_GBK" w:cs="方正仿宋_GBK" w:hint="eastAsia"/>
          <w:color w:val="000000"/>
          <w:kern w:val="0"/>
          <w:sz w:val="32"/>
          <w:szCs w:val="32"/>
          <w:shd w:val="clear" w:color="auto" w:fill="FFFFFF"/>
          <w:lang w:val="en-US" w:eastAsia="zh-CN"/>
        </w:rPr>
        <w:t>1.</w:t>
      </w:r>
      <w:r>
        <w:rPr>
          <w:rFonts w:ascii="方正仿宋_GBK" w:eastAsia="方正仿宋_GBK" w:cs="方正仿宋_GBK" w:hint="eastAsia"/>
          <w:color w:val="000000"/>
          <w:kern w:val="0"/>
          <w:sz w:val="32"/>
          <w:szCs w:val="32"/>
          <w:shd w:val="clear" w:color="auto" w:fill="FFFFFF"/>
          <w:lang w:val="zh-CN"/>
        </w:rPr>
        <w:t>项目决策。</w:t>
      </w:r>
      <w:r>
        <w:rPr>
          <w:rFonts w:ascii="方正仿宋_GBK" w:eastAsia="方正仿宋_GBK" w:cs="方正仿宋_GBK" w:hint="eastAsia"/>
          <w:color w:val="000000"/>
          <w:kern w:val="0"/>
          <w:sz w:val="32"/>
          <w:szCs w:val="32"/>
          <w:shd w:val="clear" w:color="auto" w:fill="FFFFFF"/>
          <w:lang w:val="zh-CN" w:eastAsia="zh-CN"/>
        </w:rPr>
        <w:t>部门预算项目设立按规定履行评估论证、申报程序</w:t>
      </w:r>
      <w:r>
        <w:rPr>
          <w:rFonts w:ascii="方正仿宋_GBK" w:eastAsia="方正仿宋_GBK" w:cs="方正仿宋_GBK" w:hint="eastAsia"/>
          <w:color w:val="000000"/>
          <w:kern w:val="0"/>
          <w:sz w:val="32"/>
          <w:szCs w:val="32"/>
          <w:shd w:val="clear" w:color="auto" w:fill="FFFFFF"/>
          <w:lang w:val="en-US" w:eastAsia="zh-CN"/>
        </w:rPr>
        <w:t>;绩效目标与计划期内的任务量、预算安排的资金量匹配情况较好，绩效目标设置科学合理、规范完整、量化细化、预算匹配;部门预算项目在规定时间完成项目入库。</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rPr>
      </w:pPr>
      <w:r>
        <w:rPr>
          <w:rFonts w:ascii="方正仿宋_GBK" w:eastAsia="方正仿宋_GBK" w:cs="方正仿宋_GBK" w:hint="eastAsia"/>
          <w:color w:val="000000"/>
          <w:kern w:val="0"/>
          <w:sz w:val="32"/>
          <w:szCs w:val="32"/>
          <w:shd w:val="clear" w:color="auto" w:fill="FFFFFF"/>
          <w:lang w:val="en-US" w:eastAsia="zh-CN"/>
        </w:rPr>
        <w:t>2.项目执行</w:t>
      </w:r>
      <w:r>
        <w:rPr>
          <w:rFonts w:ascii="方正仿宋_GBK" w:eastAsia="方正仿宋_GBK" w:cs="方正仿宋_GBK" w:hint="eastAsia"/>
          <w:color w:val="000000"/>
          <w:kern w:val="0"/>
          <w:sz w:val="32"/>
          <w:szCs w:val="32"/>
          <w:shd w:val="clear" w:color="auto" w:fill="FFFFFF"/>
          <w:lang w:val="zh-CN" w:eastAsia="zh-CN"/>
        </w:rPr>
        <w:t>。部门预算项目实际列支内容是与绩效目标设置方向相符；部门预算项目采取对应调整措施；预算执行情况较好。</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FF0000"/>
          <w:sz w:val="32"/>
          <w:szCs w:val="32"/>
          <w:u w:val="none"/>
          <w:lang w:val="en-US" w:eastAsia="zh-CN"/>
        </w:rPr>
      </w:pPr>
      <w:r>
        <w:rPr>
          <w:rFonts w:ascii="方正仿宋_GBK" w:eastAsia="方正仿宋_GBK" w:cs="方正仿宋_GBK" w:hint="eastAsia"/>
          <w:color w:val="000000"/>
          <w:kern w:val="0"/>
          <w:sz w:val="32"/>
          <w:szCs w:val="32"/>
          <w:shd w:val="clear" w:color="auto" w:fill="FFFFFF"/>
          <w:lang w:val="en-US" w:eastAsia="zh-CN"/>
        </w:rPr>
        <w:t>3.</w:t>
      </w:r>
      <w:r>
        <w:rPr>
          <w:rFonts w:ascii="方正仿宋_GBK" w:eastAsia="方正仿宋_GBK" w:cs="方正仿宋_GBK" w:hint="eastAsia"/>
          <w:color w:val="000000"/>
          <w:kern w:val="0"/>
          <w:sz w:val="32"/>
          <w:szCs w:val="32"/>
          <w:shd w:val="clear" w:color="auto" w:fill="FFFFFF"/>
          <w:lang w:val="zh-CN" w:eastAsia="zh-CN"/>
        </w:rPr>
        <w:t>目标实现。部门预算项目绩效目标数量指标完成情况较好；部门预算项目绩效目标数量指标实现程度与预期目标的偏离情况不大；部门预算项目绩效目标效益指标实施效果较好</w:t>
      </w:r>
      <w:r>
        <w:rPr>
          <w:rFonts w:ascii="方正仿宋_GBK" w:eastAsia="方正仿宋_GBK" w:cs="方正仿宋_GBK" w:hint="eastAsia"/>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rPr>
      </w:pPr>
      <w:r>
        <w:rPr>
          <w:rFonts w:ascii="方正仿宋_GBK" w:eastAsia="方正仿宋_GBK" w:cs="方正仿宋_GBK" w:hint="eastAsia"/>
          <w:b/>
          <w:bCs/>
          <w:color w:val="000000"/>
          <w:kern w:val="0"/>
          <w:sz w:val="32"/>
          <w:szCs w:val="32"/>
          <w:shd w:val="clear" w:color="auto" w:fill="FFFFFF"/>
          <w:lang w:val="zh-CN"/>
          <w:highlight w:val="auto"/>
        </w:rPr>
        <w:t>（三）</w:t>
      </w:r>
      <w:r>
        <w:rPr>
          <w:rFonts w:ascii="方正仿宋_GBK" w:eastAsia="方正仿宋_GBK" w:cs="方正仿宋_GBK" w:hint="eastAsia"/>
          <w:b/>
          <w:bCs/>
          <w:sz w:val="32"/>
          <w:szCs w:val="32"/>
          <w:lang w:val="zh-CN"/>
        </w:rPr>
        <w:t>绩效结果应用情况。</w:t>
      </w:r>
      <w:r>
        <w:rPr>
          <w:rFonts w:ascii="方正仿宋_GBK" w:eastAsia="方正仿宋_GBK" w:cs="方正仿宋_GBK" w:hint="eastAsia"/>
          <w:color w:val="000000"/>
          <w:kern w:val="0"/>
          <w:sz w:val="32"/>
          <w:szCs w:val="32"/>
          <w:shd w:val="clear" w:color="auto" w:fill="FFFFFF"/>
          <w:lang w:val="en-US" w:eastAsia="zh-CN"/>
        </w:rPr>
        <w:t>本单位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r>
        <w:rPr>
          <w:rFonts w:ascii="方正仿宋_GBK" w:eastAsia="方正仿宋_GBK" w:cs="方正仿宋_GBK" w:hint="eastAsia"/>
          <w:color w:val="000000"/>
          <w:kern w:val="0"/>
          <w:sz w:val="32"/>
          <w:szCs w:val="32"/>
          <w:shd w:val="clear" w:color="auto" w:fill="FFFFFF"/>
          <w:lang w:val="zh-CN" w:eastAsia="zh-CN"/>
        </w:rPr>
        <w:t>主动公开绩效结果，加大资金使用效率。按照预算绩效管理要求对20</w:t>
      </w:r>
      <w:r>
        <w:rPr>
          <w:rFonts w:ascii="方正仿宋_GBK" w:eastAsia="方正仿宋_GBK" w:cs="方正仿宋_GBK" w:hint="eastAsia"/>
          <w:color w:val="000000"/>
          <w:kern w:val="0"/>
          <w:sz w:val="32"/>
          <w:szCs w:val="32"/>
          <w:shd w:val="clear" w:color="auto" w:fill="FFFFFF"/>
          <w:lang w:val="en-US" w:eastAsia="zh-CN"/>
        </w:rPr>
        <w:t>24</w:t>
      </w:r>
      <w:r>
        <w:rPr>
          <w:rFonts w:ascii="方正仿宋_GBK" w:eastAsia="方正仿宋_GBK" w:cs="方正仿宋_GBK" w:hint="eastAsia"/>
          <w:color w:val="000000"/>
          <w:kern w:val="0"/>
          <w:sz w:val="32"/>
          <w:szCs w:val="32"/>
          <w:shd w:val="clear" w:color="auto" w:fill="FFFFFF"/>
          <w:lang w:val="zh-CN" w:eastAsia="zh-CN"/>
        </w:rPr>
        <w:t>年部门整体支出开展绩效自评；对</w:t>
      </w:r>
      <w:r>
        <w:rPr>
          <w:rFonts w:ascii="方正仿宋_GBK" w:eastAsia="方正仿宋_GBK" w:cs="方正仿宋_GBK" w:hint="eastAsia"/>
          <w:color w:val="000000"/>
          <w:kern w:val="0"/>
          <w:sz w:val="32"/>
          <w:szCs w:val="32"/>
          <w:shd w:val="clear" w:color="auto" w:fill="FFFFFF"/>
          <w:lang w:val="en-US" w:eastAsia="zh-CN"/>
        </w:rPr>
        <w:t>2024</w:t>
      </w:r>
      <w:r>
        <w:rPr>
          <w:rFonts w:ascii="方正仿宋_GBK" w:eastAsia="方正仿宋_GBK" w:cs="方正仿宋_GBK" w:hint="eastAsia"/>
          <w:color w:val="000000"/>
          <w:kern w:val="0"/>
          <w:sz w:val="32"/>
          <w:szCs w:val="32"/>
          <w:shd w:val="clear" w:color="auto" w:fill="FFFFFF"/>
          <w:lang w:val="zh-CN" w:eastAsia="zh-CN"/>
        </w:rPr>
        <w:t>年一般公共预算项目支出开展了绩效目标管理，编制绩效目标，涉及财政资金</w:t>
      </w:r>
      <w:r>
        <w:rPr>
          <w:rFonts w:ascii="方正仿宋_GBK" w:eastAsia="方正仿宋_GBK" w:cs="方正仿宋_GBK" w:hint="eastAsia"/>
          <w:color w:val="000000"/>
          <w:kern w:val="0"/>
          <w:sz w:val="32"/>
          <w:szCs w:val="32"/>
          <w:shd w:val="clear" w:color="auto" w:fill="FFFFFF"/>
          <w:lang w:val="en-US" w:eastAsia="zh-CN"/>
          <w:highlight w:val="auto"/>
        </w:rPr>
        <w:t>21156.36</w:t>
      </w:r>
      <w:r>
        <w:rPr>
          <w:rFonts w:ascii="方正仿宋_GBK" w:eastAsia="方正仿宋_GBK" w:cs="方正仿宋_GBK" w:hint="eastAsia"/>
          <w:color w:val="000000"/>
          <w:kern w:val="0"/>
          <w:sz w:val="32"/>
          <w:szCs w:val="32"/>
          <w:shd w:val="clear" w:color="auto" w:fill="FFFFFF"/>
          <w:lang w:val="zh-CN" w:eastAsia="zh-CN"/>
        </w:rPr>
        <w:t>万元，覆盖率达到100%。</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en-US" w:eastAsia="zh-CN"/>
        </w:rPr>
      </w:pPr>
      <w:r>
        <w:rPr>
          <w:rFonts w:ascii="方正仿宋_GBK" w:eastAsia="方正仿宋_GBK" w:cs="方正仿宋_GBK" w:hint="eastAsia"/>
          <w:color w:val="000000"/>
          <w:kern w:val="0"/>
          <w:sz w:val="32"/>
          <w:szCs w:val="32"/>
          <w:shd w:val="clear" w:color="auto" w:fill="FFFFFF"/>
          <w:lang w:val="zh-CN" w:eastAsia="zh-CN"/>
        </w:rPr>
        <w:t>通过加强预算收支的管理，不断建立健全内部管理制度，理顺内部管理流程，部门整体支出管理情况得到了提升。建立健全我单位财务管理制度，执行制度严格合规，会计核算符合相关规定，资金专款专用，资金支付依据和开支标准合法合规，严格执行政府采购，并依法接受财政监督。</w:t>
      </w:r>
      <w:r>
        <w:rPr>
          <w:rFonts w:ascii="方正仿宋_GBK" w:eastAsia="方正仿宋_GBK" w:cs="方正仿宋_GBK" w:hint="eastAsia"/>
          <w:color w:val="000000"/>
          <w:kern w:val="0"/>
          <w:sz w:val="32"/>
          <w:szCs w:val="32"/>
          <w:shd w:val="clear" w:color="auto" w:fill="FFFFFF"/>
          <w:lang w:val="en-US" w:eastAsia="zh-CN"/>
        </w:rPr>
        <w:t>财务支出符合相关要求规定，充分发挥了财政资金的作用，在经济效益、社会效益、生态效益等方面发挥了积极作用。</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highlight w:val="auto"/>
        </w:rPr>
      </w:pPr>
      <w:r>
        <w:rPr>
          <w:rFonts w:ascii="方正仿宋_GBK" w:eastAsia="方正仿宋_GBK" w:cs="方正仿宋_GBK" w:hint="eastAsia"/>
          <w:color w:val="000000"/>
          <w:kern w:val="0"/>
          <w:sz w:val="32"/>
          <w:szCs w:val="32"/>
          <w:shd w:val="clear" w:color="auto" w:fill="FFFFFF"/>
          <w:lang w:eastAsia="zh-CN"/>
          <w:highlight w:val="auto"/>
        </w:rPr>
        <w:t>四、</w:t>
      </w:r>
      <w:r>
        <w:rPr>
          <w:rFonts w:ascii="方正仿宋_GBK" w:eastAsia="方正仿宋_GBK" w:cs="方正仿宋_GBK" w:hint="eastAsia"/>
          <w:color w:val="000000"/>
          <w:kern w:val="0"/>
          <w:sz w:val="32"/>
          <w:szCs w:val="32"/>
          <w:shd w:val="clear" w:color="auto" w:fill="FFFFFF"/>
          <w:highlight w:val="auto"/>
        </w:rPr>
        <w:t>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rPr>
      </w:pPr>
      <w:r>
        <w:rPr>
          <w:rFonts w:ascii="方正仿宋_GBK" w:eastAsia="方正仿宋_GBK" w:cs="方正仿宋_GBK" w:hint="eastAsia"/>
          <w:b/>
          <w:bCs/>
          <w:color w:val="000000"/>
          <w:kern w:val="0"/>
          <w:sz w:val="32"/>
          <w:szCs w:val="32"/>
          <w:shd w:val="clear" w:color="auto" w:fill="FFFFFF"/>
          <w:lang w:val="zh-CN"/>
        </w:rPr>
        <w:t>（一）评价结论。</w:t>
      </w:r>
      <w:r>
        <w:rPr>
          <w:rFonts w:ascii="方正仿宋_GBK" w:eastAsia="方正仿宋_GBK" w:cs="方正仿宋_GBK" w:hint="eastAsia"/>
          <w:color w:val="000000"/>
          <w:kern w:val="0"/>
          <w:sz w:val="32"/>
          <w:szCs w:val="32"/>
          <w:shd w:val="clear" w:color="auto" w:fill="FFFFFF"/>
          <w:lang w:val="en-US" w:eastAsia="zh-CN"/>
        </w:rPr>
        <w:t>我部门深入贯彻落实“全面实施绩效管理”的要求，努力提升本单位绩效预算管理业务水平。主动公开绩效结果，加大资金使用效率。按照预算绩效管理要求对2024年部门整体支出开展绩效自评，自评得分为93分，自评等级为优；并对2024年一般公共预算项目支出开展了绩效目标管理，编制绩效目标，涉及财政资金</w:t>
      </w:r>
      <w:r>
        <w:rPr>
          <w:rFonts w:ascii="方正仿宋_GBK" w:eastAsia="方正仿宋_GBK" w:cs="方正仿宋_GBK" w:hint="eastAsia"/>
          <w:color w:val="000000"/>
          <w:kern w:val="0"/>
          <w:sz w:val="32"/>
          <w:szCs w:val="32"/>
          <w:shd w:val="clear" w:color="auto" w:fill="FFFFFF"/>
          <w:lang w:val="en-US" w:eastAsia="zh-CN"/>
          <w:highlight w:val="auto"/>
        </w:rPr>
        <w:t>21156.36</w:t>
      </w:r>
      <w:r>
        <w:rPr>
          <w:rFonts w:ascii="方正仿宋_GBK" w:eastAsia="方正仿宋_GBK" w:cs="方正仿宋_GBK" w:hint="eastAsia"/>
          <w:color w:val="000000"/>
          <w:kern w:val="0"/>
          <w:sz w:val="32"/>
          <w:szCs w:val="32"/>
          <w:shd w:val="clear" w:color="auto" w:fill="FFFFFF"/>
          <w:lang w:val="en-US" w:eastAsia="zh-CN"/>
        </w:rPr>
        <w:t>万元，覆盖率达到100%。从评价情况来看我部门年初预算基本按照绩效目标完成支付。</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zh-CN" w:eastAsia="zh-CN"/>
        </w:rPr>
      </w:pPr>
      <w:r>
        <w:rPr>
          <w:rFonts w:ascii="方正仿宋_GBK" w:eastAsia="方正仿宋_GBK" w:cs="方正仿宋_GBK" w:hint="eastAsia"/>
          <w:color w:val="000000"/>
          <w:kern w:val="0"/>
          <w:sz w:val="32"/>
          <w:szCs w:val="32"/>
          <w:shd w:val="clear" w:color="auto" w:fill="FFFFFF"/>
          <w:lang w:val="zh-CN" w:eastAsia="zh-CN"/>
        </w:rPr>
        <w:t>（二）存在问题。</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en-US" w:eastAsia="zh-CN"/>
        </w:rPr>
      </w:pPr>
      <w:r>
        <w:rPr>
          <w:rFonts w:ascii="方正仿宋_GBK" w:eastAsia="方正仿宋_GBK" w:cs="方正仿宋_GBK" w:hint="eastAsia"/>
          <w:color w:val="000000"/>
          <w:kern w:val="0"/>
          <w:sz w:val="32"/>
          <w:szCs w:val="32"/>
          <w:shd w:val="clear" w:color="auto" w:fill="FFFFFF"/>
          <w:lang w:val="en-US" w:eastAsia="zh-CN"/>
        </w:rPr>
        <w:t>1.对绩效评价工作的认识和重视程度还不够。</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en-US" w:eastAsia="zh-CN"/>
        </w:rPr>
      </w:pPr>
      <w:r>
        <w:rPr>
          <w:rFonts w:ascii="方正仿宋_GBK" w:eastAsia="方正仿宋_GBK" w:cs="方正仿宋_GBK" w:hint="eastAsia"/>
          <w:color w:val="000000"/>
          <w:kern w:val="0"/>
          <w:sz w:val="32"/>
          <w:szCs w:val="32"/>
          <w:shd w:val="clear" w:color="auto" w:fill="FFFFFF"/>
          <w:lang w:val="en-US" w:eastAsia="zh-CN"/>
        </w:rPr>
        <w:t>2.在资金的使用和安排上取得了较好的预算执行结果，但仍存在预算管理不够完善，资金使用不够科学等问题。</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方正仿宋_GBK" w:eastAsia="方正仿宋_GBK" w:cs="方正仿宋_GBK" w:hint="eastAsia"/>
          <w:color w:val="000000"/>
          <w:kern w:val="0"/>
          <w:sz w:val="32"/>
          <w:szCs w:val="32"/>
          <w:shd w:val="clear" w:color="auto" w:fill="FFFFFF"/>
          <w:lang w:val="en-US" w:eastAsia="zh-CN"/>
        </w:rPr>
      </w:pPr>
      <w:r>
        <w:rPr>
          <w:rFonts w:ascii="方正仿宋_GBK" w:eastAsia="方正仿宋_GBK" w:cs="方正仿宋_GBK" w:hint="eastAsia"/>
          <w:color w:val="000000"/>
          <w:kern w:val="0"/>
          <w:sz w:val="32"/>
          <w:szCs w:val="32"/>
          <w:shd w:val="clear" w:color="auto" w:fill="FFFFFF"/>
          <w:lang w:val="zh-CN" w:eastAsia="zh-CN"/>
        </w:rPr>
        <w:t>（三）改进建议。</w:t>
      </w:r>
      <w:r>
        <w:rPr>
          <w:rFonts w:ascii="方正仿宋_GBK" w:eastAsia="方正仿宋_GBK" w:cs="方正仿宋_GBK" w:hint="eastAsia"/>
          <w:color w:val="000000"/>
          <w:kern w:val="0"/>
          <w:sz w:val="32"/>
          <w:szCs w:val="32"/>
          <w:shd w:val="clear" w:color="auto" w:fill="FFFFFF"/>
          <w:lang w:val="en-US" w:eastAsia="zh-CN"/>
        </w:rPr>
        <w:t>在今后的工作中，我部门要继续合理计划利用财政资金，根据资金管理办法进行管理，做好经费保障等工作，明确分工，落实责任。建立健全严格的经费开支审批制度和严格的经费开支报销程序，加强经费开支的监督，控制经费支出，保证财政资金发挥应起的作用。</w:t>
      </w:r>
    </w:p>
    <w:p>
      <w:pPr>
        <w:pStyle w:val="25"/>
        <w:rPr>
          <w:rFonts w:ascii="方正仿宋_GBK" w:eastAsia="方正仿宋_GBK" w:cs="方正仿宋_GBK" w:hint="eastAsia"/>
          <w:color w:val="000000"/>
          <w:kern w:val="0"/>
          <w:sz w:val="32"/>
          <w:szCs w:val="32"/>
          <w:shd w:val="clear" w:color="auto" w:fill="FFFFFF"/>
          <w:lang w:val="en-US" w:eastAsia="zh-CN"/>
        </w:rPr>
      </w:pPr>
    </w:p>
    <w:p>
      <w:pPr>
        <w:rPr>
          <w:rFonts w:ascii="方正仿宋_GBK" w:eastAsia="方正仿宋_GBK" w:cs="方正仿宋_GBK" w:hint="eastAsia"/>
          <w:color w:val="000000"/>
          <w:kern w:val="0"/>
          <w:sz w:val="32"/>
          <w:szCs w:val="32"/>
          <w:shd w:val="clear" w:color="auto" w:fill="FFFFFF"/>
          <w:lang w:val="en-US" w:eastAsia="zh-CN"/>
        </w:rPr>
        <w:sectPr>
          <w:footerReference w:type="default" r:id="rId5"/>
          <w:pgSz w:w="11906" w:h="16838"/>
          <w:pgMar w:top="1440" w:right="1800" w:bottom="1440" w:left="1800" w:header="851" w:footer="992" w:gutter="0"/>
          <w:pgNumType w:start="4"/>
          <w:docGrid w:type="lines" w:linePitch="312" w:charSpace="0"/>
        </w:sectPr>
      </w:pPr>
    </w:p>
    <w:p>
      <w:pPr>
        <w:pStyle w:val="15"/>
        <w:rPr>
          <w:rFonts w:hint="eastAsia"/>
          <w:lang w:val="en-US" w:eastAsia="zh-CN"/>
        </w:rPr>
      </w:pPr>
    </w:p>
    <w:p>
      <w:pPr>
        <w:pStyle w:val="25"/>
        <w:rPr>
          <w:rFonts w:hint="eastAsia"/>
          <w:lang w:val="en-US" w:eastAsia="zh-CN"/>
        </w:rPr>
      </w:pPr>
    </w:p>
    <w:p>
      <w:pPr>
        <w:rPr>
          <w:rFonts w:ascii="方正仿宋_GBK" w:eastAsia="方正仿宋_GBK" w:cs="方正仿宋_GBK" w:hint="eastAsia"/>
          <w:color w:val="000000"/>
          <w:kern w:val="0"/>
          <w:sz w:val="32"/>
          <w:szCs w:val="32"/>
          <w:shd w:val="clear" w:color="auto" w:fill="FFFFFF"/>
          <w:lang w:val="en-US" w:eastAsia="zh-CN"/>
        </w:rPr>
      </w:pPr>
    </w:p>
    <w:tbl>
      <w:tblPr>
        <w:jc w:val="left"/>
        <w:tblInd w:w="93" w:type="dxa"/>
        <w:tblW w:w="1315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465"/>
        <w:gridCol w:w="1846"/>
        <w:gridCol w:w="1846"/>
        <w:gridCol w:w="2831"/>
        <w:gridCol w:w="1477"/>
        <w:gridCol w:w="1723"/>
        <w:gridCol w:w="1108"/>
        <w:gridCol w:w="862"/>
      </w:tblGrid>
      <w:tr>
        <w:trPr>
          <w:trHeight w:val="904"/>
        </w:trPr>
        <w:tc>
          <w:tcPr>
            <w:tcW w:w="1315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0"/>
                <w:szCs w:val="30"/>
                <w:u w:val="none"/>
              </w:rPr>
            </w:pPr>
            <w:r>
              <w:rPr>
                <w:rFonts w:ascii="黑体" w:eastAsia="黑体" w:cs="黑体" w:hint="eastAsia"/>
                <w:i w:val="0"/>
                <w:iCs w:val="0"/>
                <w:color w:val="000000"/>
                <w:kern w:val="0"/>
                <w:sz w:val="30"/>
                <w:szCs w:val="30"/>
                <w:u w:val="none"/>
                <w:lang w:val="en-US" w:eastAsia="zh-CN"/>
              </w:rPr>
              <w:t>部门整体绩效目标完成情况自评表</w:t>
            </w:r>
          </w:p>
        </w:tc>
      </w:tr>
      <w:tr>
        <w:trPr>
          <w:trHeight w:val="286"/>
        </w:trPr>
        <w:tc>
          <w:tcPr>
            <w:tcW w:w="1315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trPr>
          <w:trHeight w:val="286"/>
        </w:trPr>
        <w:tc>
          <w:tcPr>
            <w:tcW w:w="13158" w:type="dxa"/>
            <w:gridSpan w:val="8"/>
            <w:tcBorders>
              <w:top w:val="nil"/>
              <w:left w:val="nil"/>
              <w:bottom w:val="single" w:sz="4" w:space="0" w:color="000000"/>
              <w:right w:val="nil"/>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trPr>
          <w:trHeight w:val="569"/>
        </w:trPr>
        <w:tc>
          <w:tcPr>
            <w:tcW w:w="51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金川县科学技术和农业畜牧局本级</w:t>
            </w:r>
          </w:p>
        </w:tc>
      </w:tr>
      <w:tr>
        <w:trPr>
          <w:trHeight w:val="398"/>
        </w:trPr>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4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369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1,915.64</w:t>
            </w:r>
          </w:p>
        </w:tc>
        <w:tc>
          <w:tcPr>
            <w:tcW w:w="430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1,915.64</w:t>
            </w:r>
          </w:p>
        </w:tc>
        <w:tc>
          <w:tcPr>
            <w:tcW w:w="369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2713"/>
        </w:trPr>
        <w:tc>
          <w:tcPr>
            <w:tcW w:w="1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1169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要充分挖掘和拓展农业的多维功能，延伸农业产业链条，促进农业与二三产业，尤其是文化旅游产业的深度融合，为广大农民增收和农村富裕拓展持续稳定的渠道。</w:t>
              <w:br/>
              <w:t>一是聚焦乡村振兴“示范”建设。以“三乡一镇”建设为契机，大力抓好“三乡一镇”产业发展，建设川西北最大综合田园示范体，形成示范带动效应。二是聚焦农业产业“园区”建设。对业主经营的1200余亩园区，除了道路、灌溉等基础设施外，业主使用的土地和财政投入形成的资产明晰产权，并进行股权量化。对现有规划园区，继续做好省、州、县园区申创。三是聚焦主导产业“雪梨”发展。突出金川“梨”的核心带动作用，创建新机制，强力推进金川梨振兴工程，以保护梨树种为抓手，以提升梨品质为目标、以挖掘梨文化为引领、以丰富梨业态为导向，全力保障金川雪梨发展“续航力”，四是聚焦地理标志“品牌”塑造。持续巩固“金川雪梨”“金川牦牛”“金川秦艽”地理标志产品，继续加大金川牦牛繁种扩容力度。进一步健全完善“味美金川”品牌常态长效监督管理机制，切实提升我县农产品知名度，充分发挥“品牌”效应拉动农牧民增收；五是聚焦安全高质“粮食”增收。按照州高标准农田建设项目现场会精神，深入实施“藏粮于地、藏粮于技”战略，强化技术指导，全力做好高标准农田建设，实现耕地高效利用、科学管理，为全县农业经济发展的粮食需求、粮食安全及农民增收提供坚强保障。六是聚焦涉农整合“基础”夯实。严格按照涉农整合资金使用要求，全面完成下达的涉农整合项目目标任务。</w:t>
            </w:r>
          </w:p>
        </w:tc>
      </w:tr>
      <w:tr>
        <w:trPr>
          <w:trHeight w:val="569"/>
        </w:trPr>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促进现代农业发展</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促进现代农业发展</w:t>
            </w:r>
          </w:p>
        </w:tc>
      </w:tr>
      <w:tr>
        <w:trPr>
          <w:trHeight w:val="904"/>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落实中央及地方政府惠农补贴政策</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照州高标准农田建设项目现场会精神，深入实施“藏粮于地、藏粮于技”战略，强化技术指导，全力做好高标准农田建设，实现耕地高效利用、科学管理，为全县农业经济发展的粮食需求、粮食安全及农民增收提供坚强保障。贯彻执行党和国家、省、州有关农业和农村经济发展的方针政策、法律法规规章。</w:t>
            </w:r>
          </w:p>
        </w:tc>
      </w:tr>
      <w:tr>
        <w:trPr>
          <w:trHeight w:val="904"/>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完善农村经营管理</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出深化全县农村经济体制改革和稳定完善农村基本经营制度的政策建议，指导农村土地承包、耕地使用权流转和承包纠纷仲裁管理。指导、监督减轻农民负担和村民筹资筹劳管理工作，指导农村集体资产和财务管理。指导、扶持农业社会化服务体系、农村合作经济组织、农民专业合作社和农产品行业协会的建设与发展。</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全县植物重大病虫害防治</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组织、监督对县内植物的防疫检疫工作，发布疫情并组织扑灭。</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提升农产品质量安全水平</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依法开展全县农产品（含畜产品等，以下同）质量安全风险评估，发布有关农产品质量安全状况信息，负责农产品和农业投入品（种子、农药、肥料、饲料、兽药等）质量安全监测。</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农产品促销及农业交流合作</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建设农产品展销平台。2.开展农业交流合作。3.农产品及农产品加工品促销。</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农业产业基础设施建设</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强化农业产业基础设施建设，坚持规划先行，合理布局，规范管理。</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高标准农田建设</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做到“建设一片、收效一片”，大力发展高效节水灌溉，加强对全县国有土地的保护、利用和管理。</w:t>
            </w:r>
          </w:p>
        </w:tc>
      </w:tr>
      <w:tr>
        <w:trPr>
          <w:trHeight w:val="904"/>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科学技术开发交流</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信息网络服务与管理及其他相关管理等工作。2.开展以全县中小企业为服务主体的建设性工作和咨询服务业务；促进中小企业的技术创新、机制创新；开展与中小企业发展有关的宣传、经验交流、信息的沟通；开展中小企业信息化推进工作的服务信息资源等相关信息服务业务；协助开展各类企业的管理人员、技术人员、先进技术技能的培训等业物工作。</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其他行政事务</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生态环境保护、公共机构节能减排，审批服务便民化等。</w:t>
            </w:r>
          </w:p>
        </w:tc>
      </w:tr>
      <w:tr>
        <w:trPr>
          <w:trHeight w:val="678"/>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农业科技创新和农业农村人才队伍建设</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组织实施农业领域的高新技术和应用技术研究、农业科技成果转化和技术推广。负责农业科技成果管理，组织引进省外、国外农业先进技术，指导农技推广体系改革与建设。负责农业植物新品种保护。</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乡村振兴</w:t>
            </w:r>
          </w:p>
        </w:tc>
        <w:tc>
          <w:tcPr>
            <w:tcW w:w="800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持续发力乡村振兴工作。</w:t>
            </w:r>
          </w:p>
        </w:tc>
      </w:tr>
      <w:tr>
        <w:trPr>
          <w:trHeight w:val="569"/>
        </w:trPr>
        <w:tc>
          <w:tcPr>
            <w:tcW w:w="14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高标准农田面积</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亩</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粮食播面</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8.7</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万亩</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生猪出栏量</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50000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头/只</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蔬菜种植</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万亩</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粮食产量</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2.3</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万吨</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种子质量合格率</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项目完成时限</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带动金川县农业经济发展</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优化金川县当地农业生产产业结构</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生态效益指标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优化金川县当地农畜业结构</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可持续影响指标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可持续影响年限</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569"/>
        </w:trPr>
        <w:tc>
          <w:tcPr>
            <w:tcW w:w="1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2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受益群众满意度</w:t>
            </w:r>
          </w:p>
        </w:tc>
        <w:tc>
          <w:tcPr>
            <w:tcW w:w="14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bl>
    <w:p>
      <w:pPr>
        <w:pStyle w:val="25"/>
        <w:rPr>
          <w:rFonts w:hint="eastAsia"/>
          <w:lang w:val="en-US" w:eastAsia="zh-CN"/>
        </w:rPr>
      </w:pPr>
    </w:p>
    <w:p>
      <w:pPr>
        <w:rPr>
          <w:rFonts w:hint="eastAsia"/>
          <w:lang w:val="en-US" w:eastAsia="zh-CN"/>
        </w:rPr>
      </w:pPr>
    </w:p>
    <w:p>
      <w:pPr>
        <w:pStyle w:val="25"/>
        <w:rPr>
          <w:rFonts w:hint="eastAsia"/>
          <w:lang w:val="en-US" w:eastAsia="zh-CN"/>
        </w:rPr>
      </w:pPr>
    </w:p>
    <w:p>
      <w:pPr>
        <w:rPr>
          <w:rFonts w:hint="eastAsia"/>
          <w:lang w:val="en-US" w:eastAsia="zh-CN"/>
        </w:rPr>
      </w:pPr>
    </w:p>
    <w:p>
      <w:pPr>
        <w:pStyle w:val="25"/>
        <w:rPr>
          <w:rFonts w:hint="eastAsia"/>
          <w:lang w:val="en-US" w:eastAsia="zh-CN"/>
        </w:rPr>
      </w:pPr>
    </w:p>
    <w:tbl>
      <w:tblPr>
        <w:jc w:val="left"/>
        <w:tblInd w:w="0" w:type="dxa"/>
        <w:tblW w:w="4994"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17"/>
        <w:gridCol w:w="643"/>
        <w:gridCol w:w="1133"/>
        <w:gridCol w:w="396"/>
        <w:gridCol w:w="377"/>
        <w:gridCol w:w="2050"/>
        <w:gridCol w:w="739"/>
        <w:gridCol w:w="4018"/>
        <w:gridCol w:w="314"/>
        <w:gridCol w:w="317"/>
        <w:gridCol w:w="314"/>
        <w:gridCol w:w="317"/>
        <w:gridCol w:w="323"/>
        <w:gridCol w:w="314"/>
        <w:gridCol w:w="314"/>
        <w:gridCol w:w="314"/>
        <w:gridCol w:w="314"/>
        <w:gridCol w:w="314"/>
        <w:gridCol w:w="343"/>
        <w:gridCol w:w="680"/>
      </w:tblGrid>
      <w:tr>
        <w:trPr>
          <w:trHeight w:val="450"/>
        </w:trPr>
        <w:tc>
          <w:tcPr>
            <w:tcW w:w="21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36"/>
                <w:szCs w:val="36"/>
                <w:u w:val="none"/>
              </w:rPr>
            </w:pPr>
            <w:r>
              <w:rPr>
                <w:rFonts w:ascii="黑体" w:eastAsia="黑体" w:cs="黑体" w:hint="eastAsia"/>
                <w:i w:val="0"/>
                <w:iCs w:val="0"/>
                <w:color w:val="000000"/>
                <w:kern w:val="0"/>
                <w:sz w:val="36"/>
                <w:szCs w:val="36"/>
                <w:u w:val="none"/>
                <w:lang w:val="en-US" w:eastAsia="zh-CN"/>
              </w:rPr>
              <w:t>附件1</w:t>
            </w:r>
          </w:p>
        </w:tc>
        <w:tc>
          <w:tcPr>
            <w:tcW w:w="227" w:type="pct"/>
            <w:tcBorders>
              <w:top w:val="nil"/>
              <w:left w:val="nil"/>
              <w:bottom w:val="nil"/>
              <w:right w:val="nil"/>
            </w:tcBorders>
            <w:shd w:val="clear" w:color="auto" w:fill="auto"/>
            <w:noWrap/>
            <w:vAlign w:val="center"/>
          </w:tcPr>
          <w:p>
            <w:pPr>
              <w:jc w:val="left"/>
              <w:rPr>
                <w:rFonts w:ascii="黑体" w:eastAsia="黑体" w:cs="黑体" w:hint="eastAsia"/>
                <w:i w:val="0"/>
                <w:iCs w:val="0"/>
                <w:color w:val="000000"/>
                <w:sz w:val="36"/>
                <w:szCs w:val="36"/>
                <w:u w:val="none"/>
              </w:rPr>
            </w:pPr>
          </w:p>
        </w:tc>
        <w:tc>
          <w:tcPr>
            <w:tcW w:w="400" w:type="pct"/>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138" w:type="pct"/>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133" w:type="pct"/>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724" w:type="pct"/>
            <w:tcBorders>
              <w:top w:val="nil"/>
              <w:left w:val="nil"/>
              <w:bottom w:val="nil"/>
              <w:right w:val="nil"/>
            </w:tcBorders>
            <w:shd w:val="clear" w:color="auto" w:fill="auto"/>
            <w:noWrap/>
            <w:vAlign w:val="center"/>
          </w:tcPr>
          <w:p>
            <w:pPr>
              <w:jc w:val="left"/>
              <w:rPr>
                <w:rFonts w:ascii="宋体" w:eastAsia="宋体" w:cs="宋体" w:hint="eastAsia"/>
                <w:i w:val="0"/>
                <w:iCs w:val="0"/>
                <w:color w:val="000000"/>
                <w:sz w:val="24"/>
                <w:szCs w:val="24"/>
                <w:u w:val="none"/>
              </w:rPr>
            </w:pPr>
          </w:p>
        </w:tc>
        <w:tc>
          <w:tcPr>
            <w:tcW w:w="261" w:type="pct"/>
            <w:tcBorders>
              <w:top w:val="nil"/>
              <w:left w:val="nil"/>
              <w:bottom w:val="nil"/>
              <w:right w:val="nil"/>
            </w:tcBorders>
            <w:shd w:val="clear" w:color="auto" w:fill="auto"/>
            <w:noWrap/>
            <w:vAlign w:val="center"/>
          </w:tcPr>
          <w:p>
            <w:pPr>
              <w:jc w:val="left"/>
              <w:rPr>
                <w:rFonts w:ascii="宋体" w:eastAsia="宋体" w:cs="宋体" w:hint="eastAsia"/>
                <w:i w:val="0"/>
                <w:iCs w:val="0"/>
                <w:color w:val="000000"/>
                <w:sz w:val="24"/>
                <w:szCs w:val="24"/>
                <w:u w:val="none"/>
              </w:rPr>
            </w:pPr>
          </w:p>
        </w:tc>
        <w:tc>
          <w:tcPr>
            <w:tcW w:w="1419" w:type="pct"/>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11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4"/>
                <w:szCs w:val="24"/>
                <w:u w:val="none"/>
              </w:rPr>
            </w:pPr>
          </w:p>
        </w:tc>
        <w:tc>
          <w:tcPr>
            <w:tcW w:w="240" w:type="pct"/>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630"/>
        </w:trPr>
        <w:tc>
          <w:tcPr>
            <w:tcW w:w="218"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540" w:type="pct"/>
            <w:gridSpan w:val="1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eastAsia="方正小标宋简体" w:cs="方正小标宋简体"/>
                <w:i w:val="0"/>
                <w:iCs w:val="0"/>
                <w:color w:val="000000"/>
                <w:sz w:val="48"/>
                <w:szCs w:val="48"/>
                <w:u w:val="none"/>
              </w:rPr>
            </w:pPr>
            <w:r>
              <w:rPr>
                <w:rFonts w:ascii="方正小标宋简体" w:eastAsia="方正小标宋简体" w:cs="方正小标宋简体" w:hint="eastAsia"/>
                <w:i w:val="0"/>
                <w:iCs w:val="0"/>
                <w:color w:val="000000"/>
                <w:kern w:val="0"/>
                <w:sz w:val="48"/>
                <w:szCs w:val="48"/>
                <w:u w:val="none"/>
                <w:lang w:val="en-US" w:eastAsia="zh-CN"/>
              </w:rPr>
              <w:t>部门预算绩效评价指标体系</w:t>
            </w:r>
          </w:p>
        </w:tc>
        <w:tc>
          <w:tcPr>
            <w:tcW w:w="240" w:type="pct"/>
            <w:tcBorders>
              <w:top w:val="nil"/>
              <w:left w:val="nil"/>
              <w:bottom w:val="nil"/>
              <w:right w:val="nil"/>
            </w:tcBorders>
            <w:shd w:val="clear" w:color="auto" w:fill="auto"/>
            <w:noWrap/>
            <w:vAlign w:val="center"/>
          </w:tcPr>
          <w:p>
            <w:pPr>
              <w:jc w:val="center"/>
              <w:rPr>
                <w:rFonts w:ascii="方正小标宋简体" w:eastAsia="方正小标宋简体" w:cs="方正小标宋简体" w:hint="eastAsia"/>
                <w:i w:val="0"/>
                <w:iCs w:val="0"/>
                <w:color w:val="000000"/>
                <w:sz w:val="24"/>
                <w:szCs w:val="24"/>
                <w:u w:val="none"/>
              </w:rPr>
            </w:pPr>
          </w:p>
        </w:tc>
      </w:tr>
      <w:tr>
        <w:trPr>
          <w:trHeight w:val="285"/>
        </w:trPr>
        <w:tc>
          <w:tcPr>
            <w:tcW w:w="985"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绩效评价指标</w:t>
              <w:br/>
              <w:t>指标分值</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黑体" w:eastAsia="黑体" w:cs="黑体" w:hint="eastAsia"/>
                <w:i w:val="0"/>
                <w:iCs w:val="0"/>
                <w:color w:val="000000"/>
                <w:sz w:val="24"/>
                <w:szCs w:val="24"/>
                <w:u w:val="none"/>
              </w:rPr>
            </w:p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指标解释</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评分方法</w:t>
            </w:r>
          </w:p>
        </w:tc>
        <w:tc>
          <w:tcPr>
            <w:tcW w:w="141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评分说明</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评价方式</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评价属性</w:t>
            </w:r>
          </w:p>
        </w:tc>
        <w:tc>
          <w:tcPr>
            <w:tcW w:w="786"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评价标准</w:t>
            </w: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备注</w:t>
            </w:r>
          </w:p>
        </w:tc>
      </w:tr>
      <w:tr>
        <w:trPr>
          <w:trHeight w:val="570"/>
        </w:trPr>
        <w:tc>
          <w:tcPr>
            <w:tcW w:w="218" w:type="pct"/>
            <w:tcBorders>
              <w:top w:val="single" w:sz="4" w:space="0" w:color="000000"/>
              <w:left w:val="single" w:sz="4" w:space="0" w:color="000000"/>
              <w:bottom w:val="single" w:sz="4" w:space="0" w:color="000000"/>
              <w:right w:val="nil"/>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一级指标</w:t>
            </w: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二级指标</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三级指标</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指标</w:t>
              <w:br/>
              <w:t>分值</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FF0000"/>
                <w:sz w:val="24"/>
                <w:szCs w:val="24"/>
                <w:u w:val="none"/>
              </w:rPr>
            </w:pPr>
            <w:r>
              <w:rPr>
                <w:rFonts w:ascii="黑体" w:eastAsia="黑体" w:cs="黑体" w:hint="eastAsia"/>
                <w:b/>
                <w:bCs/>
                <w:i w:val="0"/>
                <w:iCs w:val="0"/>
                <w:color w:val="FF0000"/>
                <w:kern w:val="0"/>
                <w:sz w:val="24"/>
                <w:szCs w:val="24"/>
                <w:u w:val="none"/>
                <w:lang w:val="en-US" w:eastAsia="zh-CN"/>
              </w:rPr>
              <w:t>自评得分</w:t>
            </w: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1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整体</w:t>
              <w:br/>
              <w:t>评价</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样本</w:t>
              <w:br/>
              <w:t>评价</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定性</w:t>
              <w:br/>
              <w:t>评价</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定量</w:t>
              <w:br/>
              <w:t>评价</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国家</w:t>
              <w:br/>
              <w:t>标准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行业</w:t>
              <w:br/>
              <w:t>标准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地方</w:t>
              <w:br/>
              <w:t>标准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申报</w:t>
              <w:br/>
              <w:t>标准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历史</w:t>
              <w:br/>
              <w:t>均值</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样本</w:t>
              <w:br/>
              <w:t>均值</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24"/>
                <w:szCs w:val="24"/>
                <w:u w:val="none"/>
              </w:rPr>
            </w:pPr>
            <w:r>
              <w:rPr>
                <w:rFonts w:ascii="黑体" w:eastAsia="黑体" w:cs="黑体" w:hint="eastAsia"/>
                <w:i w:val="0"/>
                <w:iCs w:val="0"/>
                <w:color w:val="000000"/>
                <w:kern w:val="0"/>
                <w:sz w:val="24"/>
                <w:szCs w:val="24"/>
                <w:u w:val="none"/>
                <w:lang w:val="en-US" w:eastAsia="zh-CN"/>
              </w:rPr>
              <w:t>其他</w:t>
              <w:br/>
              <w:t>标准</w:t>
            </w: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0"/>
        </w:trPr>
        <w:tc>
          <w:tcPr>
            <w:tcW w:w="21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总体绩效</w:t>
              <w:br/>
              <w:t>（65分）</w:t>
            </w: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履职效能</w:t>
              <w:br/>
              <w:t>（15分）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市政公用服务事务</w:t>
            </w:r>
          </w:p>
        </w:tc>
        <w:tc>
          <w:tcPr>
            <w:tcW w:w="138" w:type="pct"/>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w:t>
            </w:r>
          </w:p>
        </w:tc>
        <w:tc>
          <w:tcPr>
            <w:tcW w:w="133" w:type="pct"/>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15</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部门整体绩效目标中选定3-5个核心职能目标，反映该项职能目标完成效果情况</w: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整体绩效目标中选定3-5个可量化计算、可评价的核心职能目标，分别设定指标分值、指标解释、评分方法和评分说明，总分值不超过15分。该项指标得分=年终完成履职效果目标数量÷年初目标设置总数×100%×指标分值。履职效能总分为各项履职效果得分的和。</w:t>
            </w: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3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城乡环境管理</w:t>
            </w:r>
          </w:p>
        </w:tc>
        <w:tc>
          <w:tcPr>
            <w:tcW w:w="138" w:type="pct"/>
            <w:vMerge/>
            <w:tcBorders>
              <w:top w:val="nil"/>
              <w:left w:val="single" w:sz="4" w:space="0" w:color="000000"/>
              <w:bottom w:val="single" w:sz="4" w:space="0" w:color="000000"/>
              <w:right w:val="single" w:sz="4" w:space="0" w:color="000000"/>
            </w:tcBorders>
            <w:shd w:val="clear" w:color="auto" w:fill="auto"/>
            <w:noWrap/>
            <w:vAlign w:val="center"/>
          </w:tcPr>
          <w:p/>
        </w:tc>
        <w:tc>
          <w:tcPr>
            <w:tcW w:w="133" w:type="pct"/>
            <w:vMerge/>
            <w:tcBorders>
              <w:top w:val="nil"/>
              <w:left w:val="single" w:sz="4" w:space="0" w:color="000000"/>
              <w:bottom w:val="single" w:sz="4" w:space="0" w:color="000000"/>
              <w:right w:val="single" w:sz="4" w:space="0" w:color="000000"/>
            </w:tcBorders>
            <w:shd w:val="clear" w:color="auto" w:fill="auto"/>
            <w:noWrap/>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1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市政综合管理</w:t>
            </w:r>
          </w:p>
        </w:tc>
        <w:tc>
          <w:tcPr>
            <w:tcW w:w="138" w:type="pct"/>
            <w:vMerge/>
            <w:tcBorders>
              <w:top w:val="nil"/>
              <w:left w:val="single" w:sz="4" w:space="0" w:color="000000"/>
              <w:bottom w:val="single" w:sz="4" w:space="0" w:color="000000"/>
              <w:right w:val="single" w:sz="4" w:space="0" w:color="000000"/>
            </w:tcBorders>
            <w:shd w:val="clear" w:color="auto" w:fill="auto"/>
            <w:noWrap/>
            <w:vAlign w:val="center"/>
          </w:tcPr>
          <w:p/>
        </w:tc>
        <w:tc>
          <w:tcPr>
            <w:tcW w:w="133" w:type="pct"/>
            <w:vMerge/>
            <w:tcBorders>
              <w:top w:val="nil"/>
              <w:left w:val="single" w:sz="4" w:space="0" w:color="000000"/>
              <w:bottom w:val="single" w:sz="4" w:space="0" w:color="000000"/>
              <w:right w:val="single" w:sz="4" w:space="0" w:color="000000"/>
            </w:tcBorders>
            <w:shd w:val="clear" w:color="auto" w:fill="auto"/>
            <w:noWrap/>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1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城乡环境卫生监管</w:t>
            </w:r>
          </w:p>
        </w:tc>
        <w:tc>
          <w:tcPr>
            <w:tcW w:w="138" w:type="pct"/>
            <w:vMerge/>
            <w:tcBorders>
              <w:top w:val="nil"/>
              <w:left w:val="single" w:sz="4" w:space="0" w:color="000000"/>
              <w:bottom w:val="single" w:sz="4" w:space="0" w:color="000000"/>
              <w:right w:val="single" w:sz="4" w:space="0" w:color="000000"/>
            </w:tcBorders>
            <w:shd w:val="clear" w:color="auto" w:fill="auto"/>
            <w:noWrap/>
            <w:vAlign w:val="center"/>
          </w:tcPr>
          <w:p/>
        </w:tc>
        <w:tc>
          <w:tcPr>
            <w:tcW w:w="133" w:type="pct"/>
            <w:vMerge/>
            <w:tcBorders>
              <w:top w:val="nil"/>
              <w:left w:val="single" w:sz="4" w:space="0" w:color="000000"/>
              <w:bottom w:val="single" w:sz="4" w:space="0" w:color="000000"/>
              <w:right w:val="single" w:sz="4" w:space="0" w:color="000000"/>
            </w:tcBorders>
            <w:shd w:val="clear" w:color="auto" w:fill="auto"/>
            <w:noWrap/>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1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XX履职效果</w:t>
            </w:r>
          </w:p>
        </w:tc>
        <w:tc>
          <w:tcPr>
            <w:tcW w:w="138" w:type="pct"/>
            <w:vMerge/>
            <w:tcBorders>
              <w:top w:val="nil"/>
              <w:left w:val="single" w:sz="4" w:space="0" w:color="000000"/>
              <w:bottom w:val="single" w:sz="4" w:space="0" w:color="000000"/>
              <w:right w:val="single" w:sz="4" w:space="0" w:color="000000"/>
            </w:tcBorders>
            <w:shd w:val="clear" w:color="auto" w:fill="auto"/>
            <w:noWrap/>
            <w:vAlign w:val="center"/>
          </w:tcPr>
          <w:p/>
        </w:tc>
        <w:tc>
          <w:tcPr>
            <w:tcW w:w="133" w:type="pct"/>
            <w:vMerge/>
            <w:tcBorders>
              <w:top w:val="nil"/>
              <w:left w:val="single" w:sz="4" w:space="0" w:color="000000"/>
              <w:bottom w:val="single" w:sz="4" w:space="0" w:color="000000"/>
              <w:right w:val="single" w:sz="4" w:space="0" w:color="000000"/>
            </w:tcBorders>
            <w:shd w:val="clear" w:color="auto" w:fill="auto"/>
            <w:noWrap/>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1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6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预算管理</w:t>
              <w:br/>
              <w:t>（25分）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预算编制质量</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8</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部门是否严格按要求编制年初部门预算，年初预算编制的科学性和准确性</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该项指标得分=（1-财政拨款预算偏离度）×100%×4+（1-资产配置预算偏离度）×100%×2+（1-政府采购预算偏离度）×100%×2。偏离度=|预算执行数-年初预算数|÷年初预算数。</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88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单位收入统筹</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部门统筹自有收入程度</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该项指标得分=（部门自有收入全年执行数÷部门自有收入年初预算数）×100%×2+（财政核定的综合补助比例÷按实际执行测算的综合补助比例）×100%×2。</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46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支出执行进度</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6</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部门1至6月、1至10月预算执行情况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1至6月预算执行数÷（部门预算数×50%）×2）+（1-1至6月支出预警金额占比×0.8-1至6月支出违规金额占比×0.2）+（1至10月预算执行数÷（部门预算数×83.33%）×2）+（1-1至10月支出预警金额占比×0.8-1至10月支出违规金额占比×0.2）。</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预算年终结余</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部门整体年终预算结余情况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该项指标得分=（1-部门整体预算结余率）×100%×2。部门整体预算结余率为当年年终部门预算注销金额和结转金额占部门预算总金额的比率。</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86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严控一般性支出</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5</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nil"/>
              <w:left w:val="nil"/>
              <w:bottom w:val="nil"/>
              <w:right w:val="nil"/>
            </w:tcBorders>
            <w:shd w:val="clear" w:color="auto" w:fill="auto"/>
            <w:noWrap/>
            <w:vAlign w:val="center"/>
          </w:tcPr>
          <w:p>
            <w:pPr>
              <w:keepNext w:val="0"/>
              <w:keepLines w:val="0"/>
              <w:widowControl/>
              <w:suppressLineNumbers w:val="0"/>
              <w:ind w:firstLineChars="200" w:firstLine="48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该项指标得分=基础分值+加分值。</w:t>
              <w:br/>
              <w:t>1.基础分值。一般性支出财政拨款年初预算较上年实现压减得1分；一般性支出财政拨款预算执行较上年实现压减得1分。</w:t>
              <w:br/>
              <w:t>2.加分值。一般性支出财政拨款年初预算较上年每压减1%得0.2分，累计不超过1分；一般性支出财政拨款预算执行较上年每压减1%得0.4分，累计不超过2分。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7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财务管理</w:t>
              <w:br/>
              <w:t>（10分）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财务管理制度</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部门财务管理制度建立情况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缺（错）项</w:t>
              <w:br/>
              <w:t>扣分法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部门已制定内部财务管理制度等制度机制的，得2分。财务管理制度得到落实，得2分。否则该项不得分。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57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财务岗位设置</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部门财务岗位设置是否符合相关财务管理制度要求</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是否评分法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部门合理设置财务工作岗位，明确职责权限，并严格实行不相容岗位分离的，得2分。否则该项不得分。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7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资金使用规范</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部门资金使用是否符合相关财务管理制度规定</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缺（错）项</w:t>
              <w:br/>
              <w:t>扣分法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部门资金使用不符合相关财务管理制度规定的，发现一处扣1分，扣完为止。</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6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资产管理</w:t>
              <w:br/>
              <w:t>（9分）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人均资产变化率</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2</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部门人均资产变化情况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分级评分法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人均资产变化率为X，省直行政事业单位人均资产变化率为N，则：X≤N，得1.5分；N＜X≤1.2N，得0.9分；1.2N＜X≤1.4N，得0.6分；X＞1.4N，得0.3分。部门人均资产增长率为X，同期省级财政收入增长率为N，则：X≤0，得1.5分；0＜X≤N，得0.9分；N＜X≤2N，得0.6分；X＞2N，不得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27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资产利用率</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部门资产超最低使用年限情况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分级评分法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办公家具超最低使用年限资产利用率=超最低使用年限的办公家具账面价值÷办公家具账面价值×100%。办公家具超最低使用年限资产利用率为X，省直行政事业单位平均值为N，则：X＞N，得1.5分；0.8N＜X≤N，得0.9分；0.6N＜X≤0.8N，得0.6分；X≤0.6N，得0.3分。部门办公设备超最低使用年限资产利用率=超最低使用年限的办公设备账面价值÷办公设备账面价值×100%。办公设备超最低使用年限资产利用率为X，省直行政事业单位平均值为N，则：X＞N，得1.5分；0.8N＜X≤N，得0.9分；0.6N＜X≤0.8N，得0.6分；X≤0.6N，得0.3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560"/>
        </w:trPr>
        <w:tc>
          <w:tcPr>
            <w:tcW w:w="21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总体绩效</w:t>
              <w:br/>
              <w:t>（65分）</w:t>
            </w:r>
          </w:p>
        </w:tc>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资产管理</w:t>
              <w:br/>
              <w:t>（9分）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资产盘活率</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部门闲置一年以上的资产盘活情况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分级评分法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闲置资产占比变化率=(本年闲置资产账面价值÷本年总资产账面价值)÷(上一年度闲置资产账面价值÷上一年度总资产账面价值)×100%，变化率在60%以下的得2.4分，60%-80%的得1.8分，80-100%的得1.2分，100%以上的不得分。两年均无闲置资产或上年度有闲置资产评价年度无闲置资产的，该项指标得3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57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采购管理</w:t>
              <w:br/>
              <w:t>（6分）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支持中小企业发展</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部门是否严格执行政府采购促进中小企业发展相关管理办法</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是否评分法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对适宜由中小企业提供的采购项目和采购包，预留采购份额专门面向中小企业采购，并在采购预算中单独列示，不符合要求的扣3分。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57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采购执行率</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部门政府采购项目资金支付比例情况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该项指标得分=当年政府采购实际支付总金额÷（当年政府采购总预算数-当年已完成采购项目节约金额）×100%×3。</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720"/>
        </w:trPr>
        <w:tc>
          <w:tcPr>
            <w:tcW w:w="21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项目绩效</w:t>
              <w:br/>
              <w:t>（35分）</w:t>
            </w:r>
          </w:p>
        </w:tc>
        <w:tc>
          <w:tcPr>
            <w:tcW w:w="227" w:type="pct"/>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项目决策</w:t>
              <w:br/>
              <w:t>（12分）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决策程序</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部门预算项目设立是否按规定履行评估论证、申报程序</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4-部门未履行事前评估程序的部门预算阶段项目（含一次性项目）数量÷部门预算阶段项目（含一次性项目）总数×100%×4。抽评的部门预算阶段项目（含一次性项目）总数10个以下的全部纳入，每增加5个多纳入1个，最多不超过30个，下同。若无部门预算阶段项目（含一次性项目），则主要查看部门预算项目整体决策程序。</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3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nil"/>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目标设置</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4-绩效目标与计划期内的任务量、预算安排不相匹配的部门预算阶段项目（含一次性项目）数量÷部门预算阶段项目（含一次性项目）总数×100%×4。若无部门预算阶段项目（含一次性项目），则抽评涉及核心业务、资金量大的其他部门预算项目，下同。</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04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nil"/>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项目入库</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部门预算项目是否在规定时间完成项目入库</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该项指标得分=4-规定时间未入财政库部门预算阶段项目（含一次性项目）数量÷最终安排部门预算阶段项目（含一次性项目）总数×100%×4。规定时间以当年9月30日为准。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92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项目执行</w:t>
              <w:br/>
              <w:t>（12分）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执行同向</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部门预算项目实际列支内容是否与绩效目标设置方向相符</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该项指标得分=4-实际列支内容与绩效目标设置方向不相符的部门预算阶段项目（含一次性项目）数量÷部门预算阶段项目（含一次性项目）总数×100%×4。</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02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nil"/>
              <w:right w:val="single" w:sz="4" w:space="0" w:color="000000"/>
            </w:tcBorders>
            <w:shd w:val="clear" w:color="auto" w:fill="auto"/>
            <w:noWrap/>
            <w:vAlign w:val="center"/>
          </w:tcPr>
          <w:p/>
        </w:tc>
        <w:tc>
          <w:tcPr>
            <w:tcW w:w="400" w:type="pc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项目调整</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部门预算项目是否采取对应调整措施</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该项指标得分=4-应采取未采取收回预算、调整目标等处置措施的部门预算阶段项目（含一次性项目）数量÷应采取收回预算、调整目标等处置措施的部门预算阶段项目（含一次性项目）总数×100%×4。</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06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nil"/>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执行结果</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部门预算项目预算执行情况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该项指标得分=预算结余率小于10%的常年项目数量÷部门预算常年项目总数×100%×2+预算结余率小于10%的一次性项目和阶段项目数量÷部门预算一次性项目和阶段项目总数×100%×2。</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nil"/>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82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目标实现</w:t>
              <w:br/>
              <w:t>（11分）</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目标完成</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部门预算项目绩效目标数量指标完成情况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该项指标得分=完成绩效目标数量指标的部门预算阶段项目（含一次性项目）数量÷部门预算阶段项目（含一次性项目）总数×100%×4。</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48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目标偏离</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4</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部门预算项目绩效目标数量指标实现程度与预期目标的偏离情况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已完成预期指标值的数量指标中偏离度在30%内的指标个数÷已完成预期指标值的数量指标个数×100%×4。偏离度=|（绩效指标实际完成值-设定预期指标值）÷设定预期指标值|。部门预算阶段项目（含一次性项目）绩效目标实际完成值偏离预期指标30%以上（含30%）的，不计分。</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86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实现效果</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3</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部门预算项目绩效目标效益指标实施效果</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比率分值法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该项指标得分=完成绩效目标效益指标的部门预算阶段项目（含一次性项目）数量÷部门预算阶段项目（含一次性项目）总数×100%×3。</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1480"/>
        </w:trPr>
        <w:tc>
          <w:tcPr>
            <w:tcW w:w="21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扣分项</w:t>
              <w:br/>
              <w:t>（10分）</w:t>
            </w: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预算绩效存在问题</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预算管理和绩效管理工作存在问题</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缺（错）项</w:t>
              <w:br/>
              <w:t>扣分法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依据评价年度人大监督、巡视巡察、审计监督、财会监督等结果以及评价指标体系涉及的履职效果、预算管理、财务管理、资产管理、采购管理、项目绩效等方面出现的问题，每有一个问题点扣1分，扣完为止。</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600"/>
        </w:trPr>
        <w:tc>
          <w:tcPr>
            <w:tcW w:w="21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被评价部门配合度</w:t>
            </w: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被评价对象工作配合情况</w:t>
            </w: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缺（错）项</w:t>
              <w:br/>
              <w:t>扣分法</w:t>
            </w: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评价工作开展过程中，被评价对象拖延推诿、提交资料不及时等拒不配合评价工作的，每发现一次扣1分，扣完为止。</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w:t>
            </w: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r>
        <w:trPr>
          <w:trHeight w:val="600"/>
        </w:trPr>
        <w:tc>
          <w:tcPr>
            <w:tcW w:w="2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4"/>
                <w:szCs w:val="24"/>
                <w:u w:val="none"/>
              </w:rPr>
            </w:pPr>
            <w:r>
              <w:rPr>
                <w:rFonts w:ascii="宋体" w:eastAsia="宋体" w:cs="宋体" w:hint="eastAsia"/>
                <w:b/>
                <w:bCs/>
                <w:i w:val="0"/>
                <w:iCs w:val="0"/>
                <w:color w:val="000000"/>
                <w:kern w:val="0"/>
                <w:sz w:val="24"/>
                <w:szCs w:val="24"/>
                <w:u w:val="none"/>
                <w:lang w:val="en-US" w:eastAsia="zh-CN"/>
              </w:rPr>
              <w:t>总分</w:t>
            </w: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2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4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24"/>
                <w:szCs w:val="24"/>
                <w:u w:val="none"/>
              </w:rPr>
            </w:pPr>
          </w:p>
        </w:tc>
      </w:tr>
    </w:tbl>
    <w:p>
      <w:pPr>
        <w:rPr>
          <w:rFonts w:hint="eastAsia"/>
          <w:lang w:val="en-US" w:eastAsia="zh-CN"/>
        </w:rPr>
      </w:pPr>
    </w:p>
    <w:p>
      <w:pPr>
        <w:pStyle w:val="16"/>
        <w:rPr>
          <w:rFonts w:ascii="Times New Roman" w:cs="宋体" w:hAnsi="Times New Roman" w:hint="eastAsia"/>
          <w:color w:val="FF0000"/>
          <w:kern w:val="0"/>
          <w:sz w:val="32"/>
          <w:szCs w:val="32"/>
          <w:shd w:val="clear" w:color="auto" w:fill="FFFFFF"/>
          <w:lang w:val="zh-CN"/>
          <w:highlight w:val="yellow"/>
        </w:rPr>
      </w:pPr>
    </w:p>
    <w:p>
      <w:pPr>
        <w:rPr>
          <w:rFonts w:ascii="Times New Roman" w:eastAsia="仿宋_GB2312" w:cs="仿宋_GB2312" w:hAnsi="Times New Roman" w:hint="eastAsia"/>
          <w:b w:val="0"/>
          <w:bCs w:val="0"/>
          <w:color w:val="FF0000"/>
          <w:kern w:val="0"/>
          <w:position w:val="0"/>
          <w:sz w:val="32"/>
          <w:szCs w:val="32"/>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sectPr>
          <w:pgSz w:w="16838" w:h="11906" w:orient="landscape"/>
          <w:pgMar w:top="1800" w:right="1440" w:bottom="1800" w:left="1440" w:header="851" w:footer="992" w:gutter="0"/>
          <w:pgNumType/>
          <w:titlePg/>
          <w:docGrid w:type="lines" w:linePitch="312" w:charSpace="0"/>
        </w:sectPr>
      </w:pPr>
    </w:p>
    <w:p>
      <w:pPr>
        <w:keepNext w:val="0"/>
        <w:keepLines w:val="0"/>
        <w:pageBreakBefore w:val="0"/>
        <w:widowControl w:val="0"/>
        <w:kinsoku/>
        <w:wordWrap/>
        <w:overflowPunct/>
        <w:topLinePunct w:val="0"/>
        <w:autoSpaceDE/>
        <w:autoSpaceDN/>
        <w:bidi w:val="0"/>
        <w:spacing w:line="578" w:lineRule="exact"/>
        <w:textAlignment w:val="auto"/>
        <w:outlineLvl w:val="9"/>
        <w:rPr>
          <w:rFonts w:ascii="Times New Roman" w:eastAsia="仿宋_GB2312" w:cs="仿宋_GB2312" w:hAnsi="Times New Roman" w:hint="eastAsia"/>
          <w:b w:val="0"/>
          <w:bCs w:val="0"/>
          <w:kern w:val="0"/>
          <w:position w:val="0"/>
          <w:sz w:val="32"/>
          <w:szCs w:val="32"/>
          <w:lang w:val="en-US" w:eastAsia="zh-CN" w:bidi="ar-SA"/>
          <w:highlight w:val="auto"/>
        </w:rPr>
      </w:pPr>
      <w:bookmarkStart w:id="76" w:name="_Toc15396618"/>
    </w:p>
    <w:p>
      <w:pPr>
        <w:pStyle w:val="1"/>
        <w:bidi w:val="0"/>
        <w:jc w:val="center"/>
        <w:rPr>
          <w:rFonts w:ascii="Times New Roman" w:eastAsia="仿宋" w:hAnsi="Times New Roman" w:hint="eastAsia"/>
          <w:b w:val="0"/>
          <w:color w:val="auto"/>
          <w:highlight w:val="auto"/>
        </w:rPr>
      </w:pPr>
      <w:bookmarkStart w:id="77" w:name="_Toc6918"/>
      <w:r>
        <w:rPr>
          <w:rFonts w:hint="eastAsia"/>
        </w:rPr>
        <w:t>第五部分 附表</w:t>
      </w:r>
      <w:bookmarkStart w:id="78" w:name="_Toc15396619"/>
      <w:bookmarkEnd w:id="70"/>
      <w:bookmarkEnd w:id="76"/>
      <w:bookmarkEnd w:id="77"/>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78"/>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9" w:name="_Toc15396620"/>
      <w:r>
        <w:rPr>
          <w:rFonts w:ascii="Times New Roman" w:eastAsia="仿宋_GB2312" w:cs="仿宋_GB2312" w:hAnsi="Times New Roman" w:hint="eastAsia"/>
          <w:color w:val="auto"/>
          <w:sz w:val="32"/>
          <w:szCs w:val="32"/>
          <w:highlight w:val="auto"/>
        </w:rPr>
        <w:t>二、收入决算表</w:t>
      </w:r>
      <w:bookmarkEnd w:id="79"/>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0" w:name="_Toc15396621"/>
      <w:r>
        <w:rPr>
          <w:rFonts w:ascii="Times New Roman" w:eastAsia="仿宋_GB2312" w:cs="仿宋_GB2312" w:hAnsi="Times New Roman" w:hint="eastAsia"/>
          <w:color w:val="auto"/>
          <w:sz w:val="32"/>
          <w:szCs w:val="32"/>
          <w:highlight w:val="auto"/>
        </w:rPr>
        <w:t>三、支出决算表</w:t>
      </w:r>
      <w:bookmarkEnd w:id="80"/>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1" w:name="_Toc15396622"/>
      <w:r>
        <w:rPr>
          <w:rFonts w:ascii="Times New Roman" w:eastAsia="仿宋_GB2312" w:cs="仿宋_GB2312" w:hAnsi="Times New Roman" w:hint="eastAsia"/>
          <w:color w:val="auto"/>
          <w:sz w:val="32"/>
          <w:szCs w:val="32"/>
          <w:highlight w:val="auto"/>
        </w:rPr>
        <w:t>四、财政拨款收入支出决算总表</w:t>
      </w:r>
      <w:bookmarkEnd w:id="81"/>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2" w:name="_Toc15396623"/>
      <w:r>
        <w:rPr>
          <w:rFonts w:ascii="Times New Roman" w:eastAsia="仿宋_GB2312" w:cs="仿宋_GB2312" w:hAnsi="Times New Roman" w:hint="eastAsia"/>
          <w:color w:val="auto"/>
          <w:sz w:val="32"/>
          <w:szCs w:val="32"/>
          <w:highlight w:val="auto"/>
        </w:rPr>
        <w:t>五、财政拨款支出决算明细表</w:t>
      </w:r>
      <w:bookmarkStart w:id="83" w:name="_Toc15396624"/>
      <w:bookmarkEnd w:id="82"/>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83"/>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4" w:name="_Toc15396625"/>
      <w:r>
        <w:rPr>
          <w:rFonts w:ascii="Times New Roman" w:eastAsia="仿宋_GB2312" w:cs="仿宋_GB2312" w:hAnsi="Times New Roman" w:hint="eastAsia"/>
          <w:color w:val="auto"/>
          <w:sz w:val="32"/>
          <w:szCs w:val="32"/>
          <w:highlight w:val="auto"/>
        </w:rPr>
        <w:t>七、一般公共预算财政拨款支出决算明细表</w:t>
      </w:r>
      <w:bookmarkEnd w:id="84"/>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5" w:name="_Toc15396626"/>
      <w:r>
        <w:rPr>
          <w:rFonts w:ascii="Times New Roman" w:eastAsia="仿宋_GB2312" w:cs="仿宋_GB2312" w:hAnsi="Times New Roman" w:hint="eastAsia"/>
          <w:color w:val="auto"/>
          <w:sz w:val="32"/>
          <w:szCs w:val="32"/>
          <w:highlight w:val="auto"/>
        </w:rPr>
        <w:t>八、一般公共预算财政拨款基本支出决算表</w:t>
      </w:r>
      <w:bookmarkEnd w:id="85"/>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6" w:name="_Toc15396627"/>
      <w:r>
        <w:rPr>
          <w:rFonts w:ascii="Times New Roman" w:eastAsia="仿宋_GB2312" w:cs="仿宋_GB2312" w:hAnsi="Times New Roman" w:hint="eastAsia"/>
          <w:color w:val="auto"/>
          <w:sz w:val="32"/>
          <w:szCs w:val="32"/>
          <w:highlight w:val="auto"/>
        </w:rPr>
        <w:t>九、一般公共预算财政拨款项目支出决算表</w:t>
      </w:r>
      <w:bookmarkEnd w:id="86"/>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7" w:name="_Toc15396628"/>
      <w:r>
        <w:rPr>
          <w:rFonts w:ascii="Times New Roman" w:eastAsia="仿宋_GB2312" w:cs="仿宋_GB2312" w:hAnsi="Times New Roman" w:hint="eastAsia"/>
          <w:color w:val="auto"/>
          <w:sz w:val="32"/>
          <w:szCs w:val="32"/>
          <w:highlight w:val="auto"/>
        </w:rPr>
        <w:t>十、</w:t>
      </w:r>
      <w:bookmarkEnd w:id="87"/>
      <w:r>
        <w:rPr>
          <w:rFonts w:ascii="Times New Roman" w:eastAsia="仿宋_GB2312" w:cs="仿宋_GB2312" w:hAnsi="Times New Roman" w:hint="eastAsia"/>
          <w:color w:val="auto"/>
          <w:sz w:val="32"/>
          <w:szCs w:val="32"/>
          <w:highlight w:val="auto"/>
        </w:rPr>
        <w:t>政府性基金预算财政拨款收入支出决算表</w:t>
      </w:r>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8" w:name="_Toc15396629"/>
      <w:r>
        <w:rPr>
          <w:rFonts w:ascii="Times New Roman" w:eastAsia="仿宋_GB2312" w:cs="仿宋_GB2312" w:hAnsi="Times New Roman" w:hint="eastAsia"/>
          <w:color w:val="auto"/>
          <w:sz w:val="32"/>
          <w:szCs w:val="32"/>
          <w:highlight w:val="auto"/>
        </w:rPr>
        <w:t>十一、</w:t>
      </w:r>
      <w:bookmarkEnd w:id="88"/>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9" w:name="_Toc15396630"/>
      <w:r>
        <w:rPr>
          <w:rFonts w:ascii="Times New Roman" w:eastAsia="仿宋_GB2312" w:cs="仿宋_GB2312" w:hAnsi="Times New Roman" w:hint="eastAsia"/>
          <w:color w:val="auto"/>
          <w:sz w:val="32"/>
          <w:szCs w:val="32"/>
          <w:highlight w:val="auto"/>
        </w:rPr>
        <w:t>十二、</w:t>
      </w:r>
      <w:bookmarkEnd w:id="89"/>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6"/>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90" w:name="_Toc15396631"/>
      <w:r>
        <w:rPr>
          <w:rFonts w:ascii="Times New Roman" w:eastAsia="仿宋_GB2312" w:cs="仿宋_GB2312" w:hAnsi="Times New Roman" w:hint="eastAsia"/>
          <w:color w:val="auto"/>
          <w:sz w:val="32"/>
          <w:szCs w:val="32"/>
          <w:highlight w:val="auto"/>
        </w:rPr>
        <w:t>十三、</w:t>
      </w:r>
      <w:bookmarkEnd w:id="90"/>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sectPr>
      <w:pgSz w:w="11906" w:h="16838"/>
      <w:pgMar w:top="1440" w:right="1800" w:bottom="1440" w:left="1800" w:header="851" w:footer="992" w:gutter="0"/>
      <w:pgNumType/>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203" w:usb1="288F0000" w:usb2="0000000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AR PL UKai CN"/>
    <w:panose1 w:val="02000000000000000000"/>
    <w:charset w:val="86"/>
    <w:family w:val="script"/>
    <w:pitch w:val="variable"/>
    <w:sig w:usb0="00000001" w:usb1="08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方正仿宋_GBK">
    <w:altName w:val="微软雅黑"/>
    <w:panose1 w:val="03000509000000000000"/>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2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r>
      <w:rPr>
        <w:sz w:val="18"/>
      </w:rPr>
      <mc:AlternateContent>
        <mc:Choice Requires="wps">
          <w:drawing>
            <wp:anchor distT="0" distB="0" distL="114298" distR="114298" simplePos="0" relativeHeight="26"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1" name="文本框 2"/>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5.7239957pt;height:10.484998pt;z-index:26;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82219" cy="133159"/>
              <wp:effectExtent l="0" t="0" r="0" b="0"/>
              <wp:wrapNone/>
              <wp:docPr id="4" name="文本框 5"/>
              <wp:cNvGraphicFramePr>
                <a:graphicFrameLocks noChangeAspect="0"/>
              </wp:cNvGraphicFramePr>
              <a:graphic>
                <a:graphicData uri="http://schemas.microsoft.com/office/word/2010/wordprocessingShape">
                  <wps:wsp>
                    <wps:cNvSpPr/>
                    <wps:spPr>
                      <a:xfrm rot="0">
                        <a:off x="0" y="0"/>
                        <a:ext cx="82219" cy="133159"/>
                      </a:xfrm>
                      <a:prstGeom prst="rect"/>
                      <a:noFill/>
                      <a:ln w="6350" cmpd="sng" cap="flat">
                        <a:noFill/>
                        <a:prstDash val="solid"/>
                        <a:round/>
                      </a:ln>
                    </wps:spPr>
                    <wps:txbx id="5">
                      <w:txbxContent>
                        <w:p>
                          <w:pPr>
                            <w:pStyle w:val="21"/>
                            <w:tabs>
                              <w:tab w:val="center" w:pos="4153"/>
                              <w:tab w:val="right" w:pos="8306"/>
                            </w:tabs>
                            <w:rPr>
                              <w:rFonts w:eastAsia="宋体" w:hint="eastAsia"/>
                              <w:lang w:eastAsia="zh-CN"/>
                            </w:rPr>
                          </w:pPr>
                          <w:r>
                            <w:rPr>
                              <w:rFonts w:hint="eastAsia"/>
                              <w:lang w:val="en-US" w:eastAsia="zh-CN"/>
                            </w:rPr>
                            <w:t>1</w:t>
                          </w:r>
                        </w:p>
                      </w:txbxContent>
                    </wps:txbx>
                    <wps:bodyPr vert="horz" wrap="none" lIns="0" tIns="0" rIns="0" bIns="0" anchor="t" anchorCtr="0" upright="0">
                      <a:spAutoFit/>
                    </wps:bodyPr>
                  </wps:wsp>
                </a:graphicData>
              </a:graphic>
            </wp:anchor>
          </w:drawing>
        </mc:Choice>
        <mc:Fallback>
          <w:pict>
            <v:shape type="#_x0000_t202" id="文本框 5 6" o:spid="_x0000_s6" filled="f" stroked="f" strokeweight="0.5pt" style="position:absolute;margin-left:0.0pt;margin-top:0.0pt;width:6.4739842pt;height:10.484998pt;z-index:22;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21"/>
                      <w:tabs>
                        <w:tab w:val="center" w:pos="4153"/>
                        <w:tab w:val="right" w:pos="8306"/>
                      </w:tabs>
                      <w:rPr>
                        <w:rFonts w:eastAsia="宋体" w:hint="eastAsia"/>
                        <w:lang w:eastAsia="zh-CN"/>
                      </w:rPr>
                    </w:pPr>
                    <w:r>
                      <w:rPr>
                        <w:rFonts w:hint="eastAsia"/>
                        <w:lang w:val="en-US" w:eastAsia="zh-CN"/>
                      </w:rPr>
                      <w:t>1</w:t>
                    </w:r>
                  </w:p>
                </w:txbxContent>
              </v:textbox>
            </v:shape>
          </w:pict>
        </mc:Fallback>
      </mc:AlternateContent>
    </w: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7" name="文本框 6"/>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8">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6 9" o:spid="_x0000_s9" filled="f" stroked="f" strokeweight="0.5pt" style="position:absolute;margin-left:0.0pt;margin-top:0.0pt;width:11.447991pt;height:10.485009pt;z-index:24;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r>
      <w:rPr>
        <w:sz w:val="18"/>
      </w:rPr>
      <mc:AlternateContent>
        <mc:Choice Requires="wps">
          <w:drawing>
            <wp:anchor distT="0" distB="0" distL="114298" distR="114298" simplePos="0" relativeHeight="30" behindDoc="0" locked="0" layoutInCell="1" hidden="0" allowOverlap="1">
              <wp:simplePos x="0" y="0"/>
              <wp:positionH relativeFrom="margin">
                <wp:align>center</wp:align>
              </wp:positionH>
              <wp:positionV relativeFrom="paragraph">
                <wp:posOffset>0</wp:posOffset>
              </wp:positionV>
              <wp:extent cx="72695" cy="133159"/>
              <wp:effectExtent l="0" t="0" r="0" b="0"/>
              <wp:wrapNone/>
              <wp:docPr id="10" name="文本框 4"/>
              <wp:cNvGraphicFramePr>
                <a:graphicFrameLocks noChangeAspect="0"/>
              </wp:cNvGraphicFramePr>
              <a:graphic>
                <a:graphicData uri="http://schemas.microsoft.com/office/word/2010/wordprocessingShape">
                  <wps:wsp>
                    <wps:cNvSpPr/>
                    <wps:spPr>
                      <a:xfrm rot="0">
                        <a:off x="0" y="0"/>
                        <a:ext cx="72695" cy="133159"/>
                      </a:xfrm>
                      <a:prstGeom prst="rect"/>
                      <a:noFill/>
                      <a:ln w="6350" cmpd="sng" cap="flat">
                        <a:noFill/>
                        <a:prstDash val="solid"/>
                        <a:round/>
                      </a:ln>
                    </wps:spPr>
                    <wps:txbx id="11">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4 12" o:spid="_x0000_s12" filled="f" stroked="f" strokeweight="0.5pt" style="position:absolute;margin-left:0.0pt;margin-top:0.0pt;width:5.7240186pt;height:10.485009pt;z-index:30;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298" distR="114298" simplePos="0" relativeHeight="28" behindDoc="0" locked="0" layoutInCell="1" hidden="0" allowOverlap="1">
              <wp:simplePos x="0" y="0"/>
              <wp:positionH relativeFrom="margin">
                <wp:align>center</wp:align>
              </wp:positionH>
              <wp:positionV relativeFrom="paragraph">
                <wp:posOffset>0</wp:posOffset>
              </wp:positionV>
              <wp:extent cx="82219" cy="133159"/>
              <wp:effectExtent l="0" t="0" r="0" b="0"/>
              <wp:wrapNone/>
              <wp:docPr id="13" name="文本框 7"/>
              <wp:cNvGraphicFramePr>
                <a:graphicFrameLocks noChangeAspect="0"/>
              </wp:cNvGraphicFramePr>
              <a:graphic>
                <a:graphicData uri="http://schemas.microsoft.com/office/word/2010/wordprocessingShape">
                  <wps:wsp>
                    <wps:cNvSpPr/>
                    <wps:spPr>
                      <a:xfrm rot="0">
                        <a:off x="0" y="0"/>
                        <a:ext cx="82219" cy="133159"/>
                      </a:xfrm>
                      <a:prstGeom prst="rect"/>
                      <a:noFill/>
                      <a:ln w="6350" cmpd="sng" cap="flat">
                        <a:noFill/>
                        <a:prstDash val="solid"/>
                        <a:round/>
                      </a:ln>
                    </wps:spPr>
                    <wps:txbx id="14">
                      <w:txbxContent>
                        <w:p>
                          <w:pPr>
                            <w:pStyle w:val="21"/>
                            <w:tabs>
                              <w:tab w:val="center" w:pos="4153"/>
                              <w:tab w:val="right" w:pos="8306"/>
                            </w:tabs>
                            <w:rPr>
                              <w:rFonts w:eastAsia="宋体" w:hint="eastAsia"/>
                              <w:lang w:eastAsia="zh-CN"/>
                            </w:rPr>
                          </w:pPr>
                          <w:r>
                            <w:rPr>
                              <w:rFonts w:hint="eastAsia"/>
                              <w:lang w:val="en-US" w:eastAsia="zh-CN"/>
                            </w:rPr>
                            <w:t>1</w:t>
                          </w:r>
                        </w:p>
                      </w:txbxContent>
                    </wps:txbx>
                    <wps:bodyPr vert="horz" wrap="none" lIns="0" tIns="0" rIns="0" bIns="0" anchor="t" anchorCtr="0" upright="0">
                      <a:spAutoFit/>
                    </wps:bodyPr>
                  </wps:wsp>
                </a:graphicData>
              </a:graphic>
            </wp:anchor>
          </w:drawing>
        </mc:Choice>
        <mc:Fallback>
          <w:pict>
            <v:shape type="#_x0000_t202" id="文本框 7 15" o:spid="_x0000_s15" filled="f" stroked="f" strokeweight="0.5pt" style="position:absolute;margin-left:0.0pt;margin-top:0.0pt;width:6.4739842pt;height:10.484998pt;z-index:28;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21"/>
                      <w:tabs>
                        <w:tab w:val="center" w:pos="4153"/>
                        <w:tab w:val="right" w:pos="8306"/>
                      </w:tabs>
                      <w:rPr>
                        <w:rFonts w:eastAsia="宋体" w:hint="eastAsia"/>
                        <w:lang w:eastAsia="zh-CN"/>
                      </w:rPr>
                    </w:pPr>
                    <w:r>
                      <w:rPr>
                        <w:rFonts w:hint="eastAsia"/>
                        <w:lang w:val="en-US" w:eastAsia="zh-CN"/>
                      </w:rPr>
                      <w:t>1</w:t>
                    </w:r>
                  </w:p>
                </w:txbxContent>
              </v:textbox>
            </v:shape>
          </w:pict>
        </mc:Fallback>
      </mc:AlternateContent>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2FA047D"/>
    <w:multiLevelType w:val="singleLevel"/>
    <w:tmpl w:val="E2FA047D"/>
    <w:lvl w:ilvl="0">
      <w:start w:val="3"/>
      <w:numFmt w:val="chineseCounting"/>
      <w:lvlRestart w:val="0"/>
      <w:suff w:val="space"/>
      <w:lvlText w:val="第%1部分"/>
      <w:lvlJc w:val="left"/>
      <w:pPr>
        <w:tabs>
          <w:tab w:val="num" w:pos="0"/>
        </w:tabs>
        <w:ind w:left="0" w:hanging="0"/>
      </w:pPr>
      <w:rPr>
        <w:rFonts w:cs="Times New Roman" w:hint="eastAsia"/>
      </w:rPr>
    </w:lvl>
  </w:abstractNum>
  <w:abstractNum w:abstractNumId="1">
    <w:nsid w:val="35436F50"/>
    <w:multiLevelType w:val="singleLevel"/>
    <w:tmpl w:val="35436F50"/>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WMyZGEzY2NhZDZiNGJlZDIxOGQ3MGRlYzBjZjVlYz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autoRedefine/>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autoRedefine/>
    <w:rPr>
      <w:rFonts w:ascii="Times New Roman" w:eastAsia="宋体" w:cs="Times New Roman" w:hAnsi="Times New Roman"/>
      <w:b/>
      <w:bCs/>
      <w:kern w:val="44"/>
      <w:sz w:val="44"/>
      <w:szCs w:val="44"/>
      <w:lang w:val="en-US" w:eastAsia="zh-CN" w:bidi="ar-SA"/>
    </w:rPr>
  </w:style>
  <w:style w:type="paragraph" w:styleId="2">
    <w:name w:val="heading 2"/>
    <w:basedOn w:val="0"/>
    <w:autoRedefine/>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autoRedefine/>
    <w:rPr>
      <w:rFonts w:ascii="Cambria" w:eastAsia="宋体" w:cs="Times New Roman" w:hAnsi="Cambria"/>
      <w:b/>
      <w:bCs/>
      <w:kern w:val="2"/>
      <w:sz w:val="32"/>
      <w:szCs w:val="32"/>
      <w:lang w:val="en-US" w:eastAsia="zh-CN" w:bidi="ar-SA"/>
    </w:rPr>
  </w:style>
  <w:style w:type="paragraph" w:styleId="3">
    <w:name w:val="heading 3"/>
    <w:basedOn w:val="0"/>
    <w:autoRedefine/>
    <w:next w:val="0"/>
    <w:pPr>
      <w:keepNext/>
      <w:keepLines/>
      <w:widowControl w:val="0"/>
      <w:spacing w:before="260" w:after="260" w:line="415" w:lineRule="auto"/>
      <w:outlineLvl w:val="2"/>
    </w:pPr>
    <w:rPr>
      <w:b/>
      <w:bCs/>
      <w:sz w:val="32"/>
      <w:szCs w:val="32"/>
    </w:rPr>
  </w:style>
  <w:style w:type="character" w:default="1" w:styleId="10">
    <w:name w:val="Default Paragraph Font"/>
    <w:autoRedefine/>
  </w:style>
  <w:style w:type="paragraph" w:styleId="15">
    <w:name w:val="Normal Indent"/>
    <w:basedOn w:val="0"/>
    <w:pPr>
      <w:ind w:firstLine="420"/>
    </w:pPr>
    <w:rPr>
      <w:rFonts w:ascii="Times New Roman" w:cs="Times New Roman" w:hAnsi="Times New Roman"/>
    </w:rPr>
  </w:style>
  <w:style w:type="paragraph" w:styleId="16">
    <w:name w:val="Body Text"/>
    <w:basedOn w:val="0"/>
    <w:autoRedefine/>
    <w:pPr>
      <w:spacing w:beforeLines="30" w:before="30"/>
    </w:pPr>
    <w:rPr>
      <w:rFonts w:ascii="仿宋_GB2312" w:eastAsia="仿宋_GB2312"/>
      <w:kern w:val="0"/>
      <w:sz w:val="30"/>
    </w:rPr>
  </w:style>
  <w:style w:type="paragraph" w:styleId="17">
    <w:name w:val="Body Text Indent"/>
    <w:basedOn w:val="0"/>
    <w:autoRedefine/>
    <w:next w:val="18"/>
    <w:pPr>
      <w:spacing w:after="120"/>
      <w:ind w:leftChars="200" w:left="200"/>
    </w:pPr>
    <w:rPr>
      <w:rFonts w:ascii="仿宋_GB2312" w:hAnsi="仿宋_GB2312"/>
      <w:szCs w:val="32"/>
    </w:rPr>
  </w:style>
  <w:style w:type="paragraph" w:styleId="18">
    <w:name w:val="Body Text First Indent 2"/>
    <w:basedOn w:val="17"/>
    <w:autoRedefine/>
    <w:pPr>
      <w:ind w:firstLineChars="200" w:firstLine="200"/>
    </w:pPr>
  </w:style>
  <w:style w:type="paragraph" w:styleId="19">
    <w:name w:val="toc 3"/>
    <w:basedOn w:val="0"/>
    <w:autoRedefine/>
    <w:next w:val="0"/>
    <w:pPr>
      <w:tabs>
        <w:tab w:val="right" w:leader="dot" w:pos="8296"/>
      </w:tabs>
      <w:ind w:leftChars="400" w:left="400"/>
    </w:pPr>
  </w:style>
  <w:style w:type="paragraph" w:styleId="20">
    <w:name w:val="Balloon Text"/>
    <w:basedOn w:val="0"/>
    <w:autoRedefine/>
    <w:rPr>
      <w:sz w:val="18"/>
      <w:szCs w:val="18"/>
    </w:rPr>
  </w:style>
  <w:style w:type="paragraph" w:styleId="21">
    <w:name w:val="footer"/>
    <w:basedOn w:val="0"/>
    <w:autoRedefine/>
    <w:pPr>
      <w:tabs>
        <w:tab w:val="center" w:pos="4153"/>
        <w:tab w:val="right" w:pos="8306"/>
      </w:tabs>
      <w:snapToGrid w:val="0"/>
      <w:jc w:val="left"/>
    </w:pPr>
    <w:rPr>
      <w:rFonts w:ascii="Calibri" w:hAnsi="Calibri"/>
      <w:kern w:val="0"/>
      <w:sz w:val="18"/>
      <w:szCs w:val="18"/>
    </w:rPr>
  </w:style>
  <w:style w:type="paragraph" w:styleId="22">
    <w:name w:val="header"/>
    <w:basedOn w:val="0"/>
    <w:autoRedefine/>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autoRedefine/>
    <w:next w:val="0"/>
    <w:pPr>
      <w:tabs>
        <w:tab w:val="right" w:leader="dot" w:pos="8296"/>
      </w:tabs>
      <w:spacing w:before="93"/>
      <w:jc w:val="center"/>
    </w:pPr>
    <w:rPr>
      <w:rFonts w:ascii="仿宋" w:eastAsia="仿宋"/>
      <w:sz w:val="28"/>
      <w:szCs w:val="28"/>
    </w:rPr>
  </w:style>
  <w:style w:type="paragraph" w:styleId="24">
    <w:name w:val="footnote text"/>
    <w:basedOn w:val="0"/>
    <w:autoRedefine/>
    <w:next w:val="18"/>
    <w:pPr>
      <w:snapToGrid w:val="0"/>
      <w:jc w:val="left"/>
    </w:pPr>
    <w:rPr>
      <w:sz w:val="18"/>
      <w:szCs w:val="18"/>
    </w:rPr>
  </w:style>
  <w:style w:type="paragraph" w:styleId="25">
    <w:name w:val="table of figures"/>
    <w:basedOn w:val="0"/>
    <w:next w:val="0"/>
    <w:pPr>
      <w:ind w:leftChars="200" w:left="400" w:hangingChars="200" w:hanging="200"/>
    </w:pPr>
  </w:style>
  <w:style w:type="paragraph" w:styleId="26">
    <w:name w:val="toc 2"/>
    <w:basedOn w:val="0"/>
    <w:autoRedefine/>
    <w:next w:val="0"/>
    <w:pPr>
      <w:tabs>
        <w:tab w:val="right" w:leader="dot" w:pos="8296"/>
      </w:tabs>
      <w:ind w:leftChars="200" w:left="200"/>
    </w:pPr>
  </w:style>
  <w:style w:type="character" w:styleId="27">
    <w:name w:val="Strong"/>
    <w:basedOn w:val="10"/>
    <w:autoRedefine/>
    <w:rPr>
      <w:b/>
    </w:rPr>
  </w:style>
  <w:style w:type="character" w:styleId="28">
    <w:name w:val="Hyperlink"/>
    <w:basedOn w:val="10"/>
    <w:autoRedefine/>
    <w:rPr>
      <w:color w:val="0000FF"/>
      <w:u w:val="single"/>
    </w:rPr>
  </w:style>
  <w:style w:type="paragraph" w:customStyle="1" w:styleId="29">
    <w:name w:val="标题 5（有编号）（绿盟科技）"/>
    <w:autoRedefine/>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30">
    <w:name w:val="Header Char"/>
    <w:basedOn w:val="10"/>
    <w:autoRedefine/>
    <w:rPr>
      <w:rFonts w:ascii="Times New Roman" w:hAnsi="Times New Roman"/>
      <w:sz w:val="18"/>
      <w:szCs w:val="18"/>
    </w:rPr>
  </w:style>
  <w:style w:type="character" w:customStyle="1" w:styleId="31">
    <w:name w:val="Footer Char"/>
    <w:basedOn w:val="10"/>
    <w:autoRedefine/>
    <w:rPr>
      <w:rFonts w:ascii="Times New Roman" w:hAnsi="Times New Roman"/>
      <w:sz w:val="18"/>
      <w:szCs w:val="18"/>
    </w:rPr>
  </w:style>
  <w:style w:type="character" w:customStyle="1" w:styleId="32">
    <w:name w:val="Body Text Char"/>
    <w:basedOn w:val="10"/>
    <w:autoRedefine/>
    <w:rPr>
      <w:rFonts w:ascii="Times New Roman" w:hAnsi="Times New Roman"/>
      <w:szCs w:val="24"/>
    </w:rPr>
  </w:style>
  <w:style w:type="paragraph" w:customStyle="1" w:styleId="33">
    <w:name w:val="Default"/>
    <w:autoRedefine/>
    <w:pPr>
      <w:widowControl w:val="0"/>
      <w:autoSpaceDE w:val="0"/>
      <w:autoSpaceDN w:val="0"/>
      <w:adjustRightInd w:val="0"/>
    </w:pPr>
    <w:rPr>
      <w:rFonts w:ascii="仿宋" w:eastAsia="仿宋" w:cs="仿宋"/>
      <w:color w:val="000000"/>
      <w:sz w:val="24"/>
      <w:szCs w:val="24"/>
      <w:lang w:val="en-US" w:eastAsia="zh-CN" w:bidi="ar-SA"/>
    </w:rPr>
  </w:style>
  <w:style w:type="paragraph" w:styleId="34">
    <w:name w:val="List Paragraph"/>
    <w:basedOn w:val="0"/>
    <w:autoRedefine/>
    <w:pPr>
      <w:ind w:firstLineChars="200" w:firstLine="200"/>
    </w:pPr>
  </w:style>
  <w:style w:type="paragraph" w:customStyle="1" w:styleId="35">
    <w:name w:val="TOC 标题1"/>
    <w:basedOn w:val="1"/>
    <w:autoRedefine/>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TOC Heading"/>
    <w:basedOn w:val="1"/>
    <w:autoRedefine/>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7">
    <w:name w:val="四号正文"/>
    <w:basedOn w:val="0"/>
    <w:autoRedefine/>
    <w:pPr>
      <w:spacing w:line="360" w:lineRule="auto"/>
    </w:pPr>
    <w:rPr>
      <w:rFonts w:ascii="??" w:eastAsia="宋体" w:hAnsi="??"/>
      <w:color w:val="000000"/>
      <w:kern w:val="0"/>
      <w:sz w:val="28"/>
      <w:szCs w:val="21"/>
      <w:lang w:val="zh-CN" w:eastAsia="zh-CN"/>
    </w:rPr>
  </w:style>
  <w:style w:type="paragraph" w:customStyle="1" w:styleId="38">
    <w:name w:val="Normal_0"/>
    <w:rPr>
      <w:rFonts w:ascii="Times New Roman" w:eastAsia="Times New Roman"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全年收支表</a:t>
            </a:r>
          </a:p>
        </c:rich>
      </c:tx>
      <c:layout/>
      <c:overlay val="0"/>
      <c:spPr>
        <a:noFill/>
        <a:ln>
          <a:noFill/>
        </a:ln>
      </c:spPr>
    </c:title>
    <c:autoTitleDeleted val="1"/>
    <c:plotArea>
      <c:layout/>
      <c:barChart>
        <c:barDir val="col"/>
        <c:grouping val="clustered"/>
        <c:varyColors val="0"/>
        <c:ser>
          <c:idx val="0"/>
          <c:order val="0"/>
          <c:tx>
            <c:v>2023</c:v>
          </c:tx>
          <c:spPr>
            <a:solidFill>
              <a:srgbClr val="4F81BD"/>
            </a:solidFill>
            <a:ln>
              <a:noFill/>
            </a:ln>
          </c:spPr>
          <c:invertIfNegative val="0"/>
          <c:dLbls>
            <c:showLegendKey val="0"/>
            <c:showVal val="0"/>
            <c:showCatName val="0"/>
            <c:showSerName val="0"/>
            <c:showPercent val="0"/>
            <c:showBubbleSize val="0"/>
            <c:showLeaderLines val="0"/>
          </c:dLbls>
          <c:cat>
            <c:strLit>
              <c:ptCount val="2"/>
              <c:pt idx="0">
                <c:v>收入总计</c:v>
              </c:pt>
              <c:pt idx="1">
                <c:v>支出总计</c:v>
              </c:pt>
            </c:strLit>
          </c:cat>
          <c:val>
            <c:numRef>
              <c:f/>
              <c:numCache>
                <c:formatCode>General</c:formatCode>
                <c:ptCount val="2"/>
                <c:pt idx="0">
                  <c:v>16942.04</c:v>
                </c:pt>
                <c:pt idx="1">
                  <c:v>16942.04</c:v>
                </c:pt>
              </c:numCache>
            </c:numRef>
          </c:val>
        </c:ser>
        <c:ser>
          <c:idx val="1"/>
          <c:order val="1"/>
          <c:tx>
            <c:v>2024</c:v>
          </c:tx>
          <c:spPr>
            <a:solidFill>
              <a:srgbClr val="C0504D"/>
            </a:solidFill>
            <a:ln>
              <a:noFill/>
            </a:ln>
          </c:spPr>
          <c:invertIfNegative val="0"/>
          <c:dLbls>
            <c:showLegendKey val="0"/>
            <c:showVal val="0"/>
            <c:showCatName val="0"/>
            <c:showSerName val="0"/>
            <c:showPercent val="0"/>
            <c:showBubbleSize val="0"/>
            <c:showLeaderLines val="0"/>
          </c:dLbls>
          <c:cat>
            <c:strLit>
              <c:ptCount val="2"/>
              <c:pt idx="0">
                <c:v>收入总计</c:v>
              </c:pt>
              <c:pt idx="1">
                <c:v>支出总计</c:v>
              </c:pt>
            </c:strLit>
          </c:cat>
          <c:val>
            <c:numRef>
              <c:f/>
              <c:numCache>
                <c:formatCode>General</c:formatCode>
                <c:ptCount val="2"/>
                <c:pt idx="0">
                  <c:v>19090.42</c:v>
                </c:pt>
                <c:pt idx="1">
                  <c:v>19090.42</c:v>
                </c:pt>
              </c:numCache>
            </c:numRef>
          </c:val>
        </c:ser>
        <c:overlap val="-28"/>
        <c:gapWidth val="246"/>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一般公共预算财政拨款支出决算总体情况</a:t>
            </a:r>
          </a:p>
        </c:rich>
      </c:tx>
      <c:layout/>
      <c:overlay val="0"/>
      <c:spPr>
        <a:noFill/>
        <a:ln>
          <a:noFill/>
        </a:ln>
      </c:spPr>
    </c:title>
    <c:autoTitleDeleted val="1"/>
    <c:plotArea>
      <c:layout/>
      <c:barChart>
        <c:barDir val="col"/>
        <c:grouping val="clustered"/>
        <c:varyColors val="0"/>
        <c:ser>
          <c:idx val="0"/>
          <c:order val="0"/>
          <c:tx>
            <c:v>2023</c:v>
          </c:tx>
          <c:spPr>
            <a:solidFill>
              <a:srgbClr val="4F81BD"/>
            </a:solidFill>
            <a:ln>
              <a:noFill/>
            </a:ln>
          </c:spPr>
          <c:invertIfNegative val="0"/>
          <c:dLbls>
            <c:showLegendKey val="0"/>
            <c:showVal val="0"/>
            <c:showCatName val="0"/>
            <c:showSerName val="0"/>
            <c:showPercent val="0"/>
            <c:showBubbleSize val="0"/>
            <c:showLeaderLines val="0"/>
          </c:dLbls>
          <c:cat>
            <c:strLit>
              <c:ptCount val="2"/>
              <c:pt idx="0">
                <c:v>收入总计</c:v>
              </c:pt>
              <c:pt idx="1">
                <c:v>支出总计</c:v>
              </c:pt>
            </c:strLit>
          </c:cat>
          <c:val>
            <c:numRef>
              <c:f/>
              <c:numCache>
                <c:formatCode>General</c:formatCode>
                <c:ptCount val="2"/>
                <c:pt idx="0">
                  <c:v>16942.04</c:v>
                </c:pt>
                <c:pt idx="1">
                  <c:v>16942.04</c:v>
                </c:pt>
              </c:numCache>
            </c:numRef>
          </c:val>
        </c:ser>
        <c:ser>
          <c:idx val="1"/>
          <c:order val="1"/>
          <c:tx>
            <c:v>2024</c:v>
          </c:tx>
          <c:spPr>
            <a:solidFill>
              <a:srgbClr val="C0504D"/>
            </a:solidFill>
            <a:ln>
              <a:noFill/>
            </a:ln>
          </c:spPr>
          <c:invertIfNegative val="0"/>
          <c:dLbls>
            <c:showLegendKey val="0"/>
            <c:showVal val="0"/>
            <c:showCatName val="0"/>
            <c:showSerName val="0"/>
            <c:showPercent val="0"/>
            <c:showBubbleSize val="0"/>
            <c:showLeaderLines val="0"/>
          </c:dLbls>
          <c:cat>
            <c:strLit>
              <c:ptCount val="2"/>
              <c:pt idx="0">
                <c:v>收入总计</c:v>
              </c:pt>
              <c:pt idx="1">
                <c:v>支出总计</c:v>
              </c:pt>
            </c:strLit>
          </c:cat>
          <c:val>
            <c:numRef>
              <c:f/>
              <c:numCache>
                <c:formatCode>General</c:formatCode>
                <c:ptCount val="2"/>
                <c:pt idx="0">
                  <c:v>19090.42</c:v>
                </c:pt>
                <c:pt idx="1">
                  <c:v>19090.42</c:v>
                </c:pt>
              </c:numCache>
            </c:numRef>
          </c:val>
        </c:ser>
        <c:overlap val="-28"/>
        <c:gapWidth val="246"/>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r"/>
      <c:layout>
        <c:manualLayout>
          <c:xMode val="edge"/>
          <c:yMode val="edge"/>
          <c:x val="0.43043837"/>
          <c:y val="0.8654626"/>
          <c:w val="0.21680216"/>
          <c:h val="0.17575757"/>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56</Pages>
  <Words>18292</Words>
  <Characters>21939</Characters>
  <Lines>2009</Lines>
  <Paragraphs>860</Paragraphs>
  <CharactersWithSpaces>22149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2025-08-06T17:34:00Z</cp:lastPrinted>
  <dcterms:created xsi:type="dcterms:W3CDTF">2020-08-09T09:49:00Z</dcterms:created>
  <dcterms:modified xsi:type="dcterms:W3CDTF">2025-09-01T01:46:48Z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1F0EA3C9523147079AAB7936CF101340_13</vt:lpwstr>
  </property>
  <property fmtid="{D5CDD505-2E9C-101B-9397-08002B2CF9AE}" pid="4" name="KSOTemplateDocerSaveRecord">
    <vt:lpwstr>eyJoZGlkIjoiY2MyZGU5ZmFkNDBjZTMwYWZmMGNjYjNlM2MxOTZmNTciLCJ1c2VySWQiOiI5MzA4NDgwMjYifQ==</vt:lpwstr>
  </property>
</Properties>
</file>