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9D2AF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</w:rPr>
        <w:t>2025年金川县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科农畜局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493F737E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 w14:paraId="53616729">
      <w:pPr>
        <w:pStyle w:val="6"/>
        <w:jc w:val="left"/>
      </w:pPr>
    </w:p>
    <w:p w14:paraId="59B635A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2025年，我单位部门预算2101.51万元 ，均严格按绩效管理要求实现项目绩效目标管理，其中重点项目预算6个，现将情况说明如下：</w:t>
      </w:r>
    </w:p>
    <w:p w14:paraId="697EC525">
      <w:pPr>
        <w:spacing w:line="560" w:lineRule="exact"/>
        <w:ind w:firstLine="640" w:firstLineChars="200"/>
        <w:rPr>
          <w:rFonts w:hint="eastAsia" w:ascii="方正黑体_GBK" w:eastAsia="方正黑体_GBK" w:cs="黑体"/>
          <w:sz w:val="32"/>
          <w:szCs w:val="32"/>
          <w:lang w:val="en-US" w:eastAsia="zh-CN"/>
        </w:rPr>
      </w:pPr>
      <w:r>
        <w:rPr>
          <w:rFonts w:hint="eastAsia" w:ascii="方正黑体_GBK" w:eastAsia="方正黑体_GBK" w:cs="黑体"/>
          <w:sz w:val="32"/>
          <w:szCs w:val="32"/>
          <w:lang w:val="en-US" w:eastAsia="zh-CN"/>
        </w:rPr>
        <w:t>一、单位预算绩效管理工作开展情况。</w:t>
      </w:r>
    </w:p>
    <w:p w14:paraId="6896CEC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完成了2025年本级部门预算整体绩效目标申报和6个项目预算绩效目标申报，并编报6个项目预算事前绩效评估报告。</w:t>
      </w:r>
    </w:p>
    <w:p w14:paraId="07C106BF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方正黑体_GBK" w:eastAsia="方正黑体_GBK" w:cs="黑体"/>
          <w:sz w:val="32"/>
          <w:szCs w:val="32"/>
          <w:lang w:val="en-US" w:eastAsia="zh-CN"/>
        </w:rPr>
      </w:pPr>
      <w:r>
        <w:rPr>
          <w:rFonts w:hint="eastAsia" w:ascii="方正黑体_GBK" w:eastAsia="方正黑体_GBK" w:cs="黑体"/>
          <w:sz w:val="32"/>
          <w:szCs w:val="32"/>
          <w:lang w:val="en-US" w:eastAsia="zh-CN"/>
        </w:rPr>
        <w:t>单位整体绩效目标。</w:t>
      </w:r>
    </w:p>
    <w:p w14:paraId="3AD2282E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一是继续务实工作举措确保全面完成上级下达的各项目标任务，提前谋划好2025年“三农”各项工作，努力实现农业高质高效发展，加快推进乡村全面振兴。</w:t>
      </w:r>
    </w:p>
    <w:p w14:paraId="705AE82F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二是紧密结合全县实际和各乡（镇）、村所求所需，严格按照2025年项目库，科学安排好项目资金，突出产业兴旺、生态宜居、强化基础建设，并确保项目进度资金拨付达时达序。</w:t>
      </w:r>
    </w:p>
    <w:p w14:paraId="310B74BB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三是常态化开展防返贫动态监测和帮扶工作。抓好档案规范归档、系统数据清洗符合规则要求。健全完善县乡村三级防返贫预警机制。</w:t>
      </w:r>
    </w:p>
    <w:p w14:paraId="5E9F8EC8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四是继续落实医疗、教育、住房、饮水、就业等政策；积极稳妥推进扶贫小额信贷（富民贷），严控逾期率，充分发挥资金杠杆作用，确保群众增收。按程序对监测对象实施防返贫风险救助，确保其不能返贫。</w:t>
      </w:r>
    </w:p>
    <w:p w14:paraId="36E3F1B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>五是继续做好农产品推介工作，以西博会、农博会等契机，借力借势，展示金川的品牌和发展实力，提高金川生态特色农产品的知名度和美誉度，为擦亮净土阿坝农特产品的金字招牌贡献金川力量，把金川天然无污染的绿色产品带出深闺、推向市场、迈向全国。</w:t>
      </w:r>
    </w:p>
    <w:p w14:paraId="0D3A6406">
      <w:pPr>
        <w:spacing w:line="560" w:lineRule="exact"/>
        <w:ind w:left="0" w:firstLine="640" w:firstLineChars="200"/>
        <w:rPr>
          <w:rFonts w:hint="eastAsia" w:ascii="方正黑体_GBK" w:eastAsia="方正黑体_GBK" w:cs="仿宋_GB2312"/>
          <w:sz w:val="32"/>
          <w:szCs w:val="32"/>
          <w:lang w:val="en-US" w:eastAsia="zh-CN"/>
        </w:rPr>
      </w:pPr>
      <w:r>
        <w:rPr>
          <w:rFonts w:hint="eastAsia" w:ascii="方正黑体_GBK" w:eastAsia="方正黑体_GBK" w:cs="仿宋_GB2312"/>
          <w:sz w:val="32"/>
          <w:szCs w:val="32"/>
          <w:lang w:val="en-US" w:eastAsia="zh-CN"/>
        </w:rPr>
        <w:t>三、重点项目绩效目标。</w:t>
      </w:r>
    </w:p>
    <w:p w14:paraId="5671EAB2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重点项目1：金川县应用技术与开发研究项目</w:t>
      </w:r>
    </w:p>
    <w:p w14:paraId="0DA8339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绩效指标设置情况：细化指标10个，包括产出指标5个、成本指标1个、效益指标3个和满意度指标1个。</w:t>
      </w:r>
    </w:p>
    <w:p w14:paraId="0327B5BB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重点项目2：金川县耕地质量监测项目</w:t>
      </w:r>
    </w:p>
    <w:p w14:paraId="3F5166FF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绩效指标设置情况：细化指标10个，包括产出指标4个、成本指标1个、效益指标4个和满意度指标1个。</w:t>
      </w:r>
    </w:p>
    <w:p w14:paraId="72484FF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重点项目3：金川县受污染耕地安全利用项目</w:t>
      </w:r>
    </w:p>
    <w:p w14:paraId="18514BEA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绩效指标设置情况：细化指标11个，包括产出指标4个、成本指标1个、效益指标4个和满意度指标2个。</w:t>
      </w:r>
    </w:p>
    <w:p w14:paraId="1CD98E7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重点项目4：高标准农田管护项目</w:t>
      </w:r>
    </w:p>
    <w:p w14:paraId="70F9EBB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绩效指标设置情况：细化指标11个，包括产出指标4个、成本指标1个、效益指标4个和满意度指标2个。</w:t>
      </w:r>
    </w:p>
    <w:p w14:paraId="15A3C09C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重点项目5：金川县全国土壤普查项目</w:t>
      </w:r>
    </w:p>
    <w:p w14:paraId="68B406BE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绩效指标设置情况：细化指标11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个，包括产出指标6个、成本指标1个、效益指标3个和满意度指标1个。</w:t>
      </w:r>
    </w:p>
    <w:p w14:paraId="6A7E3DE7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A918B26">
      <w:pPr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重点项目6：2025年金川县政策性牦牛保险</w:t>
      </w:r>
    </w:p>
    <w:p w14:paraId="1FC961A1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绩效指标设置情况：细化指标11个，包括产出指标5个、成本指标1个、效益指标4个和满意度指标1个。</w:t>
      </w:r>
    </w:p>
    <w:p w14:paraId="6CF9BB04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</w:p>
    <w:p w14:paraId="5BCD7FC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3D6BE42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</w:p>
    <w:p w14:paraId="29AF28CB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</w:p>
    <w:p w14:paraId="26FB8E1B">
      <w:pPr>
        <w:pStyle w:val="2"/>
        <w:ind w:left="949" w:leftChars="352" w:hanging="210" w:hangingChars="100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20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0">
    <w:name w:val="正文1"/>
    <w:qFormat/>
    <w:uiPriority w:val="0"/>
    <w:pPr>
      <w:widowControl w:val="0"/>
      <w:suppressAutoHyphens w:val="0"/>
      <w:bidi w:val="0"/>
      <w:spacing w:before="0" w:beforeAutospacing="0" w:after="0" w:afterAutospacing="0"/>
      <w:jc w:val="both"/>
    </w:pPr>
    <w:rPr>
      <w:rFonts w:ascii="Calibri" w:hAnsi="Calibri" w:eastAsia="宋体" w:cs="宋体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967</Words>
  <Characters>997</Characters>
  <Lines>2</Lines>
  <Paragraphs>2</Paragraphs>
  <TotalTime>9</TotalTime>
  <ScaleCrop>false</ScaleCrop>
  <LinksUpToDate>false</LinksUpToDate>
  <CharactersWithSpaces>998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2025-03-04T08:03:18Z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5B48DE2AC32A450A9A576BCE88D326A7_12</vt:lpwstr>
  </property>
</Properties>
</file>