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193"/>
      <w:bookmarkStart w:id="2" w:name="_Toc15377425"/>
      <w:bookmarkStart w:id="3" w:name="_Toc3443"/>
      <w:bookmarkStart w:id="4" w:name="_Toc15396475"/>
      <w:bookmarkStart w:id="5" w:name="_Toc15378441"/>
      <w:bookmarkStart w:id="6" w:name="_Toc15396597"/>
      <w:r>
        <w:rPr>
          <w:rFonts w:ascii="黑体" w:eastAsia="黑体" w:hint="eastAsia"/>
          <w:color w:val="000000"/>
          <w:sz w:val="72"/>
          <w:szCs w:val="72"/>
          <w:lang w:eastAsia="zh-CN"/>
        </w:rPr>
        <w:t>2022</w:t>
      </w:r>
      <w:r>
        <w:rPr>
          <w:rFonts w:ascii="方正小标宋简体" w:eastAsia="方正小标宋简体" w:hint="eastAsia"/>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color w:val="000000"/>
          <w:sz w:val="72"/>
          <w:szCs w:val="72"/>
        </w:rPr>
      </w:pPr>
      <w:bookmarkStart w:id="7" w:name="_Toc15377426"/>
      <w:bookmarkStart w:id="8" w:name="_Toc15378442"/>
      <w:bookmarkStart w:id="9" w:name="_Toc15377194"/>
      <w:bookmarkStart w:id="10" w:name="_Toc15396476"/>
      <w:bookmarkStart w:id="11" w:name="_Toc15396598"/>
      <w:bookmarkStart w:id="12" w:name="_Toc11098"/>
      <w:bookmarkStart w:id="13" w:name="_Toc15306268"/>
      <w:bookmarkEnd w:id="0"/>
      <w:r>
        <w:rPr>
          <w:rFonts w:ascii="方正小标宋简体" w:eastAsia="方正小标宋简体" w:hint="eastAsia"/>
          <w:color w:val="000000"/>
          <w:sz w:val="72"/>
          <w:szCs w:val="72"/>
        </w:rPr>
        <w:t>金川县</w:t>
      </w:r>
      <w:r>
        <w:rPr>
          <w:rFonts w:ascii="方正小标宋简体" w:eastAsia="方正小标宋简体" w:hint="eastAsia"/>
          <w:color w:val="000000"/>
          <w:sz w:val="72"/>
          <w:szCs w:val="72"/>
          <w:lang w:val="en-US" w:eastAsia="zh-CN"/>
        </w:rPr>
        <w:t>科学技术和农业畜牧局</w:t>
      </w:r>
      <w:r>
        <w:rPr>
          <w:rFonts w:ascii="方正小标宋简体" w:eastAsia="方正小标宋简体" w:hint="eastAsia"/>
          <w:color w:val="000000"/>
          <w:sz w:val="72"/>
          <w:szCs w:val="72"/>
        </w:rPr>
        <w:t>部门决算</w:t>
      </w:r>
      <w:bookmarkEnd w:id="7"/>
      <w:bookmarkEnd w:id="8"/>
      <w:bookmarkEnd w:id="9"/>
      <w:bookmarkEnd w:id="10"/>
      <w:bookmarkEnd w:id="11"/>
      <w:bookmarkEnd w:id="12"/>
      <w:bookmarkEnd w:id="13"/>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22"/>
        <w:tabs>
          <w:tab w:val="right" w:leader="dot" w:pos="8296"/>
        </w:tabs>
      </w:pPr>
      <w:r>
        <w:rPr>
          <w:rFonts w:hint="eastAsia"/>
        </w:rPr>
        <w:t>公开时间：</w:t>
      </w:r>
      <w:r>
        <w:t>202</w:t>
      </w:r>
      <w:r>
        <w:rPr>
          <w:rFonts w:hint="eastAsia"/>
          <w:lang w:val="en-US" w:eastAsia="zh-CN"/>
        </w:rPr>
        <w:t>3</w:t>
      </w:r>
      <w:r>
        <w:rPr>
          <w:rFonts w:hint="eastAsia"/>
        </w:rPr>
        <w:t>年</w:t>
      </w:r>
      <w:r>
        <w:rPr>
          <w:rFonts w:hint="eastAsia"/>
          <w:lang w:val="en-US" w:eastAsia="zh-CN"/>
        </w:rPr>
        <w:t>8</w:t>
      </w:r>
      <w:r>
        <w:rPr>
          <w:rFonts w:hint="eastAsia"/>
        </w:rPr>
        <w:t>月</w:t>
      </w:r>
      <w:r>
        <w:rPr>
          <w:rFonts w:hint="eastAsia"/>
          <w:lang w:val="en-US" w:eastAsia="zh-CN"/>
        </w:rPr>
        <w:t>22</w:t>
      </w:r>
      <w:r>
        <w:rPr>
          <w:rFonts w:hint="eastAsia"/>
        </w:rPr>
        <w:t>日</w:t>
      </w:r>
    </w:p>
    <w:p>
      <w:pPr>
        <w:pStyle w:val="22"/>
        <w:tabs>
          <w:tab w:val="right" w:leader="dot" w:pos="8296"/>
        </w:tabs>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5</w:t>
      </w:r>
      <w:r>
        <w:fldChar w:fldCharType="end"/>
      </w:r>
    </w:p>
    <w:p>
      <w:pPr>
        <w:pStyle w:val="23"/>
        <w:tabs>
          <w:tab w:val="right" w:leader="dot" w:pos="8296"/>
        </w:tabs>
        <w:rPr>
          <w:rFonts w:ascii="仿宋" w:eastAsia="仿宋" w:cs="Arial"/>
          <w:sz w:val="28"/>
          <w:szCs w:val="28"/>
        </w:rPr>
      </w:pPr>
      <w:r>
        <w:fldChar w:fldCharType="begin"/>
      </w:r>
      <w:r>
        <w:instrText xml:space="preserve"> HYPERLINK \l "_Toc15396600" </w:instrText>
      </w:r>
      <w:r>
        <w:fldChar w:fldCharType="separate"/>
      </w:r>
      <w:r>
        <w:rPr>
          <w:rFonts w:ascii="仿宋" w:eastAsia="仿宋" w:hint="eastAsia"/>
          <w:sz w:val="28"/>
          <w:szCs w:val="28"/>
        </w:rPr>
        <w:t>一、基本职能及主要工作</w:t>
      </w:r>
      <w:r>
        <w:rPr>
          <w:rFonts w:ascii="仿宋" w:eastAsia="仿宋"/>
          <w:sz w:val="28"/>
          <w:szCs w:val="28"/>
        </w:rPr>
        <w:tab/>
      </w:r>
      <w:r>
        <w:rPr>
          <w:rFonts w:ascii="仿宋" w:eastAsia="仿宋" w:hint="eastAsia"/>
          <w:sz w:val="28"/>
          <w:szCs w:val="28"/>
          <w:lang w:val="en-US" w:eastAsia="zh-CN"/>
        </w:rPr>
        <w:t>5</w:t>
      </w:r>
      <w:r>
        <w:rPr>
          <w:rFonts w:ascii="仿宋" w:eastAsia="仿宋"/>
          <w:sz w:val="28"/>
          <w:szCs w:val="28"/>
        </w:rPr>
        <w:fldChar w:fldCharType="end"/>
      </w:r>
    </w:p>
    <w:p>
      <w:pPr>
        <w:pStyle w:val="23"/>
        <w:tabs>
          <w:tab w:val="right" w:leader="dot" w:pos="8296"/>
        </w:tabs>
        <w:rPr>
          <w:rFonts w:ascii="仿宋" w:eastAsia="仿宋" w:cs="Arial"/>
          <w:sz w:val="28"/>
          <w:szCs w:val="28"/>
        </w:rPr>
      </w:pPr>
      <w:r>
        <w:fldChar w:fldCharType="begin"/>
      </w:r>
      <w:r>
        <w:instrText xml:space="preserve"> HYPERLINK \l "_Toc15396601" </w:instrText>
      </w:r>
      <w:r>
        <w:fldChar w:fldCharType="separate"/>
      </w:r>
      <w:r>
        <w:rPr>
          <w:rFonts w:ascii="仿宋" w:eastAsia="仿宋" w:hint="eastAsia"/>
          <w:sz w:val="28"/>
          <w:szCs w:val="28"/>
        </w:rPr>
        <w:t>二、机构设置</w:t>
      </w:r>
      <w:r>
        <w:rPr>
          <w:rFonts w:ascii="仿宋" w:eastAsia="仿宋"/>
          <w:sz w:val="28"/>
          <w:szCs w:val="28"/>
        </w:rPr>
        <w:tab/>
      </w:r>
      <w:r>
        <w:rPr>
          <w:rFonts w:ascii="仿宋" w:eastAsia="仿宋" w:hint="eastAsia"/>
          <w:sz w:val="28"/>
          <w:szCs w:val="28"/>
          <w:lang w:val="en-US" w:eastAsia="zh-CN"/>
        </w:rPr>
        <w:t>9</w:t>
      </w:r>
      <w:r>
        <w:rPr>
          <w:rFonts w:ascii="仿宋" w:eastAsia="仿宋"/>
          <w:sz w:val="28"/>
          <w:szCs w:val="28"/>
        </w:rPr>
        <w:fldChar w:fldCharType="end"/>
      </w:r>
    </w:p>
    <w:p>
      <w:pPr>
        <w:pStyle w:val="22"/>
        <w:tabs>
          <w:tab w:val="right" w:leader="dot" w:pos="8296"/>
        </w:tabs>
        <w:rPr>
          <w:rFonts w:eastAsia="仿宋" w:hint="eastAsia"/>
          <w:lang w:val="en-US" w:eastAsia="zh-CN"/>
        </w:rPr>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1</w:t>
      </w:r>
      <w:r>
        <w:fldChar w:fldCharType="end"/>
      </w:r>
      <w:r>
        <w:rPr>
          <w:rFonts w:hint="eastAsia"/>
          <w:lang w:val="en-US" w:eastAsia="zh-CN"/>
        </w:rPr>
        <w:t>0</w:t>
      </w:r>
    </w:p>
    <w:p>
      <w:pPr>
        <w:pStyle w:val="23"/>
        <w:tabs>
          <w:tab w:val="right" w:leader="dot" w:pos="8296"/>
        </w:tabs>
        <w:rPr>
          <w:rFonts w:ascii="仿宋" w:eastAsia="仿宋" w:cs="Arial" w:hint="eastAsia"/>
          <w:sz w:val="28"/>
          <w:szCs w:val="28"/>
          <w:lang w:val="en-US" w:eastAsia="zh-CN"/>
        </w:rPr>
      </w:pPr>
      <w:r>
        <w:fldChar w:fldCharType="begin"/>
      </w:r>
      <w:r>
        <w:instrText xml:space="preserve"> HYPERLINK \l "_Toc15396603" </w:instrText>
      </w:r>
      <w:r>
        <w:fldChar w:fldCharType="separate"/>
      </w:r>
      <w:r>
        <w:rPr>
          <w:rFonts w:ascii="仿宋" w:eastAsia="仿宋" w:hint="eastAsia"/>
          <w:bCs/>
          <w:sz w:val="28"/>
          <w:szCs w:val="28"/>
        </w:rPr>
        <w:t>一、</w:t>
      </w:r>
      <w:r>
        <w:rPr>
          <w:rFonts w:ascii="仿宋" w:eastAsia="仿宋" w:hint="eastAsia"/>
          <w:sz w:val="28"/>
          <w:szCs w:val="28"/>
        </w:rPr>
        <w:t>收</w:t>
      </w:r>
      <w:r>
        <w:rPr>
          <w:rFonts w:ascii="仿宋" w:eastAsia="仿宋" w:hint="eastAsia"/>
          <w:bCs/>
          <w:sz w:val="28"/>
          <w:szCs w:val="28"/>
        </w:rPr>
        <w:t>入支出决算总体情况说明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0</w:t>
      </w:r>
    </w:p>
    <w:p>
      <w:pPr>
        <w:pStyle w:val="23"/>
        <w:tabs>
          <w:tab w:val="right" w:leader="dot" w:pos="8296"/>
        </w:tabs>
        <w:rPr>
          <w:rFonts w:ascii="仿宋" w:eastAsia="仿宋" w:cs="Arial" w:hint="eastAsia"/>
          <w:sz w:val="28"/>
          <w:szCs w:val="28"/>
          <w:lang w:val="en-US" w:eastAsia="zh-CN"/>
        </w:rPr>
      </w:pPr>
      <w:r>
        <w:fldChar w:fldCharType="begin"/>
      </w:r>
      <w:r>
        <w:instrText xml:space="preserve"> HYPERLINK \l "_Toc15396604" </w:instrText>
      </w:r>
      <w:r>
        <w:fldChar w:fldCharType="separate"/>
      </w:r>
      <w:r>
        <w:rPr>
          <w:rFonts w:ascii="仿宋" w:eastAsia="仿宋" w:hint="eastAsia"/>
          <w:bCs/>
          <w:sz w:val="28"/>
          <w:szCs w:val="28"/>
        </w:rPr>
        <w:t>二、</w:t>
      </w:r>
      <w:r>
        <w:rPr>
          <w:rFonts w:ascii="仿宋" w:eastAsia="仿宋" w:hint="eastAsia"/>
          <w:sz w:val="28"/>
          <w:szCs w:val="28"/>
        </w:rPr>
        <w:t>收</w:t>
      </w:r>
      <w:r>
        <w:rPr>
          <w:rFonts w:ascii="仿宋" w:eastAsia="仿宋" w:hint="eastAsia"/>
          <w:bCs/>
          <w:sz w:val="28"/>
          <w:szCs w:val="28"/>
        </w:rPr>
        <w:t>入决算情况说明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0</w:t>
      </w:r>
    </w:p>
    <w:p>
      <w:pPr>
        <w:pStyle w:val="23"/>
        <w:tabs>
          <w:tab w:val="right" w:leader="dot" w:pos="8296"/>
        </w:tabs>
        <w:rPr>
          <w:rFonts w:ascii="仿宋" w:eastAsia="仿宋" w:cs="Arial" w:hint="eastAsia"/>
          <w:sz w:val="28"/>
          <w:szCs w:val="28"/>
          <w:lang w:val="en-US" w:eastAsia="zh-CN"/>
        </w:rPr>
      </w:pPr>
      <w:r>
        <w:fldChar w:fldCharType="begin"/>
      </w:r>
      <w:r>
        <w:instrText xml:space="preserve"> HYPERLINK \l "_Toc15396605" </w:instrText>
      </w:r>
      <w:r>
        <w:fldChar w:fldCharType="separate"/>
      </w:r>
      <w:r>
        <w:rPr>
          <w:rFonts w:ascii="仿宋" w:eastAsia="仿宋" w:hint="eastAsia"/>
          <w:bCs/>
          <w:sz w:val="28"/>
          <w:szCs w:val="28"/>
        </w:rPr>
        <w:t>三、</w:t>
      </w:r>
      <w:r>
        <w:rPr>
          <w:rFonts w:ascii="仿宋" w:eastAsia="仿宋" w:hint="eastAsia"/>
          <w:sz w:val="28"/>
          <w:szCs w:val="28"/>
        </w:rPr>
        <w:t>支</w:t>
      </w:r>
      <w:r>
        <w:rPr>
          <w:rFonts w:ascii="仿宋" w:eastAsia="仿宋" w:hint="eastAsia"/>
          <w:bCs/>
          <w:sz w:val="28"/>
          <w:szCs w:val="28"/>
        </w:rPr>
        <w:t>出决算情况说明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1</w:t>
      </w:r>
    </w:p>
    <w:p>
      <w:pPr>
        <w:pStyle w:val="23"/>
        <w:tabs>
          <w:tab w:val="right" w:leader="dot" w:pos="8296"/>
        </w:tabs>
        <w:rPr>
          <w:rFonts w:ascii="仿宋" w:eastAsia="仿宋" w:cs="Arial" w:hint="eastAsia"/>
          <w:sz w:val="28"/>
          <w:szCs w:val="28"/>
          <w:lang w:val="en-US" w:eastAsia="zh-CN"/>
        </w:rPr>
      </w:pPr>
      <w:r>
        <w:fldChar w:fldCharType="begin"/>
      </w:r>
      <w:r>
        <w:instrText xml:space="preserve"> HYPERLINK \l "_Toc15396606" </w:instrText>
      </w:r>
      <w:r>
        <w:fldChar w:fldCharType="separate"/>
      </w:r>
      <w:r>
        <w:rPr>
          <w:rFonts w:ascii="仿宋" w:eastAsia="仿宋" w:hint="eastAsia"/>
          <w:sz w:val="28"/>
          <w:szCs w:val="28"/>
        </w:rPr>
        <w:t>四、财</w:t>
      </w:r>
      <w:r>
        <w:rPr>
          <w:rFonts w:ascii="仿宋" w:eastAsia="仿宋" w:hint="eastAsia"/>
          <w:bCs/>
          <w:sz w:val="28"/>
          <w:szCs w:val="28"/>
        </w:rPr>
        <w:t>政拨款收入支出决算总体情况说明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1</w:t>
      </w:r>
    </w:p>
    <w:p>
      <w:pPr>
        <w:pStyle w:val="23"/>
        <w:tabs>
          <w:tab w:val="right" w:leader="dot" w:pos="8296"/>
        </w:tabs>
        <w:rPr>
          <w:rFonts w:ascii="仿宋" w:eastAsia="仿宋" w:hint="eastAsia"/>
          <w:sz w:val="28"/>
          <w:szCs w:val="28"/>
          <w:lang w:val="en-US" w:eastAsia="zh-CN"/>
        </w:rPr>
      </w:pPr>
      <w:r>
        <w:fldChar w:fldCharType="begin"/>
      </w:r>
      <w:r>
        <w:instrText xml:space="preserve"> HYPERLINK \l "_Toc15396607" </w:instrText>
      </w:r>
      <w:r>
        <w:fldChar w:fldCharType="separate"/>
      </w:r>
      <w:r>
        <w:rPr>
          <w:rFonts w:ascii="仿宋" w:eastAsia="仿宋" w:hint="eastAsia"/>
          <w:sz w:val="28"/>
          <w:szCs w:val="28"/>
        </w:rPr>
        <w:t>五、一</w:t>
      </w:r>
      <w:r>
        <w:rPr>
          <w:rFonts w:ascii="仿宋" w:eastAsia="仿宋" w:hint="eastAsia"/>
          <w:bCs/>
          <w:sz w:val="28"/>
          <w:szCs w:val="28"/>
        </w:rPr>
        <w:t>般公共预算财政拨款支出决算情况说明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2</w:t>
      </w:r>
    </w:p>
    <w:p>
      <w:pPr>
        <w:ind w:firstLineChars="300" w:firstLine="840"/>
        <w:rPr>
          <w:rFonts w:ascii="仿宋" w:eastAsia="仿宋" w:cs="Times New Roman"/>
          <w:bCs/>
          <w:kern w:val="2"/>
          <w:sz w:val="28"/>
          <w:szCs w:val="28"/>
          <w:lang w:val="en-US" w:eastAsia="zh-CN" w:bidi="ar-SA"/>
        </w:rPr>
      </w:pPr>
      <w:r>
        <w:rPr>
          <w:rFonts w:ascii="仿宋" w:eastAsia="仿宋" w:cs="Times New Roman" w:hint="eastAsia"/>
          <w:bCs/>
          <w:kern w:val="2"/>
          <w:sz w:val="28"/>
          <w:szCs w:val="28"/>
          <w:lang w:val="en-US" w:eastAsia="zh-CN" w:bidi="ar-SA"/>
        </w:rPr>
        <w:t>（一）一般公共预算财政拨款支出决算总体情况..........12</w:t>
      </w:r>
    </w:p>
    <w:p>
      <w:pPr>
        <w:ind w:firstLineChars="300" w:firstLine="840"/>
        <w:rPr>
          <w:rFonts w:ascii="仿宋" w:eastAsia="仿宋" w:cs="Times New Roman"/>
          <w:bCs/>
          <w:kern w:val="2"/>
          <w:sz w:val="28"/>
          <w:szCs w:val="28"/>
          <w:lang w:val="en-US" w:eastAsia="zh-CN" w:bidi="ar-SA"/>
        </w:rPr>
      </w:pPr>
      <w:r>
        <w:rPr>
          <w:rFonts w:ascii="仿宋" w:eastAsia="仿宋" w:cs="Times New Roman" w:hint="eastAsia"/>
          <w:bCs/>
          <w:kern w:val="2"/>
          <w:sz w:val="28"/>
          <w:szCs w:val="28"/>
          <w:lang w:val="en-US" w:eastAsia="zh-CN" w:bidi="ar-SA"/>
        </w:rPr>
        <w:t>（二）一般公共预算财政拨款支出决算结构情况..........12</w:t>
      </w:r>
    </w:p>
    <w:p>
      <w:pPr>
        <w:ind w:firstLineChars="300" w:firstLine="840"/>
        <w:rPr>
          <w:rFonts w:ascii="仿宋" w:eastAsia="仿宋" w:cs="Times New Roman"/>
          <w:bCs/>
          <w:kern w:val="2"/>
          <w:sz w:val="28"/>
          <w:szCs w:val="28"/>
          <w:lang w:val="en-US" w:eastAsia="zh-CN" w:bidi="ar-SA"/>
        </w:rPr>
      </w:pPr>
      <w:r>
        <w:rPr>
          <w:rFonts w:ascii="仿宋" w:eastAsia="仿宋" w:cs="Times New Roman" w:hint="eastAsia"/>
          <w:bCs/>
          <w:kern w:val="2"/>
          <w:sz w:val="28"/>
          <w:szCs w:val="28"/>
          <w:lang w:val="en-US" w:eastAsia="zh-CN" w:bidi="ar-SA"/>
        </w:rPr>
        <w:t>（三）一般公共预算财政拨款支出决算具体情况..........13</w:t>
      </w:r>
    </w:p>
    <w:p>
      <w:pPr>
        <w:pStyle w:val="23"/>
        <w:tabs>
          <w:tab w:val="right" w:leader="dot" w:pos="8296"/>
        </w:tabs>
        <w:rPr>
          <w:rFonts w:ascii="仿宋" w:eastAsia="仿宋" w:cs="Arial" w:hint="eastAsia"/>
          <w:sz w:val="28"/>
          <w:szCs w:val="28"/>
          <w:lang w:val="en-US" w:eastAsia="zh-CN"/>
        </w:rPr>
      </w:pPr>
      <w:r>
        <w:fldChar w:fldCharType="begin"/>
      </w:r>
      <w:r>
        <w:instrText xml:space="preserve"> HYPERLINK \l "_Toc15396608" </w:instrText>
      </w:r>
      <w:r>
        <w:fldChar w:fldCharType="separate"/>
      </w:r>
      <w:r>
        <w:rPr>
          <w:rFonts w:ascii="仿宋" w:eastAsia="仿宋" w:hint="eastAsia"/>
          <w:sz w:val="28"/>
          <w:szCs w:val="28"/>
        </w:rPr>
        <w:t>六、一</w:t>
      </w:r>
      <w:r>
        <w:rPr>
          <w:rFonts w:ascii="仿宋" w:eastAsia="仿宋" w:hint="eastAsia"/>
          <w:bCs/>
          <w:sz w:val="28"/>
          <w:szCs w:val="28"/>
        </w:rPr>
        <w:t>般公共预算财政拨款基本支出决算情况说明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5</w:t>
      </w:r>
    </w:p>
    <w:p>
      <w:pPr>
        <w:pStyle w:val="23"/>
        <w:tabs>
          <w:tab w:val="right" w:leader="dot" w:pos="8296"/>
        </w:tabs>
        <w:rPr>
          <w:rFonts w:ascii="仿宋" w:eastAsia="仿宋" w:hint="eastAsia"/>
          <w:sz w:val="28"/>
          <w:szCs w:val="28"/>
          <w:lang w:val="en-US" w:eastAsia="zh-CN"/>
        </w:rPr>
      </w:pPr>
      <w:r>
        <w:fldChar w:fldCharType="begin"/>
      </w:r>
      <w:r>
        <w:instrText xml:space="preserve"> HYPERLINK \l "_Toc15396609" </w:instrText>
      </w:r>
      <w:r>
        <w:fldChar w:fldCharType="separate"/>
      </w:r>
      <w:r>
        <w:rPr>
          <w:rFonts w:ascii="仿宋" w:eastAsia="仿宋" w:hint="eastAsia"/>
          <w:sz w:val="28"/>
          <w:szCs w:val="28"/>
        </w:rPr>
        <w:t>七、</w:t>
      </w:r>
      <w:r>
        <w:rPr>
          <w:rFonts w:ascii="仿宋" w:eastAsia="仿宋"/>
          <w:sz w:val="28"/>
          <w:szCs w:val="28"/>
        </w:rPr>
        <w:t>“</w:t>
      </w:r>
      <w:r>
        <w:rPr>
          <w:rFonts w:ascii="仿宋" w:eastAsia="仿宋" w:hint="eastAsia"/>
          <w:bCs/>
          <w:sz w:val="28"/>
          <w:szCs w:val="28"/>
        </w:rPr>
        <w:t>三公”经费财政拨款支出决算情况说明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6</w:t>
      </w:r>
    </w:p>
    <w:p>
      <w:pPr>
        <w:pStyle w:val="18"/>
        <w:tabs>
          <w:tab w:val="right" w:leader="dot" w:pos="8296"/>
        </w:tabs>
        <w:rPr>
          <w:rFonts w:ascii="仿宋" w:eastAsia="仿宋" w:cs="Times New Roman"/>
          <w:bCs/>
          <w:kern w:val="2"/>
          <w:sz w:val="28"/>
          <w:szCs w:val="28"/>
          <w:lang w:val="en-US" w:eastAsia="zh-CN" w:bidi="ar-SA"/>
        </w:rPr>
      </w:pPr>
      <w:r>
        <w:rPr>
          <w:rFonts w:ascii="仿宋" w:eastAsia="仿宋" w:cs="Times New Roman" w:hint="eastAsia"/>
          <w:bCs/>
          <w:kern w:val="2"/>
          <w:sz w:val="28"/>
          <w:szCs w:val="28"/>
          <w:lang w:val="en-US" w:eastAsia="zh-CN" w:bidi="ar-SA"/>
        </w:rPr>
        <w:t>（一）“三公”经费财政拨款支出决算总体情况说明......16</w:t>
      </w:r>
    </w:p>
    <w:p>
      <w:pPr>
        <w:ind w:firstLineChars="300" w:firstLine="840"/>
        <w:rPr>
          <w:rFonts w:ascii="仿宋" w:eastAsia="仿宋" w:cs="Times New Roman"/>
          <w:bCs/>
          <w:kern w:val="2"/>
          <w:sz w:val="28"/>
          <w:szCs w:val="28"/>
          <w:lang w:val="en-US" w:eastAsia="zh-CN" w:bidi="ar-SA"/>
        </w:rPr>
      </w:pPr>
      <w:r>
        <w:rPr>
          <w:rFonts w:ascii="仿宋" w:eastAsia="仿宋" w:cs="Times New Roman" w:hint="eastAsia"/>
          <w:bCs/>
          <w:kern w:val="2"/>
          <w:sz w:val="28"/>
          <w:szCs w:val="28"/>
          <w:lang w:val="en-US" w:eastAsia="zh-CN" w:bidi="ar-SA"/>
        </w:rPr>
        <w:t>（二）“三公”经费财政拨款支出决算具体情况说明......16</w:t>
      </w:r>
    </w:p>
    <w:p>
      <w:pPr>
        <w:pStyle w:val="23"/>
        <w:tabs>
          <w:tab w:val="right" w:leader="dot" w:pos="8296"/>
        </w:tabs>
        <w:rPr>
          <w:rFonts w:ascii="仿宋" w:eastAsia="仿宋" w:cs="Arial" w:hint="eastAsia"/>
          <w:sz w:val="28"/>
          <w:szCs w:val="28"/>
          <w:lang w:val="en-US" w:eastAsia="zh-CN"/>
        </w:rPr>
      </w:pPr>
      <w:r>
        <w:fldChar w:fldCharType="begin"/>
      </w:r>
      <w:r>
        <w:instrText xml:space="preserve"> HYPERLINK \l "_Toc15396610" </w:instrText>
      </w:r>
      <w:r>
        <w:fldChar w:fldCharType="separate"/>
      </w:r>
      <w:r>
        <w:rPr>
          <w:rFonts w:ascii="仿宋" w:eastAsia="仿宋" w:hint="eastAsia"/>
          <w:sz w:val="28"/>
          <w:szCs w:val="28"/>
        </w:rPr>
        <w:t>八、</w:t>
      </w:r>
      <w:r>
        <w:rPr>
          <w:rFonts w:ascii="仿宋" w:eastAsia="仿宋" w:hint="eastAsia"/>
          <w:bCs/>
          <w:sz w:val="28"/>
          <w:szCs w:val="28"/>
        </w:rPr>
        <w:t>政府性基金预算支出决算情况说明</w:t>
      </w:r>
      <w:r>
        <w:rPr>
          <w:rFonts w:ascii="仿宋" w:eastAsia="仿宋"/>
          <w:sz w:val="28"/>
          <w:szCs w:val="28"/>
        </w:rPr>
        <w:tab/>
        <w:t>1</w:t>
      </w:r>
      <w:r>
        <w:rPr>
          <w:rFonts w:ascii="仿宋" w:eastAsia="仿宋"/>
          <w:sz w:val="28"/>
          <w:szCs w:val="28"/>
        </w:rPr>
        <w:fldChar w:fldCharType="end"/>
      </w:r>
      <w:r>
        <w:rPr>
          <w:rFonts w:ascii="仿宋" w:eastAsia="仿宋" w:hint="eastAsia"/>
          <w:sz w:val="28"/>
          <w:szCs w:val="28"/>
          <w:lang w:val="en-US" w:eastAsia="zh-CN"/>
        </w:rPr>
        <w:t>8</w:t>
      </w:r>
    </w:p>
    <w:p>
      <w:pPr>
        <w:pStyle w:val="23"/>
        <w:tabs>
          <w:tab w:val="right" w:leader="dot" w:pos="8296"/>
        </w:tabs>
        <w:rPr>
          <w:rFonts w:ascii="仿宋" w:eastAsia="仿宋" w:hint="eastAsia"/>
          <w:sz w:val="28"/>
          <w:szCs w:val="28"/>
          <w:lang w:val="en-US" w:eastAsia="zh-CN"/>
        </w:rPr>
      </w:pPr>
      <w:r>
        <w:fldChar w:fldCharType="begin"/>
      </w:r>
      <w:r>
        <w:instrText xml:space="preserve"> HYPERLINK \l "_Toc15396611" </w:instrText>
      </w:r>
      <w:r>
        <w:fldChar w:fldCharType="separate"/>
      </w:r>
      <w:r>
        <w:rPr>
          <w:rFonts w:ascii="仿宋" w:eastAsia="仿宋" w:hint="eastAsia"/>
          <w:bCs/>
          <w:sz w:val="28"/>
          <w:szCs w:val="28"/>
        </w:rPr>
        <w:t>九、</w:t>
      </w:r>
      <w:r>
        <w:rPr>
          <w:rFonts w:ascii="仿宋" w:eastAsia="仿宋"/>
          <w:sz w:val="28"/>
          <w:szCs w:val="28"/>
        </w:rPr>
        <w:t xml:space="preserve"> </w:t>
      </w:r>
      <w:r>
        <w:rPr>
          <w:rFonts w:ascii="仿宋" w:eastAsia="仿宋" w:hint="eastAsia"/>
          <w:sz w:val="28"/>
          <w:szCs w:val="28"/>
        </w:rPr>
        <w:t>国</w:t>
      </w:r>
      <w:r>
        <w:rPr>
          <w:rFonts w:ascii="仿宋" w:eastAsia="仿宋" w:hint="eastAsia"/>
          <w:bCs/>
          <w:sz w:val="28"/>
          <w:szCs w:val="28"/>
        </w:rPr>
        <w:t>有资本经营预算支出决算情况说明</w:t>
      </w:r>
      <w:r>
        <w:rPr>
          <w:rFonts w:ascii="仿宋" w:eastAsia="仿宋"/>
          <w:sz w:val="28"/>
          <w:szCs w:val="28"/>
        </w:rPr>
        <w:tab/>
        <w:t>1</w:t>
      </w:r>
      <w:r>
        <w:rPr>
          <w:rFonts w:ascii="仿宋" w:eastAsia="仿宋"/>
          <w:sz w:val="28"/>
          <w:szCs w:val="28"/>
        </w:rPr>
        <w:fldChar w:fldCharType="end"/>
      </w:r>
      <w:r>
        <w:rPr>
          <w:rFonts w:ascii="仿宋" w:eastAsia="仿宋" w:hint="eastAsia"/>
          <w:sz w:val="28"/>
          <w:szCs w:val="28"/>
          <w:lang w:val="en-US" w:eastAsia="zh-CN"/>
        </w:rPr>
        <w:t>8</w:t>
      </w:r>
    </w:p>
    <w:p>
      <w:pPr>
        <w:pStyle w:val="23"/>
        <w:tabs>
          <w:tab w:val="right" w:leader="dot" w:pos="8296"/>
        </w:tabs>
        <w:rPr>
          <w:rFonts w:ascii="仿宋" w:eastAsia="仿宋" w:hint="eastAsia"/>
          <w:sz w:val="28"/>
          <w:szCs w:val="28"/>
          <w:lang w:val="en-US" w:eastAsia="zh-CN"/>
        </w:rPr>
      </w:pPr>
      <w:r>
        <w:fldChar w:fldCharType="begin"/>
      </w:r>
      <w:r>
        <w:instrText xml:space="preserve"> HYPERLINK \l "_Toc15396612" </w:instrText>
      </w:r>
      <w:r>
        <w:fldChar w:fldCharType="separate"/>
      </w:r>
      <w:r>
        <w:rPr>
          <w:rFonts w:ascii="仿宋" w:eastAsia="仿宋" w:hint="eastAsia"/>
          <w:sz w:val="28"/>
          <w:szCs w:val="28"/>
        </w:rPr>
        <w:t>十</w:t>
      </w:r>
      <w:r>
        <w:rPr>
          <w:rFonts w:ascii="仿宋" w:eastAsia="仿宋" w:hint="eastAsia"/>
          <w:bCs/>
          <w:sz w:val="28"/>
          <w:szCs w:val="28"/>
        </w:rPr>
        <w:t>、其他重要事项的情况说明</w:t>
      </w:r>
      <w:r>
        <w:rPr>
          <w:rFonts w:ascii="仿宋" w:eastAsia="仿宋"/>
          <w:sz w:val="28"/>
          <w:szCs w:val="28"/>
        </w:rPr>
        <w:tab/>
        <w:t>1</w:t>
      </w:r>
      <w:r>
        <w:rPr>
          <w:rFonts w:ascii="仿宋" w:eastAsia="仿宋"/>
          <w:sz w:val="28"/>
          <w:szCs w:val="28"/>
        </w:rPr>
        <w:fldChar w:fldCharType="end"/>
      </w:r>
      <w:r>
        <w:rPr>
          <w:rFonts w:ascii="仿宋" w:eastAsia="仿宋" w:hint="eastAsia"/>
          <w:sz w:val="28"/>
          <w:szCs w:val="28"/>
          <w:lang w:val="en-US" w:eastAsia="zh-CN"/>
        </w:rPr>
        <w:t>8</w:t>
      </w:r>
    </w:p>
    <w:p>
      <w:pPr>
        <w:pStyle w:val="18"/>
        <w:tabs>
          <w:tab w:val="right" w:leader="dot" w:pos="8296"/>
        </w:tabs>
        <w:jc w:val="both"/>
        <w:rPr>
          <w:rFonts w:ascii="仿宋" w:eastAsia="仿宋" w:cs="Times New Roman"/>
          <w:bCs/>
          <w:kern w:val="2"/>
          <w:sz w:val="28"/>
          <w:szCs w:val="28"/>
          <w:lang w:val="en-US" w:eastAsia="zh-CN" w:bidi="ar-SA"/>
        </w:rPr>
      </w:pPr>
      <w:r>
        <w:rPr>
          <w:rFonts w:ascii="仿宋" w:eastAsia="仿宋" w:cs="Times New Roman" w:hint="eastAsia"/>
          <w:bCs/>
          <w:kern w:val="2"/>
          <w:sz w:val="28"/>
          <w:szCs w:val="28"/>
          <w:lang w:val="en-US" w:eastAsia="zh-CN" w:bidi="ar-SA"/>
        </w:rPr>
        <w:t>（一）机关运行经费支出情况</w:t>
        <w:tab/>
        <w:t>18</w:t>
      </w:r>
    </w:p>
    <w:p>
      <w:pPr>
        <w:pStyle w:val="18"/>
        <w:tabs>
          <w:tab w:val="right" w:leader="dot" w:pos="8296"/>
        </w:tabs>
        <w:jc w:val="both"/>
        <w:rPr>
          <w:rFonts w:ascii="仿宋" w:eastAsia="仿宋" w:cs="Times New Roman"/>
          <w:bCs/>
          <w:kern w:val="2"/>
          <w:sz w:val="28"/>
          <w:szCs w:val="28"/>
          <w:lang w:val="en-US" w:eastAsia="zh-CN" w:bidi="ar-SA"/>
        </w:rPr>
      </w:pPr>
      <w:r>
        <w:rPr>
          <w:rFonts w:ascii="仿宋" w:eastAsia="仿宋" w:cs="Times New Roman" w:hint="eastAsia"/>
          <w:bCs/>
          <w:kern w:val="2"/>
          <w:sz w:val="28"/>
          <w:szCs w:val="28"/>
          <w:lang w:val="en-US" w:eastAsia="zh-CN" w:bidi="ar-SA"/>
        </w:rPr>
        <w:t>（二）政府采购支出情况.............................18</w:t>
      </w:r>
    </w:p>
    <w:p>
      <w:pPr>
        <w:pStyle w:val="18"/>
        <w:tabs>
          <w:tab w:val="right" w:leader="dot" w:pos="8296"/>
        </w:tabs>
        <w:jc w:val="both"/>
        <w:rPr>
          <w:rFonts w:ascii="仿宋" w:eastAsia="仿宋" w:cs="Times New Roman"/>
          <w:bCs/>
          <w:kern w:val="2"/>
          <w:sz w:val="28"/>
          <w:szCs w:val="28"/>
          <w:lang w:val="en-US" w:eastAsia="zh-CN" w:bidi="ar-SA"/>
        </w:rPr>
      </w:pPr>
      <w:r>
        <w:rPr>
          <w:rFonts w:ascii="仿宋" w:eastAsia="仿宋" w:cs="Times New Roman" w:hint="eastAsia"/>
          <w:bCs/>
          <w:kern w:val="2"/>
          <w:sz w:val="28"/>
          <w:szCs w:val="28"/>
          <w:lang w:val="en-US" w:eastAsia="zh-CN" w:bidi="ar-SA"/>
        </w:rPr>
        <w:t>（三）国有资产占有使用情况</w:t>
        <w:tab/>
        <w:t>19</w:t>
      </w:r>
    </w:p>
    <w:p>
      <w:pPr>
        <w:pStyle w:val="18"/>
        <w:tabs>
          <w:tab w:val="right" w:leader="dot" w:pos="8296"/>
        </w:tabs>
        <w:jc w:val="both"/>
        <w:rPr>
          <w:lang w:val="en-US" w:eastAsia="zh-CN"/>
        </w:rPr>
      </w:pPr>
      <w:r>
        <w:rPr>
          <w:rFonts w:ascii="仿宋" w:eastAsia="仿宋" w:cs="Times New Roman" w:hint="eastAsia"/>
          <w:bCs/>
          <w:kern w:val="2"/>
          <w:sz w:val="28"/>
          <w:szCs w:val="28"/>
          <w:lang w:val="en-US" w:eastAsia="zh-CN" w:bidi="ar-SA"/>
        </w:rPr>
        <w:t>（四）预算绩效管理情况</w:t>
        <w:tab/>
        <w:t>19</w:t>
      </w:r>
    </w:p>
    <w:p>
      <w:pPr>
        <w:pStyle w:val="22"/>
        <w:tabs>
          <w:tab w:val="right" w:leader="dot" w:pos="8296"/>
        </w:tabs>
        <w:rPr>
          <w:rFonts w:eastAsia="仿宋" w:cs="Arial" w:hint="eastAsia"/>
          <w:lang w:val="en-US" w:eastAsia="zh-CN"/>
        </w:rPr>
      </w:pPr>
      <w:r>
        <w:fldChar w:fldCharType="begin"/>
      </w:r>
      <w:r>
        <w:instrText xml:space="preserve"> HYPERLINK \l "_Toc15396613" </w:instrText>
      </w:r>
      <w:r>
        <w:fldChar w:fldCharType="separate"/>
      </w:r>
      <w:r>
        <w:rPr>
          <w:rFonts w:hint="eastAsia"/>
          <w:bCs/>
          <w:kern w:val="44"/>
        </w:rPr>
        <w:t>第三部分</w:t>
      </w:r>
      <w:r>
        <w:t xml:space="preserve"> </w:t>
      </w:r>
      <w:r>
        <w:rPr>
          <w:rFonts w:hint="eastAsia"/>
        </w:rPr>
        <w:t>名</w:t>
      </w:r>
      <w:r>
        <w:rPr>
          <w:rFonts w:hint="eastAsia"/>
          <w:bCs/>
          <w:kern w:val="44"/>
        </w:rPr>
        <w:t>词解释</w:t>
      </w:r>
      <w:r>
        <w:tab/>
      </w:r>
      <w:r>
        <w:rPr>
          <w:rFonts w:hint="eastAsia"/>
          <w:lang w:val="en-US" w:eastAsia="zh-CN"/>
        </w:rPr>
        <w:t>19</w:t>
      </w:r>
      <w:r>
        <w:fldChar w:fldCharType="end"/>
      </w:r>
    </w:p>
    <w:p>
      <w:pPr>
        <w:pStyle w:val="22"/>
        <w:tabs>
          <w:tab w:val="right" w:leader="dot" w:pos="8296"/>
        </w:tabs>
        <w:rPr>
          <w:rFonts w:hint="eastAsia"/>
          <w:lang w:val="en-US" w:eastAsia="zh-CN"/>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lang w:val="en-US" w:eastAsia="zh-CN"/>
        </w:rPr>
        <w:t>2</w:t>
      </w:r>
      <w:r>
        <w:fldChar w:fldCharType="end"/>
      </w:r>
      <w:r>
        <w:rPr>
          <w:rFonts w:hint="eastAsia"/>
          <w:lang w:val="en-US" w:eastAsia="zh-CN"/>
        </w:rPr>
        <w:t>2</w:t>
      </w:r>
    </w:p>
    <w:p>
      <w:pPr>
        <w:pStyle w:val="22"/>
        <w:tabs>
          <w:tab w:val="right" w:leader="dot" w:pos="8296"/>
        </w:tabs>
        <w:rPr>
          <w:rFonts w:hint="eastAsia"/>
          <w:lang w:val="en-US" w:eastAsia="zh-CN"/>
        </w:rPr>
      </w:pPr>
      <w:r>
        <w:fldChar w:fldCharType="begin"/>
      </w:r>
      <w:r>
        <w:instrText xml:space="preserve"> HYPERLINK \l "_Toc15396614" </w:instrText>
      </w:r>
      <w:r>
        <w:fldChar w:fldCharType="separate"/>
      </w:r>
      <w:r>
        <w:rPr>
          <w:rFonts w:hint="eastAsia"/>
          <w:lang w:val="en-US" w:eastAsia="zh-CN"/>
        </w:rPr>
        <w:t xml:space="preserve">    一、</w:t>
      </w:r>
      <w:r>
        <w:rPr>
          <w:bCs/>
          <w:kern w:val="44"/>
        </w:rPr>
        <w:t xml:space="preserve"> </w:t>
      </w:r>
      <w:r>
        <w:rPr>
          <w:rFonts w:hint="eastAsia"/>
          <w:bCs/>
          <w:kern w:val="44"/>
          <w:lang w:val="en-US" w:eastAsia="zh-CN"/>
        </w:rPr>
        <w:t>部门预算整体支出绩效报告</w:t>
      </w:r>
      <w:r>
        <w:tab/>
      </w:r>
      <w:r>
        <w:rPr>
          <w:rFonts w:hint="eastAsia"/>
          <w:lang w:val="en-US" w:eastAsia="zh-CN"/>
        </w:rPr>
        <w:t>2</w:t>
      </w:r>
      <w:r>
        <w:fldChar w:fldCharType="end"/>
      </w:r>
      <w:r>
        <w:rPr>
          <w:rFonts w:hint="eastAsia"/>
          <w:lang w:val="en-US" w:eastAsia="zh-CN"/>
        </w:rPr>
        <w:t>2</w:t>
      </w:r>
    </w:p>
    <w:p>
      <w:pPr>
        <w:pStyle w:val="22"/>
        <w:tabs>
          <w:tab w:val="right" w:leader="dot" w:pos="8296"/>
        </w:tabs>
        <w:rPr>
          <w:rFonts w:hint="eastAsia"/>
          <w:lang w:val="en-US" w:eastAsia="zh-CN"/>
        </w:rPr>
      </w:pPr>
      <w:r>
        <w:rPr>
          <w:rFonts w:hint="eastAsia"/>
          <w:lang w:val="en-US" w:eastAsia="zh-CN"/>
        </w:rPr>
        <w:t xml:space="preserve">    二、专项预算项目支出绩效自评报告</w:t>
      </w:r>
      <w:r>
        <w:tab/>
      </w:r>
      <w:r>
        <w:rPr>
          <w:rFonts w:hint="eastAsia"/>
          <w:lang w:val="en-US" w:eastAsia="zh-CN"/>
        </w:rPr>
        <w:t>26</w:t>
      </w:r>
    </w:p>
    <w:p>
      <w:pPr>
        <w:pStyle w:val="22"/>
        <w:tabs>
          <w:tab w:val="right" w:leader="dot" w:pos="8296"/>
        </w:tabs>
        <w:bidi w:val="0"/>
        <w:ind w:firstLineChars="200" w:firstLine="560"/>
        <w:jc w:val="both"/>
        <w:rPr>
          <w:rFonts w:eastAsia="仿宋"/>
          <w:lang w:val="en-US" w:eastAsia="zh-CN"/>
        </w:rPr>
      </w:pPr>
      <w:r>
        <w:rPr>
          <w:rFonts w:hint="eastAsia"/>
          <w:lang w:val="en-US" w:eastAsia="zh-CN"/>
        </w:rPr>
        <w:t>三、专项预算项目支出绩效表</w:t>
      </w:r>
      <w:r>
        <w:tab/>
      </w:r>
      <w:r>
        <w:rPr>
          <w:rFonts w:hint="eastAsia"/>
          <w:lang w:val="en-US" w:eastAsia="zh-CN"/>
        </w:rPr>
        <w:t>29</w:t>
      </w:r>
    </w:p>
    <w:p>
      <w:pPr>
        <w:pStyle w:val="22"/>
        <w:tabs>
          <w:tab w:val="right" w:leader="dot" w:pos="8296"/>
        </w:tabs>
        <w:bidi w:val="0"/>
        <w:jc w:val="both"/>
        <w:rPr>
          <w:lang w:val="en-US" w:eastAsia="zh-CN"/>
        </w:rPr>
      </w:pPr>
      <w:r>
        <w:rPr>
          <w:rFonts w:hint="eastAsia"/>
        </w:rPr>
        <w:t>第五部分 附表</w:t>
        <w:tab/>
      </w:r>
      <w:r>
        <w:rPr>
          <w:rFonts w:hint="eastAsia"/>
          <w:lang w:val="en-US" w:eastAsia="zh-CN"/>
        </w:rPr>
        <w:t>30</w:t>
      </w:r>
    </w:p>
    <w:p>
      <w:pPr>
        <w:pStyle w:val="22"/>
        <w:tabs>
          <w:tab w:val="right" w:leader="dot" w:pos="8296"/>
        </w:tabs>
        <w:bidi w:val="0"/>
        <w:rPr>
          <w:rFonts w:eastAsia="仿宋"/>
          <w:lang w:val="en-US" w:eastAsia="zh-CN"/>
        </w:rPr>
      </w:pPr>
      <w:r>
        <w:rPr>
          <w:rFonts w:hint="eastAsia"/>
          <w:lang w:val="en-US" w:eastAsia="zh-CN"/>
        </w:rPr>
        <w:t xml:space="preserve">    </w:t>
      </w:r>
      <w:r>
        <w:rPr>
          <w:rFonts w:hint="eastAsia"/>
        </w:rPr>
        <w:t>一、收入支出决算总表</w:t>
        <w:tab/>
      </w:r>
      <w:r>
        <w:rPr>
          <w:rFonts w:hint="eastAsia"/>
          <w:lang w:val="en-US" w:eastAsia="zh-CN"/>
        </w:rPr>
        <w:t>30</w:t>
      </w:r>
    </w:p>
    <w:p>
      <w:pPr>
        <w:pStyle w:val="22"/>
        <w:tabs>
          <w:tab w:val="right" w:leader="dot" w:pos="8296"/>
        </w:tabs>
        <w:bidi w:val="0"/>
        <w:rPr>
          <w:rFonts w:eastAsia="仿宋"/>
          <w:lang w:val="en-US" w:eastAsia="zh-CN"/>
        </w:rPr>
      </w:pPr>
      <w:r>
        <w:rPr>
          <w:rFonts w:hint="eastAsia"/>
          <w:lang w:val="en-US" w:eastAsia="zh-CN"/>
        </w:rPr>
        <w:t xml:space="preserve">    </w:t>
      </w:r>
      <w:r>
        <w:rPr>
          <w:rFonts w:hint="eastAsia"/>
        </w:rPr>
        <w:t>二、收入决算表</w:t>
        <w:tab/>
      </w:r>
      <w:r>
        <w:rPr>
          <w:rFonts w:hint="eastAsia"/>
          <w:lang w:val="en-US" w:eastAsia="zh-CN"/>
        </w:rPr>
        <w:t>30</w:t>
      </w:r>
    </w:p>
    <w:p>
      <w:pPr>
        <w:pStyle w:val="22"/>
        <w:tabs>
          <w:tab w:val="right" w:leader="dot" w:pos="8296"/>
        </w:tabs>
        <w:bidi w:val="0"/>
        <w:rPr>
          <w:rFonts w:eastAsia="仿宋"/>
          <w:lang w:val="en-US" w:eastAsia="zh-CN"/>
        </w:rPr>
      </w:pPr>
      <w:r>
        <w:rPr>
          <w:rFonts w:hint="eastAsia"/>
          <w:lang w:val="en-US" w:eastAsia="zh-CN"/>
        </w:rPr>
        <w:t xml:space="preserve">    </w:t>
      </w:r>
      <w:r>
        <w:rPr>
          <w:rFonts w:hint="eastAsia"/>
        </w:rPr>
        <w:t>三、支出决算表</w:t>
        <w:tab/>
      </w:r>
      <w:r>
        <w:rPr>
          <w:rFonts w:hint="eastAsia"/>
          <w:lang w:val="en-US" w:eastAsia="zh-CN"/>
        </w:rPr>
        <w:t>30</w:t>
      </w:r>
    </w:p>
    <w:p>
      <w:pPr>
        <w:pStyle w:val="22"/>
        <w:tabs>
          <w:tab w:val="right" w:leader="dot" w:pos="8296"/>
        </w:tabs>
        <w:bidi w:val="0"/>
        <w:rPr>
          <w:rFonts w:eastAsia="仿宋"/>
          <w:lang w:val="en-US" w:eastAsia="zh-CN"/>
        </w:rPr>
      </w:pPr>
      <w:r>
        <w:rPr>
          <w:rFonts w:hint="eastAsia"/>
          <w:lang w:val="en-US" w:eastAsia="zh-CN"/>
        </w:rPr>
        <w:t xml:space="preserve">    </w:t>
      </w:r>
      <w:r>
        <w:rPr>
          <w:rFonts w:hint="eastAsia"/>
        </w:rPr>
        <w:t>四、财政拨款收入支出决算总表</w:t>
        <w:tab/>
      </w:r>
      <w:r>
        <w:rPr>
          <w:rFonts w:hint="eastAsia"/>
          <w:lang w:val="en-US" w:eastAsia="zh-CN"/>
        </w:rPr>
        <w:t>30</w:t>
      </w:r>
    </w:p>
    <w:p>
      <w:pPr>
        <w:pStyle w:val="22"/>
        <w:tabs>
          <w:tab w:val="right" w:leader="dot" w:pos="8296"/>
        </w:tabs>
        <w:bidi w:val="0"/>
        <w:rPr>
          <w:rFonts w:eastAsia="仿宋"/>
          <w:lang w:val="en-US" w:eastAsia="zh-CN"/>
        </w:rPr>
      </w:pPr>
      <w:r>
        <w:rPr>
          <w:rFonts w:hint="eastAsia"/>
          <w:lang w:val="en-US" w:eastAsia="zh-CN"/>
        </w:rPr>
        <w:t xml:space="preserve">    </w:t>
      </w:r>
      <w:r>
        <w:rPr>
          <w:rFonts w:hint="eastAsia"/>
        </w:rPr>
        <w:t>五、财政拨款支出决算明细表</w:t>
        <w:tab/>
      </w:r>
      <w:r>
        <w:rPr>
          <w:rFonts w:hint="eastAsia"/>
          <w:lang w:val="en-US" w:eastAsia="zh-CN"/>
        </w:rPr>
        <w:t>30</w:t>
      </w:r>
    </w:p>
    <w:p>
      <w:pPr>
        <w:pStyle w:val="22"/>
        <w:tabs>
          <w:tab w:val="right" w:leader="dot" w:pos="8296"/>
        </w:tabs>
        <w:bidi w:val="0"/>
        <w:rPr>
          <w:rFonts w:eastAsia="仿宋"/>
          <w:lang w:val="en-US" w:eastAsia="zh-CN"/>
        </w:rPr>
      </w:pPr>
      <w:r>
        <w:rPr>
          <w:rFonts w:hint="eastAsia"/>
          <w:lang w:val="en-US" w:eastAsia="zh-CN"/>
        </w:rPr>
        <w:t xml:space="preserve">    </w:t>
      </w:r>
      <w:r>
        <w:rPr>
          <w:rFonts w:hint="eastAsia"/>
        </w:rPr>
        <w:t>六、一般公共预算财政拨款支出决算表</w:t>
        <w:tab/>
      </w:r>
      <w:r>
        <w:rPr>
          <w:rFonts w:hint="eastAsia"/>
          <w:lang w:val="en-US" w:eastAsia="zh-CN"/>
        </w:rPr>
        <w:t>30</w:t>
      </w:r>
    </w:p>
    <w:p>
      <w:pPr>
        <w:pStyle w:val="22"/>
        <w:tabs>
          <w:tab w:val="right" w:leader="dot" w:pos="8296"/>
        </w:tabs>
        <w:bidi w:val="0"/>
        <w:rPr>
          <w:rFonts w:eastAsia="仿宋"/>
          <w:lang w:val="en-US" w:eastAsia="zh-CN"/>
        </w:rPr>
      </w:pPr>
      <w:r>
        <w:rPr>
          <w:rFonts w:hint="eastAsia"/>
          <w:lang w:val="en-US" w:eastAsia="zh-CN"/>
        </w:rPr>
        <w:t xml:space="preserve">    </w:t>
      </w:r>
      <w:r>
        <w:rPr>
          <w:rFonts w:hint="eastAsia"/>
        </w:rPr>
        <w:t>七、一般公共预算财政拨款支出决算明细表</w:t>
        <w:tab/>
      </w:r>
      <w:r>
        <w:rPr>
          <w:rFonts w:hint="eastAsia"/>
          <w:lang w:val="en-US" w:eastAsia="zh-CN"/>
        </w:rPr>
        <w:t>30</w:t>
      </w:r>
    </w:p>
    <w:p>
      <w:pPr>
        <w:pStyle w:val="22"/>
        <w:tabs>
          <w:tab w:val="right" w:leader="dot" w:pos="8296"/>
        </w:tabs>
        <w:bidi w:val="0"/>
        <w:rPr>
          <w:rFonts w:eastAsia="仿宋"/>
          <w:lang w:val="en-US" w:eastAsia="zh-CN"/>
        </w:rPr>
      </w:pPr>
      <w:r>
        <w:rPr>
          <w:rFonts w:hint="eastAsia"/>
          <w:lang w:val="en-US" w:eastAsia="zh-CN"/>
        </w:rPr>
        <w:t xml:space="preserve">    </w:t>
      </w:r>
      <w:r>
        <w:rPr>
          <w:rFonts w:hint="eastAsia"/>
        </w:rPr>
        <w:t>八、一般公共预算财政拨款基本支出决算表</w:t>
        <w:tab/>
      </w:r>
      <w:r>
        <w:rPr>
          <w:rFonts w:hint="eastAsia"/>
          <w:lang w:val="en-US" w:eastAsia="zh-CN"/>
        </w:rPr>
        <w:t>30</w:t>
      </w:r>
    </w:p>
    <w:p>
      <w:pPr>
        <w:pStyle w:val="22"/>
        <w:tabs>
          <w:tab w:val="right" w:leader="dot" w:pos="8296"/>
        </w:tabs>
        <w:bidi w:val="0"/>
        <w:rPr>
          <w:rFonts w:eastAsia="仿宋"/>
          <w:lang w:val="en-US" w:eastAsia="zh-CN"/>
        </w:rPr>
      </w:pPr>
      <w:r>
        <w:rPr>
          <w:rFonts w:hint="eastAsia"/>
          <w:lang w:val="en-US" w:eastAsia="zh-CN"/>
        </w:rPr>
        <w:t xml:space="preserve">    </w:t>
      </w:r>
      <w:r>
        <w:rPr>
          <w:rFonts w:hint="eastAsia"/>
        </w:rPr>
        <w:t>九、一般公共预算财政拨款项目支出决算表</w:t>
        <w:tab/>
      </w:r>
      <w:r>
        <w:rPr>
          <w:rFonts w:hint="eastAsia"/>
          <w:lang w:val="en-US" w:eastAsia="zh-CN"/>
        </w:rPr>
        <w:t>30</w:t>
      </w:r>
    </w:p>
    <w:p>
      <w:pPr>
        <w:pStyle w:val="22"/>
        <w:tabs>
          <w:tab w:val="right" w:leader="dot" w:pos="8296"/>
        </w:tabs>
        <w:bidi w:val="0"/>
        <w:rPr>
          <w:rFonts w:eastAsia="仿宋"/>
          <w:lang w:val="en-US" w:eastAsia="zh-CN"/>
        </w:rPr>
      </w:pPr>
      <w:r>
        <w:rPr>
          <w:rFonts w:hint="eastAsia"/>
          <w:lang w:val="en-US" w:eastAsia="zh-CN"/>
        </w:rPr>
        <w:t xml:space="preserve">    </w:t>
      </w:r>
      <w:r>
        <w:rPr>
          <w:rFonts w:hint="eastAsia"/>
        </w:rPr>
        <w:t>十、</w:t>
      </w:r>
      <w:r>
        <w:rPr>
          <w:rFonts w:hint="eastAsia"/>
          <w:lang w:val="en-US" w:eastAsia="zh-CN"/>
        </w:rPr>
        <w:t>政府性基金预算财政拨款收入支出决算表</w:t>
      </w:r>
      <w:r>
        <w:rPr>
          <w:rFonts w:hint="eastAsia"/>
        </w:rPr>
        <w:tab/>
      </w:r>
      <w:r>
        <w:rPr>
          <w:rFonts w:hint="eastAsia"/>
          <w:lang w:val="en-US" w:eastAsia="zh-CN"/>
        </w:rPr>
        <w:t>30</w:t>
      </w:r>
    </w:p>
    <w:p>
      <w:pPr>
        <w:pStyle w:val="22"/>
        <w:tabs>
          <w:tab w:val="right" w:leader="dot" w:pos="8296"/>
        </w:tabs>
        <w:bidi w:val="0"/>
        <w:rPr>
          <w:rFonts w:eastAsia="仿宋"/>
          <w:lang w:val="en-US" w:eastAsia="zh-CN"/>
        </w:rPr>
      </w:pPr>
      <w:r>
        <w:rPr>
          <w:rFonts w:hint="eastAsia"/>
          <w:lang w:val="en-US" w:eastAsia="zh-CN"/>
        </w:rPr>
        <w:t xml:space="preserve">    </w:t>
      </w:r>
      <w:r>
        <w:rPr>
          <w:rFonts w:hint="eastAsia"/>
        </w:rPr>
        <w:t>十一、</w:t>
      </w:r>
      <w:r>
        <w:rPr>
          <w:rFonts w:hint="eastAsia"/>
          <w:lang w:val="en-US" w:eastAsia="zh-CN"/>
        </w:rPr>
        <w:t>国有资本经营预算</w:t>
      </w:r>
      <w:r>
        <w:rPr>
          <w:rFonts w:hint="eastAsia"/>
        </w:rPr>
        <w:t>财政拨款收入支出决算表</w:t>
        <w:tab/>
      </w:r>
      <w:r>
        <w:rPr>
          <w:rFonts w:hint="eastAsia"/>
          <w:lang w:val="en-US" w:eastAsia="zh-CN"/>
        </w:rPr>
        <w:t>30</w:t>
      </w:r>
    </w:p>
    <w:p>
      <w:pPr>
        <w:pStyle w:val="22"/>
        <w:tabs>
          <w:tab w:val="right" w:leader="dot" w:pos="8296"/>
        </w:tabs>
        <w:bidi w:val="0"/>
        <w:rPr>
          <w:rFonts w:eastAsia="仿宋"/>
          <w:lang w:val="en-US" w:eastAsia="zh-CN"/>
        </w:rPr>
      </w:pPr>
      <w:r>
        <w:rPr>
          <w:rFonts w:hint="eastAsia"/>
          <w:lang w:val="en-US" w:eastAsia="zh-CN"/>
        </w:rPr>
        <w:t xml:space="preserve">    </w:t>
      </w:r>
      <w:r>
        <w:rPr>
          <w:rFonts w:hint="eastAsia"/>
        </w:rPr>
        <w:t>十二、</w:t>
      </w:r>
      <w:r>
        <w:rPr>
          <w:rFonts w:hint="eastAsia"/>
          <w:lang w:val="en-US" w:eastAsia="zh-CN"/>
        </w:rPr>
        <w:t>国有资本经营预算</w:t>
      </w:r>
      <w:r>
        <w:rPr>
          <w:rFonts w:hint="eastAsia"/>
        </w:rPr>
        <w:t>财政拨款支出决算表</w:t>
        <w:tab/>
      </w:r>
      <w:r>
        <w:rPr>
          <w:rFonts w:hint="eastAsia"/>
          <w:lang w:val="en-US" w:eastAsia="zh-CN"/>
        </w:rPr>
        <w:t>30</w:t>
      </w:r>
    </w:p>
    <w:p>
      <w:pPr>
        <w:pStyle w:val="22"/>
        <w:tabs>
          <w:tab w:val="right" w:leader="dot" w:pos="8296"/>
        </w:tabs>
        <w:bidi w:val="0"/>
        <w:rPr>
          <w:rFonts w:eastAsia="仿宋"/>
          <w:lang w:val="en-US" w:eastAsia="zh-CN"/>
        </w:rPr>
      </w:pPr>
      <w:r>
        <w:rPr>
          <w:rFonts w:hint="eastAsia"/>
          <w:lang w:val="en-US" w:eastAsia="zh-CN"/>
        </w:rPr>
        <w:t xml:space="preserve">    </w:t>
      </w:r>
      <w:r>
        <w:rPr>
          <w:rFonts w:hint="eastAsia"/>
        </w:rPr>
        <w:t>十三、</w:t>
      </w:r>
      <w:r>
        <w:rPr>
          <w:rFonts w:hint="eastAsia"/>
          <w:lang w:val="en-US" w:eastAsia="zh-CN"/>
        </w:rPr>
        <w:t>财政拨款“三公”经费支出决算表</w:t>
      </w:r>
      <w:r>
        <w:rPr>
          <w:rFonts w:hint="eastAsia"/>
        </w:rPr>
        <w:tab/>
      </w:r>
      <w:r>
        <w:rPr>
          <w:rFonts w:hint="eastAsia"/>
          <w:lang w:val="en-US" w:eastAsia="zh-CN"/>
        </w:rPr>
        <w:t>30</w:t>
      </w:r>
    </w:p>
    <w:p>
      <w:pPr>
        <w:pStyle w:val="22"/>
        <w:tabs>
          <w:tab w:val="right" w:leader="dot" w:pos="8296"/>
        </w:tabs>
        <w:rPr>
          <w:rFonts w:hint="eastAsia"/>
        </w:rPr>
      </w:pPr>
    </w:p>
    <w:p>
      <w:pPr>
        <w:widowControl/>
        <w:jc w:val="left"/>
        <w:rPr>
          <w:rFonts w:ascii="仿宋" w:eastAsia="仿宋"/>
          <w:color w:val="000000"/>
          <w:sz w:val="24"/>
        </w:rPr>
      </w:pPr>
      <w:r>
        <w:rPr>
          <w:rFonts w:ascii="黑体" w:eastAsia="黑体"/>
          <w:color w:val="000000"/>
          <w:sz w:val="48"/>
          <w:szCs w:val="48"/>
        </w:rPr>
        <w:fldChar w:fldCharType="end"/>
      </w:r>
    </w:p>
    <w:p>
      <w:pPr>
        <w:widowControl/>
        <w:jc w:val="left"/>
        <w:rPr>
          <w:rFonts w:ascii="黑体" w:eastAsia="黑体"/>
          <w:bCs/>
          <w:kern w:val="44"/>
          <w:sz w:val="44"/>
          <w:szCs w:val="44"/>
        </w:rPr>
      </w:pPr>
      <w:bookmarkStart w:id="14" w:name="_Toc15377196"/>
      <w:bookmarkStart w:id="15" w:name="_Toc15396599"/>
      <w:r>
        <w:rPr>
          <w:rFonts w:ascii="黑体" w:eastAsia="黑体"/>
          <w:b/>
        </w:rPr>
        <w:br w:type="page"/>
      </w:r>
    </w:p>
    <w:p>
      <w:pPr>
        <w:pStyle w:val="1"/>
        <w:numPr>
          <w:ilvl w:val="0"/>
          <w:numId w:val="1"/>
        </w:numPr>
        <w:jc w:val="center"/>
        <w:rPr>
          <w:rStyle w:val="1Char"/>
          <w:rFonts w:ascii="黑体" w:eastAsia="黑体" w:hint="eastAsia"/>
          <w:b w:val="0"/>
          <w:bCs w:val="0"/>
        </w:rPr>
      </w:pPr>
      <w:bookmarkStart w:id="16" w:name="_Toc21035"/>
      <w:r>
        <w:rPr>
          <w:rStyle w:val="1Char"/>
          <w:rFonts w:ascii="黑体" w:eastAsia="黑体" w:hint="eastAsia"/>
          <w:b w:val="0"/>
          <w:bCs w:val="0"/>
        </w:rPr>
        <w:t>部门概况</w:t>
      </w:r>
      <w:bookmarkEnd w:id="14"/>
      <w:bookmarkEnd w:id="15"/>
      <w:bookmarkEnd w:id="16"/>
    </w:p>
    <w:p>
      <w:pPr>
        <w:widowControl w:val="0"/>
        <w:jc w:val="both"/>
      </w:pPr>
    </w:p>
    <w:p>
      <w:pPr>
        <w:pStyle w:val="2"/>
        <w:keepNext/>
        <w:keepLines/>
        <w:pageBreakBefore w:val="0"/>
        <w:widowControl w:val="0"/>
        <w:kinsoku/>
        <w:wordWrap/>
        <w:overflowPunct/>
        <w:topLinePunct w:val="0"/>
        <w:autoSpaceDE/>
        <w:autoSpaceDN/>
        <w:bidi w:val="0"/>
        <w:adjustRightInd/>
        <w:spacing w:before="0" w:after="0" w:line="520" w:lineRule="exact"/>
        <w:ind w:leftChars="304" w:left="638"/>
        <w:textAlignment w:val="auto"/>
        <w:rPr>
          <w:rStyle w:val="2Char"/>
          <w:rFonts w:ascii="黑体" w:eastAsia="黑体"/>
          <w:b w:val="0"/>
          <w:bCs w:val="0"/>
        </w:rPr>
      </w:pPr>
      <w:bookmarkStart w:id="17" w:name="_Toc15396600"/>
      <w:bookmarkStart w:id="18" w:name="_Toc17689"/>
      <w:bookmarkStart w:id="19" w:name="_Toc15377197"/>
      <w:r>
        <w:rPr>
          <w:rFonts w:ascii="黑体" w:eastAsia="黑体" w:hint="eastAsia"/>
          <w:b w:val="0"/>
          <w:color w:val="000000"/>
        </w:rPr>
        <w:t>一、基</w:t>
      </w:r>
      <w:r>
        <w:rPr>
          <w:rStyle w:val="2Char"/>
          <w:rFonts w:ascii="黑体" w:eastAsia="黑体" w:hint="eastAsia"/>
          <w:b w:val="0"/>
          <w:bCs w:val="0"/>
        </w:rPr>
        <w:t>本职能及主要工作</w:t>
      </w:r>
      <w:bookmarkStart w:id="20" w:name="_Toc15377198"/>
      <w:bookmarkStart w:id="21" w:name="_Toc15378445"/>
      <w:bookmarkEnd w:id="17"/>
      <w:bookmarkEnd w:id="18"/>
      <w:bookmarkEnd w:id="19"/>
    </w:p>
    <w:p>
      <w:pPr>
        <w:pageBreakBefore w:val="0"/>
        <w:widowControl w:val="0"/>
        <w:kinsoku/>
        <w:wordWrap/>
        <w:overflowPunct/>
        <w:topLinePunct w:val="0"/>
        <w:autoSpaceDE/>
        <w:autoSpaceDN/>
        <w:bidi w:val="0"/>
        <w:adjustRightInd/>
        <w:spacing w:line="520" w:lineRule="exact"/>
        <w:ind w:firstLineChars="200" w:firstLine="640"/>
        <w:textAlignment w:val="auto"/>
        <w:rPr>
          <w:rFonts w:ascii="楷体_GB2312" w:eastAsia="楷体_GB2312" w:cs="楷体_GB2312"/>
          <w:b/>
          <w:bCs/>
          <w:sz w:val="32"/>
          <w:szCs w:val="32"/>
        </w:rPr>
      </w:pPr>
      <w:r>
        <w:rPr>
          <w:rFonts w:ascii="楷体_GB2312" w:eastAsia="楷体_GB2312" w:cs="楷体_GB2312" w:hint="eastAsia"/>
          <w:b/>
          <w:bCs/>
          <w:sz w:val="32"/>
          <w:szCs w:val="32"/>
        </w:rPr>
        <w:t>（一）主要职能</w:t>
      </w:r>
      <w:bookmarkStart w:id="22" w:name="_Toc15378446"/>
      <w:bookmarkStart w:id="23" w:name="_Toc15377199"/>
      <w:bookmarkEnd w:id="20"/>
      <w:bookmarkEnd w:id="21"/>
    </w:p>
    <w:p>
      <w:pPr>
        <w:pageBreakBefore w:val="0"/>
        <w:widowControl w:val="0"/>
        <w:kinsoku/>
        <w:wordWrap/>
        <w:overflowPunct/>
        <w:topLinePunct w:val="0"/>
        <w:autoSpaceDE/>
        <w:autoSpaceDN/>
        <w:bidi w:val="0"/>
        <w:adjustRightInd/>
        <w:spacing w:line="520" w:lineRule="exact"/>
        <w:ind w:firstLineChars="200" w:firstLine="880"/>
        <w:textAlignment w:val="auto"/>
        <w:rPr>
          <w:rFonts w:ascii="楷体_GB2312" w:eastAsia="楷体_GB2312" w:cs="楷体_GB2312"/>
          <w:b/>
          <w:bCs/>
          <w:sz w:val="32"/>
          <w:szCs w:val="32"/>
        </w:rPr>
      </w:pPr>
      <w:r>
        <w:rPr>
          <w:rFonts w:ascii="仿宋_GB2312" w:eastAsia="仿宋_GB2312" w:hint="eastAsia"/>
          <w:b/>
          <w:color w:val="333333"/>
          <w:kern w:val="0"/>
          <w:sz w:val="44"/>
          <w:lang w:val="zh-CN"/>
        </w:rPr>
        <w:t>一</w:t>
      </w:r>
      <w:r>
        <w:rPr>
          <w:rFonts w:ascii="仿宋_GB2312" w:eastAsia="仿宋_GB2312" w:hint="eastAsia"/>
          <w:color w:val="333333"/>
          <w:kern w:val="0"/>
          <w:sz w:val="28"/>
          <w:lang w:val="zh-CN"/>
        </w:rPr>
        <w:t>是贯彻执行国家有关种植业、农业机械化等各产业工作方针、政策和法律、法规；拟订全县农业、畜牧业经济发展战略、中长期发展规划、政策和年度计划并组织实施；组织起草有关农业和农村经济的地方性法规、规章草案；参与拟订涉农财税、价格、金融保险等政策，提出农业产业保护的政策建议，推进依法行政。</w:t>
      </w:r>
      <w:r>
        <w:rPr>
          <w:rFonts w:ascii="仿宋_GB2312" w:eastAsia="仿宋_GB2312" w:hint="eastAsia"/>
          <w:color w:val="333333"/>
          <w:kern w:val="0"/>
          <w:sz w:val="44"/>
          <w:lang w:val="zh-CN"/>
        </w:rPr>
        <w:t>二</w:t>
      </w:r>
      <w:r>
        <w:rPr>
          <w:rFonts w:ascii="仿宋_GB2312" w:eastAsia="仿宋_GB2312" w:hint="eastAsia"/>
          <w:color w:val="333333"/>
          <w:kern w:val="0"/>
          <w:sz w:val="28"/>
          <w:lang w:val="zh-CN"/>
        </w:rPr>
        <w:t>是承担完善农村经营管理体制的责任。提出深化农村经济体制改革和稳定完善农村基本经营制度的政策建议，指导农村土地承包、耕地使用权流转和承包纠纷仲裁管理。指导、监督减轻农民负担和村民筹资筹劳管理工作，指导农村集体资产和财务管理。拟订农业产业化经营的发展规划与政策并组织实施，指导、扶持农业社会化服务体系、农村合作经济组织、农民专业合作社和农产品行业协会的建设与发展。</w:t>
      </w:r>
      <w:r>
        <w:rPr>
          <w:rFonts w:ascii="仿宋_GB2312" w:eastAsia="仿宋_GB2312" w:hint="eastAsia"/>
          <w:color w:val="333333"/>
          <w:kern w:val="0"/>
          <w:sz w:val="44"/>
          <w:lang w:val="zh-CN"/>
        </w:rPr>
        <w:t>三</w:t>
      </w:r>
      <w:r>
        <w:rPr>
          <w:rFonts w:ascii="仿宋_GB2312" w:eastAsia="仿宋_GB2312" w:hint="eastAsia"/>
          <w:color w:val="333333"/>
          <w:kern w:val="0"/>
          <w:sz w:val="28"/>
          <w:lang w:val="zh-CN"/>
        </w:rPr>
        <w:t>是指导产业化经营，促进产前、产中、产后一体化发展。组织拟订优势特色效益农业发展、现代农业产业基地建设等政策与规划并组织实施，提出促进大宗农产品流通政策，研究制订大综农产品市场体系建设与发展规划，培育、保护和发展农产品品牌。组织协调“菜篮子”工程有关工作。</w:t>
      </w:r>
      <w:r>
        <w:rPr>
          <w:rFonts w:ascii="仿宋_GB2312" w:eastAsia="仿宋_GB2312" w:hint="eastAsia"/>
          <w:color w:val="333333"/>
          <w:kern w:val="0"/>
          <w:sz w:val="44"/>
          <w:lang w:val="zh-CN"/>
        </w:rPr>
        <w:t>四</w:t>
      </w:r>
      <w:r>
        <w:rPr>
          <w:rFonts w:ascii="仿宋_GB2312" w:eastAsia="仿宋_GB2312" w:hint="eastAsia"/>
          <w:color w:val="333333"/>
          <w:kern w:val="0"/>
          <w:sz w:val="28"/>
          <w:lang w:val="zh-CN"/>
        </w:rPr>
        <w:t>是负责制订全县农业机械化发展规划并组织实施。承担推广先进适用的农业机械化新技术、新机械并组织生产作业，指导农村机电提灌、机耕道建设，承担负责农业机械使用安全监管的责任。</w:t>
      </w:r>
      <w:r>
        <w:rPr>
          <w:rFonts w:ascii="仿宋_GB2312" w:eastAsia="仿宋_GB2312" w:hint="eastAsia"/>
          <w:color w:val="333333"/>
          <w:kern w:val="0"/>
          <w:sz w:val="44"/>
          <w:lang w:val="zh-CN"/>
        </w:rPr>
        <w:t>五</w:t>
      </w:r>
      <w:r>
        <w:rPr>
          <w:rFonts w:ascii="仿宋_GB2312" w:eastAsia="仿宋_GB2312" w:hint="eastAsia"/>
          <w:color w:val="333333"/>
          <w:kern w:val="0"/>
          <w:sz w:val="28"/>
          <w:lang w:val="zh-CN"/>
        </w:rPr>
        <w:t>是承担农业防灾减灾责任。监测、发布农业灾情，组织种子、化肥、种苗、消毒剂等救灾物资的储备和调拨，提出生产救灾资金安排建议，指导紧急救灾和灾后生产恢复。</w:t>
      </w:r>
      <w:r>
        <w:rPr>
          <w:rFonts w:ascii="仿宋_GB2312" w:eastAsia="仿宋_GB2312" w:hint="eastAsia"/>
          <w:color w:val="333333"/>
          <w:kern w:val="0"/>
          <w:sz w:val="44"/>
          <w:lang w:val="zh-CN"/>
        </w:rPr>
        <w:t>六</w:t>
      </w:r>
      <w:r>
        <w:rPr>
          <w:rFonts w:ascii="仿宋_GB2312" w:eastAsia="仿宋_GB2312" w:hint="eastAsia"/>
          <w:color w:val="333333"/>
          <w:kern w:val="0"/>
          <w:sz w:val="28"/>
          <w:lang w:val="zh-CN"/>
        </w:rPr>
        <w:t>是管理农业、经济信息，监测分析农业、经济运行。开展相关统计工作，发布相关经济信息，负责相关信息体系建设，指导相关信息服务。</w:t>
      </w:r>
      <w:r>
        <w:rPr>
          <w:rFonts w:ascii="仿宋_GB2312" w:eastAsia="仿宋_GB2312" w:hint="eastAsia"/>
          <w:color w:val="333333"/>
          <w:kern w:val="0"/>
          <w:sz w:val="44"/>
          <w:lang w:val="zh-CN"/>
        </w:rPr>
        <w:t>七</w:t>
      </w:r>
      <w:r>
        <w:rPr>
          <w:rFonts w:ascii="仿宋_GB2312" w:eastAsia="仿宋_GB2312" w:hint="eastAsia"/>
          <w:color w:val="333333"/>
          <w:kern w:val="0"/>
          <w:sz w:val="28"/>
          <w:lang w:val="zh-CN"/>
        </w:rPr>
        <w:t>是制定全县农牧渔业科研、农牧渔业技术推广的规划、计划和政策并组织实施，会同有关部门组织县级农牧科技创新体系、农牧渔业产业技术体系建设。组织引进农牧渔业先进技术，组织实施农牧渔业领域的高新技术和应用技术研究、农牧渔业科技成果转化和技术推广，负责农牧渔业科技成果管理，指导农技推广体系改革与建设，负责农牧渔业新品种保护、农牧渔业转基因生物的安全监督管理。</w:t>
      </w:r>
      <w:r>
        <w:rPr>
          <w:rFonts w:ascii="仿宋_GB2312" w:eastAsia="仿宋_GB2312" w:hint="eastAsia"/>
          <w:color w:val="333333"/>
          <w:kern w:val="0"/>
          <w:sz w:val="44"/>
          <w:lang w:val="zh-CN"/>
        </w:rPr>
        <w:t>八</w:t>
      </w:r>
      <w:r>
        <w:rPr>
          <w:rFonts w:ascii="仿宋_GB2312" w:eastAsia="仿宋_GB2312" w:hint="eastAsia"/>
          <w:color w:val="333333"/>
          <w:kern w:val="0"/>
          <w:sz w:val="28"/>
          <w:lang w:val="zh-CN"/>
        </w:rPr>
        <w:t>是负责农牧资源区划和资源保护工作。指导农牧业用地、渔业水域、草原、宜农宜牧滩涂、宜农宜牧湿地以及农牧业生物物种资源的保护和管理；；拟订耕地及基本农田质量保护与改良政策并指导实施，依法管理耕地质量，运用工程设施、农艺、农机、生物等措施发展资源节约型环境友好型农业。</w:t>
      </w:r>
      <w:r>
        <w:rPr>
          <w:rFonts w:ascii="楷体_GB2312" w:eastAsia="楷体_GB2312" w:cs="楷体_GB2312" w:hint="eastAsia"/>
          <w:b/>
          <w:bCs/>
          <w:sz w:val="32"/>
          <w:szCs w:val="32"/>
        </w:rPr>
        <w:t>（二）</w:t>
      </w:r>
      <w:r>
        <w:rPr>
          <w:rFonts w:ascii="楷体_GB2312" w:eastAsia="楷体_GB2312" w:cs="楷体_GB2312" w:hint="eastAsia"/>
          <w:b/>
          <w:bCs/>
          <w:sz w:val="32"/>
          <w:szCs w:val="32"/>
          <w:lang w:eastAsia="zh-CN"/>
        </w:rPr>
        <w:t>2022</w:t>
      </w:r>
      <w:r>
        <w:rPr>
          <w:rFonts w:ascii="楷体_GB2312" w:eastAsia="楷体_GB2312" w:cs="楷体_GB2312" w:hint="eastAsia"/>
          <w:b/>
          <w:bCs/>
          <w:sz w:val="32"/>
          <w:szCs w:val="32"/>
        </w:rPr>
        <w:t>年重点工作完成情况</w:t>
      </w:r>
      <w:bookmarkEnd w:id="22"/>
      <w:bookmarkEnd w:id="23"/>
    </w:p>
    <w:p>
      <w:pPr>
        <w:snapToGrid w:val="0"/>
        <w:spacing w:line="520" w:lineRule="exact"/>
        <w:ind w:firstLineChars="200" w:firstLine="560"/>
        <w:rPr>
          <w:rFonts w:ascii="仿宋_GB2312" w:eastAsia="仿宋_GB2312" w:hint="eastAsia"/>
          <w:color w:val="333333"/>
          <w:kern w:val="0"/>
          <w:sz w:val="28"/>
          <w:lang w:val="zh-CN"/>
        </w:rPr>
      </w:pPr>
      <w:bookmarkStart w:id="24" w:name="_Toc15396601"/>
      <w:bookmarkStart w:id="25" w:name="_Toc15377200"/>
      <w:bookmarkStart w:id="26" w:name="_Toc15199"/>
      <w:r>
        <w:rPr>
          <w:rFonts w:ascii="仿宋_GB2312" w:eastAsia="仿宋_GB2312" w:hint="eastAsia"/>
          <w:color w:val="333333"/>
          <w:kern w:val="0"/>
          <w:sz w:val="28"/>
          <w:lang w:val="zh-CN"/>
        </w:rPr>
        <w:t>——园区建设工作。金川县梨现代农业园区：利用2021年省级三星级园区奖补资金1000万元，整合眉山帮扶、县级财政、吸纳社会投入共计2089万元，安排园区提档升级补短项目9个，现已全面完成，省级奖补资金拨付率达到93%。在金马坪村建成9000平方米育苗大棚、160亩蔬菜大棚，在沙耳母本园建成1000吨气调库1个；加大了园区内的粮经作物间作套种，投入涉农整合资金78万元，完成2022年园区内雪梨林下种植冬小麦1200余亩，冬油菜997亩。加上玉米、马铃薯等粮经作物，园区内主导产业突出，粮经套作占比60%。目前正在全力筹备迎接省级四星级园区考核。金川牦牛园区：沙耳金川牦牛标准化养殖场年出栏200头已完成基础设施建设，正在进行补栏，发放牦牛应急饲草540吨，2022牦牛园区园区投入建设资金386万元。金川县高山蔬菜园区：在勒乌金马坪村完成9000㎡育苗大棚投入使用，投入涉农整合资金550万元建成蔬菜生产大棚220余亩。2022年蔬菜产量预计达到4万余吨。金川县甜樱桃园区：投入建设资金3666万元，主要用于基础设施提升和对1440亩标准化修枝整形，水肥管理。目前该园区已认定为县级四星级现代农业园区，正在积极申报纳入州级三星级培育。</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农业目标任务。今年州上下目标任务是：粮食播面8.70万亩、产量2.31万吨；蔬菜种植面积1.44万亩、产量4.4万吨；水果种植面积3.3万亩、2.04万吨；生猪出栏5.2万头、牛出栏1.38万头、羊出栏0.96万只，农村居民人均可支配收入增速要达10%。截至目前，经调查统计，我县实际播面为8.82746万亩，超目标任务1274.6亩，其中小春作物小麦、马铃薯已完成20339亩，大春作物播面67935.6亩，虽然玉米因干旱受灾减产442吨，但预计粮食总产量能够达到2.3111万吨以上，超任务完成11吨；蔬菜已完成1.47982万亩，超任务数398.2亩，产量2473吨；水果目前已完成3.31万亩，2万吨；猪出栏42532头，牛出栏9963头，羊出栏7535头。</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——高标准农田。全州高标准农田现场会在金川县成功举办；2021年高标准农田建设(财政转移支付)10000亩和 2021年高标准农田建设</w:t>
      </w:r>
      <w:r>
        <w:rPr>
          <w:rFonts w:ascii="仿宋_GB2312" w:eastAsia="仿宋_GB2312" w:hint="eastAsia"/>
          <w:color w:val="333333"/>
          <w:kern w:val="0"/>
          <w:sz w:val="28"/>
          <w:lang w:val="zh-CN"/>
        </w:rPr>
        <mc:AlternateContent>
          <mc:Choice Requires="wps">
            <w:drawing>
              <wp:anchor distT="0" distB="0" distL="114298" distR="114298" simplePos="0" relativeHeight="19" behindDoc="0" locked="0" layoutInCell="1" hidden="0" allowOverlap="1">
                <wp:simplePos x="0" y="0"/>
                <wp:positionH relativeFrom="column">
                  <wp:posOffset>8255</wp:posOffset>
                </wp:positionH>
                <wp:positionV relativeFrom="paragraph">
                  <wp:posOffset>650875</wp:posOffset>
                </wp:positionV>
                <wp:extent cx="405130" cy="76200"/>
                <wp:effectExtent l="0" t="0" r="0" b="0"/>
                <wp:wrapNone/>
                <wp:docPr id="1" name="文本框 2"/>
                <wp:cNvGraphicFramePr>
                  <a:graphicFrameLocks noChangeAspect="0"/>
                </wp:cNvGraphicFramePr>
                <a:graphic>
                  <a:graphicData uri="http://schemas.microsoft.com/office/word/2010/wordprocessingShape">
                    <wps:wsp>
                      <wps:cNvSpPr/>
                      <wps:spPr>
                        <a:xfrm flipV="1" rot="21600000">
                          <a:off x="0" y="0"/>
                          <a:ext cx="405130" cy="76200"/>
                        </a:xfrm>
                        <a:prstGeom prst="rect"/>
                        <a:solidFill>
                          <a:srgbClr val="FFFFFF">
                            <a:alpha val="0"/>
                          </a:srgbClr>
                        </a:solidFill>
                        <a:ln w="9525" cmpd="sng" cap="flat">
                          <a:noFill/>
                          <a:prstDash val="solid"/>
                          <a:round/>
                        </a:ln>
                      </wps:spPr>
                      <wps:txbx id="2">
                        <w:txbxContent>
                          <w:p/>
                        </w:txbxContent>
                      </wps:txbx>
                      <wps:bodyPr vert="horz" wrap="square" lIns="91439" tIns="45720" rIns="91439" bIns="45720" anchor="t" anchorCtr="0" upright="1">
                        <a:noAutofit/>
                      </wps:bodyPr>
                    </wps:wsp>
                  </a:graphicData>
                </a:graphic>
              </wp:anchor>
            </w:drawing>
          </mc:Choice>
          <mc:Fallback>
            <w:pict>
              <v:shape type="#_x0000_t202" id="文本框 2 3" o:spid="_x0000_s3" fillcolor="#FFFFFF" stroked="f" style="position:absolute;margin-left:0.65pt;margin-top:51.25pt;width:31.9pt;height:6.0pt;flip:y;z-index:19;mso-position-horizontal:absolute;mso-position-vertical:absolute;mso-wrap-distance-left:8.999863pt;mso-wrap-distance-right:8.999863pt;mso-wrap-style:square;">
                <v:fill opacity="0f"/>
                <v:stroke color="#000000"/>
                <v:textbox id="848" inset="2.54mm,1.27mm,2.54mm,1.27mm" o:insetmode="custom" style="layout-flow:horizontal;v-text-anchor:top;">
                  <w:txbxContent>
                    <w:p/>
                  </w:txbxContent>
                </v:textbox>
              </v:shape>
            </w:pict>
          </mc:Fallback>
        </mc:AlternateContent>
      </w:r>
      <w:r>
        <w:rPr>
          <w:rFonts w:ascii="仿宋_GB2312" w:eastAsia="仿宋_GB2312" w:hint="eastAsia"/>
          <w:color w:val="333333"/>
          <w:kern w:val="0"/>
          <w:sz w:val="28"/>
          <w:lang w:val="zh-CN"/>
        </w:rPr>
        <w:t>（中央预算内）10000亩，项目已完成县级验收和第三方检测工作；2022年高标准农田建设项目10000亩中下寨片区项目，目前</w:t>
      </w:r>
      <w:r>
        <w:rPr>
          <w:rFonts w:ascii="仿宋_GB2312" w:eastAsia="仿宋_GB2312"/>
          <w:color w:val="333333"/>
          <w:kern w:val="0"/>
          <w:sz w:val="28"/>
          <w:lang w:val="zh-CN"/>
        </w:rPr>
        <w:t>已</w:t>
      </w:r>
      <w:r>
        <w:rPr>
          <w:rFonts w:ascii="仿宋_GB2312" w:eastAsia="仿宋_GB2312" w:hint="eastAsia"/>
          <w:color w:val="333333"/>
          <w:kern w:val="0"/>
          <w:sz w:val="28"/>
          <w:lang w:val="zh-CN"/>
        </w:rPr>
        <w:t>开工。</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二、统筹推进各项工作</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动植物安全。一是累计发放各乡（镇）疫苗170余万毫升，包虫病犬只驱虫药5.436万片，下达免疫效果评估采样任务，全县采集动物血清800份，犬粪1000份；2022年落实动物防疫经费188.79万元，用于非洲猪瘟、包虫病防治等工作。二是开展农药抽样送检，共抽取4个12分样品，并送州局检测；严把种苗检疫关。对外地调运的种苗实施复检，共复检金花梨25000株，桃树25000株。调运手续齐全，未发现检疫对象；完成省州农产品风险监测、监督检测抽检任务定量检测120个样。三是开展省级农产品质量安全监管示范县创建工作，截至目前，召开工作推进会2次，开展实地培训会20余次；会同上级共同开展督促检查3次，结合工作要求和乡镇需求（农安中心）不定时开展技术指导服务40余次，下发整改通知书19份。</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农畜生产。一是推进高产创建和粮经复合工作，在咯尔乡推进了粮经复合产业基地100亩，加强粮油生产方式的转变，增加大豆种植面积350亩。二是调进了适合我县种植的优良玉米种70余吨，各类蔬菜种子300公斤，2022年全县共计销售玉米良种69.2吨。三是在6乡3镇开设17个黄牛（人工授精）改良点，引进西门塔尔牛冻精4500支，通过人工授精改良黄牛1650头。完成山羊改良1860只，绵羊改良935只。四是全县完成撂荒地整治911.3亩，涉及4个乡镇8个行政村。</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——农业补贴。一是2022 年耕地地力保护补贴资金319.164799万元，补贴面积55439.43亩，兑现户数12716户，均已全部兑付完毕。二是我县2022年实际种粮农民一次性补贴资金155万元，补贴面积69446.43亩，每兑现户数20586户，均已全部兑付完毕。三是今年我县农机购置补贴共计下达资金59万元，截至目前完成农机补贴共193台共计45.0168万元。</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科技服务。一是成立国家级18名的科技特派团。累计开展现场服务41天，开展雪梨技术培训1次，培训人员40余人次。现场技术指导11次，指导科技示范户23户，培养技术骨干人才26人，指导建立科技示范基地17个，推广新方法新技术新模式12项。二是充分利用四川科技兴村在线平台，服务农户3151户，覆盖全县85个行政村。录入专家159人，信息员393人。今年累计开展在线技术服务2677次，已完成技术服务2519次。三是积极参与以“科技促发展，振兴新农村”为主题的金川县第二十六届“科技之春”科普活动月集中宣传活动，发放各类科普宣传资料7100余份（册）。四是根据85个村优势特色产业，组建70名省级科技特派团，实现对全县优势特色产业技术服务全覆盖。利用各类科普活动，累计向广大老百姓发放各类科普书籍、资料共8000余册（份），服务农户2000余人次。</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面源污染防治。一是完成了2022年我县9个乡镇9个村135户的秸秆进行农作物秸秆资源台账建设调查数据上报工作，秸秆综合利用率达到90%以上。二是下发《金川县科学技术和农业畜牧局关于印发金川县主要农作物科学施肥指导意见》的通知，各乡镇化肥减量增效工作实施情况及台账建立情况，使测土配方施肥推广面积达到90%以上。三是制定并印发《金川县2022年农药减量化行动实施方案》，落实农药使用监测点5个，全县农药包装废弃物回收率达76.77%。。</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农村疫情防控。一是开展返县人员管控摸排，自静态管理以来，累计派出200余人值守11处卡点。二是组织抗疫物资向兄弟县市进行驰援捐赠农产品物资10万余元。三是督促乡镇落实红事缓办、白事简办。截至目前农村地区共备案“需举办”红、白事198场，现已举办红事83场，白事20场，乔迁1场，因疫情取消未举办94场。</w:t>
      </w:r>
    </w:p>
    <w:p>
      <w:pPr>
        <w:snapToGrid w:val="0"/>
        <w:spacing w:line="520" w:lineRule="exact"/>
        <w:ind w:firstLineChars="200" w:firstLine="560"/>
        <w:rPr>
          <w:rFonts w:ascii="仿宋_GB2312" w:eastAsia="仿宋_GB2312" w:hint="eastAsia"/>
          <w:color w:val="333333"/>
          <w:kern w:val="0"/>
          <w:sz w:val="28"/>
          <w:lang w:val="zh-CN"/>
        </w:rPr>
      </w:pPr>
      <w:r>
        <w:rPr>
          <w:rFonts w:ascii="仿宋_GB2312" w:eastAsia="仿宋_GB2312" w:hint="eastAsia"/>
          <w:color w:val="333333"/>
          <w:kern w:val="0"/>
          <w:sz w:val="28"/>
          <w:lang w:val="zh-CN"/>
        </w:rPr>
        <w:t>——厕所革命。2022年度农村“厕所革命”整村推进示范村建设项目，已完成全部验收380户，其中河东乡八字口村66户、结木村45户，勒乌镇二甲村105户，撒瓦脚乡甲布脚村46户、木赤村123户。</w:t>
      </w:r>
    </w:p>
    <w:p>
      <w:pPr>
        <w:pageBreakBefore w:val="0"/>
        <w:widowControl w:val="0"/>
        <w:kinsoku/>
        <w:wordWrap/>
        <w:overflowPunct/>
        <w:topLinePunct w:val="0"/>
        <w:autoSpaceDE/>
        <w:autoSpaceDN/>
        <w:bidi w:val="0"/>
        <w:adjustRightInd/>
        <w:spacing w:line="520" w:lineRule="exact"/>
        <w:ind w:firstLineChars="200" w:firstLine="640"/>
        <w:textAlignment w:val="auto"/>
        <w:rPr>
          <w:rStyle w:val="2Char"/>
          <w:b w:val="0"/>
          <w:bCs w:val="0"/>
        </w:rPr>
      </w:pPr>
      <w:r>
        <w:rPr>
          <w:rStyle w:val="2Char"/>
          <w:rFonts w:ascii="黑体" w:eastAsia="黑体" w:hint="eastAsia"/>
          <w:b w:val="0"/>
          <w:bCs w:val="0"/>
        </w:rPr>
        <w:t>二、机构设置</w:t>
      </w:r>
      <w:bookmarkEnd w:id="24"/>
      <w:bookmarkEnd w:id="25"/>
    </w:p>
    <w:p>
      <w:pPr>
        <w:pageBreakBefore w:val="0"/>
        <w:widowControl/>
        <w:kinsoku/>
        <w:wordWrap/>
        <w:overflowPunct/>
        <w:topLinePunct w:val="0"/>
        <w:autoSpaceDE/>
        <w:autoSpaceDN/>
        <w:bidi w:val="0"/>
        <w:adjustRightInd/>
        <w:spacing w:line="520" w:lineRule="exact"/>
        <w:ind w:firstLineChars="200" w:firstLine="640"/>
        <w:jc w:val="left"/>
        <w:textAlignment w:val="auto"/>
        <w:rPr>
          <w:rFonts w:ascii="黑体" w:eastAsia="仿宋_GB2312" w:hAnsi="黑体"/>
          <w:b w:val="0"/>
          <w:color w:val="000000"/>
          <w:lang w:val="en-US" w:eastAsia="zh-CN"/>
        </w:rPr>
      </w:pPr>
      <w:bookmarkEnd w:id="26"/>
      <w:r>
        <w:rPr>
          <w:rFonts w:ascii="仿宋_GB2312" w:eastAsia="仿宋_GB2312" w:hint="eastAsia"/>
          <w:bCs/>
          <w:color w:val="000000"/>
          <w:sz w:val="32"/>
          <w:szCs w:val="32"/>
        </w:rPr>
        <w:t>金川县</w:t>
      </w:r>
      <w:r>
        <w:rPr>
          <w:rFonts w:ascii="仿宋_GB2312" w:eastAsia="仿宋_GB2312" w:hint="eastAsia"/>
          <w:bCs/>
          <w:color w:val="000000"/>
          <w:sz w:val="32"/>
          <w:szCs w:val="32"/>
          <w:lang w:val="en-US" w:eastAsia="zh-CN"/>
        </w:rPr>
        <w:t>科学技术和农业畜牧局</w:t>
      </w:r>
      <w:r>
        <w:rPr>
          <w:rFonts w:ascii="仿宋_GB2312" w:eastAsia="仿宋_GB2312" w:hint="eastAsia"/>
          <w:bCs/>
          <w:color w:val="000000"/>
          <w:sz w:val="32"/>
          <w:szCs w:val="32"/>
        </w:rPr>
        <w:t>设</w:t>
      </w:r>
      <w:r>
        <w:rPr>
          <w:rFonts w:ascii="仿宋_GB2312" w:eastAsia="仿宋_GB2312" w:hint="eastAsia"/>
          <w:color w:val="000000"/>
          <w:sz w:val="32"/>
          <w:szCs w:val="32"/>
        </w:rPr>
        <w:t>统一核算机构为</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个，其中：</w:t>
      </w:r>
      <w:r>
        <w:rPr>
          <w:rFonts w:ascii="仿宋" w:eastAsia="仿宋" w:cs="仿宋" w:hint="eastAsia"/>
          <w:color w:val="000000"/>
          <w:sz w:val="32"/>
          <w:szCs w:val="32"/>
        </w:rPr>
        <w:t>行政单位</w:t>
      </w:r>
      <w:r>
        <w:rPr>
          <w:rFonts w:ascii="仿宋" w:eastAsia="仿宋" w:cs="仿宋" w:hint="eastAsia"/>
          <w:color w:val="000000"/>
          <w:sz w:val="32"/>
          <w:szCs w:val="32"/>
          <w:lang w:val="en-US" w:eastAsia="zh-CN"/>
        </w:rPr>
        <w:t>4</w:t>
      </w:r>
      <w:r>
        <w:rPr>
          <w:rFonts w:ascii="仿宋" w:eastAsia="仿宋" w:cs="仿宋" w:hint="eastAsia"/>
          <w:color w:val="000000"/>
          <w:sz w:val="32"/>
          <w:szCs w:val="32"/>
        </w:rPr>
        <w:t>个，</w:t>
      </w:r>
      <w:r>
        <w:rPr>
          <w:rFonts w:ascii="仿宋_GB2312" w:eastAsia="仿宋_GB2312" w:hint="eastAsia"/>
          <w:color w:val="000000"/>
          <w:sz w:val="32"/>
          <w:szCs w:val="32"/>
        </w:rPr>
        <w:t>事业单位</w:t>
      </w:r>
      <w:r>
        <w:rPr>
          <w:rFonts w:ascii="仿宋_GB2312" w:eastAsia="仿宋_GB2312"/>
          <w:color w:val="000000"/>
          <w:sz w:val="32"/>
          <w:szCs w:val="32"/>
        </w:rPr>
        <w:t>1</w:t>
      </w:r>
      <w:r>
        <w:rPr>
          <w:rFonts w:ascii="仿宋_GB2312" w:eastAsia="仿宋_GB2312" w:hint="eastAsia"/>
          <w:color w:val="000000"/>
          <w:sz w:val="32"/>
          <w:szCs w:val="32"/>
        </w:rPr>
        <w:t>个</w:t>
      </w:r>
      <w:r>
        <w:rPr>
          <w:rFonts w:ascii="仿宋_GB2312" w:eastAsia="仿宋_GB2312" w:hint="eastAsia"/>
          <w:color w:val="000000"/>
          <w:sz w:val="32"/>
          <w:szCs w:val="32"/>
          <w:lang w:eastAsia="zh-CN"/>
        </w:rPr>
        <w:t>；</w:t>
      </w:r>
      <w:r>
        <w:rPr>
          <w:rFonts w:ascii="仿宋_GB2312" w:eastAsia="仿宋_GB2312" w:hint="eastAsia"/>
          <w:color w:val="000000"/>
          <w:sz w:val="32"/>
          <w:szCs w:val="32"/>
        </w:rPr>
        <w:t>独立编制机构数</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个，</w:t>
      </w:r>
      <w:bookmarkStart w:id="27" w:name="_Toc15396602"/>
      <w:bookmarkStart w:id="28" w:name="_Toc15377204"/>
      <w:bookmarkStart w:id="29" w:name="_Toc7113"/>
      <w:r>
        <w:rPr>
          <w:rFonts w:ascii="仿宋_GB2312" w:eastAsia="仿宋_GB2312" w:hint="eastAsia"/>
          <w:color w:val="000000"/>
          <w:sz w:val="32"/>
          <w:szCs w:val="32"/>
          <w:lang w:val="en-US" w:eastAsia="zh-CN"/>
        </w:rPr>
        <w:t>分别为金川县科学技术和农业畜牧局</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金川县农村经营管理站、金川县农业技术推广站</w:t>
      </w:r>
      <w:r>
        <w:rPr>
          <w:rFonts w:ascii="仿宋_GB2312" w:eastAsia="仿宋_GB2312" w:hint="eastAsia"/>
          <w:sz w:val="32"/>
          <w:szCs w:val="32"/>
        </w:rPr>
        <w:t>。</w:t>
      </w:r>
      <w:r>
        <w:rPr>
          <w:rFonts w:ascii="仿宋_GB2312" w:eastAsia="仿宋_GB2312" w:hint="eastAsia"/>
          <w:sz w:val="32"/>
          <w:szCs w:val="32"/>
          <w:lang w:val="en-US" w:eastAsia="zh-CN"/>
        </w:rPr>
        <w:t>其中，核定我单位人员编制77名，其中：行政人员12人，参照公务员法管理事业人员9人，非参公事业人员56人。</w:t>
      </w:r>
    </w:p>
    <w:p>
      <w:pPr>
        <w:pStyle w:val="1"/>
        <w:ind w:right="440"/>
        <w:jc w:val="right"/>
      </w:pPr>
      <w:r>
        <w:rPr>
          <w:rFonts w:ascii="黑体" w:eastAsia="黑体" w:hint="eastAsia"/>
          <w:b w:val="0"/>
          <w:color w:val="000000"/>
        </w:rPr>
        <w:t>第二部分</w:t>
      </w:r>
      <w:r>
        <w:rPr>
          <w:rFonts w:ascii="黑体" w:eastAsia="黑体"/>
          <w:color w:val="000000"/>
        </w:rPr>
        <w:t xml:space="preserve"> </w:t>
      </w:r>
      <w:r>
        <w:rPr>
          <w:rStyle w:val="1Char"/>
          <w:rFonts w:ascii="黑体" w:eastAsia="黑体" w:hint="eastAsia"/>
          <w:b w:val="0"/>
          <w:bCs w:val="0"/>
        </w:rPr>
        <w:t>2022年度部门决算情况说明</w:t>
      </w:r>
      <w:bookmarkEnd w:id="27"/>
      <w:bookmarkEnd w:id="28"/>
      <w:bookmarkEnd w:id="29"/>
    </w:p>
    <w:p>
      <w:pPr>
        <w:pStyle w:val="29"/>
        <w:ind w:firstLineChars="0" w:firstLine="0"/>
        <w:outlineLvl w:val="1"/>
        <w:rPr>
          <w:rStyle w:val="2Char"/>
          <w:rFonts w:ascii="黑体" w:eastAsia="黑体"/>
          <w:b w:val="0"/>
        </w:rPr>
      </w:pPr>
      <w:bookmarkStart w:id="30" w:name="_Toc15396603"/>
      <w:bookmarkStart w:id="31" w:name="_Toc15377205"/>
      <w:r>
        <w:rPr>
          <w:rFonts w:ascii="黑体" w:eastAsia="黑体"/>
          <w:color w:val="000000"/>
          <w:sz w:val="32"/>
          <w:szCs w:val="32"/>
        </w:rPr>
        <w:t xml:space="preserve">    </w:t>
      </w:r>
      <w:bookmarkStart w:id="32" w:name="_Toc24455"/>
      <w:r>
        <w:rPr>
          <w:rFonts w:ascii="黑体" w:eastAsia="黑体" w:hint="eastAsia"/>
          <w:color w:val="000000"/>
          <w:sz w:val="32"/>
          <w:szCs w:val="32"/>
        </w:rPr>
        <w:t>一、收</w:t>
      </w:r>
      <w:r>
        <w:rPr>
          <w:rStyle w:val="2Char"/>
          <w:rFonts w:ascii="黑体" w:eastAsia="黑体" w:hint="eastAsia"/>
          <w:b w:val="0"/>
        </w:rPr>
        <w:t>入支出决算总体情况说明</w:t>
      </w:r>
      <w:bookmarkEnd w:id="30"/>
      <w:bookmarkEnd w:id="31"/>
      <w:bookmarkEnd w:id="32"/>
    </w:p>
    <w:p>
      <w:pPr>
        <w:keepNext w:val="0"/>
        <w:keepLines w:val="0"/>
        <w:pageBreakBefore w:val="0"/>
        <w:widowControl w:val="0"/>
        <w:kinsoku/>
        <w:wordWrap/>
        <w:overflowPunct/>
        <w:topLinePunct w:val="0"/>
        <w:autoSpaceDE/>
        <w:autoSpaceDN/>
        <w:bidi w:val="0"/>
        <w:adjustRightInd/>
        <w:snapToGrid/>
        <w:spacing w:line="520" w:lineRule="exact"/>
        <w:ind w:firstLineChars="200" w:firstLine="640"/>
        <w:textAlignment w:val="auto"/>
        <w:rPr>
          <w:rFonts w:ascii="仿宋_GB2312" w:eastAsia="仿宋_GB2312" w:hint="eastAsia"/>
          <w:sz w:val="32"/>
          <w:szCs w:val="32"/>
          <w:lang w:val="en-US" w:eastAsia="zh-CN"/>
        </w:rPr>
      </w:pPr>
      <w:r>
        <w:rPr>
          <w:rFonts w:ascii="仿宋_GB2312" w:eastAsia="仿宋_GB2312" w:hint="eastAsia"/>
          <w:sz w:val="32"/>
          <w:szCs w:val="32"/>
          <w:lang w:eastAsia="zh-CN"/>
        </w:rPr>
        <w:t>2022</w:t>
      </w:r>
      <w:r>
        <w:rPr>
          <w:rFonts w:ascii="仿宋_GB2312" w:eastAsia="仿宋_GB2312" w:hint="eastAsia"/>
          <w:sz w:val="32"/>
          <w:szCs w:val="32"/>
        </w:rPr>
        <w:t>年收入</w:t>
      </w:r>
      <w:r>
        <w:rPr>
          <w:rFonts w:ascii="仿宋_GB2312" w:eastAsia="仿宋_GB2312" w:hint="eastAsia"/>
          <w:sz w:val="32"/>
          <w:szCs w:val="32"/>
          <w:lang w:val="en-US" w:eastAsia="zh-CN"/>
        </w:rPr>
        <w:t>16013.44</w:t>
      </w:r>
      <w:r>
        <w:rPr>
          <w:rFonts w:ascii="仿宋_GB2312" w:eastAsia="仿宋_GB2312" w:hint="eastAsia"/>
          <w:sz w:val="32"/>
          <w:szCs w:val="32"/>
        </w:rPr>
        <w:t>万元，较上年</w:t>
      </w:r>
      <w:r>
        <w:rPr>
          <w:rFonts w:ascii="仿宋_GB2312" w:eastAsia="仿宋_GB2312" w:hint="eastAsia"/>
          <w:sz w:val="32"/>
          <w:szCs w:val="32"/>
          <w:lang w:val="en-US" w:eastAsia="zh-CN"/>
        </w:rPr>
        <w:t>收入增加4430.92</w:t>
      </w:r>
      <w:r>
        <w:rPr>
          <w:rFonts w:ascii="仿宋_GB2312" w:eastAsia="仿宋_GB2312" w:hint="eastAsia"/>
          <w:sz w:val="32"/>
          <w:szCs w:val="32"/>
        </w:rPr>
        <w:t>万元。主要原因是</w:t>
      </w:r>
      <w:r>
        <w:rPr>
          <w:rFonts w:ascii="仿宋_GB2312" w:eastAsia="仿宋_GB2312" w:hint="eastAsia"/>
          <w:sz w:val="32"/>
          <w:szCs w:val="32"/>
          <w:lang w:val="en-US" w:eastAsia="zh-CN"/>
        </w:rPr>
        <w:t>当年乡村振兴相关项目增加，财政拨款收入提高</w:t>
      </w:r>
      <w:r>
        <w:rPr>
          <w:rFonts w:ascii="仿宋_GB2312" w:eastAsia="仿宋_GB2312" w:hint="eastAsia"/>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Chars="200" w:firstLine="640"/>
        <w:textAlignment w:val="auto"/>
        <w:rPr>
          <w:rFonts w:ascii="仿宋_GB2312" w:eastAsia="仿宋_GB2312" w:hint="eastAsia"/>
          <w:sz w:val="32"/>
          <w:szCs w:val="32"/>
          <w:lang w:val="en-US" w:eastAsia="zh-CN"/>
        </w:rPr>
      </w:pPr>
      <w:r>
        <w:rPr>
          <w:rFonts w:ascii="仿宋_GB2312" w:eastAsia="仿宋_GB2312" w:hint="eastAsia"/>
          <w:sz w:val="32"/>
          <w:szCs w:val="32"/>
          <w:lang w:eastAsia="zh-CN"/>
        </w:rPr>
        <w:t>2022</w:t>
      </w:r>
      <w:r>
        <w:rPr>
          <w:rFonts w:ascii="仿宋_GB2312" w:eastAsia="仿宋_GB2312" w:hint="eastAsia"/>
          <w:sz w:val="32"/>
          <w:szCs w:val="32"/>
        </w:rPr>
        <w:t>年支出</w:t>
      </w:r>
      <w:r>
        <w:rPr>
          <w:rFonts w:ascii="仿宋_GB2312" w:eastAsia="仿宋_GB2312" w:hint="eastAsia"/>
          <w:sz w:val="32"/>
          <w:szCs w:val="32"/>
          <w:lang w:val="en-US" w:eastAsia="zh-CN"/>
        </w:rPr>
        <w:t>16013.44</w:t>
      </w:r>
      <w:r>
        <w:rPr>
          <w:rFonts w:ascii="仿宋_GB2312" w:eastAsia="仿宋_GB2312" w:hint="eastAsia"/>
          <w:sz w:val="32"/>
          <w:szCs w:val="32"/>
        </w:rPr>
        <w:t>万元，较上年支出</w:t>
      </w:r>
      <w:r>
        <w:rPr>
          <w:rFonts w:ascii="仿宋_GB2312" w:eastAsia="仿宋_GB2312" w:hint="eastAsia"/>
          <w:sz w:val="32"/>
          <w:szCs w:val="32"/>
          <w:lang w:val="en-US" w:eastAsia="zh-CN"/>
        </w:rPr>
        <w:t>增加3807.03</w:t>
      </w:r>
      <w:r>
        <w:rPr>
          <w:rFonts w:ascii="仿宋_GB2312" w:eastAsia="仿宋_GB2312" w:hint="eastAsia"/>
          <w:sz w:val="32"/>
          <w:szCs w:val="32"/>
        </w:rPr>
        <w:t>万元。主要原因是</w:t>
      </w:r>
      <w:r>
        <w:rPr>
          <w:rFonts w:ascii="仿宋_GB2312" w:eastAsia="仿宋_GB2312" w:hint="eastAsia"/>
          <w:sz w:val="32"/>
          <w:szCs w:val="32"/>
          <w:lang w:val="en-US" w:eastAsia="zh-CN"/>
        </w:rPr>
        <w:t>当年乡村振兴相关项目增加，财政拨款支出提高</w:t>
      </w:r>
      <w:r>
        <w:rPr>
          <w:rFonts w:ascii="仿宋_GB2312" w:eastAsia="仿宋_GB2312" w:hint="eastAsia"/>
          <w:sz w:val="32"/>
          <w:szCs w:val="32"/>
        </w:rPr>
        <w:t>。</w:t>
      </w:r>
    </w:p>
    <w:p>
      <w:pPr>
        <w:snapToGrid w:val="0"/>
        <w:spacing w:line="520" w:lineRule="exact"/>
        <w:ind w:firstLineChars="200" w:firstLine="632"/>
        <w:rPr>
          <w:rFonts w:ascii="仿宋_GB2312" w:eastAsia="仿宋_GB2312" w:hint="eastAsia"/>
          <w:spacing w:val="-2"/>
          <w:sz w:val="32"/>
          <w:szCs w:val="32"/>
          <w:lang w:eastAsia="zh-CN"/>
        </w:rPr>
      </w:pPr>
    </w:p>
    <w:p>
      <w:pPr>
        <w:snapToGrid w:val="0"/>
        <w:spacing w:line="520" w:lineRule="exact"/>
        <w:ind w:firstLineChars="200" w:firstLine="632"/>
        <w:rPr>
          <w:rFonts w:ascii="仿宋_GB2312" w:eastAsia="仿宋_GB2312"/>
          <w:spacing w:val="-2"/>
          <w:sz w:val="32"/>
          <w:szCs w:val="32"/>
        </w:rPr>
      </w:pPr>
    </w:p>
    <w:p>
      <w:pPr>
        <w:spacing w:line="600" w:lineRule="exact"/>
        <w:ind w:firstLineChars="200" w:firstLine="640"/>
        <w:rPr>
          <w:rFonts w:ascii="黑体" w:eastAsia="黑体"/>
          <w:color w:val="000000"/>
          <w:sz w:val="32"/>
          <w:szCs w:val="32"/>
        </w:rPr>
      </w:pPr>
      <w:bookmarkStart w:id="33" w:name="_Toc15396604"/>
      <w:bookmarkStart w:id="34" w:name="_Toc15377206"/>
    </w:p>
    <w:p>
      <w:pPr>
        <w:spacing w:line="600" w:lineRule="exact"/>
        <w:ind w:firstLineChars="200" w:firstLine="640"/>
        <w:rPr>
          <w:rFonts w:ascii="黑体" w:eastAsia="黑体"/>
          <w:color w:val="000000"/>
          <w:sz w:val="32"/>
          <w:szCs w:val="32"/>
        </w:rPr>
      </w:pPr>
    </w:p>
    <w:p>
      <w:pPr>
        <w:spacing w:line="600" w:lineRule="exact"/>
        <w:ind w:firstLineChars="200" w:firstLine="640"/>
        <w:rPr>
          <w:rFonts w:ascii="黑体" w:eastAsia="黑体"/>
          <w:color w:val="000000"/>
          <w:sz w:val="32"/>
          <w:szCs w:val="32"/>
        </w:rPr>
      </w:pPr>
    </w:p>
    <w:p>
      <w:pPr>
        <w:spacing w:line="600" w:lineRule="exact"/>
        <w:ind w:firstLineChars="200" w:firstLine="632"/>
        <w:rPr>
          <w:rFonts w:ascii="黑体" w:eastAsia="黑体"/>
          <w:color w:val="000000"/>
          <w:sz w:val="32"/>
          <w:szCs w:val="32"/>
        </w:rPr>
      </w:pPr>
      <w:r>
        <w:rPr>
          <w:rFonts w:ascii="仿宋_GB2312" w:eastAsia="仿宋_GB2312" w:hint="eastAsia"/>
          <w:spacing w:val="-2"/>
          <w:sz w:val="32"/>
          <w:szCs w:val="32"/>
          <w:lang w:eastAsia="zh-CN"/>
        </w:rPr>
        <w:drawing>
          <wp:anchor distT="0" distB="0" distL="114300" distR="114300" simplePos="0" relativeHeight="21" behindDoc="0" locked="0" layoutInCell="1" hidden="0" allowOverlap="1">
            <wp:simplePos x="0" y="0"/>
            <wp:positionH relativeFrom="column">
              <wp:posOffset>410844</wp:posOffset>
            </wp:positionH>
            <wp:positionV relativeFrom="paragraph">
              <wp:posOffset>-1766570</wp:posOffset>
            </wp:positionV>
            <wp:extent cx="4385309" cy="2058035"/>
            <wp:effectExtent l="0" t="0" r="0" b="0"/>
            <wp:wrapNone/>
            <wp:docPr id="4" name="图表 3"/>
            <wp:cNvGraphicFramePr>
              <a:graphicFrameLocks noChangeAspect="0"/>
            </wp:cNvGraphicFramePr>
            <a:graphic>
              <a:graphicData uri="http://schemas.openxmlformats.org/drawingml/2006/chart">
                <c:chart xmlns:c="http://schemas.openxmlformats.org/drawingml/2006/chart" r:id="rId4"/>
              </a:graphicData>
            </a:graphic>
          </wp:anchor>
        </w:drawing>
      </w:r>
    </w:p>
    <w:p>
      <w:pPr>
        <w:spacing w:line="600" w:lineRule="exact"/>
        <w:ind w:firstLineChars="200" w:firstLine="640"/>
        <w:rPr>
          <w:rStyle w:val="2Char"/>
          <w:rFonts w:ascii="黑体" w:eastAsia="黑体"/>
          <w:b w:val="0"/>
        </w:rPr>
      </w:pPr>
      <w:r>
        <w:rPr>
          <w:rFonts w:ascii="黑体" w:eastAsia="黑体" w:hint="eastAsia"/>
          <w:color w:val="000000"/>
          <w:sz w:val="32"/>
          <w:szCs w:val="32"/>
        </w:rPr>
        <w:t>二、收入决</w:t>
      </w:r>
      <w:r>
        <w:rPr>
          <w:rStyle w:val="2Char"/>
          <w:rFonts w:ascii="黑体" w:eastAsia="黑体" w:hint="eastAsia"/>
          <w:b w:val="0"/>
        </w:rPr>
        <w:t>算情况说明</w:t>
      </w:r>
      <w:bookmarkEnd w:id="33"/>
      <w:bookmarkEnd w:id="34"/>
    </w:p>
    <w:p>
      <w:pPr>
        <w:spacing w:line="620" w:lineRule="exact"/>
        <w:ind w:firstLineChars="200" w:firstLine="640"/>
        <w:rPr>
          <w:rFonts w:ascii="仿宋_GB2312" w:eastAsia="仿宋_GB2312"/>
          <w:sz w:val="32"/>
          <w:szCs w:val="32"/>
        </w:rPr>
      </w:pPr>
      <w:r>
        <w:rPr>
          <w:rFonts w:ascii="仿宋_GB2312" w:eastAsia="仿宋_GB2312" w:hint="eastAsia"/>
          <w:sz w:val="32"/>
          <w:szCs w:val="32"/>
          <w:lang w:eastAsia="zh-CN"/>
        </w:rPr>
        <w:t>2022</w:t>
      </w:r>
      <w:r>
        <w:rPr>
          <w:rFonts w:ascii="仿宋_GB2312" w:eastAsia="仿宋_GB2312" w:hint="eastAsia"/>
          <w:sz w:val="32"/>
          <w:szCs w:val="32"/>
        </w:rPr>
        <w:t>年收入</w:t>
      </w:r>
      <w:r>
        <w:rPr>
          <w:rFonts w:ascii="仿宋_GB2312" w:eastAsia="仿宋_GB2312" w:hint="eastAsia"/>
          <w:sz w:val="32"/>
          <w:szCs w:val="32"/>
          <w:lang w:val="en-US" w:eastAsia="zh-CN"/>
        </w:rPr>
        <w:t>16013.44</w:t>
      </w:r>
      <w:r>
        <w:rPr>
          <w:rFonts w:ascii="仿宋_GB2312" w:eastAsia="仿宋_GB2312" w:hint="eastAsia"/>
          <w:sz w:val="32"/>
          <w:szCs w:val="32"/>
        </w:rPr>
        <w:t>万元，其中：一般公共预算财政拨款收入</w:t>
      </w:r>
      <w:r>
        <w:rPr>
          <w:rFonts w:ascii="仿宋_GB2312" w:eastAsia="仿宋_GB2312" w:hint="eastAsia"/>
          <w:sz w:val="32"/>
          <w:szCs w:val="32"/>
          <w:lang w:val="en-US" w:eastAsia="zh-CN"/>
        </w:rPr>
        <w:t>16013.44</w:t>
      </w:r>
      <w:r>
        <w:rPr>
          <w:rFonts w:ascii="仿宋_GB2312" w:eastAsia="仿宋_GB2312" w:hint="eastAsia"/>
          <w:sz w:val="32"/>
          <w:szCs w:val="32"/>
        </w:rPr>
        <w:t>万元，占</w:t>
      </w:r>
      <w:r>
        <w:rPr>
          <w:rFonts w:ascii="仿宋_GB2312" w:eastAsia="仿宋_GB2312"/>
          <w:sz w:val="32"/>
          <w:szCs w:val="32"/>
        </w:rPr>
        <w:t>100%</w:t>
      </w:r>
      <w:r>
        <w:rPr>
          <w:rFonts w:ascii="仿宋_GB2312" w:eastAsia="仿宋_GB2312" w:hint="eastAsia"/>
          <w:sz w:val="32"/>
          <w:szCs w:val="32"/>
        </w:rPr>
        <w:t>；政府性基金预算财政拨款收入</w:t>
      </w:r>
      <w:r>
        <w:rPr>
          <w:rFonts w:ascii="仿宋_GB2312" w:eastAsia="仿宋_GB2312"/>
          <w:sz w:val="32"/>
          <w:szCs w:val="32"/>
        </w:rPr>
        <w:t>0</w:t>
      </w:r>
      <w:r>
        <w:rPr>
          <w:rFonts w:ascii="仿宋_GB2312" w:eastAsia="仿宋_GB2312" w:hint="eastAsia"/>
          <w:sz w:val="32"/>
          <w:szCs w:val="32"/>
        </w:rPr>
        <w:t>万元，占</w:t>
      </w:r>
      <w:r>
        <w:rPr>
          <w:rFonts w:ascii="仿宋_GB2312" w:eastAsia="仿宋_GB2312"/>
          <w:sz w:val="32"/>
          <w:szCs w:val="32"/>
        </w:rPr>
        <w:t>0%</w:t>
      </w:r>
      <w:r>
        <w:rPr>
          <w:rFonts w:ascii="仿宋_GB2312" w:eastAsia="仿宋_GB2312" w:hint="eastAsia"/>
          <w:sz w:val="32"/>
          <w:szCs w:val="32"/>
        </w:rPr>
        <w:t>；国有资本经营预算财政拨款收入</w:t>
      </w:r>
      <w:r>
        <w:rPr>
          <w:rFonts w:ascii="仿宋_GB2312" w:eastAsia="仿宋_GB2312"/>
          <w:sz w:val="32"/>
          <w:szCs w:val="32"/>
        </w:rPr>
        <w:t>0</w:t>
      </w:r>
      <w:r>
        <w:rPr>
          <w:rFonts w:ascii="仿宋_GB2312" w:eastAsia="仿宋_GB2312" w:hint="eastAsia"/>
          <w:sz w:val="32"/>
          <w:szCs w:val="32"/>
        </w:rPr>
        <w:t>万元，占</w:t>
      </w:r>
      <w:r>
        <w:rPr>
          <w:rFonts w:ascii="仿宋_GB2312" w:eastAsia="仿宋_GB2312"/>
          <w:sz w:val="32"/>
          <w:szCs w:val="32"/>
        </w:rPr>
        <w:t>0%</w:t>
      </w:r>
      <w:r>
        <w:rPr>
          <w:rFonts w:ascii="仿宋_GB2312" w:eastAsia="仿宋_GB2312" w:hint="eastAsia"/>
          <w:sz w:val="32"/>
          <w:szCs w:val="32"/>
        </w:rPr>
        <w:t>；事业收入</w:t>
      </w:r>
      <w:r>
        <w:rPr>
          <w:rFonts w:ascii="仿宋_GB2312" w:eastAsia="仿宋_GB2312"/>
          <w:sz w:val="32"/>
          <w:szCs w:val="32"/>
        </w:rPr>
        <w:t>0</w:t>
      </w:r>
      <w:r>
        <w:rPr>
          <w:rFonts w:ascii="仿宋_GB2312" w:eastAsia="仿宋_GB2312" w:hint="eastAsia"/>
          <w:sz w:val="32"/>
          <w:szCs w:val="32"/>
        </w:rPr>
        <w:t>万元，占</w:t>
      </w:r>
      <w:r>
        <w:rPr>
          <w:rFonts w:ascii="仿宋_GB2312" w:eastAsia="仿宋_GB2312"/>
          <w:sz w:val="32"/>
          <w:szCs w:val="32"/>
        </w:rPr>
        <w:t>0%</w:t>
      </w:r>
      <w:r>
        <w:rPr>
          <w:rFonts w:ascii="仿宋_GB2312" w:eastAsia="仿宋_GB2312" w:hint="eastAsia"/>
          <w:sz w:val="32"/>
          <w:szCs w:val="32"/>
        </w:rPr>
        <w:t>；经营收入</w:t>
      </w:r>
      <w:r>
        <w:rPr>
          <w:rFonts w:ascii="仿宋_GB2312" w:eastAsia="仿宋_GB2312"/>
          <w:sz w:val="32"/>
          <w:szCs w:val="32"/>
        </w:rPr>
        <w:t>0</w:t>
      </w:r>
      <w:r>
        <w:rPr>
          <w:rFonts w:ascii="仿宋_GB2312" w:eastAsia="仿宋_GB2312" w:hint="eastAsia"/>
          <w:sz w:val="32"/>
          <w:szCs w:val="32"/>
        </w:rPr>
        <w:t>万元，占</w:t>
      </w:r>
      <w:r>
        <w:rPr>
          <w:rFonts w:ascii="仿宋_GB2312" w:eastAsia="仿宋_GB2312"/>
          <w:sz w:val="32"/>
          <w:szCs w:val="32"/>
        </w:rPr>
        <w:t>0%</w:t>
      </w:r>
      <w:r>
        <w:rPr>
          <w:rFonts w:ascii="仿宋_GB2312" w:eastAsia="仿宋_GB2312" w:hint="eastAsia"/>
          <w:sz w:val="32"/>
          <w:szCs w:val="32"/>
        </w:rPr>
        <w:t>；附属单位上缴收入</w:t>
      </w:r>
      <w:r>
        <w:rPr>
          <w:rFonts w:ascii="仿宋_GB2312" w:eastAsia="仿宋_GB2312"/>
          <w:sz w:val="32"/>
          <w:szCs w:val="32"/>
        </w:rPr>
        <w:t>0</w:t>
      </w:r>
      <w:r>
        <w:rPr>
          <w:rFonts w:ascii="仿宋_GB2312" w:eastAsia="仿宋_GB2312" w:hint="eastAsia"/>
          <w:sz w:val="32"/>
          <w:szCs w:val="32"/>
        </w:rPr>
        <w:t>万元，占</w:t>
      </w:r>
      <w:r>
        <w:rPr>
          <w:rFonts w:ascii="仿宋_GB2312" w:eastAsia="仿宋_GB2312"/>
          <w:sz w:val="32"/>
          <w:szCs w:val="32"/>
        </w:rPr>
        <w:t>0%</w:t>
      </w:r>
      <w:r>
        <w:rPr>
          <w:rFonts w:ascii="仿宋_GB2312" w:eastAsia="仿宋_GB2312" w:hint="eastAsia"/>
          <w:sz w:val="32"/>
          <w:szCs w:val="32"/>
        </w:rPr>
        <w:t>；其他收入</w:t>
      </w:r>
      <w:r>
        <w:rPr>
          <w:rFonts w:ascii="仿宋_GB2312" w:eastAsia="仿宋_GB2312"/>
          <w:sz w:val="32"/>
          <w:szCs w:val="32"/>
        </w:rPr>
        <w:t>0</w:t>
      </w:r>
      <w:r>
        <w:rPr>
          <w:rFonts w:ascii="仿宋_GB2312" w:eastAsia="仿宋_GB2312" w:hint="eastAsia"/>
          <w:sz w:val="32"/>
          <w:szCs w:val="32"/>
        </w:rPr>
        <w:t>万元，占</w:t>
      </w:r>
      <w:r>
        <w:rPr>
          <w:rFonts w:ascii="仿宋_GB2312" w:eastAsia="仿宋_GB2312"/>
          <w:sz w:val="32"/>
          <w:szCs w:val="32"/>
        </w:rPr>
        <w:t>0%</w:t>
      </w:r>
      <w:r>
        <w:rPr>
          <w:rFonts w:ascii="仿宋_GB2312" w:eastAsia="仿宋_GB2312" w:hint="eastAsia"/>
          <w:sz w:val="32"/>
          <w:szCs w:val="32"/>
        </w:rPr>
        <w:t>。</w:t>
      </w:r>
    </w:p>
    <w:p>
      <w:pPr>
        <w:spacing w:line="600" w:lineRule="exact"/>
        <w:ind w:firstLineChars="200" w:firstLine="640"/>
        <w:outlineLvl w:val="1"/>
        <w:rPr>
          <w:rStyle w:val="2Char"/>
          <w:rFonts w:ascii="黑体" w:eastAsia="黑体"/>
          <w:b w:val="0"/>
        </w:rPr>
      </w:pPr>
      <w:bookmarkStart w:id="35" w:name="_Toc15377207"/>
      <w:bookmarkStart w:id="36" w:name="_Toc6474"/>
      <w:bookmarkStart w:id="37" w:name="_Toc15396605"/>
      <w:r>
        <w:rPr>
          <w:rFonts w:ascii="黑体" w:eastAsia="黑体" w:hint="eastAsia"/>
          <w:color w:val="000000"/>
          <w:sz w:val="32"/>
          <w:szCs w:val="32"/>
        </w:rPr>
        <w:t>三、支出决</w:t>
      </w:r>
      <w:r>
        <w:rPr>
          <w:rStyle w:val="2Char"/>
          <w:rFonts w:ascii="黑体" w:eastAsia="黑体" w:hint="eastAsia"/>
          <w:b w:val="0"/>
        </w:rPr>
        <w:t>算情况说明</w:t>
      </w:r>
      <w:bookmarkEnd w:id="35"/>
      <w:bookmarkEnd w:id="36"/>
      <w:bookmarkEnd w:id="37"/>
    </w:p>
    <w:p>
      <w:pPr>
        <w:keepNext w:val="0"/>
        <w:keepLines w:val="0"/>
        <w:pageBreakBefore w:val="0"/>
        <w:widowControl w:val="0"/>
        <w:kinsoku/>
        <w:wordWrap/>
        <w:overflowPunct/>
        <w:topLinePunct w:val="0"/>
        <w:autoSpaceDE/>
        <w:autoSpaceDN/>
        <w:bidi w:val="0"/>
        <w:adjustRightInd/>
        <w:snapToGrid/>
        <w:spacing w:line="520" w:lineRule="exact"/>
        <w:ind w:firstLineChars="200" w:firstLine="640"/>
        <w:textAlignment w:val="auto"/>
        <w:rPr>
          <w:rFonts w:ascii="仿宋_GB2312" w:eastAsia="仿宋_GB2312"/>
          <w:sz w:val="32"/>
          <w:szCs w:val="32"/>
          <w:lang w:val="en-US" w:eastAsia="zh-CN"/>
        </w:rPr>
      </w:pPr>
      <w:r>
        <w:rPr>
          <w:rFonts w:ascii="仿宋_GB2312" w:eastAsia="仿宋_GB2312" w:hint="eastAsia"/>
          <w:sz w:val="32"/>
          <w:szCs w:val="32"/>
          <w:lang w:val="en-US" w:eastAsia="zh-CN"/>
        </w:rPr>
        <w:t>2022年总支出16013.44万元，</w:t>
      </w:r>
      <w:r>
        <w:rPr>
          <w:rFonts w:ascii="仿宋_GB2312" w:eastAsia="仿宋_GB2312" w:hint="eastAsia"/>
          <w:sz w:val="32"/>
          <w:szCs w:val="32"/>
          <w:lang w:val="zh-CN" w:eastAsia="zh-CN"/>
        </w:rPr>
        <w:t>其中，基本支出</w:t>
      </w:r>
      <w:r>
        <w:rPr>
          <w:rFonts w:ascii="仿宋_GB2312" w:eastAsia="仿宋_GB2312" w:hint="eastAsia"/>
          <w:sz w:val="32"/>
          <w:szCs w:val="32"/>
          <w:lang w:val="en-US" w:eastAsia="zh-CN"/>
        </w:rPr>
        <w:t>1900.85</w:t>
      </w:r>
      <w:r>
        <w:rPr>
          <w:rFonts w:ascii="仿宋_GB2312" w:eastAsia="仿宋_GB2312" w:hint="eastAsia"/>
          <w:sz w:val="32"/>
          <w:szCs w:val="32"/>
          <w:lang w:val="zh-CN" w:eastAsia="zh-CN"/>
        </w:rPr>
        <w:t>万元，占总支出的</w:t>
      </w:r>
      <w:r>
        <w:rPr>
          <w:rFonts w:ascii="仿宋_GB2312" w:eastAsia="仿宋_GB2312" w:hint="eastAsia"/>
          <w:sz w:val="32"/>
          <w:szCs w:val="32"/>
          <w:lang w:val="en-US" w:eastAsia="zh-CN"/>
        </w:rPr>
        <w:t>11.87</w:t>
      </w:r>
      <w:r>
        <w:rPr>
          <w:rFonts w:ascii="仿宋_GB2312" w:eastAsia="仿宋_GB2312" w:hint="eastAsia"/>
          <w:sz w:val="32"/>
          <w:szCs w:val="32"/>
          <w:lang w:val="zh-CN" w:eastAsia="zh-CN"/>
        </w:rPr>
        <w:t>%；项目支出</w:t>
      </w:r>
      <w:r>
        <w:rPr>
          <w:rFonts w:ascii="仿宋_GB2312" w:eastAsia="仿宋_GB2312" w:hint="eastAsia"/>
          <w:sz w:val="32"/>
          <w:szCs w:val="32"/>
          <w:lang w:val="en-US" w:eastAsia="zh-CN"/>
        </w:rPr>
        <w:t>14112.59</w:t>
      </w:r>
      <w:r>
        <w:rPr>
          <w:rFonts w:ascii="仿宋_GB2312" w:eastAsia="仿宋_GB2312" w:hint="eastAsia"/>
          <w:sz w:val="32"/>
          <w:szCs w:val="32"/>
          <w:lang w:val="zh-CN" w:eastAsia="zh-CN"/>
        </w:rPr>
        <w:t>万元，占总支出的</w:t>
      </w:r>
      <w:r>
        <w:rPr>
          <w:rFonts w:ascii="仿宋_GB2312" w:eastAsia="仿宋_GB2312" w:hint="eastAsia"/>
          <w:sz w:val="32"/>
          <w:szCs w:val="32"/>
          <w:lang w:val="en-US" w:eastAsia="zh-CN"/>
        </w:rPr>
        <w:t>88.13</w:t>
      </w:r>
      <w:r>
        <w:rPr>
          <w:rFonts w:ascii="仿宋_GB2312" w:eastAsia="仿宋_GB2312" w:hint="eastAsia"/>
          <w:sz w:val="32"/>
          <w:szCs w:val="32"/>
          <w:lang w:val="zh-CN" w:eastAsia="zh-CN"/>
        </w:rPr>
        <w:t>%；上缴上级支出0万元，占0%；经营支出0万元，占0%；对附属单位补助支出0万元，占0%。</w:t>
      </w:r>
      <w:r>
        <w:rPr>
          <w:rFonts w:ascii="仿宋_GB2312" w:eastAsia="仿宋_GB2312" w:hint="eastAsia"/>
          <w:sz w:val="32"/>
          <w:szCs w:val="32"/>
          <w:lang w:val="en-US" w:eastAsia="zh-CN"/>
        </w:rPr>
        <w:t>年初预算支出数为1206.75万元。</w:t>
      </w:r>
    </w:p>
    <w:p>
      <w:pPr>
        <w:spacing w:line="600" w:lineRule="exact"/>
        <w:ind w:firstLineChars="200" w:firstLine="640"/>
        <w:rPr>
          <w:rFonts w:ascii="仿宋_GB2312" w:eastAsia="仿宋_GB2312" w:hint="eastAsia"/>
          <w:color w:val="FF0000"/>
          <w:sz w:val="32"/>
          <w:szCs w:val="32"/>
          <w:lang w:eastAsia="zh-CN"/>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outlineLvl w:val="1"/>
        <w:rPr>
          <w:rFonts w:ascii="黑体" w:eastAsia="黑体"/>
          <w:color w:val="000000"/>
          <w:sz w:val="32"/>
          <w:szCs w:val="32"/>
        </w:rPr>
      </w:pPr>
      <w:bookmarkStart w:id="38" w:name="_Toc15396606"/>
      <w:bookmarkStart w:id="39" w:name="_Toc15377208"/>
      <w:r>
        <w:rPr>
          <w:rFonts w:ascii="仿宋_GB2312" w:eastAsia="仿宋_GB2312" w:hint="eastAsia"/>
          <w:color w:val="FF0000"/>
          <w:sz w:val="32"/>
          <w:szCs w:val="32"/>
          <w:lang w:eastAsia="zh-CN"/>
        </w:rPr>
        <w:drawing>
          <wp:anchor distT="0" distB="0" distL="114300" distR="114300" simplePos="0" relativeHeight="23" behindDoc="0" locked="0" layoutInCell="1" hidden="0" allowOverlap="1">
            <wp:simplePos x="0" y="0"/>
            <wp:positionH relativeFrom="column">
              <wp:posOffset>4445</wp:posOffset>
            </wp:positionH>
            <wp:positionV relativeFrom="paragraph">
              <wp:posOffset>-2205355</wp:posOffset>
            </wp:positionV>
            <wp:extent cx="5327015" cy="2533650"/>
            <wp:effectExtent l="0" t="0" r="0" b="0"/>
            <wp:wrapNone/>
            <wp:docPr id="5" name="图表 5"/>
            <wp:cNvGraphicFramePr>
              <a:graphicFrameLocks noChangeAspect="0"/>
            </wp:cNvGraphicFramePr>
            <a:graphic>
              <a:graphicData uri="http://schemas.openxmlformats.org/drawingml/2006/chart">
                <c:chart xmlns:c="http://schemas.openxmlformats.org/drawingml/2006/chart" r:id="rId5"/>
              </a:graphicData>
            </a:graphic>
          </wp:anchor>
        </w:drawing>
      </w:r>
    </w:p>
    <w:p>
      <w:pPr>
        <w:spacing w:line="600" w:lineRule="exact"/>
        <w:ind w:firstLineChars="200" w:firstLine="640"/>
        <w:outlineLvl w:val="1"/>
        <w:rPr>
          <w:rStyle w:val="2Char"/>
          <w:rFonts w:ascii="黑体" w:eastAsia="黑体"/>
          <w:b w:val="0"/>
        </w:rPr>
      </w:pPr>
      <w:bookmarkStart w:id="40" w:name="_Toc320"/>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8"/>
      <w:bookmarkEnd w:id="39"/>
      <w:bookmarkEnd w:id="40"/>
    </w:p>
    <w:p>
      <w:pPr>
        <w:keepNext w:val="0"/>
        <w:keepLines w:val="0"/>
        <w:pageBreakBefore w:val="0"/>
        <w:widowControl w:val="0"/>
        <w:kinsoku/>
        <w:wordWrap/>
        <w:overflowPunct/>
        <w:topLinePunct w:val="0"/>
        <w:autoSpaceDE/>
        <w:autoSpaceDN/>
        <w:bidi w:val="0"/>
        <w:adjustRightInd/>
        <w:snapToGrid/>
        <w:spacing w:line="520" w:lineRule="exact"/>
        <w:ind w:firstLineChars="200" w:firstLine="640"/>
        <w:textAlignment w:val="auto"/>
        <w:rPr>
          <w:rFonts w:ascii="仿宋_GB2312" w:eastAsia="仿宋_GB2312" w:hint="eastAsia"/>
          <w:sz w:val="32"/>
          <w:szCs w:val="32"/>
          <w:lang w:val="en-US" w:eastAsia="zh-CN"/>
        </w:rPr>
      </w:pPr>
      <w:r>
        <w:rPr>
          <w:rFonts w:ascii="仿宋_GB2312" w:eastAsia="仿宋_GB2312" w:hint="eastAsia"/>
          <w:sz w:val="32"/>
          <w:szCs w:val="32"/>
          <w:lang w:eastAsia="zh-CN"/>
        </w:rPr>
        <w:t>2022</w:t>
      </w:r>
      <w:r>
        <w:rPr>
          <w:rFonts w:ascii="仿宋_GB2312" w:eastAsia="仿宋_GB2312" w:hint="eastAsia"/>
          <w:sz w:val="32"/>
          <w:szCs w:val="32"/>
        </w:rPr>
        <w:t>年财政拨款收入</w:t>
      </w:r>
      <w:r>
        <w:rPr>
          <w:rFonts w:ascii="仿宋_GB2312" w:eastAsia="仿宋_GB2312" w:hint="eastAsia"/>
          <w:sz w:val="32"/>
          <w:szCs w:val="32"/>
          <w:lang w:val="en-US" w:eastAsia="zh-CN"/>
        </w:rPr>
        <w:t>16013.44</w:t>
      </w:r>
      <w:r>
        <w:rPr>
          <w:rFonts w:ascii="仿宋_GB2312" w:eastAsia="仿宋_GB2312" w:hint="eastAsia"/>
          <w:sz w:val="32"/>
          <w:szCs w:val="32"/>
        </w:rPr>
        <w:t>万元</w:t>
      </w:r>
      <w:r>
        <w:rPr>
          <w:rFonts w:ascii="仿宋_GB2312" w:eastAsia="仿宋_GB2312" w:hint="eastAsia"/>
          <w:sz w:val="32"/>
          <w:szCs w:val="32"/>
          <w:lang w:eastAsia="zh-CN"/>
        </w:rPr>
        <w:t>，</w:t>
      </w:r>
      <w:r>
        <w:rPr>
          <w:rFonts w:ascii="仿宋_GB2312" w:eastAsia="仿宋_GB2312" w:hint="eastAsia"/>
          <w:sz w:val="32"/>
          <w:szCs w:val="32"/>
        </w:rPr>
        <w:t>与</w:t>
      </w:r>
      <w:r>
        <w:rPr>
          <w:rFonts w:ascii="仿宋_GB2312" w:eastAsia="仿宋_GB2312" w:hint="eastAsia"/>
          <w:sz w:val="32"/>
          <w:szCs w:val="32"/>
          <w:lang w:eastAsia="zh-CN"/>
        </w:rPr>
        <w:t>2021</w:t>
      </w:r>
      <w:r>
        <w:rPr>
          <w:rFonts w:ascii="仿宋_GB2312" w:eastAsia="仿宋_GB2312" w:hint="eastAsia"/>
          <w:sz w:val="32"/>
          <w:szCs w:val="32"/>
        </w:rPr>
        <w:t>年</w:t>
      </w:r>
      <w:r>
        <w:rPr>
          <w:rFonts w:ascii="仿宋_GB2312" w:eastAsia="仿宋_GB2312" w:hint="eastAsia"/>
          <w:sz w:val="32"/>
          <w:szCs w:val="32"/>
          <w:lang w:val="en-US" w:eastAsia="zh-CN"/>
        </w:rPr>
        <w:t>11582.52万元</w:t>
      </w:r>
      <w:r>
        <w:rPr>
          <w:rFonts w:ascii="仿宋_GB2312" w:eastAsia="仿宋_GB2312" w:hint="eastAsia"/>
          <w:sz w:val="32"/>
          <w:szCs w:val="32"/>
          <w:lang w:eastAsia="zh-CN"/>
        </w:rPr>
        <w:t>相比，一般公共预算财政拨款收入较上年</w:t>
      </w:r>
      <w:r>
        <w:rPr>
          <w:rFonts w:ascii="仿宋_GB2312" w:eastAsia="仿宋_GB2312" w:hint="eastAsia"/>
          <w:sz w:val="32"/>
          <w:szCs w:val="32"/>
          <w:lang w:val="en-US" w:eastAsia="zh-CN"/>
        </w:rPr>
        <w:t>增加4430.92</w:t>
      </w:r>
      <w:r>
        <w:rPr>
          <w:rFonts w:ascii="仿宋_GB2312" w:eastAsia="仿宋_GB2312" w:hint="eastAsia"/>
          <w:sz w:val="32"/>
          <w:szCs w:val="32"/>
        </w:rPr>
        <w:t>万元，</w:t>
      </w:r>
      <w:r>
        <w:rPr>
          <w:rFonts w:ascii="仿宋_GB2312" w:eastAsia="仿宋_GB2312" w:hint="eastAsia"/>
          <w:sz w:val="32"/>
          <w:szCs w:val="32"/>
          <w:lang w:val="en-US" w:eastAsia="zh-CN"/>
        </w:rPr>
        <w:t>增加38.26</w:t>
      </w:r>
      <w:r>
        <w:rPr>
          <w:rFonts w:ascii="仿宋_GB2312" w:eastAsia="仿宋_GB2312"/>
          <w:sz w:val="32"/>
          <w:szCs w:val="32"/>
        </w:rPr>
        <w:t>%</w:t>
      </w:r>
      <w:r>
        <w:rPr>
          <w:rFonts w:ascii="仿宋_GB2312" w:eastAsia="仿宋_GB2312" w:hint="eastAsia"/>
          <w:sz w:val="32"/>
          <w:szCs w:val="32"/>
        </w:rPr>
        <w:t>。</w:t>
      </w:r>
      <w:r>
        <w:rPr>
          <w:rFonts w:ascii="仿宋_GB2312" w:eastAsia="仿宋_GB2312" w:hint="eastAsia"/>
          <w:sz w:val="32"/>
          <w:szCs w:val="32"/>
          <w:lang w:val="en-US" w:eastAsia="zh-CN"/>
        </w:rPr>
        <w:t>增加</w:t>
      </w:r>
      <w:r>
        <w:rPr>
          <w:rFonts w:ascii="仿宋_GB2312" w:eastAsia="仿宋_GB2312" w:hint="eastAsia"/>
          <w:sz w:val="32"/>
          <w:szCs w:val="32"/>
        </w:rPr>
        <w:t>的主要原因是</w:t>
      </w:r>
      <w:r>
        <w:rPr>
          <w:rFonts w:ascii="仿宋_GB2312" w:eastAsia="仿宋_GB2312" w:hint="eastAsia"/>
          <w:sz w:val="32"/>
          <w:szCs w:val="32"/>
          <w:lang w:val="en-US" w:eastAsia="zh-CN"/>
        </w:rPr>
        <w:t>当年乡村振兴相关项目增加，财政拨款收入提高</w:t>
      </w:r>
      <w:r>
        <w:rPr>
          <w:rFonts w:ascii="仿宋_GB2312" w:eastAsia="仿宋_GB2312" w:hint="eastAsia"/>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Chars="200" w:firstLine="640"/>
        <w:textAlignment w:val="auto"/>
        <w:rPr>
          <w:rFonts w:ascii="仿宋_GB2312" w:eastAsia="仿宋_GB2312" w:hint="eastAsia"/>
          <w:sz w:val="32"/>
          <w:szCs w:val="32"/>
          <w:lang w:val="en-US" w:eastAsia="zh-CN"/>
        </w:rPr>
      </w:pPr>
      <w:bookmarkStart w:id="41" w:name="_Toc15377209"/>
      <w:bookmarkStart w:id="42" w:name="_Toc15396607"/>
      <w:r>
        <w:rPr>
          <w:rFonts w:ascii="仿宋_GB2312" w:eastAsia="仿宋_GB2312" w:hint="eastAsia"/>
          <w:sz w:val="32"/>
          <w:szCs w:val="32"/>
          <w:lang w:eastAsia="zh-CN"/>
        </w:rPr>
        <w:t>2022</w:t>
      </w:r>
      <w:r>
        <w:rPr>
          <w:rFonts w:ascii="仿宋_GB2312" w:eastAsia="仿宋_GB2312" w:hint="eastAsia"/>
          <w:sz w:val="32"/>
          <w:szCs w:val="32"/>
        </w:rPr>
        <w:t>年支出</w:t>
      </w:r>
      <w:r>
        <w:rPr>
          <w:rFonts w:ascii="仿宋_GB2312" w:eastAsia="仿宋_GB2312" w:hint="eastAsia"/>
          <w:sz w:val="32"/>
          <w:szCs w:val="32"/>
          <w:lang w:val="en-US" w:eastAsia="zh-CN"/>
        </w:rPr>
        <w:t>16013.44</w:t>
      </w:r>
      <w:r>
        <w:rPr>
          <w:rFonts w:ascii="仿宋_GB2312" w:eastAsia="仿宋_GB2312" w:hint="eastAsia"/>
          <w:sz w:val="32"/>
          <w:szCs w:val="32"/>
        </w:rPr>
        <w:t>万元，</w:t>
      </w:r>
      <w:r>
        <w:rPr>
          <w:rFonts w:ascii="仿宋_GB2312" w:eastAsia="仿宋_GB2312" w:hint="eastAsia"/>
          <w:sz w:val="32"/>
          <w:szCs w:val="32"/>
          <w:lang w:val="en-US" w:eastAsia="zh-CN"/>
        </w:rPr>
        <w:t>与2021年12206.41万元相比，</w:t>
      </w:r>
      <w:r>
        <w:rPr>
          <w:rFonts w:ascii="仿宋_GB2312" w:eastAsia="仿宋_GB2312" w:hint="eastAsia"/>
          <w:sz w:val="32"/>
          <w:szCs w:val="32"/>
          <w:lang w:eastAsia="zh-CN"/>
        </w:rPr>
        <w:t>一般公共预算财政拨款</w:t>
      </w:r>
      <w:r>
        <w:rPr>
          <w:rFonts w:ascii="仿宋_GB2312" w:eastAsia="仿宋_GB2312" w:hint="eastAsia"/>
          <w:sz w:val="32"/>
          <w:szCs w:val="32"/>
          <w:lang w:val="en-US" w:eastAsia="zh-CN"/>
        </w:rPr>
        <w:t>支出</w:t>
      </w:r>
      <w:r>
        <w:rPr>
          <w:rFonts w:ascii="仿宋_GB2312" w:eastAsia="仿宋_GB2312" w:hint="eastAsia"/>
          <w:sz w:val="32"/>
          <w:szCs w:val="32"/>
          <w:lang w:eastAsia="zh-CN"/>
        </w:rPr>
        <w:t>较上年</w:t>
      </w:r>
      <w:r>
        <w:rPr>
          <w:rFonts w:ascii="仿宋_GB2312" w:eastAsia="仿宋_GB2312" w:hint="eastAsia"/>
          <w:sz w:val="32"/>
          <w:szCs w:val="32"/>
          <w:lang w:val="en-US" w:eastAsia="zh-CN"/>
        </w:rPr>
        <w:t>增加3807.03</w:t>
      </w:r>
      <w:r>
        <w:rPr>
          <w:rFonts w:ascii="仿宋_GB2312" w:eastAsia="仿宋_GB2312" w:hint="eastAsia"/>
          <w:sz w:val="32"/>
          <w:szCs w:val="32"/>
        </w:rPr>
        <w:t>万元。主要原因是</w:t>
      </w:r>
      <w:r>
        <w:rPr>
          <w:rFonts w:ascii="仿宋_GB2312" w:eastAsia="仿宋_GB2312" w:hint="eastAsia"/>
          <w:sz w:val="32"/>
          <w:szCs w:val="32"/>
          <w:lang w:val="en-US" w:eastAsia="zh-CN"/>
        </w:rPr>
        <w:t>当年乡村振兴相关项目增加，财政拨款支出提高</w:t>
      </w:r>
      <w:r>
        <w:rPr>
          <w:rFonts w:ascii="仿宋_GB2312" w:eastAsia="仿宋_GB2312" w:hint="eastAsia"/>
          <w:sz w:val="32"/>
          <w:szCs w:val="32"/>
        </w:rPr>
        <w:t>。</w:t>
      </w:r>
    </w:p>
    <w:p>
      <w:pPr>
        <w:spacing w:line="600" w:lineRule="exact"/>
        <w:ind w:firstLineChars="200" w:firstLine="632"/>
        <w:rPr>
          <w:rFonts w:ascii="黑体" w:eastAsia="黑体" w:hint="eastAsia"/>
          <w:color w:val="000000"/>
          <w:sz w:val="32"/>
          <w:szCs w:val="32"/>
          <w:lang w:eastAsia="zh-CN"/>
        </w:rPr>
      </w:pPr>
      <w:r>
        <w:rPr>
          <w:rFonts w:ascii="仿宋_GB2312" w:eastAsia="仿宋_GB2312" w:hint="eastAsia"/>
          <w:spacing w:val="-2"/>
          <w:sz w:val="32"/>
          <w:szCs w:val="32"/>
          <w:lang w:eastAsia="zh-CN"/>
        </w:rPr>
        <w:drawing>
          <wp:anchor distT="0" distB="0" distL="114300" distR="114300" simplePos="0" relativeHeight="25" behindDoc="0" locked="0" layoutInCell="1" hidden="0" allowOverlap="1">
            <wp:simplePos x="0" y="0"/>
            <wp:positionH relativeFrom="column">
              <wp:posOffset>552450</wp:posOffset>
            </wp:positionH>
            <wp:positionV relativeFrom="paragraph">
              <wp:posOffset>149225</wp:posOffset>
            </wp:positionV>
            <wp:extent cx="4432935" cy="1934210"/>
            <wp:effectExtent l="0" t="0" r="0" b="0"/>
            <wp:wrapNone/>
            <wp:docPr id="6" name="图表 11"/>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rPr>
          <w:rFonts w:ascii="黑体" w:eastAsia="黑体"/>
          <w:color w:val="000000"/>
          <w:sz w:val="32"/>
          <w:szCs w:val="32"/>
        </w:rPr>
      </w:pPr>
    </w:p>
    <w:p>
      <w:pPr>
        <w:spacing w:line="600" w:lineRule="exact"/>
        <w:ind w:firstLineChars="200" w:firstLine="640"/>
        <w:rPr>
          <w:rFonts w:ascii="黑体" w:eastAsia="黑体"/>
          <w:color w:val="000000"/>
          <w:sz w:val="32"/>
          <w:szCs w:val="32"/>
        </w:rPr>
      </w:pPr>
    </w:p>
    <w:p>
      <w:pPr>
        <w:spacing w:line="600" w:lineRule="exact"/>
        <w:ind w:firstLineChars="200" w:firstLine="640"/>
        <w:rPr>
          <w:rFonts w:ascii="黑体" w:eastAsia="黑体"/>
          <w:color w:val="000000"/>
          <w:sz w:val="32"/>
          <w:szCs w:val="32"/>
        </w:rPr>
      </w:pPr>
    </w:p>
    <w:p>
      <w:pPr>
        <w:spacing w:line="600" w:lineRule="exact"/>
        <w:rPr>
          <w:rFonts w:ascii="黑体" w:eastAsia="黑体"/>
          <w:color w:val="000000"/>
          <w:sz w:val="32"/>
          <w:szCs w:val="32"/>
        </w:rPr>
      </w:pPr>
    </w:p>
    <w:p>
      <w:pPr>
        <w:spacing w:line="600" w:lineRule="exact"/>
        <w:ind w:firstLineChars="200" w:firstLine="640"/>
        <w:rPr>
          <w:rStyle w:val="2Char"/>
          <w:rFonts w:ascii="黑体" w:eastAsia="黑体"/>
          <w:b w:val="0"/>
        </w:rPr>
      </w:pPr>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41"/>
      <w:bookmarkEnd w:id="42"/>
    </w:p>
    <w:p>
      <w:pPr>
        <w:spacing w:line="580" w:lineRule="exact"/>
        <w:ind w:firstLineChars="200" w:firstLine="640"/>
        <w:rPr>
          <w:rFonts w:ascii="楷体_GB2312" w:eastAsia="楷体_GB2312" w:cs="楷体_GB2312"/>
          <w:b/>
          <w:bCs/>
          <w:sz w:val="32"/>
          <w:szCs w:val="32"/>
          <w:lang w:val="en-US" w:eastAsia="zh-CN"/>
        </w:rPr>
      </w:pPr>
      <w:bookmarkStart w:id="43" w:name="_Toc15377210"/>
      <w:r>
        <w:rPr>
          <w:rFonts w:ascii="楷体_GB2312" w:eastAsia="楷体_GB2312" w:cs="楷体_GB2312" w:hint="eastAsia"/>
          <w:b/>
          <w:bCs/>
          <w:sz w:val="32"/>
          <w:szCs w:val="32"/>
        </w:rPr>
        <w:t>（一）一般公共预算财政拨款支出决算总体情况</w:t>
      </w:r>
      <w:bookmarkEnd w:id="43"/>
      <w:r>
        <w:rPr>
          <w:rFonts w:ascii="楷体_GB2312" w:eastAsia="楷体_GB2312" w:cs="楷体_GB2312" w:hint="eastAsia"/>
          <w:b/>
          <w:bCs/>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Chars="200" w:firstLine="640"/>
        <w:textAlignment w:val="auto"/>
        <w:rPr>
          <w:rFonts w:ascii="仿宋_GB2312" w:eastAsia="仿宋_GB2312" w:hint="eastAsia"/>
          <w:sz w:val="32"/>
          <w:szCs w:val="32"/>
          <w:lang w:val="en-US" w:eastAsia="zh-CN"/>
        </w:rPr>
      </w:pPr>
      <w:r>
        <w:rPr>
          <w:rFonts w:ascii="仿宋_GB2312" w:eastAsia="仿宋_GB2312" w:hint="eastAsia"/>
          <w:sz w:val="32"/>
          <w:szCs w:val="32"/>
          <w:lang w:eastAsia="zh-CN"/>
        </w:rPr>
        <w:t>2022</w:t>
      </w:r>
      <w:r>
        <w:rPr>
          <w:rFonts w:ascii="仿宋_GB2312" w:eastAsia="仿宋_GB2312" w:hint="eastAsia"/>
          <w:sz w:val="32"/>
          <w:szCs w:val="32"/>
        </w:rPr>
        <w:t>年</w:t>
      </w:r>
      <w:r>
        <w:rPr>
          <w:rFonts w:ascii="仿宋_GB2312" w:eastAsia="仿宋_GB2312" w:hint="eastAsia"/>
          <w:sz w:val="32"/>
          <w:szCs w:val="32"/>
          <w:lang w:eastAsia="zh-CN"/>
        </w:rPr>
        <w:t>一般公共预算财政拨款</w:t>
      </w:r>
      <w:r>
        <w:rPr>
          <w:rFonts w:ascii="仿宋_GB2312" w:eastAsia="仿宋_GB2312" w:hint="eastAsia"/>
          <w:sz w:val="32"/>
          <w:szCs w:val="32"/>
          <w:lang w:val="en-US" w:eastAsia="zh-CN"/>
        </w:rPr>
        <w:t>支出16013.44</w:t>
      </w:r>
      <w:r>
        <w:rPr>
          <w:rFonts w:ascii="仿宋_GB2312" w:eastAsia="仿宋_GB2312" w:hint="eastAsia"/>
          <w:sz w:val="32"/>
          <w:szCs w:val="32"/>
        </w:rPr>
        <w:t>万元，</w:t>
      </w:r>
      <w:r>
        <w:rPr>
          <w:rFonts w:ascii="仿宋_GB2312" w:eastAsia="仿宋_GB2312" w:hint="eastAsia"/>
          <w:sz w:val="32"/>
          <w:szCs w:val="32"/>
          <w:lang w:val="en-US" w:eastAsia="zh-CN"/>
        </w:rPr>
        <w:t>与2021年12206.41万元相比，</w:t>
      </w:r>
      <w:r>
        <w:rPr>
          <w:rFonts w:ascii="仿宋_GB2312" w:eastAsia="仿宋_GB2312" w:hint="eastAsia"/>
          <w:sz w:val="32"/>
          <w:szCs w:val="32"/>
          <w:lang w:eastAsia="zh-CN"/>
        </w:rPr>
        <w:t>一般公共预算财政拨款</w:t>
      </w:r>
      <w:r>
        <w:rPr>
          <w:rFonts w:ascii="仿宋_GB2312" w:eastAsia="仿宋_GB2312" w:hint="eastAsia"/>
          <w:sz w:val="32"/>
          <w:szCs w:val="32"/>
          <w:lang w:val="en-US" w:eastAsia="zh-CN"/>
        </w:rPr>
        <w:t>支出</w:t>
      </w:r>
      <w:r>
        <w:rPr>
          <w:rFonts w:ascii="仿宋_GB2312" w:eastAsia="仿宋_GB2312" w:hint="eastAsia"/>
          <w:sz w:val="32"/>
          <w:szCs w:val="32"/>
          <w:lang w:eastAsia="zh-CN"/>
        </w:rPr>
        <w:t>较上年</w:t>
      </w:r>
      <w:r>
        <w:rPr>
          <w:rFonts w:ascii="仿宋_GB2312" w:eastAsia="仿宋_GB2312" w:hint="eastAsia"/>
          <w:sz w:val="32"/>
          <w:szCs w:val="32"/>
          <w:lang w:val="en-US" w:eastAsia="zh-CN"/>
        </w:rPr>
        <w:t>增加3807.03</w:t>
      </w:r>
      <w:r>
        <w:rPr>
          <w:rFonts w:ascii="仿宋_GB2312" w:eastAsia="仿宋_GB2312" w:hint="eastAsia"/>
          <w:sz w:val="32"/>
          <w:szCs w:val="32"/>
        </w:rPr>
        <w:t>万元。主要原因是</w:t>
      </w:r>
      <w:r>
        <w:rPr>
          <w:rFonts w:ascii="仿宋_GB2312" w:eastAsia="仿宋_GB2312" w:hint="eastAsia"/>
          <w:sz w:val="32"/>
          <w:szCs w:val="32"/>
          <w:lang w:val="en-US" w:eastAsia="zh-CN"/>
        </w:rPr>
        <w:t>当年乡村振兴相关项目增加，财政拨款支出提高</w:t>
      </w:r>
      <w:r>
        <w:rPr>
          <w:rFonts w:ascii="仿宋_GB2312" w:eastAsia="仿宋_GB2312" w:hint="eastAsia"/>
          <w:sz w:val="32"/>
          <w:szCs w:val="32"/>
        </w:rPr>
        <w:t>。</w:t>
      </w:r>
    </w:p>
    <w:p>
      <w:pPr>
        <w:spacing w:line="580" w:lineRule="exact"/>
        <w:ind w:firstLineChars="200" w:firstLine="640"/>
        <w:rPr>
          <w:rFonts w:ascii="楷体_GB2312" w:eastAsia="楷体_GB2312" w:cs="楷体_GB2312"/>
          <w:b/>
          <w:bCs/>
          <w:sz w:val="32"/>
          <w:szCs w:val="32"/>
        </w:rPr>
      </w:pPr>
      <w:bookmarkStart w:id="44" w:name="_Toc15377211"/>
      <w:r>
        <w:rPr>
          <w:rFonts w:ascii="楷体_GB2312" w:eastAsia="楷体_GB2312" w:cs="楷体_GB2312" w:hint="eastAsia"/>
          <w:b/>
          <w:bCs/>
          <w:sz w:val="32"/>
          <w:szCs w:val="32"/>
        </w:rPr>
        <w:t>（二）一般公共预算财政拨款支出决算结构情况</w:t>
      </w:r>
      <w:bookmarkEnd w:id="44"/>
    </w:p>
    <w:p>
      <w:pPr>
        <w:spacing w:line="620" w:lineRule="exact"/>
        <w:ind w:firstLineChars="200" w:firstLine="640"/>
        <w:rPr>
          <w:rFonts w:ascii="仿宋_GB2312" w:eastAsia="仿宋_GB2312"/>
          <w:b w:val="0"/>
          <w:bCs w:val="0"/>
          <w:sz w:val="32"/>
          <w:szCs w:val="32"/>
          <w:lang w:val="en-US" w:eastAsia="zh-CN"/>
        </w:rPr>
      </w:pPr>
      <w:r>
        <w:rPr>
          <w:rFonts w:ascii="仿宋_GB2312" w:eastAsia="仿宋_GB2312" w:hint="eastAsia"/>
          <w:sz w:val="32"/>
          <w:szCs w:val="32"/>
          <w:lang w:eastAsia="zh-CN"/>
        </w:rPr>
        <w:t>2022</w:t>
      </w:r>
      <w:r>
        <w:rPr>
          <w:rFonts w:ascii="仿宋_GB2312" w:eastAsia="仿宋_GB2312" w:hint="eastAsia"/>
          <w:sz w:val="32"/>
          <w:szCs w:val="32"/>
        </w:rPr>
        <w:t>年一般公共预算财政拨款支出</w:t>
      </w:r>
      <w:r>
        <w:rPr>
          <w:rFonts w:ascii="仿宋_GB2312" w:eastAsia="仿宋_GB2312" w:hint="eastAsia"/>
          <w:sz w:val="32"/>
          <w:szCs w:val="32"/>
          <w:lang w:val="en-US" w:eastAsia="zh-CN"/>
        </w:rPr>
        <w:t>16013.44</w:t>
      </w:r>
      <w:r>
        <w:rPr>
          <w:rFonts w:ascii="仿宋_GB2312" w:eastAsia="仿宋_GB2312" w:hint="eastAsia"/>
          <w:sz w:val="32"/>
          <w:szCs w:val="32"/>
        </w:rPr>
        <w:t>万元，主要用于以下方面：</w:t>
      </w:r>
      <w:r>
        <w:rPr>
          <w:rFonts w:ascii="仿宋_GB2312" w:eastAsia="仿宋_GB2312" w:hint="eastAsia"/>
          <w:b/>
          <w:bCs/>
          <w:sz w:val="32"/>
          <w:szCs w:val="32"/>
        </w:rPr>
        <w:t>教育支出（类）</w:t>
      </w:r>
      <w:r>
        <w:rPr>
          <w:rFonts w:ascii="仿宋_GB2312" w:eastAsia="仿宋_GB2312" w:hint="eastAsia"/>
          <w:sz w:val="32"/>
          <w:szCs w:val="32"/>
        </w:rPr>
        <w:t>支出</w:t>
      </w:r>
      <w:r>
        <w:rPr>
          <w:rFonts w:ascii="仿宋_GB2312" w:eastAsia="仿宋_GB2312"/>
          <w:sz w:val="32"/>
          <w:szCs w:val="32"/>
        </w:rPr>
        <w:t>0.5</w:t>
      </w:r>
      <w:r>
        <w:rPr>
          <w:rFonts w:ascii="仿宋_GB2312" w:eastAsia="仿宋_GB2312" w:hint="eastAsia"/>
          <w:sz w:val="32"/>
          <w:szCs w:val="32"/>
        </w:rPr>
        <w:t>万元，占</w:t>
      </w:r>
      <w:r>
        <w:rPr>
          <w:rFonts w:ascii="仿宋_GB2312" w:eastAsia="仿宋_GB2312"/>
          <w:sz w:val="32"/>
          <w:szCs w:val="32"/>
        </w:rPr>
        <w:t>0.0</w:t>
      </w:r>
      <w:r>
        <w:rPr>
          <w:rFonts w:ascii="仿宋_GB2312" w:eastAsia="仿宋_GB2312" w:hint="eastAsia"/>
          <w:sz w:val="32"/>
          <w:szCs w:val="32"/>
          <w:lang w:val="en-US" w:eastAsia="zh-CN"/>
        </w:rPr>
        <w:t>0</w:t>
      </w:r>
      <w:r>
        <w:rPr>
          <w:rFonts w:ascii="仿宋_GB2312" w:eastAsia="仿宋_GB2312"/>
          <w:sz w:val="32"/>
          <w:szCs w:val="32"/>
        </w:rPr>
        <w:t>3%</w:t>
      </w:r>
      <w:r>
        <w:rPr>
          <w:rFonts w:ascii="仿宋_GB2312" w:eastAsia="仿宋_GB2312" w:hint="eastAsia"/>
          <w:sz w:val="32"/>
          <w:szCs w:val="32"/>
        </w:rPr>
        <w:t>；</w:t>
      </w:r>
      <w:r>
        <w:rPr>
          <w:rFonts w:ascii="仿宋_GB2312" w:eastAsia="仿宋_GB2312" w:hint="eastAsia"/>
          <w:b/>
          <w:bCs/>
          <w:sz w:val="32"/>
          <w:szCs w:val="32"/>
        </w:rPr>
        <w:t>科学技术支</w:t>
      </w:r>
      <w:r>
        <w:rPr>
          <w:rFonts w:ascii="仿宋_GB2312" w:eastAsia="仿宋_GB2312" w:hint="eastAsia"/>
          <w:b/>
          <w:bCs/>
          <w:sz w:val="32"/>
          <w:szCs w:val="32"/>
          <w:lang w:val="en-US" w:eastAsia="zh-CN"/>
        </w:rPr>
        <w:t>出（类）</w:t>
      </w:r>
      <w:r>
        <w:rPr>
          <w:rFonts w:ascii="仿宋_GB2312" w:eastAsia="仿宋_GB2312" w:hint="eastAsia"/>
          <w:b w:val="0"/>
          <w:bCs w:val="0"/>
          <w:sz w:val="32"/>
          <w:szCs w:val="32"/>
          <w:lang w:val="en-US" w:eastAsia="zh-CN"/>
        </w:rPr>
        <w:t>支出124.68万元，占0.78%，</w:t>
      </w:r>
      <w:r>
        <w:rPr>
          <w:rFonts w:ascii="仿宋_GB2312" w:eastAsia="仿宋_GB2312" w:hint="eastAsia"/>
          <w:b/>
          <w:bCs/>
          <w:sz w:val="32"/>
          <w:szCs w:val="32"/>
        </w:rPr>
        <w:t>农林水支出（类）</w:t>
      </w:r>
      <w:r>
        <w:rPr>
          <w:rFonts w:ascii="仿宋_GB2312" w:eastAsia="仿宋_GB2312" w:hint="eastAsia"/>
          <w:sz w:val="32"/>
          <w:szCs w:val="32"/>
        </w:rPr>
        <w:t>支出</w:t>
      </w:r>
      <w:r>
        <w:rPr>
          <w:rFonts w:ascii="仿宋_GB2312" w:eastAsia="仿宋_GB2312" w:hint="eastAsia"/>
          <w:sz w:val="32"/>
          <w:szCs w:val="32"/>
          <w:lang w:val="en-US" w:eastAsia="zh-CN"/>
        </w:rPr>
        <w:t>15214.52</w:t>
      </w:r>
      <w:r>
        <w:rPr>
          <w:rFonts w:ascii="仿宋_GB2312" w:eastAsia="仿宋_GB2312" w:hint="eastAsia"/>
          <w:sz w:val="32"/>
          <w:szCs w:val="32"/>
        </w:rPr>
        <w:t>万元，占</w:t>
      </w:r>
      <w:r>
        <w:rPr>
          <w:rFonts w:ascii="仿宋_GB2312" w:eastAsia="仿宋_GB2312" w:hint="eastAsia"/>
          <w:sz w:val="32"/>
          <w:szCs w:val="32"/>
          <w:lang w:val="en-US" w:eastAsia="zh-CN"/>
        </w:rPr>
        <w:t>95.09</w:t>
      </w:r>
      <w:r>
        <w:rPr>
          <w:rFonts w:ascii="仿宋_GB2312" w:eastAsia="仿宋_GB2312"/>
          <w:sz w:val="32"/>
          <w:szCs w:val="32"/>
        </w:rPr>
        <w:t>%</w:t>
      </w:r>
      <w:r>
        <w:rPr>
          <w:rFonts w:ascii="仿宋_GB2312" w:eastAsia="仿宋_GB2312" w:hint="eastAsia"/>
          <w:sz w:val="32"/>
          <w:szCs w:val="32"/>
        </w:rPr>
        <w:t>；</w:t>
      </w:r>
      <w:r>
        <w:rPr>
          <w:rFonts w:ascii="仿宋_GB2312" w:eastAsia="仿宋_GB2312" w:hint="eastAsia"/>
          <w:b/>
          <w:bCs/>
          <w:sz w:val="32"/>
          <w:szCs w:val="32"/>
        </w:rPr>
        <w:t>社会保障和就业（类）</w:t>
      </w:r>
      <w:r>
        <w:rPr>
          <w:rFonts w:ascii="仿宋_GB2312" w:eastAsia="仿宋_GB2312" w:hint="eastAsia"/>
          <w:sz w:val="32"/>
          <w:szCs w:val="32"/>
        </w:rPr>
        <w:t>支出</w:t>
      </w:r>
      <w:r>
        <w:rPr>
          <w:rFonts w:ascii="仿宋_GB2312" w:eastAsia="仿宋_GB2312" w:hint="eastAsia"/>
          <w:sz w:val="32"/>
          <w:szCs w:val="32"/>
          <w:lang w:val="en-US" w:eastAsia="zh-CN"/>
        </w:rPr>
        <w:t>207.47</w:t>
      </w:r>
      <w:r>
        <w:rPr>
          <w:rFonts w:ascii="仿宋_GB2312" w:eastAsia="仿宋_GB2312" w:hint="eastAsia"/>
          <w:sz w:val="32"/>
          <w:szCs w:val="32"/>
        </w:rPr>
        <w:t>万元，占</w:t>
      </w:r>
      <w:r>
        <w:rPr>
          <w:rFonts w:ascii="仿宋_GB2312" w:eastAsia="仿宋_GB2312" w:hint="eastAsia"/>
          <w:sz w:val="32"/>
          <w:szCs w:val="32"/>
          <w:lang w:val="en-US" w:eastAsia="zh-CN"/>
        </w:rPr>
        <w:t>1.3</w:t>
      </w:r>
      <w:r>
        <w:rPr>
          <w:rFonts w:ascii="仿宋_GB2312" w:eastAsia="仿宋_GB2312"/>
          <w:sz w:val="32"/>
          <w:szCs w:val="32"/>
        </w:rPr>
        <w:t>%</w:t>
      </w:r>
      <w:r>
        <w:rPr>
          <w:rFonts w:ascii="仿宋_GB2312" w:eastAsia="仿宋_GB2312" w:hint="eastAsia"/>
          <w:sz w:val="32"/>
          <w:szCs w:val="32"/>
        </w:rPr>
        <w:t>；</w:t>
      </w:r>
      <w:r>
        <w:rPr>
          <w:rFonts w:ascii="仿宋_GB2312" w:eastAsia="仿宋_GB2312" w:hint="eastAsia"/>
          <w:b/>
          <w:bCs/>
          <w:sz w:val="32"/>
          <w:szCs w:val="32"/>
        </w:rPr>
        <w:t>卫生健康</w:t>
      </w:r>
      <w:r>
        <w:rPr>
          <w:rFonts w:ascii="仿宋_GB2312" w:eastAsia="仿宋_GB2312" w:hint="eastAsia"/>
          <w:b/>
          <w:bCs/>
          <w:sz w:val="32"/>
          <w:szCs w:val="32"/>
          <w:lang w:val="en-US" w:eastAsia="zh-CN"/>
        </w:rPr>
        <w:t>支出</w:t>
      </w:r>
      <w:r>
        <w:rPr>
          <w:rFonts w:ascii="仿宋_GB2312" w:eastAsia="仿宋_GB2312" w:hint="eastAsia"/>
          <w:b/>
          <w:bCs/>
          <w:sz w:val="32"/>
          <w:szCs w:val="32"/>
          <w:lang w:eastAsia="zh-CN"/>
        </w:rPr>
        <w:t>（</w:t>
      </w:r>
      <w:r>
        <w:rPr>
          <w:rFonts w:ascii="仿宋_GB2312" w:eastAsia="仿宋_GB2312" w:hint="eastAsia"/>
          <w:b/>
          <w:bCs/>
          <w:sz w:val="32"/>
          <w:szCs w:val="32"/>
          <w:lang w:val="en-US" w:eastAsia="zh-CN"/>
        </w:rPr>
        <w:t>类</w:t>
      </w:r>
      <w:r>
        <w:rPr>
          <w:rFonts w:ascii="仿宋_GB2312" w:eastAsia="仿宋_GB2312" w:hint="eastAsia"/>
          <w:b/>
          <w:bCs/>
          <w:sz w:val="32"/>
          <w:szCs w:val="32"/>
          <w:lang w:eastAsia="zh-CN"/>
        </w:rPr>
        <w:t>）</w:t>
      </w:r>
      <w:r>
        <w:rPr>
          <w:rFonts w:ascii="仿宋_GB2312" w:eastAsia="仿宋_GB2312" w:hint="eastAsia"/>
          <w:b w:val="0"/>
          <w:bCs w:val="0"/>
          <w:sz w:val="32"/>
          <w:szCs w:val="32"/>
          <w:lang w:val="en-US" w:eastAsia="zh-CN"/>
        </w:rPr>
        <w:t>支出</w:t>
      </w:r>
      <w:r>
        <w:rPr>
          <w:rFonts w:ascii="仿宋_GB2312" w:eastAsia="仿宋_GB2312" w:hint="eastAsia"/>
          <w:sz w:val="32"/>
          <w:szCs w:val="32"/>
          <w:lang w:val="en-US" w:eastAsia="zh-CN"/>
        </w:rPr>
        <w:t>88.73</w:t>
      </w:r>
      <w:r>
        <w:rPr>
          <w:rFonts w:ascii="仿宋_GB2312" w:eastAsia="仿宋_GB2312" w:hint="eastAsia"/>
          <w:sz w:val="32"/>
          <w:szCs w:val="32"/>
        </w:rPr>
        <w:t>万元，占</w:t>
      </w:r>
      <w:r>
        <w:rPr>
          <w:rFonts w:ascii="仿宋_GB2312" w:eastAsia="仿宋_GB2312" w:hint="eastAsia"/>
          <w:sz w:val="32"/>
          <w:szCs w:val="32"/>
          <w:lang w:val="en-US" w:eastAsia="zh-CN"/>
        </w:rPr>
        <w:t>0.55</w:t>
      </w:r>
      <w:r>
        <w:rPr>
          <w:rFonts w:ascii="仿宋_GB2312" w:eastAsia="仿宋_GB2312"/>
          <w:sz w:val="32"/>
          <w:szCs w:val="32"/>
        </w:rPr>
        <w:t>%</w:t>
      </w:r>
      <w:r>
        <w:rPr>
          <w:rFonts w:ascii="仿宋_GB2312" w:eastAsia="仿宋_GB2312" w:hint="eastAsia"/>
          <w:sz w:val="32"/>
          <w:szCs w:val="32"/>
        </w:rPr>
        <w:t>；</w:t>
      </w:r>
      <w:r>
        <w:rPr>
          <w:rFonts w:ascii="仿宋_GB2312" w:eastAsia="仿宋_GB2312" w:hint="eastAsia"/>
          <w:b/>
          <w:bCs/>
          <w:sz w:val="32"/>
          <w:szCs w:val="32"/>
        </w:rPr>
        <w:t>住房保障支出</w:t>
      </w:r>
      <w:r>
        <w:rPr>
          <w:rFonts w:ascii="仿宋_GB2312" w:eastAsia="仿宋_GB2312" w:hint="eastAsia"/>
          <w:b/>
          <w:bCs/>
          <w:sz w:val="32"/>
          <w:szCs w:val="32"/>
          <w:lang w:eastAsia="zh-CN"/>
        </w:rPr>
        <w:t>（</w:t>
      </w:r>
      <w:r>
        <w:rPr>
          <w:rFonts w:ascii="仿宋_GB2312" w:eastAsia="仿宋_GB2312" w:hint="eastAsia"/>
          <w:b/>
          <w:bCs/>
          <w:sz w:val="32"/>
          <w:szCs w:val="32"/>
          <w:lang w:val="en-US" w:eastAsia="zh-CN"/>
        </w:rPr>
        <w:t>类</w:t>
      </w:r>
      <w:r>
        <w:rPr>
          <w:rFonts w:ascii="仿宋_GB2312" w:eastAsia="仿宋_GB2312" w:hint="eastAsia"/>
          <w:b/>
          <w:bCs/>
          <w:sz w:val="32"/>
          <w:szCs w:val="32"/>
          <w:lang w:eastAsia="zh-CN"/>
        </w:rPr>
        <w:t>）</w:t>
      </w:r>
      <w:r>
        <w:rPr>
          <w:rFonts w:ascii="仿宋_GB2312" w:eastAsia="仿宋_GB2312" w:hint="eastAsia"/>
          <w:b w:val="0"/>
          <w:bCs w:val="0"/>
          <w:sz w:val="32"/>
          <w:szCs w:val="32"/>
          <w:lang w:val="en-US" w:eastAsia="zh-CN"/>
        </w:rPr>
        <w:t>支出</w:t>
      </w:r>
      <w:r>
        <w:rPr>
          <w:rFonts w:ascii="仿宋_GB2312" w:eastAsia="仿宋_GB2312" w:hint="eastAsia"/>
          <w:sz w:val="32"/>
          <w:szCs w:val="32"/>
          <w:lang w:val="en-US" w:eastAsia="zh-CN"/>
        </w:rPr>
        <w:t>117.53</w:t>
      </w:r>
      <w:r>
        <w:rPr>
          <w:rFonts w:ascii="仿宋_GB2312" w:eastAsia="仿宋_GB2312" w:hint="eastAsia"/>
          <w:sz w:val="32"/>
          <w:szCs w:val="32"/>
        </w:rPr>
        <w:t>万元，占</w:t>
      </w:r>
      <w:r>
        <w:rPr>
          <w:rFonts w:ascii="仿宋_GB2312" w:eastAsia="仿宋_GB2312" w:hint="eastAsia"/>
          <w:sz w:val="32"/>
          <w:szCs w:val="32"/>
          <w:lang w:val="en-US" w:eastAsia="zh-CN"/>
        </w:rPr>
        <w:t>0.73</w:t>
      </w:r>
      <w:r>
        <w:rPr>
          <w:rFonts w:ascii="仿宋_GB2312" w:eastAsia="仿宋_GB2312"/>
          <w:sz w:val="32"/>
          <w:szCs w:val="32"/>
        </w:rPr>
        <w:t>%</w:t>
      </w:r>
      <w:r>
        <w:rPr>
          <w:rFonts w:ascii="仿宋_GB2312" w:eastAsia="仿宋_GB2312" w:hint="eastAsia"/>
          <w:sz w:val="32"/>
          <w:szCs w:val="32"/>
        </w:rPr>
        <w:t>。</w:t>
      </w:r>
      <w:r>
        <w:rPr>
          <w:rFonts w:ascii="仿宋_GB2312" w:eastAsia="仿宋_GB2312" w:hint="eastAsia"/>
          <w:b/>
          <w:bCs/>
          <w:sz w:val="32"/>
          <w:szCs w:val="32"/>
          <w:lang w:val="en-US" w:eastAsia="zh-CN"/>
        </w:rPr>
        <w:t>其他支出（类）</w:t>
      </w:r>
      <w:r>
        <w:rPr>
          <w:rFonts w:ascii="仿宋_GB2312" w:eastAsia="仿宋_GB2312" w:hint="eastAsia"/>
          <w:b w:val="0"/>
          <w:bCs w:val="0"/>
          <w:sz w:val="32"/>
          <w:szCs w:val="32"/>
          <w:lang w:val="en-US" w:eastAsia="zh-CN"/>
        </w:rPr>
        <w:t>支出260万元，占1.62%</w:t>
      </w:r>
    </w:p>
    <w:p>
      <w:pPr>
        <w:spacing w:line="600" w:lineRule="exact"/>
        <w:ind w:firstLineChars="2600" w:firstLine="8320"/>
        <w:outlineLvl w:val="2"/>
        <w:rPr>
          <w:rFonts w:ascii="仿宋" w:eastAsia="仿宋"/>
          <w:b/>
          <w:color w:val="000000"/>
          <w:sz w:val="32"/>
          <w:szCs w:val="32"/>
        </w:rPr>
      </w:pPr>
      <w:bookmarkStart w:id="45" w:name="_Toc15377444"/>
      <w:bookmarkStart w:id="46" w:name="_Toc15378460"/>
      <w:bookmarkStart w:id="47" w:name="_Toc15377213"/>
      <w:r>
        <w:rPr>
          <w:rFonts w:ascii="仿宋" w:eastAsia="仿宋" w:hint="eastAsia"/>
          <w:b/>
          <w:color w:val="000000"/>
          <w:sz w:val="32"/>
          <w:szCs w:val="32"/>
          <w:lang w:eastAsia="zh-CN"/>
        </w:rPr>
        <w:drawing>
          <wp:anchor distT="0" distB="0" distL="114300" distR="114300" simplePos="0" relativeHeight="27" behindDoc="0" locked="0" layoutInCell="1" hidden="0" allowOverlap="1">
            <wp:simplePos x="0" y="0"/>
            <wp:positionH relativeFrom="column">
              <wp:posOffset>-119379</wp:posOffset>
            </wp:positionH>
            <wp:positionV relativeFrom="paragraph">
              <wp:posOffset>80645</wp:posOffset>
            </wp:positionV>
            <wp:extent cx="5640704" cy="2371089"/>
            <wp:effectExtent l="0" t="0" r="0" b="0"/>
            <wp:wrapNone/>
            <wp:docPr id="7" name="图表 13"/>
            <wp:cNvGraphicFramePr>
              <a:graphicFrameLocks noChangeAspect="0"/>
            </wp:cNvGraphicFramePr>
            <a:graphic>
              <a:graphicData uri="http://schemas.openxmlformats.org/drawingml/2006/chart">
                <c:chart xmlns:c="http://schemas.openxmlformats.org/drawingml/2006/chart" r:id="rId7"/>
              </a:graphicData>
            </a:graphic>
          </wp:anchor>
        </w:drawing>
      </w:r>
    </w:p>
    <w:p>
      <w:pPr>
        <w:tabs>
          <w:tab w:val="left" w:pos="533"/>
        </w:tabs>
        <w:spacing w:line="600" w:lineRule="exact"/>
        <w:outlineLvl w:val="2"/>
        <w:rPr>
          <w:rFonts w:ascii="仿宋" w:eastAsia="仿宋" w:hint="eastAsia"/>
          <w:b/>
          <w:color w:val="000000"/>
          <w:sz w:val="32"/>
          <w:szCs w:val="32"/>
          <w:lang w:eastAsia="zh-CN"/>
        </w:rPr>
      </w:pPr>
    </w:p>
    <w:p>
      <w:pPr>
        <w:spacing w:line="600" w:lineRule="exact"/>
        <w:ind w:firstLineChars="2600" w:firstLine="8320"/>
        <w:outlineLvl w:val="2"/>
        <w:rPr>
          <w:rFonts w:ascii="仿宋" w:eastAsia="仿宋"/>
          <w:b/>
          <w:color w:val="000000"/>
          <w:sz w:val="32"/>
          <w:szCs w:val="32"/>
        </w:rPr>
      </w:pPr>
    </w:p>
    <w:p>
      <w:pPr>
        <w:spacing w:line="600" w:lineRule="exact"/>
        <w:outlineLvl w:val="2"/>
        <w:rPr>
          <w:rFonts w:ascii="仿宋" w:eastAsia="仿宋"/>
          <w:b/>
          <w:color w:val="000000"/>
          <w:sz w:val="32"/>
          <w:szCs w:val="32"/>
        </w:rPr>
      </w:pPr>
    </w:p>
    <w:p>
      <w:pPr>
        <w:spacing w:line="600" w:lineRule="exact"/>
        <w:outlineLvl w:val="2"/>
        <w:rPr>
          <w:rFonts w:ascii="仿宋" w:eastAsia="仿宋"/>
          <w:b/>
          <w:color w:val="000000"/>
          <w:sz w:val="32"/>
          <w:szCs w:val="32"/>
        </w:rPr>
      </w:pPr>
    </w:p>
    <w:p>
      <w:pPr>
        <w:spacing w:line="580" w:lineRule="exact"/>
        <w:ind w:firstLineChars="200" w:firstLine="640"/>
        <w:rPr>
          <w:rFonts w:ascii="楷体_GB2312" w:eastAsia="楷体_GB2312" w:cs="楷体_GB2312" w:hint="eastAsia"/>
          <w:b/>
          <w:bCs/>
          <w:sz w:val="32"/>
          <w:szCs w:val="32"/>
        </w:rPr>
      </w:pPr>
      <w:bookmarkStart w:id="48" w:name="_Toc15377212"/>
    </w:p>
    <w:p>
      <w:pPr>
        <w:spacing w:line="580" w:lineRule="exact"/>
        <w:ind w:firstLineChars="200" w:firstLine="640"/>
        <w:rPr>
          <w:rFonts w:ascii="楷体_GB2312" w:eastAsia="楷体_GB2312" w:cs="楷体_GB2312"/>
          <w:b/>
          <w:bCs/>
          <w:sz w:val="32"/>
          <w:szCs w:val="32"/>
        </w:rPr>
      </w:pPr>
      <w:r>
        <w:rPr>
          <w:rFonts w:ascii="楷体_GB2312" w:eastAsia="楷体_GB2312" w:cs="楷体_GB2312" w:hint="eastAsia"/>
          <w:b/>
          <w:bCs/>
          <w:sz w:val="32"/>
          <w:szCs w:val="32"/>
        </w:rPr>
        <w:t>（三）一般公共预算财政拨款支出决算具体情况</w:t>
      </w:r>
      <w:bookmarkEnd w:id="48"/>
    </w:p>
    <w:p>
      <w:pPr>
        <w:spacing w:line="600" w:lineRule="exact"/>
        <w:outlineLvl w:val="2"/>
        <w:rPr>
          <w:rFonts w:ascii="仿宋" w:eastAsia="仿宋"/>
          <w:bCs/>
          <w:color w:val="000000"/>
          <w:sz w:val="32"/>
          <w:szCs w:val="32"/>
        </w:rPr>
      </w:pPr>
      <w:r>
        <w:rPr>
          <w:rFonts w:ascii="仿宋" w:eastAsia="仿宋"/>
          <w:bCs/>
          <w:color w:val="000000"/>
          <w:sz w:val="32"/>
          <w:szCs w:val="32"/>
        </w:rPr>
        <w:t xml:space="preserve">    </w:t>
      </w:r>
      <w:bookmarkStart w:id="49" w:name="_Toc21545"/>
      <w:r>
        <w:rPr>
          <w:rFonts w:ascii="仿宋" w:eastAsia="仿宋" w:hint="eastAsia"/>
          <w:bCs/>
          <w:color w:val="000000"/>
          <w:sz w:val="32"/>
          <w:szCs w:val="32"/>
          <w:lang w:eastAsia="zh-CN"/>
        </w:rPr>
        <w:t>2022</w:t>
      </w:r>
      <w:r>
        <w:rPr>
          <w:rFonts w:ascii="仿宋" w:eastAsia="仿宋" w:hint="eastAsia"/>
          <w:bCs/>
          <w:color w:val="000000"/>
          <w:sz w:val="32"/>
          <w:szCs w:val="32"/>
        </w:rPr>
        <w:t>年一般公共预算数为</w:t>
      </w:r>
      <w:r>
        <w:rPr>
          <w:rFonts w:ascii="仿宋_GB2312" w:eastAsia="仿宋_GB2312" w:hint="eastAsia"/>
          <w:color w:val="000000"/>
          <w:sz w:val="32"/>
          <w:szCs w:val="32"/>
          <w:lang w:val="en-US" w:eastAsia="zh-CN"/>
        </w:rPr>
        <w:t>1206.75</w:t>
      </w:r>
      <w:r>
        <w:rPr>
          <w:rFonts w:ascii="仿宋" w:eastAsia="仿宋" w:hint="eastAsia"/>
          <w:bCs/>
          <w:color w:val="000000"/>
          <w:sz w:val="32"/>
          <w:szCs w:val="32"/>
        </w:rPr>
        <w:t>万元，财政应返还额度为</w:t>
      </w:r>
      <w:r>
        <w:rPr>
          <w:rFonts w:ascii="仿宋" w:eastAsia="仿宋" w:hint="eastAsia"/>
          <w:bCs/>
          <w:color w:val="000000"/>
          <w:sz w:val="32"/>
          <w:szCs w:val="32"/>
          <w:lang w:val="en-US" w:eastAsia="zh-CN"/>
        </w:rPr>
        <w:t>0</w:t>
      </w:r>
      <w:r>
        <w:rPr>
          <w:rFonts w:ascii="仿宋" w:eastAsia="仿宋" w:hint="eastAsia"/>
          <w:bCs/>
          <w:color w:val="000000"/>
          <w:sz w:val="32"/>
          <w:szCs w:val="32"/>
        </w:rPr>
        <w:t>万元，支出决算数为</w:t>
      </w:r>
      <w:r>
        <w:rPr>
          <w:rFonts w:ascii="仿宋_GB2312" w:eastAsia="仿宋_GB2312" w:hint="eastAsia"/>
          <w:color w:val="000000"/>
          <w:sz w:val="32"/>
          <w:szCs w:val="32"/>
          <w:lang w:val="en-US" w:eastAsia="zh-CN"/>
        </w:rPr>
        <w:t>16013.44</w:t>
      </w:r>
      <w:r>
        <w:rPr>
          <w:rFonts w:ascii="仿宋" w:eastAsia="仿宋" w:hint="eastAsia"/>
          <w:bCs/>
          <w:color w:val="000000"/>
          <w:sz w:val="32"/>
          <w:szCs w:val="32"/>
        </w:rPr>
        <w:t>万元</w:t>
      </w:r>
      <w:r>
        <w:rPr>
          <w:rStyle w:val="26"/>
          <w:rFonts w:ascii="仿宋" w:eastAsia="仿宋" w:hint="eastAsia"/>
          <w:b w:val="0"/>
          <w:bCs/>
          <w:color w:val="000000"/>
          <w:sz w:val="32"/>
          <w:szCs w:val="32"/>
        </w:rPr>
        <w:t>。结转下年</w:t>
      </w:r>
      <w:r>
        <w:rPr>
          <w:rStyle w:val="26"/>
          <w:rFonts w:ascii="仿宋" w:eastAsia="仿宋"/>
          <w:b w:val="0"/>
          <w:bCs/>
          <w:color w:val="000000"/>
          <w:sz w:val="32"/>
          <w:szCs w:val="32"/>
        </w:rPr>
        <w:t>0</w:t>
      </w:r>
      <w:r>
        <w:rPr>
          <w:rStyle w:val="26"/>
          <w:rFonts w:ascii="仿宋" w:eastAsia="仿宋" w:hint="eastAsia"/>
          <w:b w:val="0"/>
          <w:bCs/>
          <w:color w:val="000000"/>
          <w:sz w:val="32"/>
          <w:szCs w:val="32"/>
        </w:rPr>
        <w:t>万元。其中：</w:t>
      </w:r>
      <w:bookmarkEnd w:id="45"/>
      <w:bookmarkEnd w:id="46"/>
      <w:bookmarkEnd w:id="47"/>
      <w:bookmarkEnd w:id="49"/>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lang w:val="en-US" w:eastAsia="zh-CN"/>
        </w:rPr>
        <w:t>教育</w:t>
      </w:r>
      <w:r>
        <w:rPr>
          <w:rFonts w:ascii="仿宋_GB2312" w:eastAsia="仿宋_GB2312" w:hint="eastAsia"/>
          <w:color w:val="000000"/>
          <w:sz w:val="32"/>
          <w:szCs w:val="32"/>
        </w:rPr>
        <w:t>支出（类）</w:t>
      </w:r>
      <w:r>
        <w:rPr>
          <w:rFonts w:ascii="仿宋_GB2312" w:eastAsia="仿宋_GB2312" w:hint="eastAsia"/>
          <w:color w:val="000000"/>
          <w:sz w:val="32"/>
          <w:szCs w:val="32"/>
          <w:lang w:val="en-US" w:eastAsia="zh-CN"/>
        </w:rPr>
        <w:t>进修及培训</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培训支出</w:t>
      </w:r>
      <w:r>
        <w:rPr>
          <w:rFonts w:ascii="仿宋_GB2312" w:eastAsia="仿宋_GB2312" w:hint="eastAsia"/>
          <w:color w:val="000000"/>
          <w:sz w:val="32"/>
          <w:szCs w:val="32"/>
        </w:rPr>
        <w:t>（项）</w:t>
      </w:r>
      <w:r>
        <w:rPr>
          <w:rFonts w:ascii="仿宋_GB2312" w:eastAsia="仿宋_GB2312"/>
          <w:color w:val="000000"/>
          <w:sz w:val="32"/>
          <w:szCs w:val="32"/>
        </w:rPr>
        <w:t xml:space="preserve">: </w:t>
      </w:r>
      <w:r>
        <w:rPr>
          <w:rFonts w:ascii="仿宋_GB2312" w:eastAsia="仿宋_GB2312" w:hint="eastAsia"/>
          <w:color w:val="000000"/>
          <w:sz w:val="32"/>
          <w:szCs w:val="32"/>
        </w:rPr>
        <w:t>支出决算为</w:t>
      </w:r>
      <w:r>
        <w:rPr>
          <w:rFonts w:ascii="仿宋_GB2312" w:eastAsia="仿宋_GB2312" w:hint="eastAsia"/>
          <w:color w:val="000000"/>
          <w:sz w:val="32"/>
          <w:szCs w:val="32"/>
          <w:lang w:val="en-US" w:eastAsia="zh-CN"/>
        </w:rPr>
        <w:t>0.5</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，决算数等于预算数。</w:t>
      </w:r>
    </w:p>
    <w:p>
      <w:pPr>
        <w:spacing w:line="536" w:lineRule="exact"/>
        <w:ind w:firstLine="645"/>
        <w:rPr>
          <w:rFonts w:ascii="仿宋_GB2312" w:eastAsia="仿宋_GB2312"/>
          <w:color w:val="000000"/>
          <w:sz w:val="32"/>
          <w:szCs w:val="32"/>
          <w:lang w:val="en-US" w:eastAsia="zh-CN"/>
        </w:rPr>
      </w:pPr>
      <w:r>
        <w:rPr>
          <w:rFonts w:ascii="仿宋_GB2312" w:eastAsia="仿宋_GB2312"/>
          <w:color w:val="000000"/>
          <w:sz w:val="32"/>
          <w:szCs w:val="32"/>
        </w:rPr>
        <w:t>2.</w:t>
      </w:r>
      <w:r>
        <w:rPr>
          <w:rFonts w:ascii="仿宋_GB2312" w:eastAsia="仿宋_GB2312" w:hint="eastAsia"/>
          <w:color w:val="000000"/>
          <w:sz w:val="32"/>
          <w:szCs w:val="32"/>
          <w:lang w:val="en-US" w:eastAsia="zh-CN"/>
        </w:rPr>
        <w:t>科学技术</w:t>
      </w:r>
      <w:r>
        <w:rPr>
          <w:rFonts w:ascii="仿宋_GB2312" w:eastAsia="仿宋_GB2312" w:hint="eastAsia"/>
          <w:color w:val="000000"/>
          <w:sz w:val="32"/>
          <w:szCs w:val="32"/>
        </w:rPr>
        <w:t>支出（类）</w:t>
      </w:r>
      <w:r>
        <w:rPr>
          <w:rFonts w:ascii="仿宋_GB2312" w:eastAsia="仿宋_GB2312" w:hint="eastAsia"/>
          <w:color w:val="000000"/>
          <w:sz w:val="32"/>
          <w:szCs w:val="32"/>
          <w:lang w:val="en-US" w:eastAsia="zh-CN"/>
        </w:rPr>
        <w:t>技术研究与开发</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其他技术研究与开发支出</w:t>
      </w:r>
      <w:r>
        <w:rPr>
          <w:rFonts w:ascii="仿宋_GB2312" w:eastAsia="仿宋_GB2312" w:hint="eastAsia"/>
          <w:color w:val="000000"/>
          <w:sz w:val="32"/>
          <w:szCs w:val="32"/>
        </w:rPr>
        <w:t>（项）</w:t>
      </w:r>
      <w:r>
        <w:rPr>
          <w:rFonts w:ascii="仿宋_GB2312" w:eastAsia="仿宋_GB2312"/>
          <w:color w:val="000000"/>
          <w:sz w:val="32"/>
          <w:szCs w:val="32"/>
        </w:rPr>
        <w:t xml:space="preserve">: </w:t>
      </w:r>
      <w:r>
        <w:rPr>
          <w:rFonts w:ascii="仿宋_GB2312" w:eastAsia="仿宋_GB2312" w:hint="eastAsia"/>
          <w:color w:val="000000"/>
          <w:sz w:val="32"/>
          <w:szCs w:val="32"/>
        </w:rPr>
        <w:t>支出决算为</w:t>
      </w:r>
      <w:r>
        <w:rPr>
          <w:rFonts w:ascii="仿宋_GB2312" w:eastAsia="仿宋_GB2312" w:hint="eastAsia"/>
          <w:color w:val="000000"/>
          <w:sz w:val="32"/>
          <w:szCs w:val="32"/>
          <w:lang w:val="en-US" w:eastAsia="zh-CN"/>
        </w:rPr>
        <w:t>20</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无年初预算。</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3.</w:t>
      </w:r>
      <w:r>
        <w:rPr>
          <w:rFonts w:ascii="仿宋_GB2312" w:eastAsia="仿宋_GB2312" w:hint="eastAsia"/>
          <w:color w:val="000000"/>
          <w:sz w:val="32"/>
          <w:szCs w:val="32"/>
          <w:lang w:val="en-US" w:eastAsia="zh-CN"/>
        </w:rPr>
        <w:t>科学技术</w:t>
      </w:r>
      <w:r>
        <w:rPr>
          <w:rFonts w:ascii="仿宋_GB2312" w:eastAsia="仿宋_GB2312" w:hint="eastAsia"/>
          <w:color w:val="000000"/>
          <w:sz w:val="32"/>
          <w:szCs w:val="32"/>
        </w:rPr>
        <w:t>支出（类）</w:t>
      </w:r>
      <w:r>
        <w:rPr>
          <w:rFonts w:ascii="仿宋_GB2312" w:eastAsia="仿宋_GB2312" w:hint="eastAsia"/>
          <w:color w:val="000000"/>
          <w:sz w:val="32"/>
          <w:szCs w:val="32"/>
          <w:lang w:val="en-US" w:eastAsia="zh-CN"/>
        </w:rPr>
        <w:t>其他科学技术支出</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其他科学技术支出</w:t>
      </w:r>
      <w:r>
        <w:rPr>
          <w:rFonts w:ascii="仿宋_GB2312" w:eastAsia="仿宋_GB2312" w:hint="eastAsia"/>
          <w:color w:val="000000"/>
          <w:sz w:val="32"/>
          <w:szCs w:val="32"/>
        </w:rPr>
        <w:t>（项）</w:t>
      </w:r>
      <w:r>
        <w:rPr>
          <w:rFonts w:ascii="仿宋_GB2312" w:eastAsia="仿宋_GB2312"/>
          <w:color w:val="000000"/>
          <w:sz w:val="32"/>
          <w:szCs w:val="32"/>
        </w:rPr>
        <w:t xml:space="preserve">: </w:t>
      </w:r>
      <w:r>
        <w:rPr>
          <w:rFonts w:ascii="仿宋_GB2312" w:eastAsia="仿宋_GB2312" w:hint="eastAsia"/>
          <w:color w:val="000000"/>
          <w:sz w:val="32"/>
          <w:szCs w:val="32"/>
        </w:rPr>
        <w:t>支出决算为</w:t>
      </w:r>
      <w:r>
        <w:rPr>
          <w:rFonts w:ascii="仿宋_GB2312" w:eastAsia="仿宋_GB2312" w:hint="eastAsia"/>
          <w:color w:val="000000"/>
          <w:sz w:val="32"/>
          <w:szCs w:val="32"/>
          <w:lang w:val="en-US" w:eastAsia="zh-CN"/>
        </w:rPr>
        <w:t>104.68</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无年初预算。</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4.</w:t>
      </w:r>
      <w:r>
        <w:rPr>
          <w:rFonts w:ascii="仿宋_GB2312" w:eastAsia="仿宋_GB2312" w:hint="eastAsia"/>
          <w:color w:val="000000"/>
          <w:sz w:val="32"/>
          <w:szCs w:val="32"/>
        </w:rPr>
        <w:t>社会保障和就业（类）行政事业单位养老支出（款）机关事业单位基本养老保险缴费支出（项）：支出决算为</w:t>
      </w:r>
      <w:r>
        <w:rPr>
          <w:rFonts w:ascii="仿宋_GB2312" w:eastAsia="仿宋_GB2312" w:hint="eastAsia"/>
          <w:color w:val="000000"/>
          <w:sz w:val="32"/>
          <w:szCs w:val="32"/>
          <w:lang w:val="en-US" w:eastAsia="zh-CN"/>
        </w:rPr>
        <w:t>138.28</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5.</w:t>
      </w:r>
      <w:r>
        <w:rPr>
          <w:rFonts w:ascii="仿宋_GB2312" w:eastAsia="仿宋_GB2312" w:hint="eastAsia"/>
          <w:color w:val="000000"/>
          <w:sz w:val="32"/>
          <w:szCs w:val="32"/>
        </w:rPr>
        <w:t>社会保障和就业（类）行政事业单位养老支出（款）机关事业单位职业年金缴费支出（项）：支出决算为</w:t>
      </w:r>
      <w:r>
        <w:rPr>
          <w:rFonts w:ascii="仿宋_GB2312" w:eastAsia="仿宋_GB2312" w:hint="eastAsia"/>
          <w:color w:val="000000"/>
          <w:sz w:val="32"/>
          <w:szCs w:val="32"/>
          <w:lang w:val="en-US" w:eastAsia="zh-CN"/>
        </w:rPr>
        <w:t>69.19</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6.</w:t>
      </w:r>
      <w:r>
        <w:rPr>
          <w:rFonts w:ascii="仿宋_GB2312" w:eastAsia="仿宋_GB2312" w:hint="eastAsia"/>
          <w:color w:val="000000"/>
          <w:sz w:val="32"/>
          <w:szCs w:val="32"/>
        </w:rPr>
        <w:t>卫生健康支出（类）行政事业单位医疗（款）行政单位医疗（项）：支出决算为</w:t>
      </w:r>
      <w:r>
        <w:rPr>
          <w:rFonts w:ascii="仿宋_GB2312" w:eastAsia="仿宋_GB2312" w:hint="eastAsia"/>
          <w:color w:val="000000"/>
          <w:sz w:val="32"/>
          <w:szCs w:val="32"/>
          <w:lang w:val="en-US" w:eastAsia="zh-CN"/>
        </w:rPr>
        <w:t>19.33</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，决算数等于预算数。</w:t>
      </w:r>
    </w:p>
    <w:p>
      <w:pPr>
        <w:spacing w:line="536" w:lineRule="exact"/>
        <w:ind w:firstLine="645"/>
        <w:rPr>
          <w:rFonts w:ascii="仿宋_GB2312" w:eastAsia="仿宋_GB2312"/>
          <w:color w:val="000000"/>
          <w:sz w:val="32"/>
          <w:szCs w:val="32"/>
        </w:rPr>
      </w:pPr>
      <w:bookmarkStart w:id="50" w:name="_Toc15377214"/>
      <w:bookmarkStart w:id="51" w:name="_Toc15396608"/>
      <w:r>
        <w:rPr>
          <w:rFonts w:ascii="仿宋_GB2312" w:eastAsia="仿宋_GB2312"/>
          <w:color w:val="000000"/>
          <w:sz w:val="32"/>
          <w:szCs w:val="32"/>
        </w:rPr>
        <w:t>7.</w:t>
      </w:r>
      <w:r>
        <w:rPr>
          <w:rFonts w:ascii="仿宋_GB2312" w:eastAsia="仿宋_GB2312" w:hint="eastAsia"/>
          <w:color w:val="000000"/>
          <w:sz w:val="32"/>
          <w:szCs w:val="32"/>
        </w:rPr>
        <w:t>卫生健康支出（类）行政事业单位医疗（款）事业单位医疗（项）：支出决算为</w:t>
      </w:r>
      <w:r>
        <w:rPr>
          <w:rFonts w:ascii="仿宋_GB2312" w:eastAsia="仿宋_GB2312" w:hint="eastAsia"/>
          <w:color w:val="000000"/>
          <w:sz w:val="32"/>
          <w:szCs w:val="32"/>
          <w:lang w:val="en-US" w:eastAsia="zh-CN"/>
        </w:rPr>
        <w:t>42.37</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，决算数等于预算数。</w:t>
      </w:r>
    </w:p>
    <w:p>
      <w:pPr>
        <w:ind w:firstLine="645"/>
        <w:rPr>
          <w:rFonts w:ascii="仿宋_GB2312" w:eastAsia="仿宋_GB2312"/>
          <w:color w:val="000000"/>
          <w:sz w:val="32"/>
          <w:szCs w:val="32"/>
        </w:rPr>
      </w:pPr>
      <w:r>
        <w:rPr>
          <w:rFonts w:ascii="仿宋_GB2312" w:eastAsia="仿宋_GB2312"/>
          <w:color w:val="000000"/>
          <w:sz w:val="32"/>
          <w:szCs w:val="32"/>
        </w:rPr>
        <w:t>8.</w:t>
      </w:r>
      <w:r>
        <w:rPr>
          <w:rFonts w:ascii="仿宋_GB2312" w:eastAsia="仿宋_GB2312" w:hint="eastAsia"/>
          <w:color w:val="000000"/>
          <w:sz w:val="32"/>
          <w:szCs w:val="32"/>
        </w:rPr>
        <w:t>卫生健康支出（类）行政事业单位医疗（款）公务员医疗补助（项）：支出决算为</w:t>
      </w:r>
      <w:r>
        <w:rPr>
          <w:rFonts w:ascii="仿宋_GB2312" w:eastAsia="仿宋_GB2312" w:hint="eastAsia"/>
          <w:color w:val="000000"/>
          <w:sz w:val="32"/>
          <w:szCs w:val="32"/>
          <w:lang w:val="en-US" w:eastAsia="zh-CN"/>
        </w:rPr>
        <w:t>8.67</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，决算数等于预算数。</w:t>
      </w:r>
    </w:p>
    <w:p>
      <w:pPr>
        <w:spacing w:line="536" w:lineRule="exact"/>
        <w:ind w:firstLine="645"/>
        <w:rPr>
          <w:rFonts w:ascii="仿宋_GB2312" w:eastAsia="仿宋_GB2312" w:hint="eastAsia"/>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卫生健康支出（类）行政事业单位医疗（款）其他行政事业单位医疗支出（项）：支出决算为</w:t>
      </w:r>
      <w:r>
        <w:rPr>
          <w:rFonts w:ascii="仿宋_GB2312" w:eastAsia="仿宋_GB2312" w:hint="eastAsia"/>
          <w:color w:val="000000"/>
          <w:sz w:val="32"/>
          <w:szCs w:val="32"/>
          <w:lang w:val="en-US" w:eastAsia="zh-CN"/>
        </w:rPr>
        <w:t>18.35</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10.</w:t>
      </w:r>
      <w:r>
        <w:rPr>
          <w:rFonts w:ascii="仿宋_GB2312" w:eastAsia="仿宋_GB2312" w:hint="eastAsia"/>
          <w:color w:val="000000"/>
          <w:sz w:val="32"/>
          <w:szCs w:val="32"/>
        </w:rPr>
        <w:t>农林水支出（类）农业农村（款）行政运行（项）：支出决算为</w:t>
      </w:r>
      <w:r>
        <w:rPr>
          <w:rFonts w:ascii="仿宋_GB2312" w:eastAsia="仿宋_GB2312" w:hint="eastAsia"/>
          <w:color w:val="000000"/>
          <w:sz w:val="32"/>
          <w:szCs w:val="32"/>
          <w:lang w:val="en-US" w:eastAsia="zh-CN"/>
        </w:rPr>
        <w:t>506.14</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11.</w:t>
      </w:r>
      <w:r>
        <w:rPr>
          <w:rFonts w:ascii="仿宋_GB2312" w:eastAsia="仿宋_GB2312" w:hint="eastAsia"/>
          <w:color w:val="000000"/>
          <w:sz w:val="32"/>
          <w:szCs w:val="32"/>
        </w:rPr>
        <w:t>农林水支出（类）农业农村（款）事业运行（项）：支出决算为</w:t>
      </w:r>
      <w:r>
        <w:rPr>
          <w:rFonts w:ascii="仿宋_GB2312" w:eastAsia="仿宋_GB2312" w:hint="eastAsia"/>
          <w:color w:val="000000"/>
          <w:sz w:val="32"/>
          <w:szCs w:val="32"/>
          <w:lang w:val="en-US" w:eastAsia="zh-CN"/>
        </w:rPr>
        <w:t>980.98</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12.</w:t>
      </w:r>
      <w:r>
        <w:rPr>
          <w:rFonts w:ascii="仿宋_GB2312" w:eastAsia="仿宋_GB2312" w:hint="eastAsia"/>
          <w:color w:val="000000"/>
          <w:sz w:val="32"/>
          <w:szCs w:val="32"/>
        </w:rPr>
        <w:t>农林水支出（类）农业农村（款）病虫害控制（项）：支出决算为</w:t>
      </w:r>
      <w:r>
        <w:rPr>
          <w:rFonts w:ascii="仿宋_GB2312" w:eastAsia="仿宋_GB2312" w:hint="eastAsia"/>
          <w:color w:val="000000"/>
          <w:sz w:val="32"/>
          <w:szCs w:val="32"/>
          <w:lang w:val="en-US" w:eastAsia="zh-CN"/>
        </w:rPr>
        <w:t>86.2</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无年初预算</w:t>
      </w:r>
      <w:r>
        <w:rPr>
          <w:rFonts w:ascii="仿宋_GB2312" w:eastAsia="仿宋_GB2312" w:hint="eastAsia"/>
          <w:color w:val="000000"/>
          <w:sz w:val="32"/>
          <w:szCs w:val="32"/>
        </w:rPr>
        <w:t>。</w:t>
      </w:r>
    </w:p>
    <w:p>
      <w:pPr>
        <w:spacing w:line="536" w:lineRule="exact"/>
        <w:ind w:firstLineChars="200" w:firstLine="640"/>
        <w:rPr>
          <w:rFonts w:ascii="仿宋_GB2312" w:eastAsia="仿宋_GB2312"/>
          <w:color w:val="000000"/>
          <w:sz w:val="32"/>
          <w:szCs w:val="32"/>
          <w:lang w:val="en-US" w:eastAsia="zh-CN"/>
        </w:rPr>
      </w:pPr>
      <w:r>
        <w:rPr>
          <w:rFonts w:ascii="仿宋_GB2312" w:eastAsia="仿宋_GB2312"/>
          <w:color w:val="000000"/>
          <w:sz w:val="32"/>
          <w:szCs w:val="32"/>
        </w:rPr>
        <w:t>13.</w:t>
      </w:r>
      <w:r>
        <w:rPr>
          <w:rFonts w:ascii="仿宋_GB2312" w:eastAsia="仿宋_GB2312" w:hint="eastAsia"/>
          <w:color w:val="000000"/>
          <w:sz w:val="32"/>
          <w:szCs w:val="32"/>
        </w:rPr>
        <w:t>农林水支出（类）农业农村（款）农产品质量安全（项）：支出决算为</w:t>
      </w:r>
      <w:r>
        <w:rPr>
          <w:rFonts w:ascii="仿宋_GB2312" w:eastAsia="仿宋_GB2312" w:hint="eastAsia"/>
          <w:color w:val="000000"/>
          <w:sz w:val="32"/>
          <w:szCs w:val="32"/>
          <w:lang w:val="en-US" w:eastAsia="zh-CN"/>
        </w:rPr>
        <w:t>0.2</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无年初预算。</w:t>
      </w:r>
    </w:p>
    <w:p>
      <w:pPr>
        <w:spacing w:line="536" w:lineRule="exact"/>
        <w:ind w:firstLine="645"/>
        <w:rPr>
          <w:rFonts w:ascii="仿宋_GB2312" w:eastAsia="仿宋_GB2312"/>
          <w:color w:val="000000"/>
          <w:sz w:val="32"/>
          <w:szCs w:val="32"/>
          <w:lang w:val="en-US" w:eastAsia="zh-CN"/>
        </w:rPr>
      </w:pPr>
      <w:r>
        <w:rPr>
          <w:rFonts w:ascii="仿宋_GB2312" w:eastAsia="仿宋_GB2312"/>
          <w:color w:val="000000"/>
          <w:sz w:val="32"/>
          <w:szCs w:val="32"/>
        </w:rPr>
        <w:t>1</w:t>
      </w:r>
      <w:r>
        <w:rPr>
          <w:rFonts w:ascii="仿宋_GB2312" w:eastAsia="仿宋_GB2312" w:hint="eastAsia"/>
          <w:color w:val="000000"/>
          <w:sz w:val="32"/>
          <w:szCs w:val="32"/>
          <w:lang w:val="en-US" w:eastAsia="zh-CN"/>
        </w:rPr>
        <w:t>4</w:t>
      </w:r>
      <w:r>
        <w:rPr>
          <w:rFonts w:ascii="仿宋_GB2312" w:eastAsia="仿宋_GB2312"/>
          <w:color w:val="000000"/>
          <w:sz w:val="32"/>
          <w:szCs w:val="32"/>
        </w:rPr>
        <w:t>.</w:t>
      </w:r>
      <w:r>
        <w:rPr>
          <w:rFonts w:ascii="仿宋_GB2312" w:eastAsia="仿宋_GB2312" w:hint="eastAsia"/>
          <w:color w:val="000000"/>
          <w:sz w:val="32"/>
          <w:szCs w:val="32"/>
        </w:rPr>
        <w:t>农林水支出（类）农业农村（款）防灾救灾（项）：支出决算为</w:t>
      </w:r>
      <w:r>
        <w:rPr>
          <w:rFonts w:ascii="仿宋_GB2312" w:eastAsia="仿宋_GB2312" w:hint="eastAsia"/>
          <w:color w:val="000000"/>
          <w:sz w:val="32"/>
          <w:szCs w:val="32"/>
          <w:lang w:val="en-US" w:eastAsia="zh-CN"/>
        </w:rPr>
        <w:t>126</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无年初预算。</w:t>
      </w:r>
    </w:p>
    <w:p>
      <w:pPr>
        <w:spacing w:line="536" w:lineRule="exact"/>
        <w:ind w:firstLine="645"/>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15.</w:t>
      </w:r>
      <w:r>
        <w:rPr>
          <w:rFonts w:ascii="仿宋_GB2312" w:eastAsia="仿宋_GB2312" w:hint="eastAsia"/>
          <w:color w:val="000000"/>
          <w:sz w:val="32"/>
          <w:szCs w:val="32"/>
        </w:rPr>
        <w:t>农林水支出（类）农业农村（款）农业生产发展（项）：支出决算为</w:t>
      </w:r>
      <w:r>
        <w:rPr>
          <w:rFonts w:ascii="仿宋_GB2312" w:eastAsia="仿宋_GB2312" w:hint="eastAsia"/>
          <w:color w:val="000000"/>
          <w:sz w:val="32"/>
          <w:szCs w:val="32"/>
          <w:lang w:val="en-US" w:eastAsia="zh-CN"/>
        </w:rPr>
        <w:t>1189.05</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无年初预算。</w:t>
      </w:r>
    </w:p>
    <w:p>
      <w:pPr>
        <w:spacing w:line="536" w:lineRule="exact"/>
        <w:ind w:firstLine="645"/>
        <w:rPr>
          <w:rFonts w:ascii="仿宋_GB2312" w:eastAsia="仿宋_GB2312"/>
          <w:color w:val="000000"/>
          <w:sz w:val="32"/>
          <w:szCs w:val="32"/>
          <w:lang w:val="en-US" w:eastAsia="zh-CN"/>
        </w:rPr>
      </w:pPr>
      <w:r>
        <w:rPr>
          <w:rFonts w:ascii="仿宋_GB2312" w:eastAsia="仿宋_GB2312" w:hint="eastAsia"/>
          <w:color w:val="000000"/>
          <w:sz w:val="32"/>
          <w:szCs w:val="32"/>
          <w:lang w:val="en-US" w:eastAsia="zh-CN"/>
        </w:rPr>
        <w:t>16.</w:t>
      </w:r>
      <w:r>
        <w:rPr>
          <w:rFonts w:ascii="仿宋_GB2312" w:eastAsia="仿宋_GB2312" w:hint="eastAsia"/>
          <w:color w:val="000000"/>
          <w:sz w:val="32"/>
          <w:szCs w:val="32"/>
        </w:rPr>
        <w:t>农林水支出（类）农业农村（款）农业资源保护修复与利用（项）：支出决算为</w:t>
      </w:r>
      <w:r>
        <w:rPr>
          <w:rFonts w:ascii="仿宋_GB2312" w:eastAsia="仿宋_GB2312" w:hint="eastAsia"/>
          <w:color w:val="000000"/>
          <w:sz w:val="32"/>
          <w:szCs w:val="32"/>
          <w:lang w:val="en-US" w:eastAsia="zh-CN"/>
        </w:rPr>
        <w:t>9</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无年初预算。</w:t>
      </w:r>
    </w:p>
    <w:p>
      <w:pPr>
        <w:spacing w:line="536" w:lineRule="exact"/>
        <w:ind w:firstLine="645"/>
        <w:rPr>
          <w:rFonts w:ascii="仿宋_GB2312" w:eastAsia="仿宋_GB2312"/>
          <w:color w:val="000000"/>
          <w:sz w:val="32"/>
          <w:szCs w:val="32"/>
        </w:rPr>
      </w:pPr>
      <w:r>
        <w:rPr>
          <w:rFonts w:ascii="仿宋_GB2312" w:eastAsia="仿宋_GB2312" w:hint="eastAsia"/>
          <w:color w:val="000000"/>
          <w:sz w:val="32"/>
          <w:szCs w:val="32"/>
          <w:lang w:val="en-US" w:eastAsia="zh-CN"/>
        </w:rPr>
        <w:t>17.</w:t>
      </w:r>
      <w:r>
        <w:rPr>
          <w:rFonts w:ascii="仿宋_GB2312" w:eastAsia="仿宋_GB2312" w:hint="eastAsia"/>
          <w:color w:val="000000"/>
          <w:sz w:val="32"/>
          <w:szCs w:val="32"/>
        </w:rPr>
        <w:t>农林水支出（类）农业农村（款）农田建设（项）：支出决算为</w:t>
      </w:r>
      <w:r>
        <w:rPr>
          <w:rFonts w:ascii="仿宋_GB2312" w:eastAsia="仿宋_GB2312" w:hint="eastAsia"/>
          <w:color w:val="000000"/>
          <w:sz w:val="32"/>
          <w:szCs w:val="32"/>
          <w:lang w:val="en-US" w:eastAsia="zh-CN"/>
        </w:rPr>
        <w:t>1483</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，决算数等于预算数。</w:t>
      </w:r>
    </w:p>
    <w:p>
      <w:pPr>
        <w:spacing w:line="536" w:lineRule="exact"/>
        <w:ind w:firstLine="645"/>
        <w:rPr>
          <w:rFonts w:ascii="仿宋_GB2312" w:eastAsia="仿宋_GB2312"/>
          <w:color w:val="000000"/>
          <w:sz w:val="32"/>
          <w:szCs w:val="32"/>
          <w:lang w:val="en-US" w:eastAsia="zh-CN"/>
        </w:rPr>
      </w:pPr>
      <w:r>
        <w:rPr>
          <w:rFonts w:ascii="仿宋_GB2312" w:eastAsia="仿宋_GB2312" w:hint="eastAsia"/>
          <w:color w:val="000000"/>
          <w:sz w:val="32"/>
          <w:szCs w:val="32"/>
          <w:lang w:val="en-US" w:eastAsia="zh-CN"/>
        </w:rPr>
        <w:t>18.</w:t>
      </w:r>
      <w:r>
        <w:rPr>
          <w:rFonts w:ascii="仿宋_GB2312" w:eastAsia="仿宋_GB2312" w:hint="eastAsia"/>
          <w:color w:val="000000"/>
          <w:sz w:val="32"/>
          <w:szCs w:val="32"/>
        </w:rPr>
        <w:t>农林水支出（类）农业农村（款）其他农业农村支出（项）：支出决算为</w:t>
      </w:r>
      <w:r>
        <w:rPr>
          <w:rFonts w:ascii="仿宋_GB2312" w:eastAsia="仿宋_GB2312" w:hint="eastAsia"/>
          <w:color w:val="000000"/>
          <w:sz w:val="32"/>
          <w:szCs w:val="32"/>
          <w:lang w:val="en-US" w:eastAsia="zh-CN"/>
        </w:rPr>
        <w:t>529.98</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无年初预算。</w:t>
      </w:r>
    </w:p>
    <w:p>
      <w:pPr>
        <w:spacing w:line="536" w:lineRule="exact"/>
        <w:ind w:firstLine="645"/>
        <w:rPr>
          <w:rFonts w:ascii="仿宋_GB2312" w:eastAsia="仿宋_GB2312"/>
          <w:color w:val="000000"/>
          <w:sz w:val="32"/>
          <w:szCs w:val="32"/>
          <w:lang w:val="en-US" w:eastAsia="zh-CN"/>
        </w:rPr>
      </w:pPr>
      <w:r>
        <w:rPr>
          <w:rFonts w:ascii="仿宋_GB2312" w:eastAsia="仿宋_GB2312" w:hint="eastAsia"/>
          <w:color w:val="000000"/>
          <w:sz w:val="32"/>
          <w:szCs w:val="32"/>
          <w:lang w:val="en-US" w:eastAsia="zh-CN"/>
        </w:rPr>
        <w:t>19.</w:t>
      </w:r>
      <w:r>
        <w:rPr>
          <w:rFonts w:ascii="仿宋_GB2312" w:eastAsia="仿宋_GB2312" w:hint="eastAsia"/>
          <w:color w:val="000000"/>
          <w:sz w:val="32"/>
          <w:szCs w:val="32"/>
        </w:rPr>
        <w:t>农林水支出（类）</w:t>
      </w:r>
      <w:r>
        <w:rPr>
          <w:rFonts w:ascii="仿宋_GB2312" w:eastAsia="仿宋_GB2312" w:hint="eastAsia"/>
          <w:color w:val="000000"/>
          <w:sz w:val="32"/>
          <w:szCs w:val="32"/>
          <w:lang w:val="en-US" w:eastAsia="zh-CN"/>
        </w:rPr>
        <w:t>巩固脱贫衔接乡村振兴</w:t>
      </w:r>
      <w:r>
        <w:rPr>
          <w:rFonts w:ascii="仿宋_GB2312" w:eastAsia="仿宋_GB2312" w:hint="eastAsia"/>
          <w:color w:val="000000"/>
          <w:sz w:val="32"/>
          <w:szCs w:val="32"/>
        </w:rPr>
        <w:t>（款）农村基础设施建设（项）：支出决算为</w:t>
      </w:r>
      <w:r>
        <w:rPr>
          <w:rFonts w:ascii="仿宋_GB2312" w:eastAsia="仿宋_GB2312" w:hint="eastAsia"/>
          <w:color w:val="000000"/>
          <w:sz w:val="32"/>
          <w:szCs w:val="32"/>
          <w:lang w:val="en-US" w:eastAsia="zh-CN"/>
        </w:rPr>
        <w:t>3042.97</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无年初预算。</w:t>
      </w:r>
    </w:p>
    <w:p>
      <w:pPr>
        <w:spacing w:line="536" w:lineRule="exact"/>
        <w:ind w:firstLine="645"/>
        <w:rPr>
          <w:rFonts w:ascii="仿宋_GB2312" w:eastAsia="仿宋_GB2312"/>
          <w:color w:val="000000"/>
          <w:sz w:val="32"/>
          <w:szCs w:val="32"/>
          <w:lang w:val="en-US" w:eastAsia="zh-CN"/>
        </w:rPr>
      </w:pPr>
      <w:r>
        <w:rPr>
          <w:rFonts w:ascii="仿宋_GB2312" w:eastAsia="仿宋_GB2312" w:hint="eastAsia"/>
          <w:color w:val="000000"/>
          <w:sz w:val="32"/>
          <w:szCs w:val="32"/>
          <w:lang w:val="en-US" w:eastAsia="zh-CN"/>
        </w:rPr>
        <w:t>20.</w:t>
      </w:r>
      <w:r>
        <w:rPr>
          <w:rFonts w:ascii="仿宋_GB2312" w:eastAsia="仿宋_GB2312" w:hint="eastAsia"/>
          <w:color w:val="000000"/>
          <w:sz w:val="32"/>
          <w:szCs w:val="32"/>
        </w:rPr>
        <w:t>农林水支出（类）</w:t>
      </w:r>
      <w:r>
        <w:rPr>
          <w:rFonts w:ascii="仿宋_GB2312" w:eastAsia="仿宋_GB2312" w:hint="eastAsia"/>
          <w:color w:val="000000"/>
          <w:sz w:val="32"/>
          <w:szCs w:val="32"/>
          <w:lang w:val="en-US" w:eastAsia="zh-CN"/>
        </w:rPr>
        <w:t>巩固脱贫衔接乡村振兴</w:t>
      </w:r>
      <w:r>
        <w:rPr>
          <w:rFonts w:ascii="仿宋_GB2312" w:eastAsia="仿宋_GB2312" w:hint="eastAsia"/>
          <w:color w:val="000000"/>
          <w:sz w:val="32"/>
          <w:szCs w:val="32"/>
        </w:rPr>
        <w:t>（款）生产发展（项）：支出决算为</w:t>
      </w:r>
      <w:r>
        <w:rPr>
          <w:rFonts w:ascii="仿宋_GB2312" w:eastAsia="仿宋_GB2312" w:hint="eastAsia"/>
          <w:color w:val="000000"/>
          <w:sz w:val="32"/>
          <w:szCs w:val="32"/>
          <w:lang w:val="en-US" w:eastAsia="zh-CN"/>
        </w:rPr>
        <w:t>5710.42</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无年初预算。</w:t>
      </w:r>
    </w:p>
    <w:p>
      <w:pPr>
        <w:spacing w:line="536" w:lineRule="exact"/>
        <w:ind w:firstLine="645"/>
        <w:rPr>
          <w:rFonts w:ascii="仿宋_GB2312" w:eastAsia="仿宋_GB2312"/>
          <w:color w:val="000000"/>
          <w:sz w:val="32"/>
          <w:szCs w:val="32"/>
          <w:lang w:val="en-US" w:eastAsia="zh-CN"/>
        </w:rPr>
      </w:pP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农林水支出（类）</w:t>
      </w:r>
      <w:r>
        <w:rPr>
          <w:rFonts w:ascii="仿宋_GB2312" w:eastAsia="仿宋_GB2312" w:hint="eastAsia"/>
          <w:color w:val="000000"/>
          <w:sz w:val="32"/>
          <w:szCs w:val="32"/>
          <w:lang w:val="en-US" w:eastAsia="zh-CN"/>
        </w:rPr>
        <w:t>巩固脱贫衔接乡村振兴</w:t>
      </w:r>
      <w:r>
        <w:rPr>
          <w:rFonts w:ascii="仿宋_GB2312" w:eastAsia="仿宋_GB2312" w:hint="eastAsia"/>
          <w:color w:val="000000"/>
          <w:sz w:val="32"/>
          <w:szCs w:val="32"/>
        </w:rPr>
        <w:t>（款）其他巩固脱贫衔接乡村振兴支出（项）：支出决算为</w:t>
      </w:r>
      <w:r>
        <w:rPr>
          <w:rFonts w:ascii="仿宋_GB2312" w:eastAsia="仿宋_GB2312" w:hint="eastAsia"/>
          <w:color w:val="000000"/>
          <w:sz w:val="32"/>
          <w:szCs w:val="32"/>
          <w:lang w:val="en-US" w:eastAsia="zh-CN"/>
        </w:rPr>
        <w:t>1255.93</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无年初预算。</w:t>
      </w:r>
    </w:p>
    <w:p>
      <w:pPr>
        <w:spacing w:line="536" w:lineRule="exact"/>
        <w:ind w:firstLine="645"/>
        <w:rPr>
          <w:rFonts w:ascii="仿宋_GB2312" w:eastAsia="仿宋_GB2312"/>
          <w:color w:val="000000"/>
          <w:sz w:val="32"/>
          <w:szCs w:val="32"/>
          <w:lang w:val="en-US" w:eastAsia="zh-CN"/>
        </w:rPr>
      </w:pP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农林水支出（类）农村综合改革（款）对村集体经济组织的补助（项）：支出决算为</w:t>
      </w:r>
      <w:r>
        <w:rPr>
          <w:rFonts w:ascii="仿宋_GB2312" w:eastAsia="仿宋_GB2312" w:hint="eastAsia"/>
          <w:color w:val="000000"/>
          <w:sz w:val="32"/>
          <w:szCs w:val="32"/>
          <w:lang w:val="en-US" w:eastAsia="zh-CN"/>
        </w:rPr>
        <w:t>14.72</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无年初预算。</w:t>
      </w:r>
    </w:p>
    <w:p>
      <w:pPr>
        <w:spacing w:line="536" w:lineRule="exact"/>
        <w:ind w:firstLine="645"/>
        <w:rPr>
          <w:rFonts w:ascii="仿宋_GB2312" w:eastAsia="仿宋_GB2312"/>
          <w:color w:val="000000"/>
          <w:sz w:val="32"/>
          <w:szCs w:val="32"/>
          <w:lang w:val="en-US" w:eastAsia="zh-CN"/>
        </w:rPr>
      </w:pPr>
      <w:r>
        <w:rPr>
          <w:rFonts w:ascii="仿宋_GB2312" w:eastAsia="仿宋_GB2312" w:hint="eastAsia"/>
          <w:color w:val="000000"/>
          <w:sz w:val="32"/>
          <w:szCs w:val="32"/>
          <w:lang w:val="en-US" w:eastAsia="zh-CN"/>
        </w:rPr>
        <w:t>23.</w:t>
      </w:r>
      <w:r>
        <w:rPr>
          <w:rFonts w:ascii="仿宋_GB2312" w:eastAsia="仿宋_GB2312" w:hint="eastAsia"/>
          <w:color w:val="000000"/>
          <w:sz w:val="32"/>
          <w:szCs w:val="32"/>
        </w:rPr>
        <w:t>农林水支出（类）农村综合改革（款）其他农村综合改革支出（项）：支出决算为</w:t>
      </w:r>
      <w:r>
        <w:rPr>
          <w:rFonts w:ascii="仿宋_GB2312" w:eastAsia="仿宋_GB2312" w:hint="eastAsia"/>
          <w:color w:val="000000"/>
          <w:sz w:val="32"/>
          <w:szCs w:val="32"/>
          <w:lang w:val="en-US" w:eastAsia="zh-CN"/>
        </w:rPr>
        <w:t>280</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无年初预算。</w:t>
      </w:r>
    </w:p>
    <w:p>
      <w:pPr>
        <w:spacing w:line="536" w:lineRule="exact"/>
        <w:ind w:firstLine="645"/>
        <w:rPr>
          <w:rFonts w:ascii="仿宋_GB2312" w:eastAsia="仿宋_GB2312"/>
          <w:color w:val="000000"/>
          <w:sz w:val="32"/>
          <w:szCs w:val="32"/>
        </w:rPr>
      </w:pPr>
      <w:r>
        <w:rPr>
          <w:rFonts w:ascii="仿宋_GB2312" w:eastAsia="仿宋_GB2312" w:hint="eastAsia"/>
          <w:color w:val="000000"/>
          <w:sz w:val="32"/>
          <w:szCs w:val="32"/>
          <w:lang w:val="en-US" w:eastAsia="zh-CN"/>
        </w:rPr>
        <w:t>24.住房保障支出</w:t>
      </w:r>
      <w:r>
        <w:rPr>
          <w:rFonts w:ascii="仿宋_GB2312" w:eastAsia="仿宋_GB2312" w:hint="eastAsia"/>
          <w:color w:val="000000"/>
          <w:sz w:val="32"/>
          <w:szCs w:val="32"/>
        </w:rPr>
        <w:t>（类）</w:t>
      </w:r>
      <w:r>
        <w:rPr>
          <w:rFonts w:ascii="仿宋_GB2312" w:eastAsia="仿宋_GB2312" w:hint="eastAsia"/>
          <w:color w:val="000000"/>
          <w:sz w:val="32"/>
          <w:szCs w:val="32"/>
          <w:lang w:val="en-US" w:eastAsia="zh-CN"/>
        </w:rPr>
        <w:t>住房改革支出</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住房公积金</w:t>
      </w:r>
      <w:r>
        <w:rPr>
          <w:rFonts w:ascii="仿宋_GB2312" w:eastAsia="仿宋_GB2312" w:hint="eastAsia"/>
          <w:color w:val="000000"/>
          <w:sz w:val="32"/>
          <w:szCs w:val="32"/>
        </w:rPr>
        <w:t>（项）：支出决算为</w:t>
      </w:r>
      <w:r>
        <w:rPr>
          <w:rFonts w:ascii="仿宋_GB2312" w:eastAsia="仿宋_GB2312" w:hint="eastAsia"/>
          <w:color w:val="000000"/>
          <w:sz w:val="32"/>
          <w:szCs w:val="32"/>
          <w:lang w:val="en-US" w:eastAsia="zh-CN"/>
        </w:rPr>
        <w:t>117.53</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，决算数等于预算数。</w:t>
      </w:r>
    </w:p>
    <w:p>
      <w:pPr>
        <w:spacing w:line="536" w:lineRule="exact"/>
        <w:ind w:firstLine="645"/>
        <w:rPr>
          <w:rFonts w:ascii="仿宋_GB2312" w:eastAsia="仿宋_GB2312"/>
          <w:color w:val="000000"/>
          <w:sz w:val="32"/>
          <w:szCs w:val="32"/>
          <w:lang w:val="en-US" w:eastAsia="zh-CN"/>
        </w:rPr>
      </w:pPr>
      <w:r>
        <w:rPr>
          <w:rFonts w:ascii="仿宋_GB2312" w:eastAsia="仿宋_GB2312" w:hint="eastAsia"/>
          <w:color w:val="000000"/>
          <w:sz w:val="32"/>
          <w:szCs w:val="32"/>
          <w:lang w:val="en-US" w:eastAsia="zh-CN"/>
        </w:rPr>
        <w:t>25.其他</w:t>
      </w:r>
      <w:r>
        <w:rPr>
          <w:rFonts w:ascii="仿宋_GB2312" w:eastAsia="仿宋_GB2312" w:hint="eastAsia"/>
          <w:color w:val="000000"/>
          <w:sz w:val="32"/>
          <w:szCs w:val="32"/>
        </w:rPr>
        <w:t>支出（类）</w:t>
      </w:r>
      <w:r>
        <w:rPr>
          <w:rFonts w:ascii="仿宋_GB2312" w:eastAsia="仿宋_GB2312" w:hint="eastAsia"/>
          <w:color w:val="000000"/>
          <w:sz w:val="32"/>
          <w:szCs w:val="32"/>
          <w:lang w:val="en-US" w:eastAsia="zh-CN"/>
        </w:rPr>
        <w:t>其他支出</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其他支出</w:t>
      </w:r>
      <w:r>
        <w:rPr>
          <w:rFonts w:ascii="仿宋_GB2312" w:eastAsia="仿宋_GB2312" w:hint="eastAsia"/>
          <w:color w:val="000000"/>
          <w:sz w:val="32"/>
          <w:szCs w:val="32"/>
        </w:rPr>
        <w:t>（项）：支出决算为</w:t>
      </w:r>
      <w:r>
        <w:rPr>
          <w:rFonts w:ascii="仿宋_GB2312" w:eastAsia="仿宋_GB2312" w:hint="eastAsia"/>
          <w:color w:val="000000"/>
          <w:sz w:val="32"/>
          <w:szCs w:val="32"/>
          <w:lang w:val="en-US" w:eastAsia="zh-CN"/>
        </w:rPr>
        <w:t>260</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无年初预算。</w:t>
      </w: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50"/>
      <w:bookmarkEnd w:id="51"/>
      <w:r>
        <w:rPr>
          <w:rStyle w:val="2Char"/>
          <w:rFonts w:ascii="黑体" w:eastAsia="黑体"/>
          <w:b w:val="0"/>
        </w:rPr>
        <w:tab/>
      </w:r>
    </w:p>
    <w:p>
      <w:pPr>
        <w:spacing w:line="536" w:lineRule="exact"/>
        <w:ind w:firstLine="645"/>
        <w:rPr>
          <w:rFonts w:ascii="仿宋_GB2312" w:eastAsia="仿宋_GB2312"/>
          <w:color w:val="000000"/>
          <w:sz w:val="32"/>
          <w:szCs w:val="32"/>
        </w:rPr>
      </w:pPr>
      <w:bookmarkStart w:id="52" w:name="_Toc15396609"/>
      <w:bookmarkStart w:id="53" w:name="_Toc15377215"/>
      <w:r>
        <w:rPr>
          <w:rFonts w:ascii="仿宋_GB2312" w:eastAsia="仿宋_GB2312" w:hint="eastAsia"/>
          <w:color w:val="000000"/>
          <w:sz w:val="32"/>
          <w:szCs w:val="32"/>
          <w:lang w:eastAsia="zh-CN"/>
        </w:rPr>
        <w:t>2022</w:t>
      </w:r>
      <w:r>
        <w:rPr>
          <w:rFonts w:ascii="仿宋_GB2312" w:eastAsia="仿宋_GB2312" w:hint="eastAsia"/>
          <w:color w:val="000000"/>
          <w:sz w:val="32"/>
          <w:szCs w:val="32"/>
        </w:rPr>
        <w:t>年度一般公共预算财政拨款基本支出</w:t>
      </w:r>
      <w:r>
        <w:rPr>
          <w:rFonts w:ascii="仿宋_GB2312" w:eastAsia="仿宋_GB2312" w:hint="eastAsia"/>
          <w:color w:val="000000"/>
          <w:sz w:val="32"/>
          <w:szCs w:val="32"/>
          <w:lang w:val="en-US" w:eastAsia="zh-CN"/>
        </w:rPr>
        <w:t>1900.85</w:t>
      </w:r>
      <w:r>
        <w:rPr>
          <w:rFonts w:ascii="仿宋_GB2312" w:eastAsia="仿宋_GB2312" w:hint="eastAsia"/>
          <w:color w:val="000000"/>
          <w:sz w:val="32"/>
          <w:szCs w:val="32"/>
        </w:rPr>
        <w:t>万元，其中：</w:t>
      </w:r>
    </w:p>
    <w:p>
      <w:pPr>
        <w:spacing w:line="536" w:lineRule="exact"/>
        <w:ind w:firstLine="645"/>
        <w:rPr>
          <w:rFonts w:ascii="仿宋_GB2312" w:eastAsia="仿宋_GB2312"/>
          <w:color w:val="000000"/>
          <w:sz w:val="32"/>
          <w:szCs w:val="32"/>
        </w:rPr>
      </w:pPr>
      <w:r>
        <w:rPr>
          <w:rFonts w:ascii="仿宋_GB2312" w:eastAsia="仿宋_GB2312" w:hint="eastAsia"/>
          <w:color w:val="000000"/>
          <w:sz w:val="32"/>
          <w:szCs w:val="32"/>
        </w:rPr>
        <w:t>人员经费</w:t>
      </w:r>
      <w:r>
        <w:rPr>
          <w:rFonts w:ascii="仿宋_GB2312" w:eastAsia="仿宋_GB2312" w:hint="eastAsia"/>
          <w:color w:val="000000"/>
          <w:sz w:val="32"/>
          <w:szCs w:val="32"/>
          <w:lang w:val="en-US" w:eastAsia="zh-CN"/>
        </w:rPr>
        <w:t>1831.51万</w:t>
      </w:r>
      <w:r>
        <w:rPr>
          <w:rFonts w:ascii="仿宋_GB2312" w:eastAsia="仿宋_GB2312" w:hint="eastAsia"/>
          <w:color w:val="000000"/>
          <w:sz w:val="32"/>
          <w:szCs w:val="32"/>
        </w:rPr>
        <w:t>元，主要包括：基本工资</w:t>
      </w:r>
      <w:r>
        <w:rPr>
          <w:rFonts w:ascii="仿宋_GB2312" w:eastAsia="仿宋_GB2312" w:hint="eastAsia"/>
          <w:color w:val="000000"/>
          <w:sz w:val="32"/>
          <w:szCs w:val="32"/>
          <w:lang w:val="en-US" w:eastAsia="zh-CN"/>
        </w:rPr>
        <w:t>363.68</w:t>
      </w:r>
      <w:r>
        <w:rPr>
          <w:rFonts w:ascii="仿宋_GB2312" w:eastAsia="仿宋_GB2312" w:hint="eastAsia"/>
          <w:color w:val="000000"/>
          <w:sz w:val="32"/>
          <w:szCs w:val="32"/>
        </w:rPr>
        <w:t>万元、津贴补贴</w:t>
      </w:r>
      <w:r>
        <w:rPr>
          <w:rFonts w:ascii="仿宋_GB2312" w:eastAsia="仿宋_GB2312" w:hint="eastAsia"/>
          <w:color w:val="000000"/>
          <w:sz w:val="32"/>
          <w:szCs w:val="32"/>
          <w:lang w:val="en-US" w:eastAsia="zh-CN"/>
        </w:rPr>
        <w:t>221.36</w:t>
      </w:r>
      <w:r>
        <w:rPr>
          <w:rFonts w:ascii="仿宋_GB2312" w:eastAsia="仿宋_GB2312" w:hint="eastAsia"/>
          <w:color w:val="000000"/>
          <w:sz w:val="32"/>
          <w:szCs w:val="32"/>
        </w:rPr>
        <w:t>万元、奖金</w:t>
      </w:r>
      <w:r>
        <w:rPr>
          <w:rFonts w:ascii="仿宋_GB2312" w:eastAsia="仿宋_GB2312" w:hint="eastAsia"/>
          <w:color w:val="000000"/>
          <w:sz w:val="32"/>
          <w:szCs w:val="32"/>
          <w:lang w:val="en-US" w:eastAsia="zh-CN"/>
        </w:rPr>
        <w:t>321.99</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绩效工资184.21万元、</w:t>
      </w:r>
      <w:r>
        <w:rPr>
          <w:rFonts w:ascii="仿宋_GB2312" w:eastAsia="仿宋_GB2312" w:hint="eastAsia"/>
          <w:color w:val="000000"/>
          <w:sz w:val="32"/>
          <w:szCs w:val="32"/>
        </w:rPr>
        <w:t>机关事业单位基本养老保险缴费</w:t>
      </w:r>
      <w:r>
        <w:rPr>
          <w:rFonts w:ascii="仿宋_GB2312" w:eastAsia="仿宋_GB2312" w:hint="eastAsia"/>
          <w:color w:val="000000"/>
          <w:sz w:val="32"/>
          <w:szCs w:val="32"/>
          <w:lang w:val="en-US" w:eastAsia="zh-CN"/>
        </w:rPr>
        <w:t>138.28</w:t>
      </w:r>
      <w:r>
        <w:rPr>
          <w:rFonts w:ascii="仿宋_GB2312" w:eastAsia="仿宋_GB2312" w:hint="eastAsia"/>
          <w:color w:val="000000"/>
          <w:sz w:val="32"/>
          <w:szCs w:val="32"/>
        </w:rPr>
        <w:t>万元、职业年金缴费</w:t>
      </w:r>
      <w:r>
        <w:rPr>
          <w:rFonts w:ascii="仿宋_GB2312" w:eastAsia="仿宋_GB2312" w:hint="eastAsia"/>
          <w:color w:val="000000"/>
          <w:sz w:val="32"/>
          <w:szCs w:val="32"/>
          <w:lang w:val="en-US" w:eastAsia="zh-CN"/>
        </w:rPr>
        <w:t>69.19</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职工基本医疗保险缴费61.7万元、公务员医疗补助8.67万元、其他社会保障缴费34.46万元、</w:t>
      </w:r>
      <w:r>
        <w:rPr>
          <w:rFonts w:ascii="仿宋_GB2312" w:eastAsia="仿宋_GB2312" w:hint="eastAsia"/>
          <w:color w:val="000000"/>
          <w:sz w:val="32"/>
          <w:szCs w:val="32"/>
        </w:rPr>
        <w:t>其他工资福利支出</w:t>
      </w:r>
      <w:r>
        <w:rPr>
          <w:rFonts w:ascii="仿宋_GB2312" w:eastAsia="仿宋_GB2312"/>
          <w:color w:val="000000"/>
          <w:sz w:val="32"/>
          <w:szCs w:val="32"/>
        </w:rPr>
        <w:t>0</w:t>
      </w:r>
      <w:r>
        <w:rPr>
          <w:rFonts w:ascii="仿宋_GB2312" w:eastAsia="仿宋_GB2312" w:hint="eastAsia"/>
          <w:color w:val="000000"/>
          <w:sz w:val="32"/>
          <w:szCs w:val="32"/>
        </w:rPr>
        <w:t>万元、离休费</w:t>
      </w:r>
      <w:r>
        <w:rPr>
          <w:rFonts w:ascii="仿宋_GB2312" w:eastAsia="仿宋_GB2312"/>
          <w:color w:val="000000"/>
          <w:sz w:val="32"/>
          <w:szCs w:val="32"/>
        </w:rPr>
        <w:t>0</w:t>
      </w:r>
      <w:r>
        <w:rPr>
          <w:rFonts w:ascii="仿宋_GB2312" w:eastAsia="仿宋_GB2312" w:hint="eastAsia"/>
          <w:color w:val="000000"/>
          <w:sz w:val="32"/>
          <w:szCs w:val="32"/>
        </w:rPr>
        <w:t>万元、退休费</w:t>
      </w:r>
      <w:r>
        <w:rPr>
          <w:rFonts w:ascii="仿宋_GB2312" w:eastAsia="仿宋_GB2312"/>
          <w:color w:val="000000"/>
          <w:sz w:val="32"/>
          <w:szCs w:val="32"/>
        </w:rPr>
        <w:t>0</w:t>
      </w:r>
      <w:r>
        <w:rPr>
          <w:rFonts w:ascii="仿宋_GB2312" w:eastAsia="仿宋_GB2312" w:hint="eastAsia"/>
          <w:color w:val="000000"/>
          <w:sz w:val="32"/>
          <w:szCs w:val="32"/>
        </w:rPr>
        <w:t>万元、抚恤金</w:t>
      </w:r>
      <w:r>
        <w:rPr>
          <w:rFonts w:ascii="仿宋_GB2312" w:eastAsia="仿宋_GB2312" w:hint="eastAsia"/>
          <w:color w:val="000000"/>
          <w:sz w:val="32"/>
          <w:szCs w:val="32"/>
          <w:lang w:val="en-US" w:eastAsia="zh-CN"/>
        </w:rPr>
        <w:t>36.66</w:t>
      </w:r>
      <w:r>
        <w:rPr>
          <w:rFonts w:ascii="仿宋_GB2312" w:eastAsia="仿宋_GB2312" w:hint="eastAsia"/>
          <w:color w:val="000000"/>
          <w:sz w:val="32"/>
          <w:szCs w:val="32"/>
        </w:rPr>
        <w:t>万元、生活补助</w:t>
      </w:r>
      <w:r>
        <w:rPr>
          <w:rFonts w:ascii="仿宋_GB2312" w:eastAsia="仿宋_GB2312" w:hint="eastAsia"/>
          <w:color w:val="000000"/>
          <w:sz w:val="32"/>
          <w:szCs w:val="32"/>
          <w:lang w:val="en-US" w:eastAsia="zh-CN"/>
        </w:rPr>
        <w:t>79.37</w:t>
      </w:r>
      <w:r>
        <w:rPr>
          <w:rFonts w:ascii="仿宋_GB2312" w:eastAsia="仿宋_GB2312" w:hint="eastAsia"/>
          <w:color w:val="000000"/>
          <w:sz w:val="32"/>
          <w:szCs w:val="32"/>
        </w:rPr>
        <w:t>万元、医疗费</w:t>
      </w:r>
      <w:r>
        <w:rPr>
          <w:rFonts w:ascii="仿宋_GB2312" w:eastAsia="仿宋_GB2312"/>
          <w:color w:val="000000"/>
          <w:sz w:val="32"/>
          <w:szCs w:val="32"/>
        </w:rPr>
        <w:t>0</w:t>
      </w:r>
      <w:r>
        <w:rPr>
          <w:rFonts w:ascii="仿宋_GB2312" w:eastAsia="仿宋_GB2312" w:hint="eastAsia"/>
          <w:color w:val="000000"/>
          <w:sz w:val="32"/>
          <w:szCs w:val="32"/>
        </w:rPr>
        <w:t>万元、奖励金</w:t>
      </w:r>
      <w:r>
        <w:rPr>
          <w:rFonts w:ascii="仿宋_GB2312" w:eastAsia="仿宋_GB2312" w:hint="eastAsia"/>
          <w:color w:val="000000"/>
          <w:sz w:val="32"/>
          <w:szCs w:val="32"/>
          <w:lang w:val="en-US" w:eastAsia="zh-CN"/>
        </w:rPr>
        <w:t>194.42</w:t>
      </w:r>
      <w:r>
        <w:rPr>
          <w:rFonts w:ascii="仿宋_GB2312" w:eastAsia="仿宋_GB2312" w:hint="eastAsia"/>
          <w:color w:val="000000"/>
          <w:sz w:val="32"/>
          <w:szCs w:val="32"/>
        </w:rPr>
        <w:t>万元、住房公积金</w:t>
      </w:r>
      <w:r>
        <w:rPr>
          <w:rFonts w:ascii="仿宋_GB2312" w:eastAsia="仿宋_GB2312" w:hint="eastAsia"/>
          <w:color w:val="000000"/>
          <w:sz w:val="32"/>
          <w:szCs w:val="32"/>
          <w:lang w:val="en-US" w:eastAsia="zh-CN"/>
        </w:rPr>
        <w:t>117.53</w:t>
      </w:r>
      <w:r>
        <w:rPr>
          <w:rFonts w:ascii="仿宋_GB2312" w:eastAsia="仿宋_GB2312" w:hint="eastAsia"/>
          <w:color w:val="000000"/>
          <w:sz w:val="32"/>
          <w:szCs w:val="32"/>
        </w:rPr>
        <w:t>万元、购房补贴</w:t>
      </w:r>
      <w:r>
        <w:rPr>
          <w:rFonts w:ascii="仿宋_GB2312" w:eastAsia="仿宋_GB2312"/>
          <w:color w:val="000000"/>
          <w:sz w:val="32"/>
          <w:szCs w:val="32"/>
        </w:rPr>
        <w:t>0</w:t>
      </w:r>
      <w:r>
        <w:rPr>
          <w:rFonts w:ascii="仿宋_GB2312" w:eastAsia="仿宋_GB2312" w:hint="eastAsia"/>
          <w:color w:val="000000"/>
          <w:sz w:val="32"/>
          <w:szCs w:val="32"/>
        </w:rPr>
        <w:t>万元等。</w:t>
      </w:r>
    </w:p>
    <w:p>
      <w:pPr>
        <w:spacing w:line="536" w:lineRule="exact"/>
        <w:ind w:firstLine="645"/>
        <w:rPr>
          <w:rFonts w:ascii="仿宋_GB2312" w:eastAsia="仿宋_GB2312"/>
          <w:color w:val="000000"/>
          <w:sz w:val="32"/>
          <w:szCs w:val="32"/>
        </w:rPr>
      </w:pPr>
      <w:r>
        <w:rPr>
          <w:rFonts w:ascii="仿宋_GB2312" w:eastAsia="仿宋_GB2312" w:hint="eastAsia"/>
          <w:color w:val="000000"/>
          <w:sz w:val="32"/>
          <w:szCs w:val="32"/>
        </w:rPr>
        <w:t>日常公用经费</w:t>
      </w:r>
      <w:r>
        <w:rPr>
          <w:rFonts w:ascii="仿宋_GB2312" w:eastAsia="仿宋_GB2312" w:hint="eastAsia"/>
          <w:color w:val="000000"/>
          <w:sz w:val="32"/>
          <w:szCs w:val="32"/>
          <w:lang w:val="en-US" w:eastAsia="zh-CN"/>
        </w:rPr>
        <w:t>69.34</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14.94</w:t>
      </w:r>
      <w:r>
        <w:rPr>
          <w:rFonts w:ascii="仿宋_GB2312" w:eastAsia="仿宋_GB2312" w:hint="eastAsia"/>
          <w:color w:val="000000"/>
          <w:sz w:val="32"/>
          <w:szCs w:val="32"/>
        </w:rPr>
        <w:t>万元、印刷费</w:t>
      </w:r>
      <w:r>
        <w:rPr>
          <w:rFonts w:ascii="仿宋_GB2312" w:eastAsia="仿宋_GB2312"/>
          <w:color w:val="000000"/>
          <w:sz w:val="32"/>
          <w:szCs w:val="32"/>
        </w:rPr>
        <w:t>0</w:t>
      </w:r>
      <w:r>
        <w:rPr>
          <w:rFonts w:ascii="仿宋_GB2312" w:eastAsia="仿宋_GB2312" w:hint="eastAsia"/>
          <w:color w:val="000000"/>
          <w:sz w:val="32"/>
          <w:szCs w:val="32"/>
        </w:rPr>
        <w:t>万元、咨询费</w:t>
      </w:r>
      <w:r>
        <w:rPr>
          <w:rFonts w:ascii="仿宋_GB2312" w:eastAsia="仿宋_GB2312"/>
          <w:color w:val="000000"/>
          <w:sz w:val="32"/>
          <w:szCs w:val="32"/>
        </w:rPr>
        <w:t>0</w:t>
      </w:r>
      <w:r>
        <w:rPr>
          <w:rFonts w:ascii="仿宋_GB2312" w:eastAsia="仿宋_GB2312" w:hint="eastAsia"/>
          <w:color w:val="000000"/>
          <w:sz w:val="32"/>
          <w:szCs w:val="32"/>
        </w:rPr>
        <w:t>万元、水费</w:t>
      </w:r>
      <w:r>
        <w:rPr>
          <w:rFonts w:ascii="仿宋_GB2312" w:eastAsia="仿宋_GB2312" w:hint="eastAsia"/>
          <w:color w:val="000000"/>
          <w:sz w:val="32"/>
          <w:szCs w:val="32"/>
          <w:lang w:val="en-US" w:eastAsia="zh-CN"/>
        </w:rPr>
        <w:t>0.4</w:t>
      </w:r>
      <w:r>
        <w:rPr>
          <w:rFonts w:ascii="仿宋_GB2312" w:eastAsia="仿宋_GB2312" w:hint="eastAsia"/>
          <w:color w:val="000000"/>
          <w:sz w:val="32"/>
          <w:szCs w:val="32"/>
        </w:rPr>
        <w:t>万元、电费</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万元、邮电费</w:t>
      </w:r>
      <w:r>
        <w:rPr>
          <w:rFonts w:ascii="仿宋_GB2312" w:eastAsia="仿宋_GB2312" w:hint="eastAsia"/>
          <w:color w:val="000000"/>
          <w:sz w:val="32"/>
          <w:szCs w:val="32"/>
          <w:lang w:val="en-US" w:eastAsia="zh-CN"/>
        </w:rPr>
        <w:t>4.56</w:t>
      </w:r>
      <w:r>
        <w:rPr>
          <w:rFonts w:ascii="仿宋_GB2312" w:eastAsia="仿宋_GB2312" w:hint="eastAsia"/>
          <w:color w:val="000000"/>
          <w:sz w:val="32"/>
          <w:szCs w:val="32"/>
        </w:rPr>
        <w:t>万元、取暖费</w:t>
      </w:r>
      <w:r>
        <w:rPr>
          <w:rFonts w:ascii="仿宋_GB2312" w:eastAsia="仿宋_GB2312"/>
          <w:color w:val="000000"/>
          <w:sz w:val="32"/>
          <w:szCs w:val="32"/>
        </w:rPr>
        <w:t>0</w:t>
      </w:r>
      <w:r>
        <w:rPr>
          <w:rFonts w:ascii="仿宋_GB2312" w:eastAsia="仿宋_GB2312" w:hint="eastAsia"/>
          <w:color w:val="000000"/>
          <w:sz w:val="32"/>
          <w:szCs w:val="32"/>
        </w:rPr>
        <w:t>万元、物业管理费</w:t>
      </w:r>
      <w:r>
        <w:rPr>
          <w:rFonts w:ascii="仿宋_GB2312" w:eastAsia="仿宋_GB2312"/>
          <w:color w:val="000000"/>
          <w:sz w:val="32"/>
          <w:szCs w:val="32"/>
        </w:rPr>
        <w:t>0</w:t>
      </w:r>
      <w:r>
        <w:rPr>
          <w:rFonts w:ascii="仿宋_GB2312" w:eastAsia="仿宋_GB2312" w:hint="eastAsia"/>
          <w:color w:val="000000"/>
          <w:sz w:val="32"/>
          <w:szCs w:val="32"/>
        </w:rPr>
        <w:t>万元、差旅费</w:t>
      </w:r>
      <w:r>
        <w:rPr>
          <w:rFonts w:ascii="仿宋_GB2312" w:eastAsia="仿宋_GB2312" w:hint="eastAsia"/>
          <w:color w:val="000000"/>
          <w:sz w:val="32"/>
          <w:szCs w:val="32"/>
          <w:lang w:val="en-US" w:eastAsia="zh-CN"/>
        </w:rPr>
        <w:t>14.99</w:t>
      </w:r>
      <w:r>
        <w:rPr>
          <w:rFonts w:ascii="仿宋_GB2312" w:eastAsia="仿宋_GB2312" w:hint="eastAsia"/>
          <w:color w:val="000000"/>
          <w:sz w:val="32"/>
          <w:szCs w:val="32"/>
        </w:rPr>
        <w:t>万元、因公出国（境）费用</w:t>
      </w:r>
      <w:r>
        <w:rPr>
          <w:rFonts w:ascii="仿宋_GB2312" w:eastAsia="仿宋_GB2312"/>
          <w:color w:val="000000"/>
          <w:sz w:val="32"/>
          <w:szCs w:val="32"/>
        </w:rPr>
        <w:t>0</w:t>
      </w:r>
      <w:r>
        <w:rPr>
          <w:rFonts w:ascii="仿宋_GB2312" w:eastAsia="仿宋_GB2312" w:hint="eastAsia"/>
          <w:color w:val="000000"/>
          <w:sz w:val="32"/>
          <w:szCs w:val="32"/>
        </w:rPr>
        <w:t>万元、维修（护）费</w:t>
      </w:r>
      <w:r>
        <w:rPr>
          <w:rFonts w:ascii="仿宋_GB2312" w:eastAsia="仿宋_GB2312"/>
          <w:color w:val="000000"/>
          <w:sz w:val="32"/>
          <w:szCs w:val="32"/>
        </w:rPr>
        <w:t>0</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万元、会议费</w:t>
      </w:r>
      <w:r>
        <w:rPr>
          <w:rFonts w:ascii="仿宋_GB2312" w:eastAsia="仿宋_GB2312"/>
          <w:color w:val="000000"/>
          <w:sz w:val="32"/>
          <w:szCs w:val="32"/>
        </w:rPr>
        <w:t>0</w:t>
      </w:r>
      <w:r>
        <w:rPr>
          <w:rFonts w:ascii="仿宋_GB2312" w:eastAsia="仿宋_GB2312" w:hint="eastAsia"/>
          <w:color w:val="000000"/>
          <w:sz w:val="32"/>
          <w:szCs w:val="32"/>
        </w:rPr>
        <w:t>万元、培训费</w:t>
      </w:r>
      <w:r>
        <w:rPr>
          <w:rFonts w:ascii="仿宋_GB2312" w:eastAsia="仿宋_GB2312"/>
          <w:color w:val="000000"/>
          <w:sz w:val="32"/>
          <w:szCs w:val="32"/>
        </w:rPr>
        <w:t>0</w:t>
      </w:r>
      <w:r>
        <w:rPr>
          <w:rFonts w:ascii="仿宋_GB2312" w:eastAsia="仿宋_GB2312" w:hint="eastAsia"/>
          <w:color w:val="000000"/>
          <w:sz w:val="32"/>
          <w:szCs w:val="32"/>
        </w:rPr>
        <w:t>万元、公务接待费</w:t>
      </w:r>
      <w:r>
        <w:rPr>
          <w:rFonts w:ascii="仿宋_GB2312" w:eastAsia="仿宋_GB2312" w:hint="eastAsia"/>
          <w:color w:val="000000"/>
          <w:sz w:val="32"/>
          <w:szCs w:val="32"/>
          <w:lang w:val="en-US" w:eastAsia="zh-CN"/>
        </w:rPr>
        <w:t>0.6</w:t>
      </w:r>
      <w:r>
        <w:rPr>
          <w:rFonts w:ascii="仿宋_GB2312" w:eastAsia="仿宋_GB2312" w:hint="eastAsia"/>
          <w:color w:val="000000"/>
          <w:sz w:val="32"/>
          <w:szCs w:val="32"/>
        </w:rPr>
        <w:t>万元、劳务费</w:t>
      </w:r>
      <w:r>
        <w:rPr>
          <w:rFonts w:ascii="仿宋_GB2312" w:eastAsia="仿宋_GB2312" w:hint="eastAsia"/>
          <w:color w:val="000000"/>
          <w:sz w:val="32"/>
          <w:szCs w:val="32"/>
          <w:lang w:val="en-US" w:eastAsia="zh-CN"/>
        </w:rPr>
        <w:t>16.77</w:t>
      </w:r>
      <w:r>
        <w:rPr>
          <w:rFonts w:ascii="仿宋_GB2312" w:eastAsia="仿宋_GB2312" w:hint="eastAsia"/>
          <w:color w:val="000000"/>
          <w:sz w:val="32"/>
          <w:szCs w:val="32"/>
        </w:rPr>
        <w:t>万元、委托业务费</w:t>
      </w:r>
      <w:r>
        <w:rPr>
          <w:rFonts w:ascii="仿宋_GB2312" w:eastAsia="仿宋_GB2312"/>
          <w:color w:val="000000"/>
          <w:sz w:val="32"/>
          <w:szCs w:val="32"/>
        </w:rPr>
        <w:t>0</w:t>
      </w:r>
      <w:r>
        <w:rPr>
          <w:rFonts w:ascii="仿宋_GB2312" w:eastAsia="仿宋_GB2312" w:hint="eastAsia"/>
          <w:color w:val="000000"/>
          <w:sz w:val="32"/>
          <w:szCs w:val="32"/>
        </w:rPr>
        <w:t>万元、福利费</w:t>
      </w:r>
      <w:r>
        <w:rPr>
          <w:rFonts w:ascii="仿宋_GB2312" w:eastAsia="仿宋_GB2312" w:hint="eastAsia"/>
          <w:color w:val="000000"/>
          <w:sz w:val="32"/>
          <w:szCs w:val="32"/>
          <w:lang w:val="en-US" w:eastAsia="zh-CN"/>
        </w:rPr>
        <w:t>0.83</w:t>
      </w:r>
      <w:r>
        <w:rPr>
          <w:rFonts w:ascii="仿宋_GB2312" w:eastAsia="仿宋_GB2312" w:hint="eastAsia"/>
          <w:color w:val="000000"/>
          <w:sz w:val="32"/>
          <w:szCs w:val="32"/>
        </w:rPr>
        <w:t>万元、公务用车运行维护费</w:t>
      </w:r>
      <w:r>
        <w:rPr>
          <w:rFonts w:ascii="仿宋_GB2312" w:eastAsia="仿宋_GB2312" w:hint="eastAsia"/>
          <w:color w:val="000000"/>
          <w:sz w:val="32"/>
          <w:szCs w:val="32"/>
          <w:lang w:val="en-US" w:eastAsia="zh-CN"/>
        </w:rPr>
        <w:t>4.51</w:t>
      </w:r>
      <w:r>
        <w:rPr>
          <w:rFonts w:ascii="仿宋_GB2312" w:eastAsia="仿宋_GB2312" w:hint="eastAsia"/>
          <w:color w:val="000000"/>
          <w:sz w:val="32"/>
          <w:szCs w:val="32"/>
        </w:rPr>
        <w:t>万元、其他交通费</w:t>
      </w:r>
      <w:r>
        <w:rPr>
          <w:rFonts w:ascii="仿宋_GB2312" w:eastAsia="仿宋_GB2312" w:hint="eastAsia"/>
          <w:color w:val="000000"/>
          <w:sz w:val="32"/>
          <w:szCs w:val="32"/>
          <w:lang w:val="en-US" w:eastAsia="zh-CN"/>
        </w:rPr>
        <w:t>6.74</w:t>
      </w:r>
      <w:r>
        <w:rPr>
          <w:rFonts w:ascii="仿宋_GB2312" w:eastAsia="仿宋_GB2312" w:hint="eastAsia"/>
          <w:color w:val="000000"/>
          <w:sz w:val="32"/>
          <w:szCs w:val="32"/>
        </w:rPr>
        <w:t>万元、税金及附加费用</w:t>
      </w:r>
      <w:r>
        <w:rPr>
          <w:rFonts w:ascii="仿宋_GB2312" w:eastAsia="仿宋_GB2312"/>
          <w:color w:val="000000"/>
          <w:sz w:val="32"/>
          <w:szCs w:val="32"/>
        </w:rPr>
        <w:t>0</w:t>
      </w:r>
      <w:r>
        <w:rPr>
          <w:rFonts w:ascii="仿宋_GB2312" w:eastAsia="仿宋_GB2312" w:hint="eastAsia"/>
          <w:color w:val="000000"/>
          <w:sz w:val="32"/>
          <w:szCs w:val="32"/>
        </w:rPr>
        <w:t>万元、其他商品和服务支出</w:t>
      </w:r>
      <w:r>
        <w:rPr>
          <w:rFonts w:ascii="仿宋_GB2312" w:eastAsia="仿宋_GB2312"/>
          <w:color w:val="000000"/>
          <w:sz w:val="32"/>
          <w:szCs w:val="32"/>
        </w:rPr>
        <w:t>0</w:t>
      </w:r>
      <w:r>
        <w:rPr>
          <w:rFonts w:ascii="仿宋_GB2312" w:eastAsia="仿宋_GB2312" w:hint="eastAsia"/>
          <w:color w:val="000000"/>
          <w:sz w:val="32"/>
          <w:szCs w:val="32"/>
        </w:rPr>
        <w:t>万元、办公设备购置</w:t>
      </w:r>
      <w:r>
        <w:rPr>
          <w:rFonts w:ascii="仿宋_GB2312" w:eastAsia="仿宋_GB2312"/>
          <w:color w:val="000000"/>
          <w:sz w:val="32"/>
          <w:szCs w:val="32"/>
        </w:rPr>
        <w:t>0</w:t>
      </w:r>
      <w:r>
        <w:rPr>
          <w:rFonts w:ascii="仿宋_GB2312" w:eastAsia="仿宋_GB2312" w:hint="eastAsia"/>
          <w:color w:val="000000"/>
          <w:sz w:val="32"/>
          <w:szCs w:val="32"/>
        </w:rPr>
        <w:t>万元、专用设备购置</w:t>
      </w:r>
      <w:r>
        <w:rPr>
          <w:rFonts w:ascii="仿宋_GB2312" w:eastAsia="仿宋_GB2312"/>
          <w:color w:val="000000"/>
          <w:sz w:val="32"/>
          <w:szCs w:val="32"/>
        </w:rPr>
        <w:t>0</w:t>
      </w:r>
      <w:r>
        <w:rPr>
          <w:rFonts w:ascii="仿宋_GB2312" w:eastAsia="仿宋_GB2312" w:hint="eastAsia"/>
          <w:color w:val="000000"/>
          <w:sz w:val="32"/>
          <w:szCs w:val="32"/>
        </w:rPr>
        <w:t>万元、信息网络及软件购置更新</w:t>
      </w:r>
      <w:r>
        <w:rPr>
          <w:rFonts w:ascii="仿宋_GB2312" w:eastAsia="仿宋_GB2312"/>
          <w:color w:val="000000"/>
          <w:sz w:val="32"/>
          <w:szCs w:val="32"/>
        </w:rPr>
        <w:t>0</w:t>
      </w:r>
      <w:r>
        <w:rPr>
          <w:rFonts w:ascii="仿宋_GB2312" w:eastAsia="仿宋_GB2312" w:hint="eastAsia"/>
          <w:color w:val="000000"/>
          <w:sz w:val="32"/>
          <w:szCs w:val="32"/>
        </w:rPr>
        <w:t>万元、其他资本性支出</w:t>
      </w:r>
      <w:r>
        <w:rPr>
          <w:rFonts w:ascii="仿宋_GB2312" w:eastAsia="仿宋_GB2312"/>
          <w:color w:val="000000"/>
          <w:sz w:val="32"/>
          <w:szCs w:val="32"/>
        </w:rPr>
        <w:t>0</w:t>
      </w:r>
      <w:r>
        <w:rPr>
          <w:rFonts w:ascii="仿宋_GB2312" w:eastAsia="仿宋_GB2312" w:hint="eastAsia"/>
          <w:color w:val="000000"/>
          <w:sz w:val="32"/>
          <w:szCs w:val="32"/>
        </w:rPr>
        <w:t>万元等。</w:t>
      </w:r>
    </w:p>
    <w:p>
      <w:pPr>
        <w:spacing w:line="600" w:lineRule="exact"/>
        <w:ind w:firstLineChars="200" w:firstLine="640"/>
        <w:outlineLvl w:val="1"/>
        <w:rPr>
          <w:rStyle w:val="2Char"/>
          <w:rFonts w:ascii="黑体" w:eastAsia="黑体"/>
          <w:b w:val="0"/>
        </w:rPr>
      </w:pPr>
      <w:bookmarkStart w:id="54" w:name="_Toc15914"/>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52"/>
      <w:bookmarkEnd w:id="53"/>
      <w:bookmarkEnd w:id="54"/>
    </w:p>
    <w:p>
      <w:pPr>
        <w:spacing w:line="580" w:lineRule="exact"/>
        <w:ind w:firstLineChars="200" w:firstLine="640"/>
        <w:rPr>
          <w:rFonts w:ascii="楷体_GB2312" w:eastAsia="楷体_GB2312" w:cs="楷体_GB2312"/>
          <w:b/>
          <w:bCs/>
          <w:sz w:val="32"/>
          <w:szCs w:val="32"/>
        </w:rPr>
      </w:pPr>
      <w:bookmarkStart w:id="55" w:name="_Toc15377216"/>
      <w:r>
        <w:rPr>
          <w:rFonts w:ascii="楷体_GB2312" w:eastAsia="楷体_GB2312" w:cs="楷体_GB2312" w:hint="eastAsia"/>
          <w:b/>
          <w:bCs/>
          <w:sz w:val="32"/>
          <w:szCs w:val="32"/>
        </w:rPr>
        <w:t>（一）“三公”经费财政拨款支出决算总体情况说明</w:t>
      </w:r>
      <w:bookmarkEnd w:id="55"/>
    </w:p>
    <w:p>
      <w:pPr>
        <w:spacing w:line="536" w:lineRule="exact"/>
        <w:ind w:firstLine="640"/>
        <w:rPr>
          <w:rFonts w:ascii="仿宋_GB2312" w:eastAsia="仿宋_GB2312"/>
          <w:color w:val="000000"/>
          <w:sz w:val="32"/>
          <w:szCs w:val="32"/>
        </w:rPr>
      </w:pPr>
      <w:bookmarkStart w:id="56" w:name="_Toc15377217"/>
      <w:r>
        <w:rPr>
          <w:rFonts w:ascii="仿宋_GB2312" w:eastAsia="仿宋_GB2312" w:hint="eastAsia"/>
          <w:color w:val="000000"/>
          <w:sz w:val="32"/>
          <w:szCs w:val="32"/>
          <w:lang w:eastAsia="zh-CN"/>
        </w:rPr>
        <w:t>2022</w:t>
      </w:r>
      <w:r>
        <w:rPr>
          <w:rFonts w:ascii="仿宋_GB2312" w:eastAsia="仿宋_GB2312" w:hint="eastAsia"/>
          <w:color w:val="000000"/>
          <w:sz w:val="32"/>
          <w:szCs w:val="32"/>
        </w:rPr>
        <w:t>年度“三公”经费财政拨款支出决算为</w:t>
      </w:r>
      <w:r>
        <w:rPr>
          <w:rFonts w:ascii="仿宋_GB2312" w:eastAsia="仿宋_GB2312" w:hint="eastAsia"/>
          <w:color w:val="000000"/>
          <w:sz w:val="32"/>
          <w:szCs w:val="32"/>
          <w:lang w:val="en-US" w:eastAsia="zh-CN"/>
        </w:rPr>
        <w:t>5.11</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预算为</w:t>
      </w:r>
      <w:r>
        <w:rPr>
          <w:rFonts w:ascii="仿宋_GB2312" w:eastAsia="仿宋_GB2312" w:hint="eastAsia"/>
          <w:color w:val="000000"/>
          <w:sz w:val="32"/>
          <w:szCs w:val="32"/>
          <w:lang w:val="en-US" w:eastAsia="zh-CN"/>
        </w:rPr>
        <w:t>5.26万元，</w:t>
      </w:r>
      <w:r>
        <w:rPr>
          <w:rFonts w:ascii="仿宋_GB2312" w:eastAsia="仿宋_GB2312" w:hint="eastAsia"/>
          <w:color w:val="000000"/>
          <w:sz w:val="32"/>
          <w:szCs w:val="32"/>
        </w:rPr>
        <w:t>完成预算</w:t>
      </w:r>
      <w:r>
        <w:rPr>
          <w:rFonts w:ascii="仿宋_GB2312" w:eastAsia="仿宋_GB2312" w:hint="eastAsia"/>
          <w:color w:val="000000"/>
          <w:sz w:val="32"/>
          <w:szCs w:val="32"/>
          <w:lang w:val="en-US" w:eastAsia="zh-CN"/>
        </w:rPr>
        <w:t>97.15</w:t>
      </w:r>
      <w:r>
        <w:rPr>
          <w:rFonts w:ascii="仿宋_GB2312" w:eastAsia="仿宋_GB2312"/>
          <w:color w:val="000000"/>
          <w:sz w:val="32"/>
          <w:szCs w:val="32"/>
        </w:rPr>
        <w:t>%</w:t>
      </w:r>
      <w:r>
        <w:rPr>
          <w:rFonts w:ascii="仿宋_GB2312" w:eastAsia="仿宋_GB2312" w:hint="eastAsia"/>
          <w:color w:val="000000"/>
          <w:sz w:val="32"/>
          <w:szCs w:val="32"/>
        </w:rPr>
        <w:t>。</w:t>
      </w:r>
    </w:p>
    <w:p>
      <w:pPr>
        <w:spacing w:line="580" w:lineRule="exact"/>
        <w:ind w:firstLineChars="200" w:firstLine="640"/>
        <w:rPr>
          <w:rFonts w:ascii="楷体_GB2312" w:eastAsia="楷体_GB2312" w:cs="楷体_GB2312"/>
          <w:b/>
          <w:bCs/>
          <w:sz w:val="32"/>
          <w:szCs w:val="32"/>
        </w:rPr>
      </w:pPr>
      <w:r>
        <w:rPr>
          <w:rFonts w:ascii="楷体_GB2312" w:eastAsia="楷体_GB2312" w:cs="楷体_GB2312" w:hint="eastAsia"/>
          <w:b/>
          <w:bCs/>
          <w:sz w:val="32"/>
          <w:szCs w:val="32"/>
        </w:rPr>
        <w:t>（二）“三公”经费财政拨款支出决算具体情况说明</w:t>
      </w:r>
      <w:bookmarkEnd w:id="56"/>
    </w:p>
    <w:p>
      <w:pPr>
        <w:spacing w:line="536" w:lineRule="exact"/>
        <w:ind w:firstLine="640"/>
        <w:rPr>
          <w:rFonts w:ascii="仿宋_GB2312" w:eastAsia="仿宋_GB2312" w:hint="eastAsia"/>
          <w:color w:val="000000"/>
          <w:sz w:val="32"/>
          <w:szCs w:val="32"/>
        </w:rPr>
      </w:pPr>
      <w:r>
        <w:rPr>
          <w:rFonts w:ascii="仿宋_GB2312" w:eastAsia="仿宋_GB2312" w:hint="eastAsia"/>
          <w:color w:val="000000"/>
          <w:sz w:val="32"/>
          <w:szCs w:val="32"/>
          <w:lang w:eastAsia="zh-CN"/>
        </w:rPr>
        <w:t>2022</w:t>
      </w:r>
      <w:r>
        <w:rPr>
          <w:rFonts w:ascii="仿宋_GB2312" w:eastAsia="仿宋_GB2312" w:hint="eastAsia"/>
          <w:color w:val="000000"/>
          <w:sz w:val="32"/>
          <w:szCs w:val="32"/>
        </w:rPr>
        <w:t>年度“三公”经费财政拨款支出决算中，因公出国（境）费支出决算</w:t>
      </w:r>
      <w:r>
        <w:rPr>
          <w:rFonts w:ascii="仿宋_GB2312" w:eastAsia="仿宋_GB2312"/>
          <w:color w:val="000000"/>
          <w:sz w:val="32"/>
          <w:szCs w:val="32"/>
        </w:rPr>
        <w:t>0</w:t>
      </w:r>
      <w:r>
        <w:rPr>
          <w:rFonts w:ascii="仿宋_GB2312" w:eastAsia="仿宋_GB2312" w:hint="eastAsia"/>
          <w:color w:val="000000"/>
          <w:sz w:val="32"/>
          <w:szCs w:val="32"/>
        </w:rPr>
        <w:t>万元，占</w:t>
      </w:r>
      <w:r>
        <w:rPr>
          <w:rFonts w:ascii="仿宋_GB2312" w:eastAsia="仿宋_GB2312"/>
          <w:color w:val="000000"/>
          <w:sz w:val="32"/>
          <w:szCs w:val="32"/>
        </w:rPr>
        <w:t>0%</w:t>
      </w:r>
      <w:r>
        <w:rPr>
          <w:rFonts w:ascii="仿宋_GB2312" w:eastAsia="仿宋_GB2312" w:hint="eastAsia"/>
          <w:color w:val="000000"/>
          <w:sz w:val="32"/>
          <w:szCs w:val="32"/>
        </w:rPr>
        <w:t>；公务用车购置及运行维护费支出决算</w:t>
      </w:r>
      <w:r>
        <w:rPr>
          <w:rFonts w:ascii="仿宋_GB2312" w:eastAsia="仿宋_GB2312" w:hint="eastAsia"/>
          <w:color w:val="000000"/>
          <w:sz w:val="32"/>
          <w:szCs w:val="32"/>
          <w:lang w:val="en-US" w:eastAsia="zh-CN"/>
        </w:rPr>
        <w:t>4.51</w:t>
      </w:r>
      <w:r>
        <w:rPr>
          <w:rFonts w:ascii="仿宋_GB2312" w:eastAsia="仿宋_GB2312" w:hint="eastAsia"/>
          <w:color w:val="000000"/>
          <w:sz w:val="32"/>
          <w:szCs w:val="32"/>
        </w:rPr>
        <w:t>万元，占</w:t>
      </w:r>
      <w:r>
        <w:rPr>
          <w:rFonts w:ascii="仿宋_GB2312" w:eastAsia="仿宋_GB2312" w:hint="eastAsia"/>
          <w:color w:val="000000"/>
          <w:sz w:val="32"/>
          <w:szCs w:val="32"/>
          <w:lang w:val="en-US" w:eastAsia="zh-CN"/>
        </w:rPr>
        <w:t>88.26</w:t>
      </w:r>
      <w:r>
        <w:rPr>
          <w:rFonts w:ascii="仿宋_GB2312" w:eastAsia="仿宋_GB2312"/>
          <w:color w:val="000000"/>
          <w:sz w:val="32"/>
          <w:szCs w:val="32"/>
        </w:rPr>
        <w:t>%</w:t>
      </w:r>
      <w:r>
        <w:rPr>
          <w:rFonts w:ascii="仿宋_GB2312" w:eastAsia="仿宋_GB2312" w:hint="eastAsia"/>
          <w:color w:val="000000"/>
          <w:sz w:val="32"/>
          <w:szCs w:val="32"/>
        </w:rPr>
        <w:t>；公务接待费支出决算</w:t>
      </w:r>
      <w:r>
        <w:rPr>
          <w:rFonts w:ascii="仿宋_GB2312" w:eastAsia="仿宋_GB2312" w:hint="eastAsia"/>
          <w:color w:val="000000"/>
          <w:sz w:val="32"/>
          <w:szCs w:val="32"/>
          <w:lang w:val="en-US" w:eastAsia="zh-CN"/>
        </w:rPr>
        <w:t>0.6</w:t>
      </w:r>
      <w:r>
        <w:rPr>
          <w:rFonts w:ascii="仿宋_GB2312" w:eastAsia="仿宋_GB2312" w:hint="eastAsia"/>
          <w:color w:val="000000"/>
          <w:sz w:val="32"/>
          <w:szCs w:val="32"/>
        </w:rPr>
        <w:t>万元，占</w:t>
      </w:r>
      <w:r>
        <w:rPr>
          <w:rFonts w:ascii="仿宋_GB2312" w:eastAsia="仿宋_GB2312" w:hint="eastAsia"/>
          <w:color w:val="000000"/>
          <w:sz w:val="32"/>
          <w:szCs w:val="32"/>
          <w:lang w:val="en-US" w:eastAsia="zh-CN"/>
        </w:rPr>
        <w:t>11.74</w:t>
      </w:r>
      <w:r>
        <w:rPr>
          <w:rFonts w:ascii="仿宋_GB2312" w:eastAsia="仿宋_GB2312"/>
          <w:color w:val="000000"/>
          <w:sz w:val="32"/>
          <w:szCs w:val="32"/>
        </w:rPr>
        <w:t>%</w:t>
      </w:r>
      <w:r>
        <w:rPr>
          <w:rFonts w:ascii="仿宋_GB2312" w:eastAsia="仿宋_GB2312" w:hint="eastAsia"/>
          <w:color w:val="000000"/>
          <w:sz w:val="32"/>
          <w:szCs w:val="32"/>
        </w:rPr>
        <w:t>。具体情况如下：</w:t>
      </w:r>
    </w:p>
    <w:p>
      <w:pPr>
        <w:spacing w:line="536" w:lineRule="exact"/>
        <w:ind w:firstLine="640"/>
        <w:rPr>
          <w:rFonts w:ascii="仿宋_GB2312" w:eastAsia="仿宋_GB2312" w:hint="eastAsia"/>
          <w:color w:val="000000"/>
          <w:sz w:val="32"/>
          <w:szCs w:val="32"/>
          <w:lang w:eastAsia="zh-CN"/>
        </w:rPr>
      </w:pPr>
      <w:r>
        <w:rPr>
          <w:rFonts w:ascii="仿宋_GB2312" w:eastAsia="仿宋_GB2312" w:hint="eastAsia"/>
          <w:color w:val="000000"/>
          <w:sz w:val="32"/>
          <w:szCs w:val="32"/>
          <w:lang w:eastAsia="zh-CN"/>
        </w:rPr>
        <w:drawing>
          <wp:anchor distT="0" distB="0" distL="114300" distR="114300" simplePos="0" relativeHeight="33" behindDoc="0" locked="0" layoutInCell="1" hidden="0" allowOverlap="1">
            <wp:simplePos x="0" y="0"/>
            <wp:positionH relativeFrom="column">
              <wp:posOffset>896620</wp:posOffset>
            </wp:positionH>
            <wp:positionV relativeFrom="paragraph">
              <wp:posOffset>46990</wp:posOffset>
            </wp:positionV>
            <wp:extent cx="3898265" cy="2066290"/>
            <wp:effectExtent l="0" t="0" r="0" b="0"/>
            <wp:wrapNone/>
            <wp:docPr id="8" name="图表 1"/>
            <wp:cNvGraphicFramePr>
              <a:graphicFrameLocks noChangeAspect="0"/>
            </wp:cNvGraphicFramePr>
            <a:graphic>
              <a:graphicData uri="http://schemas.openxmlformats.org/drawingml/2006/chart">
                <c:chart xmlns:c="http://schemas.openxmlformats.org/drawingml/2006/chart" r:id="rId8"/>
              </a:graphicData>
            </a:graphic>
          </wp:anchor>
        </w:drawing>
      </w:r>
    </w:p>
    <w:p>
      <w:pPr>
        <w:spacing w:line="536" w:lineRule="exact"/>
        <w:ind w:firstLine="640"/>
        <w:rPr>
          <w:rFonts w:ascii="仿宋_GB2312" w:eastAsia="仿宋_GB2312"/>
          <w:b/>
          <w:color w:val="000000"/>
          <w:sz w:val="32"/>
          <w:szCs w:val="32"/>
        </w:rPr>
      </w:pPr>
    </w:p>
    <w:p>
      <w:pPr>
        <w:spacing w:line="536" w:lineRule="exact"/>
        <w:ind w:firstLine="640"/>
        <w:rPr>
          <w:rFonts w:ascii="仿宋_GB2312" w:eastAsia="仿宋_GB2312"/>
          <w:b/>
          <w:color w:val="000000"/>
          <w:sz w:val="32"/>
          <w:szCs w:val="32"/>
        </w:rPr>
      </w:pPr>
    </w:p>
    <w:p>
      <w:pPr>
        <w:spacing w:line="536" w:lineRule="exact"/>
        <w:ind w:firstLine="640"/>
        <w:rPr>
          <w:rFonts w:ascii="仿宋_GB2312" w:eastAsia="仿宋_GB2312"/>
          <w:b/>
          <w:color w:val="000000"/>
          <w:sz w:val="32"/>
          <w:szCs w:val="32"/>
        </w:rPr>
      </w:pPr>
    </w:p>
    <w:p>
      <w:pPr>
        <w:spacing w:line="536" w:lineRule="exact"/>
        <w:ind w:firstLine="640"/>
        <w:rPr>
          <w:rFonts w:ascii="仿宋_GB2312" w:eastAsia="仿宋_GB2312"/>
          <w:b/>
          <w:color w:val="000000"/>
          <w:sz w:val="32"/>
          <w:szCs w:val="32"/>
        </w:rPr>
      </w:pPr>
    </w:p>
    <w:p>
      <w:pPr>
        <w:spacing w:line="536" w:lineRule="exact"/>
        <w:ind w:firstLine="640"/>
        <w:rPr>
          <w:rFonts w:ascii="仿宋_GB2312" w:eastAsia="仿宋_GB2312"/>
          <w:b/>
          <w:color w:val="000000"/>
          <w:sz w:val="32"/>
          <w:szCs w:val="32"/>
        </w:rPr>
      </w:pPr>
    </w:p>
    <w:p>
      <w:pPr>
        <w:spacing w:line="536" w:lineRule="exact"/>
        <w:ind w:firstLine="640"/>
        <w:rPr>
          <w:rFonts w:ascii="仿宋_GB2312" w:eastAsia="仿宋_GB2312"/>
          <w:b/>
          <w:color w:val="000000"/>
          <w:sz w:val="32"/>
          <w:szCs w:val="32"/>
        </w:rPr>
      </w:pPr>
    </w:p>
    <w:p>
      <w:pPr>
        <w:spacing w:line="536" w:lineRule="exact"/>
        <w:ind w:firstLine="640"/>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color w:val="000000"/>
          <w:sz w:val="32"/>
          <w:szCs w:val="32"/>
        </w:rPr>
        <w:t>0</w:t>
      </w:r>
      <w:r>
        <w:rPr>
          <w:rFonts w:ascii="仿宋_GB2312" w:eastAsia="仿宋_GB2312" w:hint="eastAsia"/>
          <w:color w:val="000000"/>
          <w:sz w:val="32"/>
          <w:szCs w:val="32"/>
        </w:rPr>
        <w:t>万元。全年安排因公出国（境）团组</w:t>
      </w:r>
      <w:r>
        <w:rPr>
          <w:rFonts w:ascii="仿宋_GB2312" w:eastAsia="仿宋_GB2312"/>
          <w:color w:val="000000"/>
          <w:sz w:val="32"/>
          <w:szCs w:val="32"/>
        </w:rPr>
        <w:t>0</w:t>
      </w:r>
      <w:r>
        <w:rPr>
          <w:rFonts w:ascii="仿宋_GB2312" w:eastAsia="仿宋_GB2312" w:hint="eastAsia"/>
          <w:color w:val="000000"/>
          <w:sz w:val="32"/>
          <w:szCs w:val="32"/>
        </w:rPr>
        <w:t>次，出国（境）</w:t>
      </w:r>
      <w:r>
        <w:rPr>
          <w:rFonts w:ascii="仿宋_GB2312" w:eastAsia="仿宋_GB2312"/>
          <w:color w:val="000000"/>
          <w:sz w:val="32"/>
          <w:szCs w:val="32"/>
        </w:rPr>
        <w:t>0</w:t>
      </w:r>
      <w:r>
        <w:rPr>
          <w:rFonts w:ascii="仿宋_GB2312" w:eastAsia="仿宋_GB2312" w:hint="eastAsia"/>
          <w:color w:val="000000"/>
          <w:sz w:val="32"/>
          <w:szCs w:val="32"/>
        </w:rPr>
        <w:t>人。</w:t>
      </w:r>
    </w:p>
    <w:p>
      <w:pPr>
        <w:spacing w:line="536" w:lineRule="exact"/>
        <w:ind w:firstLine="640"/>
        <w:rPr>
          <w:rFonts w:ascii="仿宋_GB2312" w:eastAsia="仿宋_GB2312"/>
          <w:b/>
          <w:color w:val="000000"/>
          <w:sz w:val="32"/>
          <w:szCs w:val="32"/>
        </w:rPr>
      </w:pPr>
      <w:r>
        <w:rPr>
          <w:rFonts w:ascii="仿宋_GB2312" w:eastAsia="仿宋_GB2312" w:hint="eastAsia"/>
          <w:color w:val="000000"/>
          <w:sz w:val="32"/>
          <w:szCs w:val="32"/>
        </w:rPr>
        <w:t>因公出国（境）支出决算比</w:t>
      </w:r>
      <w:r>
        <w:rPr>
          <w:rFonts w:ascii="仿宋_GB2312" w:eastAsia="仿宋_GB2312" w:hint="eastAsia"/>
          <w:color w:val="000000"/>
          <w:sz w:val="32"/>
          <w:szCs w:val="32"/>
          <w:lang w:eastAsia="zh-CN"/>
        </w:rPr>
        <w:t>2021</w:t>
      </w:r>
      <w:r>
        <w:rPr>
          <w:rFonts w:ascii="仿宋_GB2312" w:eastAsia="仿宋_GB2312" w:hint="eastAsia"/>
          <w:color w:val="000000"/>
          <w:sz w:val="32"/>
          <w:szCs w:val="32"/>
        </w:rPr>
        <w:t>年增加</w:t>
      </w:r>
      <w:r>
        <w:rPr>
          <w:rFonts w:ascii="仿宋_GB2312" w:eastAsia="仿宋_GB2312"/>
          <w:color w:val="000000"/>
          <w:sz w:val="32"/>
          <w:szCs w:val="32"/>
        </w:rPr>
        <w:t>/</w:t>
      </w:r>
      <w:r>
        <w:rPr>
          <w:rFonts w:ascii="仿宋_GB2312" w:eastAsia="仿宋_GB2312" w:hint="eastAsia"/>
          <w:color w:val="000000"/>
          <w:sz w:val="32"/>
          <w:szCs w:val="32"/>
        </w:rPr>
        <w:t>减少</w:t>
      </w:r>
      <w:r>
        <w:rPr>
          <w:rFonts w:ascii="仿宋_GB2312" w:eastAsia="仿宋_GB2312"/>
          <w:color w:val="000000"/>
          <w:sz w:val="32"/>
          <w:szCs w:val="32"/>
        </w:rPr>
        <w:t>0</w:t>
      </w:r>
      <w:r>
        <w:rPr>
          <w:rFonts w:ascii="仿宋_GB2312" w:eastAsia="仿宋_GB2312" w:hint="eastAsia"/>
          <w:color w:val="000000"/>
          <w:sz w:val="32"/>
          <w:szCs w:val="32"/>
        </w:rPr>
        <w:t>万元，增长</w:t>
      </w:r>
      <w:r>
        <w:rPr>
          <w:rFonts w:ascii="仿宋_GB2312" w:eastAsia="仿宋_GB2312"/>
          <w:color w:val="000000"/>
          <w:sz w:val="32"/>
          <w:szCs w:val="32"/>
        </w:rPr>
        <w:t>/</w:t>
      </w:r>
      <w:r>
        <w:rPr>
          <w:rFonts w:ascii="仿宋_GB2312" w:eastAsia="仿宋_GB2312" w:hint="eastAsia"/>
          <w:color w:val="000000"/>
          <w:sz w:val="32"/>
          <w:szCs w:val="32"/>
        </w:rPr>
        <w:t>下降</w:t>
      </w:r>
      <w:r>
        <w:rPr>
          <w:rFonts w:ascii="仿宋_GB2312" w:eastAsia="仿宋_GB2312"/>
          <w:color w:val="000000"/>
          <w:sz w:val="32"/>
          <w:szCs w:val="32"/>
        </w:rPr>
        <w:t>0%</w:t>
      </w:r>
      <w:r>
        <w:rPr>
          <w:rFonts w:ascii="仿宋_GB2312" w:eastAsia="仿宋_GB2312" w:hint="eastAsia"/>
          <w:color w:val="000000"/>
          <w:sz w:val="32"/>
          <w:szCs w:val="32"/>
        </w:rPr>
        <w:t>。</w:t>
      </w:r>
    </w:p>
    <w:p>
      <w:pPr>
        <w:spacing w:line="536" w:lineRule="exact"/>
        <w:ind w:firstLineChars="200" w:firstLine="640"/>
        <w:rPr>
          <w:rFonts w:ascii="仿宋_GB2312" w:eastAsia="仿宋_GB2312"/>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lang w:val="en-US" w:eastAsia="zh-CN"/>
        </w:rPr>
        <w:t>4.51</w:t>
      </w:r>
      <w:r>
        <w:rPr>
          <w:rFonts w:ascii="仿宋_GB2312" w:eastAsia="仿宋_GB2312" w:hint="eastAsia"/>
          <w:color w:val="000000"/>
          <w:sz w:val="32"/>
          <w:szCs w:val="32"/>
        </w:rPr>
        <w:t>万元。其中：</w:t>
      </w:r>
    </w:p>
    <w:p>
      <w:pPr>
        <w:spacing w:line="536" w:lineRule="exact"/>
        <w:ind w:firstLineChars="200" w:firstLine="640"/>
        <w:rPr>
          <w:rFonts w:ascii="仿宋_GB2312" w:eastAsia="仿宋_GB2312"/>
          <w:b/>
          <w:color w:val="000000"/>
          <w:sz w:val="32"/>
          <w:szCs w:val="32"/>
        </w:rPr>
      </w:pPr>
      <w:r>
        <w:rPr>
          <w:rFonts w:ascii="仿宋_GB2312" w:eastAsia="仿宋_GB2312" w:hint="eastAsia"/>
          <w:b/>
          <w:color w:val="000000"/>
          <w:sz w:val="32"/>
          <w:szCs w:val="32"/>
        </w:rPr>
        <w:t>公务用车购置支出</w:t>
      </w:r>
      <w:r>
        <w:rPr>
          <w:rFonts w:ascii="仿宋_GB2312" w:eastAsia="仿宋_GB2312"/>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color w:val="000000"/>
          <w:sz w:val="32"/>
          <w:szCs w:val="32"/>
        </w:rPr>
        <w:t>0</w:t>
      </w:r>
      <w:r>
        <w:rPr>
          <w:rFonts w:ascii="仿宋_GB2312" w:eastAsia="仿宋_GB2312" w:hint="eastAsia"/>
          <w:color w:val="000000"/>
          <w:sz w:val="32"/>
          <w:szCs w:val="32"/>
        </w:rPr>
        <w:t>辆，其中：轿车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万元，越野车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万元，载客汽车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万元。截至</w:t>
      </w:r>
      <w:r>
        <w:rPr>
          <w:rFonts w:ascii="仿宋_GB2312" w:eastAsia="仿宋_GB2312" w:hint="eastAsia"/>
          <w:color w:val="000000"/>
          <w:sz w:val="32"/>
          <w:szCs w:val="32"/>
          <w:lang w:eastAsia="zh-CN"/>
        </w:rPr>
        <w:t>2022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lang w:val="en-US" w:eastAsia="zh-CN"/>
        </w:rPr>
        <w:t>6</w:t>
      </w:r>
      <w:r>
        <w:rPr>
          <w:rFonts w:ascii="仿宋_GB2312" w:eastAsia="仿宋_GB2312" w:hint="eastAsia"/>
          <w:color w:val="000000"/>
          <w:sz w:val="32"/>
          <w:szCs w:val="32"/>
        </w:rPr>
        <w:t>辆，其中：轿车</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辆、越野车</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w:t>
      </w:r>
      <w:r>
        <w:rPr>
          <w:rFonts w:ascii="仿宋_GB2312" w:eastAsia="仿宋_GB2312" w:hint="eastAsia"/>
          <w:color w:val="000000"/>
          <w:sz w:val="32"/>
          <w:szCs w:val="32"/>
          <w:lang w:val="en-US" w:eastAsia="zh-CN"/>
        </w:rPr>
        <w:t>执法执勤用车1辆、特种专业技术用车1辆</w:t>
      </w:r>
      <w:r>
        <w:rPr>
          <w:rFonts w:ascii="仿宋_GB2312" w:eastAsia="仿宋_GB2312" w:hint="eastAsia"/>
          <w:color w:val="000000"/>
          <w:sz w:val="32"/>
          <w:szCs w:val="32"/>
        </w:rPr>
        <w:t>。</w:t>
      </w:r>
    </w:p>
    <w:p>
      <w:pPr>
        <w:spacing w:line="536"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lang w:val="en-US" w:eastAsia="zh-CN"/>
        </w:rPr>
        <w:t>4.51</w:t>
      </w:r>
      <w:r>
        <w:rPr>
          <w:rFonts w:ascii="仿宋_GB2312" w:eastAsia="仿宋_GB2312" w:hint="eastAsia"/>
          <w:color w:val="000000"/>
          <w:sz w:val="32"/>
          <w:szCs w:val="32"/>
        </w:rPr>
        <w:t>万元。主要用于日常办公所需的公务用车燃料费、维修费、过路过桥费、保险费等支出。</w:t>
      </w:r>
    </w:p>
    <w:p>
      <w:pPr>
        <w:spacing w:line="536" w:lineRule="exact"/>
        <w:ind w:firstLine="640"/>
        <w:rPr>
          <w:rFonts w:ascii="仿宋_GB2312" w:eastAsia="仿宋_GB2312"/>
          <w:color w:val="000000"/>
          <w:sz w:val="32"/>
          <w:szCs w:val="32"/>
        </w:rPr>
      </w:pPr>
      <w:r>
        <w:rPr>
          <w:rFonts w:ascii="仿宋_GB2312" w:eastAsia="仿宋_GB2312" w:hint="eastAsia"/>
          <w:color w:val="000000"/>
          <w:sz w:val="32"/>
          <w:szCs w:val="32"/>
        </w:rPr>
        <w:t>公务用车购置及运行维护费支出决算比</w:t>
      </w:r>
      <w:r>
        <w:rPr>
          <w:rFonts w:ascii="仿宋_GB2312" w:eastAsia="仿宋_GB2312" w:hint="eastAsia"/>
          <w:color w:val="000000"/>
          <w:sz w:val="32"/>
          <w:szCs w:val="32"/>
          <w:lang w:eastAsia="zh-CN"/>
        </w:rPr>
        <w:t>2021</w:t>
      </w:r>
      <w:r>
        <w:rPr>
          <w:rFonts w:ascii="仿宋_GB2312" w:eastAsia="仿宋_GB2312" w:hint="eastAsia"/>
          <w:color w:val="000000"/>
          <w:sz w:val="32"/>
          <w:szCs w:val="32"/>
        </w:rPr>
        <w:t>年减少</w:t>
      </w:r>
      <w:r>
        <w:rPr>
          <w:rFonts w:ascii="仿宋_GB2312" w:eastAsia="仿宋_GB2312"/>
          <w:color w:val="000000"/>
          <w:sz w:val="32"/>
          <w:szCs w:val="32"/>
        </w:rPr>
        <w:t>0.</w:t>
      </w:r>
      <w:r>
        <w:rPr>
          <w:rFonts w:ascii="仿宋_GB2312" w:eastAsia="仿宋_GB2312" w:hint="eastAsia"/>
          <w:color w:val="000000"/>
          <w:sz w:val="32"/>
          <w:szCs w:val="32"/>
          <w:lang w:val="en-US" w:eastAsia="zh-CN"/>
        </w:rPr>
        <w:t>9</w:t>
      </w:r>
      <w:r>
        <w:rPr>
          <w:rFonts w:ascii="仿宋_GB2312" w:eastAsia="仿宋_GB2312" w:hint="eastAsia"/>
          <w:color w:val="000000"/>
          <w:sz w:val="32"/>
          <w:szCs w:val="32"/>
        </w:rPr>
        <w:t>万元，下降</w:t>
      </w:r>
      <w:r>
        <w:rPr>
          <w:rFonts w:ascii="仿宋_GB2312" w:eastAsia="仿宋_GB2312" w:hint="eastAsia"/>
          <w:color w:val="000000"/>
          <w:sz w:val="32"/>
          <w:szCs w:val="32"/>
          <w:lang w:val="en-US" w:eastAsia="zh-CN"/>
        </w:rPr>
        <w:t>16.6</w:t>
      </w:r>
      <w:r>
        <w:rPr>
          <w:rFonts w:ascii="仿宋_GB2312" w:eastAsia="仿宋_GB2312"/>
          <w:color w:val="000000"/>
          <w:sz w:val="32"/>
          <w:szCs w:val="32"/>
        </w:rPr>
        <w:t>%</w:t>
      </w:r>
      <w:r>
        <w:rPr>
          <w:rFonts w:ascii="仿宋_GB2312" w:eastAsia="仿宋_GB2312" w:hint="eastAsia"/>
          <w:color w:val="000000"/>
          <w:sz w:val="32"/>
          <w:szCs w:val="32"/>
        </w:rPr>
        <w:t>。主要原因是严格管理公务用车运行。</w:t>
      </w:r>
    </w:p>
    <w:p>
      <w:pPr>
        <w:spacing w:line="536" w:lineRule="exact"/>
        <w:rPr>
          <w:rFonts w:ascii="仿宋_GB2312" w:eastAsia="仿宋_GB2312" w:hint="eastAsia"/>
          <w:color w:val="000000"/>
          <w:sz w:val="32"/>
          <w:szCs w:val="32"/>
          <w:lang w:eastAsia="zh-CN"/>
        </w:rPr>
      </w:pPr>
    </w:p>
    <w:p>
      <w:pPr>
        <w:spacing w:line="536" w:lineRule="exact"/>
        <w:ind w:firstLine="640"/>
        <w:rPr>
          <w:rFonts w:ascii="仿宋_GB2312" w:eastAsia="仿宋_GB2312"/>
          <w:color w:val="000000"/>
          <w:sz w:val="32"/>
          <w:szCs w:val="32"/>
        </w:rPr>
      </w:pPr>
    </w:p>
    <w:p>
      <w:pPr>
        <w:spacing w:line="536" w:lineRule="exact"/>
        <w:ind w:firstLine="640"/>
        <w:rPr>
          <w:rFonts w:ascii="仿宋_GB2312" w:eastAsia="仿宋_GB2312"/>
          <w:color w:val="000000"/>
          <w:sz w:val="32"/>
          <w:szCs w:val="32"/>
        </w:rPr>
      </w:pPr>
    </w:p>
    <w:p>
      <w:pPr>
        <w:spacing w:line="536" w:lineRule="exact"/>
        <w:ind w:firstLine="640"/>
        <w:rPr>
          <w:rFonts w:ascii="仿宋_GB2312" w:eastAsia="仿宋_GB2312"/>
          <w:color w:val="000000"/>
          <w:sz w:val="32"/>
          <w:szCs w:val="32"/>
        </w:rPr>
      </w:pPr>
    </w:p>
    <w:p>
      <w:pPr>
        <w:spacing w:line="536" w:lineRule="exact"/>
        <w:rPr>
          <w:rFonts w:ascii="仿宋_GB2312" w:eastAsia="仿宋_GB2312"/>
          <w:b/>
          <w:color w:val="000000"/>
          <w:sz w:val="32"/>
          <w:szCs w:val="32"/>
        </w:rPr>
      </w:pPr>
    </w:p>
    <w:p>
      <w:pPr>
        <w:spacing w:line="536"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lang w:eastAsia="zh-CN"/>
        </w:rPr>
        <w:drawing>
          <wp:anchor distT="0" distB="0" distL="114300" distR="114300" simplePos="0" relativeHeight="29" behindDoc="0" locked="0" layoutInCell="1" hidden="0" allowOverlap="1">
            <wp:simplePos x="0" y="0"/>
            <wp:positionH relativeFrom="column">
              <wp:posOffset>410844</wp:posOffset>
            </wp:positionH>
            <wp:positionV relativeFrom="paragraph">
              <wp:posOffset>-1685290</wp:posOffset>
            </wp:positionV>
            <wp:extent cx="4680585" cy="1943735"/>
            <wp:effectExtent l="0" t="0" r="0" b="0"/>
            <wp:wrapNone/>
            <wp:docPr id="9" name="图表 14"/>
            <wp:cNvGraphicFramePr>
              <a:graphicFrameLocks noChangeAspect="0"/>
            </wp:cNvGraphicFramePr>
            <a:graphic>
              <a:graphicData uri="http://schemas.openxmlformats.org/drawingml/2006/chart">
                <c:chart xmlns:c="http://schemas.openxmlformats.org/drawingml/2006/chart" r:id="rId9"/>
              </a:graphicData>
            </a:graphic>
          </wp:anchor>
        </w:drawing>
      </w:r>
    </w:p>
    <w:p>
      <w:pPr>
        <w:numPr>
          <w:ilvl w:val="0"/>
          <w:numId w:val="2"/>
        </w:numPr>
        <w:spacing w:line="536" w:lineRule="exact"/>
        <w:ind w:left="0" w:firstLineChars="200" w:firstLine="640"/>
        <w:rPr>
          <w:rFonts w:ascii="仿宋_GB2312" w:eastAsia="仿宋_GB2312" w:hint="eastAsia"/>
          <w:color w:val="000000"/>
          <w:sz w:val="32"/>
          <w:szCs w:val="32"/>
        </w:rPr>
      </w:pPr>
      <w:r>
        <w:rPr>
          <w:rFonts w:ascii="仿宋_GB2312" w:eastAsia="仿宋_GB2312" w:hint="eastAsia"/>
          <w:b/>
          <w:color w:val="000000"/>
          <w:sz w:val="32"/>
          <w:szCs w:val="32"/>
        </w:rPr>
        <w:t>公务接待费支出</w:t>
      </w:r>
      <w:r>
        <w:rPr>
          <w:rFonts w:ascii="仿宋_GB2312" w:eastAsia="仿宋_GB2312" w:hint="eastAsia"/>
          <w:color w:val="000000"/>
          <w:sz w:val="32"/>
          <w:szCs w:val="32"/>
          <w:lang w:val="en-US" w:eastAsia="zh-CN"/>
        </w:rPr>
        <w:t>0.6</w:t>
      </w:r>
      <w:r>
        <w:rPr>
          <w:rFonts w:ascii="仿宋_GB2312" w:eastAsia="仿宋_GB2312" w:hint="eastAsia"/>
          <w:color w:val="000000"/>
          <w:sz w:val="32"/>
          <w:szCs w:val="32"/>
        </w:rPr>
        <w:t>万元。主要用于执行公务、开展业务活动开支的交通费、住宿费、用餐费等。国内公务接待</w:t>
      </w:r>
      <w:r>
        <w:rPr>
          <w:rFonts w:ascii="仿宋_GB2312" w:eastAsia="仿宋_GB2312" w:hint="eastAsia"/>
          <w:color w:val="000000"/>
          <w:sz w:val="32"/>
          <w:szCs w:val="32"/>
          <w:lang w:val="en-US" w:eastAsia="zh-CN"/>
        </w:rPr>
        <w:t>11</w:t>
      </w:r>
      <w:r>
        <w:rPr>
          <w:rFonts w:ascii="仿宋_GB2312" w:eastAsia="仿宋_GB2312" w:hint="eastAsia"/>
          <w:color w:val="000000"/>
          <w:sz w:val="32"/>
          <w:szCs w:val="32"/>
        </w:rPr>
        <w:t>批次，</w:t>
      </w:r>
      <w:r>
        <w:rPr>
          <w:rFonts w:ascii="仿宋_GB2312" w:eastAsia="仿宋_GB2312" w:hint="eastAsia"/>
          <w:color w:val="000000"/>
          <w:sz w:val="32"/>
          <w:szCs w:val="32"/>
          <w:lang w:val="en-US" w:eastAsia="zh-CN"/>
        </w:rPr>
        <w:t>60</w:t>
      </w:r>
      <w:r>
        <w:rPr>
          <w:rFonts w:ascii="仿宋_GB2312" w:eastAsia="仿宋_GB2312" w:hint="eastAsia"/>
          <w:color w:val="000000"/>
          <w:sz w:val="32"/>
          <w:szCs w:val="32"/>
        </w:rPr>
        <w:t>人次（包括陪同人员），共计支出</w:t>
      </w:r>
      <w:r>
        <w:rPr>
          <w:rFonts w:ascii="仿宋_GB2312" w:eastAsia="仿宋_GB2312" w:hint="eastAsia"/>
          <w:color w:val="000000"/>
          <w:sz w:val="32"/>
          <w:szCs w:val="32"/>
          <w:lang w:val="en-US" w:eastAsia="zh-CN"/>
        </w:rPr>
        <w:t>0.6</w:t>
      </w:r>
      <w:r>
        <w:rPr>
          <w:rFonts w:ascii="仿宋_GB2312" w:eastAsia="仿宋_GB2312" w:hint="eastAsia"/>
          <w:color w:val="000000"/>
          <w:sz w:val="32"/>
          <w:szCs w:val="32"/>
        </w:rPr>
        <w:t>万元。</w:t>
      </w:r>
    </w:p>
    <w:p>
      <w:pPr>
        <w:spacing w:line="536" w:lineRule="exact"/>
        <w:rPr>
          <w:rFonts w:ascii="仿宋_GB2312" w:eastAsia="仿宋_GB2312"/>
          <w:color w:val="000000"/>
          <w:sz w:val="32"/>
          <w:szCs w:val="32"/>
          <w:lang w:val="en-US" w:eastAsia="zh-CN"/>
        </w:rPr>
      </w:pPr>
      <w:r>
        <w:rPr>
          <w:rFonts w:ascii="仿宋_GB2312" w:eastAsia="仿宋_GB2312" w:hint="eastAsia"/>
          <w:color w:val="000000"/>
          <w:sz w:val="32"/>
          <w:szCs w:val="32"/>
          <w:lang w:val="en-US" w:eastAsia="zh-CN"/>
        </w:rPr>
        <w:t xml:space="preserve">       公务接待费支出决算比2021年减少0.15万元，下降19.77%，主要原因是受疫情影响，接待减少。</w:t>
      </w:r>
    </w:p>
    <w:p>
      <w:pPr>
        <w:spacing w:line="536" w:lineRule="exact"/>
        <w:rPr>
          <w:rFonts w:ascii="仿宋_GB2312" w:eastAsia="仿宋_GB2312" w:hint="eastAsia"/>
          <w:color w:val="000000"/>
          <w:sz w:val="32"/>
          <w:szCs w:val="32"/>
          <w:lang w:eastAsia="zh-CN"/>
        </w:rPr>
      </w:pPr>
      <w:r>
        <w:rPr>
          <w:rFonts w:ascii="仿宋_GB2312" w:eastAsia="仿宋_GB2312" w:hint="eastAsia"/>
          <w:color w:val="000000"/>
          <w:sz w:val="32"/>
          <w:szCs w:val="32"/>
          <w:lang w:eastAsia="zh-CN"/>
        </w:rPr>
        <w:drawing>
          <wp:anchor distT="0" distB="0" distL="114300" distR="114300" simplePos="0" relativeHeight="31" behindDoc="0" locked="0" layoutInCell="1" hidden="0" allowOverlap="1">
            <wp:simplePos x="0" y="0"/>
            <wp:positionH relativeFrom="column">
              <wp:posOffset>528320</wp:posOffset>
            </wp:positionH>
            <wp:positionV relativeFrom="paragraph">
              <wp:posOffset>47625</wp:posOffset>
            </wp:positionV>
            <wp:extent cx="4622800" cy="1953895"/>
            <wp:effectExtent l="0" t="0" r="0" b="0"/>
            <wp:wrapNone/>
            <wp:docPr id="10" name="图表 15"/>
            <wp:cNvGraphicFramePr>
              <a:graphicFrameLocks noChangeAspect="0"/>
            </wp:cNvGraphicFramePr>
            <a:graphic>
              <a:graphicData uri="http://schemas.openxmlformats.org/drawingml/2006/chart">
                <c:chart xmlns:c="http://schemas.openxmlformats.org/drawingml/2006/chart" r:id="rId10"/>
              </a:graphicData>
            </a:graphic>
          </wp:anchor>
        </w:drawing>
      </w:r>
    </w:p>
    <w:p>
      <w:pPr>
        <w:spacing w:line="536" w:lineRule="exact"/>
        <w:rPr>
          <w:rFonts w:ascii="仿宋_GB2312" w:eastAsia="仿宋_GB2312"/>
          <w:color w:val="000000"/>
          <w:sz w:val="32"/>
          <w:szCs w:val="32"/>
        </w:rPr>
      </w:pPr>
    </w:p>
    <w:p>
      <w:pPr>
        <w:spacing w:line="536" w:lineRule="exact"/>
        <w:rPr>
          <w:rFonts w:ascii="仿宋_GB2312" w:eastAsia="仿宋_GB2312"/>
          <w:color w:val="000000"/>
          <w:sz w:val="32"/>
          <w:szCs w:val="32"/>
        </w:rPr>
      </w:pPr>
    </w:p>
    <w:p>
      <w:pPr>
        <w:spacing w:line="536" w:lineRule="exact"/>
        <w:rPr>
          <w:rFonts w:ascii="仿宋_GB2312" w:eastAsia="仿宋_GB2312"/>
          <w:color w:val="000000"/>
          <w:sz w:val="32"/>
          <w:szCs w:val="32"/>
        </w:rPr>
      </w:pPr>
    </w:p>
    <w:p>
      <w:pPr>
        <w:spacing w:line="536"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ind w:firstLine="640"/>
        <w:outlineLvl w:val="1"/>
        <w:rPr>
          <w:rFonts w:ascii="仿宋_GB2312" w:eastAsia="仿宋_GB2312"/>
          <w:color w:val="000000"/>
          <w:sz w:val="32"/>
          <w:szCs w:val="32"/>
        </w:rPr>
      </w:pPr>
      <w:bookmarkStart w:id="57" w:name="_Toc1421"/>
      <w:r>
        <w:rPr>
          <w:rFonts w:ascii="仿宋" w:eastAsia="仿宋" w:hint="eastAsia"/>
          <w:b/>
          <w:color w:val="000000"/>
          <w:sz w:val="32"/>
          <w:szCs w:val="32"/>
        </w:rPr>
        <w:t>外事接待支出</w:t>
      </w:r>
      <w:r>
        <w:rPr>
          <w:rFonts w:ascii="仿宋" w:eastAsia="仿宋"/>
          <w:color w:val="000000"/>
          <w:sz w:val="32"/>
          <w:szCs w:val="32"/>
        </w:rPr>
        <w:t>0</w:t>
      </w:r>
      <w:r>
        <w:rPr>
          <w:rFonts w:ascii="仿宋_GB2312" w:eastAsia="仿宋_GB2312" w:hint="eastAsia"/>
          <w:color w:val="000000"/>
          <w:sz w:val="32"/>
          <w:szCs w:val="32"/>
        </w:rPr>
        <w:t>万元，外事接待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人，共计支出</w:t>
      </w:r>
      <w:r>
        <w:rPr>
          <w:rFonts w:ascii="仿宋_GB2312" w:eastAsia="仿宋_GB2312"/>
          <w:color w:val="000000"/>
          <w:sz w:val="32"/>
          <w:szCs w:val="32"/>
        </w:rPr>
        <w:t>0</w:t>
      </w:r>
      <w:r>
        <w:rPr>
          <w:rFonts w:ascii="仿宋_GB2312" w:eastAsia="仿宋_GB2312" w:hint="eastAsia"/>
          <w:color w:val="000000"/>
          <w:sz w:val="32"/>
          <w:szCs w:val="32"/>
        </w:rPr>
        <w:t>万元。</w:t>
      </w:r>
      <w:bookmarkStart w:id="58" w:name="_Toc15396610"/>
      <w:bookmarkStart w:id="59" w:name="_Toc15377218"/>
      <w:bookmarkEnd w:id="57"/>
    </w:p>
    <w:p>
      <w:pPr>
        <w:spacing w:line="600" w:lineRule="exact"/>
        <w:ind w:firstLine="640"/>
        <w:outlineLvl w:val="1"/>
        <w:rPr>
          <w:rStyle w:val="2Char"/>
          <w:rFonts w:ascii="黑体" w:eastAsia="黑体"/>
        </w:rPr>
      </w:pPr>
      <w:bookmarkStart w:id="60" w:name="_Toc1438"/>
      <w:r>
        <w:rPr>
          <w:rFonts w:ascii="黑体" w:eastAsia="黑体" w:hint="eastAsia"/>
          <w:color w:val="000000"/>
          <w:sz w:val="32"/>
          <w:szCs w:val="32"/>
        </w:rPr>
        <w:t>八、</w:t>
      </w:r>
      <w:r>
        <w:rPr>
          <w:rStyle w:val="2Char"/>
          <w:rFonts w:ascii="黑体" w:eastAsia="黑体" w:hint="eastAsia"/>
          <w:b w:val="0"/>
        </w:rPr>
        <w:t>政府性基金预算支出决算情况说明</w:t>
      </w:r>
      <w:bookmarkEnd w:id="58"/>
      <w:bookmarkEnd w:id="59"/>
      <w:bookmarkEnd w:id="60"/>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lang w:eastAsia="zh-CN"/>
        </w:rPr>
        <w:t>2022</w:t>
      </w:r>
      <w:r>
        <w:rPr>
          <w:rFonts w:ascii="仿宋_GB2312" w:eastAsia="仿宋_GB2312" w:hint="eastAsia"/>
          <w:color w:val="000000"/>
          <w:sz w:val="32"/>
          <w:szCs w:val="32"/>
        </w:rPr>
        <w:t>年政府性基金预算拨款支出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pPr>
        <w:numPr>
          <w:ilvl w:val="0"/>
          <w:numId w:val="3"/>
        </w:numPr>
        <w:spacing w:line="600" w:lineRule="exact"/>
        <w:ind w:left="0" w:firstLine="640"/>
        <w:outlineLvl w:val="1"/>
        <w:rPr>
          <w:rStyle w:val="2Char"/>
          <w:rFonts w:ascii="黑体" w:eastAsia="黑体"/>
          <w:b w:val="0"/>
        </w:rPr>
      </w:pPr>
      <w:bookmarkStart w:id="61" w:name="_Toc15396611"/>
      <w:bookmarkStart w:id="62" w:name="_Toc3946"/>
      <w:bookmarkStart w:id="63" w:name="_Toc15377219"/>
      <w:r>
        <w:rPr>
          <w:rStyle w:val="2Char"/>
          <w:rFonts w:ascii="黑体" w:eastAsia="黑体" w:hint="eastAsia"/>
          <w:b w:val="0"/>
        </w:rPr>
        <w:t>国有资本经营预算支出决算情况说明</w:t>
      </w:r>
      <w:bookmarkEnd w:id="61"/>
      <w:bookmarkEnd w:id="62"/>
      <w:bookmarkEnd w:id="63"/>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lang w:eastAsia="zh-CN"/>
        </w:rPr>
        <w:t>2022</w:t>
      </w:r>
      <w:r>
        <w:rPr>
          <w:rFonts w:ascii="仿宋_GB2312" w:eastAsia="仿宋_GB2312" w:hint="eastAsia"/>
          <w:color w:val="000000"/>
          <w:sz w:val="32"/>
          <w:szCs w:val="32"/>
        </w:rPr>
        <w:t>年国有资本经营预算拨款支出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pPr>
        <w:spacing w:line="600" w:lineRule="exact"/>
        <w:ind w:firstLineChars="200" w:firstLine="640"/>
        <w:outlineLvl w:val="1"/>
        <w:rPr>
          <w:rStyle w:val="2Char"/>
          <w:rFonts w:ascii="黑体" w:eastAsia="黑体"/>
        </w:rPr>
      </w:pPr>
      <w:bookmarkStart w:id="64" w:name="_Toc15396612"/>
      <w:bookmarkStart w:id="65" w:name="_Toc20625"/>
      <w:bookmarkStart w:id="66" w:name="_Toc15377221"/>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64"/>
      <w:bookmarkEnd w:id="65"/>
      <w:bookmarkEnd w:id="66"/>
    </w:p>
    <w:p>
      <w:pPr>
        <w:spacing w:line="580" w:lineRule="exact"/>
        <w:ind w:firstLineChars="200" w:firstLine="640"/>
        <w:rPr>
          <w:rFonts w:ascii="楷体_GB2312" w:eastAsia="楷体_GB2312" w:cs="楷体_GB2312"/>
          <w:b/>
          <w:bCs/>
          <w:sz w:val="32"/>
          <w:szCs w:val="32"/>
        </w:rPr>
      </w:pPr>
      <w:bookmarkStart w:id="67" w:name="_Toc15377222"/>
      <w:r>
        <w:rPr>
          <w:rFonts w:ascii="楷体_GB2312" w:eastAsia="楷体_GB2312" w:cs="楷体_GB2312" w:hint="eastAsia"/>
          <w:b/>
          <w:bCs/>
          <w:sz w:val="32"/>
          <w:szCs w:val="32"/>
        </w:rPr>
        <w:t>（一）机关运行经费支出情况</w:t>
      </w:r>
      <w:bookmarkEnd w:id="67"/>
    </w:p>
    <w:p>
      <w:pPr>
        <w:spacing w:line="580" w:lineRule="exact"/>
        <w:ind w:firstLineChars="200" w:firstLine="640"/>
        <w:rPr>
          <w:rFonts w:ascii="仿宋_GB2312" w:eastAsia="仿宋_GB2312" w:hint="eastAsia"/>
          <w:sz w:val="32"/>
          <w:szCs w:val="32"/>
        </w:rPr>
      </w:pPr>
      <w:bookmarkStart w:id="68" w:name="_Toc15377223"/>
      <w:r>
        <w:rPr>
          <w:rFonts w:ascii="仿宋_GB2312" w:eastAsia="仿宋_GB2312" w:hint="eastAsia"/>
          <w:sz w:val="32"/>
          <w:szCs w:val="32"/>
          <w:lang w:eastAsia="zh-CN"/>
        </w:rPr>
        <w:t>2022</w:t>
      </w:r>
      <w:r>
        <w:rPr>
          <w:rFonts w:ascii="仿宋_GB2312" w:eastAsia="仿宋_GB2312" w:hint="eastAsia"/>
          <w:sz w:val="32"/>
          <w:szCs w:val="32"/>
        </w:rPr>
        <w:t>年，机关运行经费支出</w:t>
      </w:r>
      <w:r>
        <w:rPr>
          <w:rFonts w:ascii="仿宋_GB2312" w:eastAsia="仿宋_GB2312" w:hint="eastAsia"/>
          <w:sz w:val="32"/>
          <w:szCs w:val="32"/>
          <w:lang w:val="en-US" w:eastAsia="zh-CN"/>
        </w:rPr>
        <w:t>23.26</w:t>
      </w:r>
      <w:r>
        <w:rPr>
          <w:rFonts w:ascii="仿宋_GB2312" w:eastAsia="仿宋_GB2312" w:hint="eastAsia"/>
          <w:sz w:val="32"/>
          <w:szCs w:val="32"/>
        </w:rPr>
        <w:t>万元，比</w:t>
      </w:r>
      <w:r>
        <w:rPr>
          <w:rFonts w:ascii="仿宋_GB2312" w:eastAsia="仿宋_GB2312" w:hint="eastAsia"/>
          <w:sz w:val="32"/>
          <w:szCs w:val="32"/>
          <w:lang w:val="en-US" w:eastAsia="zh-CN"/>
        </w:rPr>
        <w:t>2021</w:t>
      </w:r>
      <w:r>
        <w:rPr>
          <w:rFonts w:ascii="仿宋_GB2312" w:eastAsia="仿宋_GB2312" w:hint="eastAsia"/>
          <w:sz w:val="32"/>
          <w:szCs w:val="32"/>
        </w:rPr>
        <w:t>年减少</w:t>
      </w:r>
      <w:r>
        <w:rPr>
          <w:rFonts w:ascii="仿宋_GB2312" w:eastAsia="仿宋_GB2312" w:hint="eastAsia"/>
          <w:sz w:val="32"/>
          <w:szCs w:val="32"/>
          <w:lang w:val="en-US" w:eastAsia="zh-CN"/>
        </w:rPr>
        <w:t>16.21</w:t>
      </w:r>
      <w:r>
        <w:rPr>
          <w:rFonts w:ascii="仿宋_GB2312" w:eastAsia="仿宋_GB2312" w:hint="eastAsia"/>
          <w:sz w:val="32"/>
          <w:szCs w:val="32"/>
        </w:rPr>
        <w:t>万元，下降</w:t>
      </w:r>
      <w:r>
        <w:rPr>
          <w:rFonts w:ascii="仿宋_GB2312" w:eastAsia="仿宋_GB2312" w:hint="eastAsia"/>
          <w:sz w:val="32"/>
          <w:szCs w:val="32"/>
          <w:lang w:val="en-US" w:eastAsia="zh-CN"/>
        </w:rPr>
        <w:t>41.17</w:t>
      </w:r>
      <w:r>
        <w:rPr>
          <w:rFonts w:ascii="仿宋_GB2312" w:eastAsia="仿宋_GB2312" w:hint="eastAsia"/>
          <w:sz w:val="32"/>
          <w:szCs w:val="32"/>
        </w:rPr>
        <w:t>%。主要原因是</w:t>
      </w:r>
      <w:r>
        <w:rPr>
          <w:rFonts w:ascii="仿宋_GB2312" w:eastAsia="仿宋_GB2312" w:hint="eastAsia"/>
          <w:sz w:val="32"/>
          <w:szCs w:val="32"/>
          <w:lang w:val="en-US" w:eastAsia="zh-CN"/>
        </w:rPr>
        <w:t>新制度下参公独立核算</w:t>
      </w:r>
      <w:r>
        <w:rPr>
          <w:rFonts w:ascii="仿宋_GB2312" w:eastAsia="仿宋_GB2312" w:hint="eastAsia"/>
          <w:sz w:val="32"/>
          <w:szCs w:val="32"/>
          <w:lang w:eastAsia="zh-CN"/>
        </w:rPr>
        <w:t>；</w:t>
      </w:r>
      <w:r>
        <w:rPr>
          <w:rFonts w:ascii="仿宋_GB2312" w:eastAsia="仿宋_GB2312" w:hint="eastAsia"/>
          <w:sz w:val="32"/>
          <w:szCs w:val="32"/>
          <w:lang w:val="en-US" w:eastAsia="zh-CN"/>
        </w:rPr>
        <w:t>加之严控经费、疫情防控等影响，差旅费和公务用车运行费等有所下降。</w:t>
      </w:r>
    </w:p>
    <w:p>
      <w:pPr>
        <w:spacing w:line="580" w:lineRule="exact"/>
        <w:ind w:firstLineChars="200" w:firstLine="640"/>
        <w:rPr>
          <w:rFonts w:ascii="楷体_GB2312" w:eastAsia="楷体_GB2312" w:cs="楷体_GB2312"/>
          <w:b/>
          <w:bCs/>
          <w:sz w:val="32"/>
          <w:szCs w:val="32"/>
        </w:rPr>
      </w:pPr>
      <w:r>
        <w:rPr>
          <w:rFonts w:ascii="楷体_GB2312" w:eastAsia="楷体_GB2312" w:cs="楷体_GB2312" w:hint="eastAsia"/>
          <w:b/>
          <w:bCs/>
          <w:sz w:val="32"/>
          <w:szCs w:val="32"/>
        </w:rPr>
        <w:t>（二）政府采购支出情况</w:t>
      </w:r>
      <w:bookmarkEnd w:id="68"/>
    </w:p>
    <w:p>
      <w:pPr>
        <w:spacing w:line="536" w:lineRule="exact"/>
        <w:ind w:firstLineChars="200" w:firstLine="640"/>
        <w:rPr>
          <w:rFonts w:ascii="仿宋_GB2312" w:eastAsia="仿宋_GB2312"/>
          <w:color w:val="000000"/>
          <w:sz w:val="32"/>
          <w:szCs w:val="32"/>
        </w:rPr>
      </w:pPr>
      <w:bookmarkStart w:id="69" w:name="_Toc15377224"/>
      <w:r>
        <w:rPr>
          <w:rFonts w:ascii="仿宋_GB2312" w:eastAsia="仿宋_GB2312" w:hint="eastAsia"/>
          <w:color w:val="000000"/>
          <w:sz w:val="32"/>
          <w:szCs w:val="32"/>
          <w:lang w:eastAsia="zh-CN"/>
        </w:rPr>
        <w:t>2022</w:t>
      </w:r>
      <w:r>
        <w:rPr>
          <w:rFonts w:ascii="仿宋_GB2312" w:eastAsia="仿宋_GB2312" w:hint="eastAsia"/>
          <w:color w:val="000000"/>
          <w:sz w:val="32"/>
          <w:szCs w:val="32"/>
        </w:rPr>
        <w:t>年度，政府采购支出总额</w:t>
      </w:r>
      <w:r>
        <w:rPr>
          <w:rFonts w:ascii="仿宋_GB2312" w:eastAsia="仿宋_GB2312" w:hint="eastAsia"/>
          <w:color w:val="000000"/>
          <w:sz w:val="32"/>
          <w:szCs w:val="32"/>
          <w:lang w:val="en-US" w:eastAsia="zh-CN"/>
        </w:rPr>
        <w:t>1566.59</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lang w:val="en-US" w:eastAsia="zh-CN"/>
        </w:rPr>
        <w:t>103.23</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lang w:val="en-US" w:eastAsia="zh-CN"/>
        </w:rPr>
        <w:t>1338.1</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lang w:val="en-US" w:eastAsia="zh-CN"/>
        </w:rPr>
        <w:t>125.26</w:t>
      </w:r>
      <w:r>
        <w:rPr>
          <w:rFonts w:ascii="仿宋_GB2312" w:eastAsia="仿宋_GB2312" w:hint="eastAsia"/>
          <w:color w:val="000000"/>
          <w:sz w:val="32"/>
          <w:szCs w:val="32"/>
        </w:rPr>
        <w:t>万元。</w:t>
      </w:r>
    </w:p>
    <w:p>
      <w:pPr>
        <w:spacing w:line="580" w:lineRule="exact"/>
        <w:ind w:firstLineChars="200" w:firstLine="640"/>
        <w:rPr>
          <w:rFonts w:ascii="楷体_GB2312" w:eastAsia="楷体_GB2312" w:cs="楷体_GB2312"/>
          <w:b/>
          <w:bCs/>
          <w:sz w:val="32"/>
          <w:szCs w:val="32"/>
        </w:rPr>
      </w:pPr>
      <w:r>
        <w:rPr>
          <w:rFonts w:ascii="楷体_GB2312" w:eastAsia="楷体_GB2312" w:cs="楷体_GB2312" w:hint="eastAsia"/>
          <w:b/>
          <w:bCs/>
          <w:sz w:val="32"/>
          <w:szCs w:val="32"/>
        </w:rPr>
        <w:t>（三）国有资产占有使用情况</w:t>
      </w:r>
      <w:bookmarkEnd w:id="69"/>
    </w:p>
    <w:p>
      <w:pPr>
        <w:autoSpaceDE w:val="0"/>
        <w:autoSpaceDN w:val="0"/>
        <w:adjustRightInd w:val="0"/>
        <w:spacing w:line="536" w:lineRule="exact"/>
        <w:ind w:firstLineChars="200" w:firstLine="640"/>
        <w:jc w:val="left"/>
        <w:rPr>
          <w:rFonts w:ascii="仿宋_GB2312" w:eastAsia="仿宋_GB2312" w:hint="eastAsia"/>
          <w:color w:val="000000"/>
          <w:sz w:val="32"/>
          <w:szCs w:val="32"/>
        </w:rPr>
      </w:pPr>
      <w:bookmarkStart w:id="70" w:name="_Toc15396613"/>
      <w:bookmarkStart w:id="71" w:name="_Toc15377225"/>
      <w:r>
        <w:rPr>
          <w:rFonts w:ascii="仿宋_GB2312" w:eastAsia="仿宋_GB2312" w:hint="eastAsia"/>
          <w:color w:val="000000"/>
          <w:sz w:val="32"/>
          <w:szCs w:val="32"/>
        </w:rPr>
        <w:t>截至</w:t>
      </w:r>
      <w:r>
        <w:rPr>
          <w:rFonts w:ascii="仿宋_GB2312" w:eastAsia="仿宋_GB2312" w:hint="eastAsia"/>
          <w:color w:val="000000"/>
          <w:sz w:val="32"/>
          <w:szCs w:val="32"/>
          <w:lang w:eastAsia="zh-CN"/>
        </w:rPr>
        <w:t>2022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6</w:t>
      </w:r>
      <w:r>
        <w:rPr>
          <w:rFonts w:ascii="仿宋_GB2312" w:eastAsia="仿宋_GB2312" w:hint="eastAsia"/>
          <w:color w:val="000000"/>
          <w:sz w:val="32"/>
          <w:szCs w:val="32"/>
        </w:rPr>
        <w:t>辆，其中：部级领导干部用车</w:t>
      </w:r>
      <w:r>
        <w:rPr>
          <w:rFonts w:ascii="仿宋_GB2312" w:eastAsia="仿宋_GB2312"/>
          <w:color w:val="000000"/>
          <w:sz w:val="32"/>
          <w:szCs w:val="32"/>
        </w:rPr>
        <w:t>0</w:t>
      </w:r>
      <w:r>
        <w:rPr>
          <w:rFonts w:ascii="仿宋_GB2312" w:eastAsia="仿宋_GB2312" w:hint="eastAsia"/>
          <w:color w:val="000000"/>
          <w:sz w:val="32"/>
          <w:szCs w:val="32"/>
        </w:rPr>
        <w:t>辆、一般公务用车</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辆、一般执法执勤用车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辆、特种专业技术用车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辆、其他用车</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color w:val="000000"/>
          <w:sz w:val="32"/>
          <w:szCs w:val="32"/>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color w:val="000000"/>
          <w:sz w:val="32"/>
          <w:szCs w:val="32"/>
        </w:rPr>
        <w:t>0</w:t>
      </w:r>
      <w:r>
        <w:rPr>
          <w:rFonts w:ascii="仿宋_GB2312" w:eastAsia="仿宋_GB2312" w:hint="eastAsia"/>
          <w:color w:val="000000"/>
          <w:sz w:val="32"/>
          <w:szCs w:val="32"/>
        </w:rPr>
        <w:t>台（套）。</w:t>
      </w:r>
    </w:p>
    <w:p>
      <w:pPr>
        <w:pStyle w:val="29"/>
        <w:spacing w:line="580" w:lineRule="exact"/>
        <w:ind w:left="709"/>
        <w:rPr>
          <w:rFonts w:ascii="楷体_GB2312" w:eastAsia="楷体_GB2312" w:cs="楷体_GB2312" w:hint="eastAsia"/>
          <w:b/>
          <w:bCs/>
          <w:kern w:val="2"/>
          <w:sz w:val="32"/>
          <w:szCs w:val="32"/>
          <w:lang w:val="en-US" w:eastAsia="zh-CN" w:bidi="ar-SA"/>
        </w:rPr>
      </w:pPr>
      <w:bookmarkStart w:id="72" w:name="_Toc28157"/>
      <w:r>
        <w:rPr>
          <w:rFonts w:ascii="楷体_GB2312" w:eastAsia="楷体_GB2312" w:cs="楷体_GB2312" w:hint="eastAsia"/>
          <w:b/>
          <w:bCs/>
          <w:kern w:val="2"/>
          <w:sz w:val="32"/>
          <w:szCs w:val="32"/>
          <w:lang w:val="en-US" w:eastAsia="zh-CN" w:bidi="ar-SA"/>
        </w:rPr>
        <w:t>（四）预算绩效情况说明</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9"/>
        <w:rPr>
          <w:rFonts w:ascii="仿宋_GB2312" w:eastAsia="仿宋_GB2312" w:cs="Times New Roman"/>
          <w:color w:val="000000"/>
          <w:sz w:val="32"/>
          <w:szCs w:val="32"/>
          <w:lang w:val="en-US" w:eastAsia="zh-CN"/>
        </w:rPr>
      </w:pPr>
      <w:bookmarkEnd w:id="72"/>
      <w:r>
        <w:rPr>
          <w:rFonts w:ascii="仿宋_GB2312" w:eastAsia="仿宋_GB2312" w:hint="eastAsia"/>
          <w:color w:val="000000"/>
          <w:sz w:val="32"/>
          <w:szCs w:val="32"/>
          <w:lang w:val="en-US" w:eastAsia="zh-CN"/>
        </w:rPr>
        <w:t>根据预算绩效管理要求，本部门在2022年度预算编制阶段，组织对2022年中央财政农业生产发展项目以及2022年涉农整合项目等97个项目开展了预算事前绩效评估，对97个项目开展了预算事前绩效评估，预算执行过程中，选取16个项目开展绩效监控，年终执行完毕后，对16个项目开展了绩效自评。同时，本部门对2022年部门整体开展绩效自评，</w:t>
      </w:r>
      <w:r>
        <w:rPr>
          <w:rFonts w:ascii="仿宋_GB2312" w:eastAsia="仿宋_GB2312" w:cs="Times New Roman" w:hint="eastAsia"/>
          <w:color w:val="000000"/>
          <w:sz w:val="32"/>
          <w:szCs w:val="32"/>
          <w:lang w:val="en-US" w:eastAsia="zh-CN"/>
        </w:rPr>
        <w:t>《2022年县级部门整体支出绩效评价报告（金川县科学技术和农业畜牧局）》见附件（第四部分）</w:t>
      </w:r>
    </w:p>
    <w:p>
      <w:pPr>
        <w:spacing w:line="536" w:lineRule="exact"/>
        <w:rPr>
          <w:rFonts w:ascii="仿宋_GB2312" w:eastAsia="仿宋_GB2312"/>
          <w:b/>
          <w:color w:val="000000"/>
          <w:sz w:val="32"/>
          <w:szCs w:val="32"/>
        </w:rPr>
      </w:pPr>
    </w:p>
    <w:p>
      <w:pPr>
        <w:autoSpaceDE w:val="0"/>
        <w:autoSpaceDN w:val="0"/>
        <w:adjustRightInd w:val="0"/>
        <w:spacing w:line="536" w:lineRule="exact"/>
        <w:ind w:firstLineChars="200" w:firstLine="640"/>
        <w:jc w:val="center"/>
        <w:rPr>
          <w:rFonts w:ascii="仿宋_GB2312" w:eastAsia="仿宋_GB2312"/>
          <w:color w:val="000000"/>
          <w:sz w:val="32"/>
          <w:szCs w:val="32"/>
        </w:rPr>
      </w:pPr>
    </w:p>
    <w:p>
      <w:pPr>
        <w:numPr>
          <w:ilvl w:val="0"/>
          <w:numId w:val="4"/>
        </w:numPr>
        <w:spacing w:line="600" w:lineRule="exact"/>
        <w:ind w:left="0" w:firstLineChars="150" w:firstLine="660"/>
        <w:jc w:val="center"/>
        <w:outlineLvl w:val="0"/>
        <w:rPr>
          <w:rStyle w:val="1Char"/>
          <w:rFonts w:ascii="黑体" w:eastAsia="黑体"/>
          <w:b w:val="0"/>
        </w:rPr>
      </w:pPr>
      <w:bookmarkStart w:id="73" w:name="_Toc5986"/>
      <w:r>
        <w:rPr>
          <w:rFonts w:ascii="黑体" w:eastAsia="黑体" w:hint="eastAsia"/>
          <w:b/>
          <w:color w:val="000000"/>
          <w:sz w:val="44"/>
          <w:szCs w:val="44"/>
        </w:rPr>
        <w:t>名</w:t>
      </w:r>
      <w:r>
        <w:rPr>
          <w:rStyle w:val="1Char"/>
          <w:rFonts w:ascii="黑体" w:eastAsia="黑体" w:hint="eastAsia"/>
          <w:b w:val="0"/>
        </w:rPr>
        <w:t>词解释</w:t>
      </w:r>
      <w:bookmarkEnd w:id="70"/>
      <w:bookmarkEnd w:id="71"/>
      <w:bookmarkEnd w:id="73"/>
    </w:p>
    <w:p>
      <w:pPr>
        <w:pStyle w:val="28"/>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结余分配：指事业单位按照事业单位会计制度的规定从非财政补助结余中分配的事业基金和职工福利基金等。</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color w:val="000000"/>
          <w:sz w:val="32"/>
          <w:szCs w:val="32"/>
        </w:rPr>
        <w:t>8.</w:t>
      </w:r>
      <w:r>
        <w:rPr>
          <w:rFonts w:ascii="仿宋_GB2312" w:eastAsia="仿宋_GB2312" w:cs="仿宋" w:hint="eastAsia"/>
          <w:color w:val="000000"/>
          <w:kern w:val="0"/>
          <w:sz w:val="32"/>
          <w:szCs w:val="32"/>
        </w:rPr>
        <w:t>一般公共服务（类）相关机构事务（款）行政运行（项）：指行政单位的基本支出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cs="仿宋" w:hint="eastAsia"/>
          <w:color w:val="000000"/>
          <w:kern w:val="0"/>
          <w:sz w:val="32"/>
          <w:szCs w:val="32"/>
        </w:rPr>
        <w:t>一般公共服务（类）相关机构事务（款）一般行政管理事务（项）：</w:t>
      </w:r>
      <w:r>
        <w:rPr>
          <w:rFonts w:ascii="仿宋_GB2312" w:eastAsia="仿宋_GB2312" w:hint="eastAsia"/>
          <w:color w:val="000000"/>
          <w:sz w:val="32"/>
          <w:szCs w:val="32"/>
        </w:rPr>
        <w:t>指反映行政单位未单独设置顶级科目的其他项目支出。</w:t>
      </w:r>
    </w:p>
    <w:p>
      <w:pPr>
        <w:ind w:firstLineChars="200" w:firstLine="640"/>
        <w:rPr>
          <w:rFonts w:ascii="仿宋_GB2312" w:eastAsia="仿宋_GB2312"/>
          <w:color w:val="000000"/>
          <w:sz w:val="32"/>
          <w:szCs w:val="32"/>
        </w:rPr>
      </w:pPr>
      <w:r>
        <w:rPr>
          <w:rFonts w:ascii="仿宋_GB2312" w:eastAsia="仿宋_GB2312"/>
          <w:color w:val="000000"/>
          <w:sz w:val="32"/>
          <w:szCs w:val="32"/>
        </w:rPr>
        <w:t>10.</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除上述项目以外用于教育管理事务方面的支出。</w:t>
      </w:r>
    </w:p>
    <w:p>
      <w:pPr>
        <w:ind w:firstLineChars="200" w:firstLine="640"/>
        <w:rPr>
          <w:rFonts w:ascii="仿宋_GB2312" w:eastAsia="仿宋_GB2312"/>
          <w:color w:val="000000"/>
          <w:sz w:val="32"/>
          <w:szCs w:val="32"/>
        </w:rPr>
      </w:pPr>
      <w:r>
        <w:rPr>
          <w:rFonts w:ascii="仿宋_GB2312" w:eastAsia="仿宋_GB2312"/>
          <w:color w:val="000000"/>
          <w:sz w:val="32"/>
          <w:szCs w:val="32"/>
        </w:rPr>
        <w:t>11.</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color w:val="000000"/>
          <w:sz w:val="32"/>
          <w:szCs w:val="32"/>
        </w:rPr>
        <w:t>12.</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color w:val="000000"/>
          <w:sz w:val="32"/>
          <w:szCs w:val="32"/>
        </w:rPr>
        <w:t>13.</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color w:val="000000"/>
          <w:sz w:val="32"/>
          <w:szCs w:val="32"/>
        </w:rPr>
        <w:t>14.</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color w:val="000000"/>
          <w:sz w:val="32"/>
          <w:szCs w:val="32"/>
        </w:rPr>
        <w:t>15.</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color w:val="000000"/>
          <w:sz w:val="32"/>
          <w:szCs w:val="32"/>
        </w:rPr>
        <w:t>16.</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color w:val="000000"/>
          <w:sz w:val="32"/>
          <w:szCs w:val="32"/>
        </w:rPr>
        <w:t>17.</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18.</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Chars="200" w:firstLine="640"/>
        <w:rPr>
          <w:rFonts w:ascii="黑体" w:eastAsia="黑体"/>
          <w:color w:val="000000"/>
          <w:sz w:val="44"/>
          <w:szCs w:val="44"/>
        </w:rPr>
      </w:pPr>
      <w:r>
        <w:rPr>
          <w:rFonts w:ascii="仿宋_GB2312" w:eastAsia="仿宋_GB2312"/>
          <w:sz w:val="32"/>
          <w:szCs w:val="32"/>
        </w:rPr>
        <w:t>19.</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74" w:name="_Toc15396614"/>
      <w:bookmarkStart w:id="75" w:name="_Toc15377226"/>
    </w:p>
    <w:p>
      <w:pPr>
        <w:spacing w:line="600" w:lineRule="exact"/>
        <w:outlineLvl w:val="0"/>
        <w:rPr>
          <w:rFonts w:ascii="黑体" w:eastAsia="黑体"/>
          <w:color w:val="000000"/>
          <w:sz w:val="44"/>
          <w:szCs w:val="44"/>
        </w:rPr>
      </w:pPr>
    </w:p>
    <w:p>
      <w:pPr>
        <w:numPr>
          <w:ilvl w:val="0"/>
          <w:numId w:val="4"/>
        </w:numPr>
        <w:spacing w:line="600" w:lineRule="exact"/>
        <w:ind w:left="0" w:firstLineChars="150" w:firstLine="660"/>
        <w:jc w:val="center"/>
        <w:outlineLvl w:val="0"/>
        <w:rPr>
          <w:rStyle w:val="1Char"/>
          <w:rFonts w:ascii="黑体" w:eastAsia="黑体"/>
          <w:b w:val="0"/>
        </w:rPr>
      </w:pPr>
      <w:bookmarkStart w:id="76" w:name="_Toc31479"/>
      <w:r>
        <w:rPr>
          <w:rStyle w:val="1Char"/>
          <w:rFonts w:ascii="黑体" w:eastAsia="黑体" w:hint="eastAsia"/>
          <w:b w:val="0"/>
        </w:rPr>
        <w:t>附件</w:t>
      </w:r>
      <w:bookmarkEnd w:id="74"/>
      <w:bookmarkEnd w:id="76"/>
    </w:p>
    <w:p>
      <w:pPr>
        <w:outlineLvl w:val="0"/>
        <w:rPr>
          <w:rStyle w:val="1Char"/>
          <w:rFonts w:ascii="黑体" w:eastAsia="黑体"/>
          <w:b w:val="0"/>
        </w:rPr>
      </w:pPr>
    </w:p>
    <w:p>
      <w:pPr>
        <w:widowControl/>
        <w:spacing w:line="576" w:lineRule="exact"/>
        <w:jc w:val="center"/>
        <w:rPr>
          <w:rFonts w:ascii="方正小标宋简体" w:eastAsia="方正小标宋简体" w:cs="方正小标宋简体"/>
          <w:color w:val="auto"/>
          <w:sz w:val="44"/>
          <w:szCs w:val="44"/>
          <w:lang w:val="en-US" w:eastAsia="zh-CN"/>
        </w:rPr>
      </w:pPr>
      <w:bookmarkEnd w:id="75"/>
      <w:r>
        <w:rPr>
          <w:rFonts w:ascii="方正小标宋简体" w:eastAsia="方正小标宋简体" w:cs="方正小标宋简体" w:hint="eastAsia"/>
          <w:color w:val="auto"/>
          <w:sz w:val="44"/>
          <w:szCs w:val="44"/>
        </w:rPr>
        <w:t>金川县</w:t>
      </w:r>
      <w:r>
        <w:rPr>
          <w:rFonts w:ascii="方正小标宋简体" w:eastAsia="方正小标宋简体" w:cs="方正小标宋简体" w:hint="eastAsia"/>
          <w:color w:val="auto"/>
          <w:sz w:val="44"/>
          <w:szCs w:val="44"/>
          <w:lang w:val="en-US" w:eastAsia="zh-CN"/>
        </w:rPr>
        <w:t>科学技术和农业技术畜牧局</w:t>
      </w:r>
    </w:p>
    <w:p>
      <w:pPr>
        <w:widowControl/>
        <w:spacing w:line="576" w:lineRule="exact"/>
        <w:jc w:val="center"/>
        <w:rPr>
          <w:rFonts w:ascii="方正小标宋简体" w:eastAsia="方正小标宋简体" w:cs="方正小标宋简体"/>
          <w:color w:val="auto"/>
          <w:sz w:val="44"/>
          <w:szCs w:val="44"/>
        </w:rPr>
      </w:pPr>
      <w:r>
        <w:rPr>
          <w:rFonts w:ascii="方正小标宋简体" w:eastAsia="方正小标宋简体" w:cs="方正小标宋简体" w:hint="eastAsia"/>
          <w:color w:val="auto"/>
          <w:sz w:val="44"/>
          <w:szCs w:val="44"/>
          <w:lang w:eastAsia="zh-CN"/>
        </w:rPr>
        <w:t>2022</w:t>
      </w:r>
      <w:r>
        <w:rPr>
          <w:rFonts w:ascii="方正小标宋简体" w:eastAsia="方正小标宋简体" w:cs="方正小标宋简体" w:hint="eastAsia"/>
          <w:color w:val="auto"/>
          <w:sz w:val="44"/>
          <w:szCs w:val="44"/>
        </w:rPr>
        <w:t>年部门预算整体支出绩效报告</w:t>
      </w:r>
    </w:p>
    <w:p>
      <w:pPr>
        <w:widowControl/>
        <w:spacing w:line="576" w:lineRule="exact"/>
        <w:rPr>
          <w:rFonts w:ascii="方正小标宋简体" w:eastAsia="方正小标宋简体" w:cs="方正小标宋简体"/>
          <w:color w:val="FF0000"/>
          <w:sz w:val="44"/>
          <w:szCs w:val="44"/>
        </w:rPr>
      </w:pPr>
    </w:p>
    <w:p>
      <w:pPr>
        <w:spacing w:line="576" w:lineRule="exact"/>
        <w:rPr>
          <w:rFonts w:ascii="仿宋_GB2312" w:eastAsia="仿宋_GB2312" w:cs="仿宋"/>
          <w:color w:val="000000"/>
          <w:kern w:val="0"/>
          <w:sz w:val="32"/>
          <w:szCs w:val="32"/>
        </w:rPr>
      </w:pPr>
      <w:r>
        <w:rPr>
          <w:rFonts w:ascii="仿宋" w:eastAsia="仿宋" w:cs="仿宋"/>
          <w:color w:val="000000"/>
          <w:kern w:val="0"/>
          <w:sz w:val="32"/>
          <w:szCs w:val="32"/>
          <w:shd w:val="clear" w:color="auto" w:fill="FFFFFF"/>
        </w:rPr>
        <w:t xml:space="preserve">   </w:t>
      </w:r>
      <w:r>
        <w:rPr>
          <w:rFonts w:ascii="仿宋_GB2312" w:eastAsia="仿宋_GB2312" w:cs="仿宋"/>
          <w:color w:val="000000"/>
          <w:kern w:val="0"/>
          <w:sz w:val="32"/>
          <w:szCs w:val="32"/>
        </w:rPr>
        <w:t xml:space="preserve"> </w:t>
      </w:r>
      <w:r>
        <w:rPr>
          <w:rFonts w:ascii="仿宋_GB2312" w:eastAsia="仿宋_GB2312" w:cs="仿宋" w:hint="eastAsia"/>
          <w:color w:val="000000"/>
          <w:kern w:val="0"/>
          <w:sz w:val="32"/>
          <w:szCs w:val="32"/>
        </w:rPr>
        <w:t>根据《金川县财政局关于开展</w:t>
      </w:r>
      <w:r>
        <w:rPr>
          <w:rFonts w:ascii="仿宋_GB2312" w:eastAsia="仿宋_GB2312" w:cs="仿宋" w:hint="eastAsia"/>
          <w:color w:val="000000"/>
          <w:kern w:val="0"/>
          <w:sz w:val="32"/>
          <w:szCs w:val="32"/>
          <w:lang w:eastAsia="zh-CN"/>
        </w:rPr>
        <w:t>2022</w:t>
      </w:r>
      <w:r>
        <w:rPr>
          <w:rFonts w:ascii="仿宋_GB2312" w:eastAsia="仿宋_GB2312" w:cs="仿宋" w:hint="eastAsia"/>
          <w:color w:val="000000"/>
          <w:kern w:val="0"/>
          <w:sz w:val="32"/>
          <w:szCs w:val="32"/>
        </w:rPr>
        <w:t>年部门、政策和项目支出绩效评价工作的通知》（金财监绩〔</w:t>
      </w:r>
      <w:r>
        <w:rPr>
          <w:rFonts w:ascii="仿宋_GB2312" w:eastAsia="仿宋_GB2312" w:cs="仿宋" w:hint="eastAsia"/>
          <w:color w:val="000000"/>
          <w:kern w:val="0"/>
          <w:sz w:val="32"/>
          <w:szCs w:val="32"/>
          <w:lang w:eastAsia="zh-CN"/>
        </w:rPr>
        <w:t>2022</w:t>
      </w:r>
      <w:r>
        <w:rPr>
          <w:rFonts w:ascii="仿宋_GB2312" w:eastAsia="仿宋_GB2312" w:cs="仿宋" w:hint="eastAsia"/>
          <w:color w:val="000000"/>
          <w:kern w:val="0"/>
          <w:sz w:val="32"/>
          <w:szCs w:val="32"/>
        </w:rPr>
        <w:t>〕</w:t>
      </w:r>
      <w:r>
        <w:rPr>
          <w:rFonts w:ascii="仿宋_GB2312" w:eastAsia="仿宋_GB2312" w:cs="仿宋"/>
          <w:color w:val="000000"/>
          <w:kern w:val="0"/>
          <w:sz w:val="32"/>
          <w:szCs w:val="32"/>
        </w:rPr>
        <w:t>26</w:t>
      </w:r>
      <w:r>
        <w:rPr>
          <w:rFonts w:ascii="仿宋_GB2312" w:eastAsia="仿宋_GB2312" w:cs="仿宋" w:hint="eastAsia"/>
          <w:color w:val="000000"/>
          <w:kern w:val="0"/>
          <w:sz w:val="32"/>
          <w:szCs w:val="32"/>
        </w:rPr>
        <w:t>号）文件要求，为深入贯彻落实财政部《项目支出绩效评价管理办法》（财预〔</w:t>
      </w:r>
      <w:r>
        <w:rPr>
          <w:rFonts w:ascii="仿宋_GB2312" w:eastAsia="仿宋_GB2312" w:cs="仿宋" w:hint="eastAsia"/>
          <w:color w:val="000000"/>
          <w:kern w:val="0"/>
          <w:sz w:val="32"/>
          <w:szCs w:val="32"/>
          <w:lang w:eastAsia="zh-CN"/>
        </w:rPr>
        <w:t>2022</w:t>
      </w:r>
      <w:r>
        <w:rPr>
          <w:rFonts w:ascii="仿宋_GB2312" w:eastAsia="仿宋_GB2312" w:cs="仿宋" w:hint="eastAsia"/>
          <w:color w:val="000000"/>
          <w:kern w:val="0"/>
          <w:sz w:val="32"/>
          <w:szCs w:val="32"/>
        </w:rPr>
        <w:t>〕</w:t>
      </w:r>
      <w:r>
        <w:rPr>
          <w:rFonts w:ascii="仿宋_GB2312" w:eastAsia="仿宋_GB2312" w:cs="仿宋"/>
          <w:color w:val="000000"/>
          <w:kern w:val="0"/>
          <w:sz w:val="32"/>
          <w:szCs w:val="32"/>
        </w:rPr>
        <w:t>10</w:t>
      </w:r>
      <w:r>
        <w:rPr>
          <w:rFonts w:ascii="仿宋_GB2312" w:eastAsia="仿宋_GB2312" w:cs="仿宋" w:hint="eastAsia"/>
          <w:color w:val="000000"/>
          <w:kern w:val="0"/>
          <w:sz w:val="32"/>
          <w:szCs w:val="32"/>
        </w:rPr>
        <w:t>号）、《财政厅关于开展</w:t>
      </w:r>
      <w:r>
        <w:rPr>
          <w:rFonts w:ascii="仿宋_GB2312" w:eastAsia="仿宋_GB2312" w:cs="仿宋" w:hint="eastAsia"/>
          <w:color w:val="000000"/>
          <w:kern w:val="0"/>
          <w:sz w:val="32"/>
          <w:szCs w:val="32"/>
          <w:lang w:eastAsia="zh-CN"/>
        </w:rPr>
        <w:t>2022</w:t>
      </w:r>
      <w:r>
        <w:rPr>
          <w:rFonts w:ascii="仿宋_GB2312" w:eastAsia="仿宋_GB2312" w:cs="仿宋" w:hint="eastAsia"/>
          <w:color w:val="000000"/>
          <w:kern w:val="0"/>
          <w:sz w:val="32"/>
          <w:szCs w:val="32"/>
        </w:rPr>
        <w:t>年部门、政策和项目支出绩效评价工作的通知》（川财绩〔</w:t>
      </w:r>
      <w:r>
        <w:rPr>
          <w:rFonts w:ascii="仿宋_GB2312" w:eastAsia="仿宋_GB2312" w:cs="仿宋" w:hint="eastAsia"/>
          <w:color w:val="000000"/>
          <w:kern w:val="0"/>
          <w:sz w:val="32"/>
          <w:szCs w:val="32"/>
          <w:lang w:eastAsia="zh-CN"/>
        </w:rPr>
        <w:t>2022</w:t>
      </w:r>
      <w:r>
        <w:rPr>
          <w:rFonts w:ascii="仿宋_GB2312" w:eastAsia="仿宋_GB2312" w:cs="仿宋" w:hint="eastAsia"/>
          <w:color w:val="000000"/>
          <w:kern w:val="0"/>
          <w:sz w:val="32"/>
          <w:szCs w:val="32"/>
        </w:rPr>
        <w:t>〕</w:t>
      </w:r>
      <w:r>
        <w:rPr>
          <w:rFonts w:ascii="仿宋_GB2312" w:eastAsia="仿宋_GB2312" w:cs="仿宋"/>
          <w:color w:val="000000"/>
          <w:kern w:val="0"/>
          <w:sz w:val="32"/>
          <w:szCs w:val="32"/>
        </w:rPr>
        <w:t>6</w:t>
      </w:r>
      <w:r>
        <w:rPr>
          <w:rFonts w:ascii="仿宋_GB2312" w:eastAsia="仿宋_GB2312" w:cs="仿宋" w:hint="eastAsia"/>
          <w:color w:val="000000"/>
          <w:kern w:val="0"/>
          <w:sz w:val="32"/>
          <w:szCs w:val="32"/>
        </w:rPr>
        <w:t>号）和《阿坝州财政局关于开展</w:t>
      </w:r>
      <w:r>
        <w:rPr>
          <w:rFonts w:ascii="仿宋_GB2312" w:eastAsia="仿宋_GB2312" w:cs="仿宋" w:hint="eastAsia"/>
          <w:color w:val="000000"/>
          <w:kern w:val="0"/>
          <w:sz w:val="32"/>
          <w:szCs w:val="32"/>
          <w:lang w:eastAsia="zh-CN"/>
        </w:rPr>
        <w:t>2022</w:t>
      </w:r>
      <w:r>
        <w:rPr>
          <w:rFonts w:ascii="仿宋_GB2312" w:eastAsia="仿宋_GB2312" w:cs="仿宋" w:hint="eastAsia"/>
          <w:color w:val="000000"/>
          <w:kern w:val="0"/>
          <w:sz w:val="32"/>
          <w:szCs w:val="32"/>
        </w:rPr>
        <w:t>年部门、政策和项目支出绩效评价工作的通知》（阿州财监绩〔</w:t>
      </w:r>
      <w:r>
        <w:rPr>
          <w:rFonts w:ascii="仿宋_GB2312" w:eastAsia="仿宋_GB2312" w:cs="仿宋" w:hint="eastAsia"/>
          <w:color w:val="000000"/>
          <w:kern w:val="0"/>
          <w:sz w:val="32"/>
          <w:szCs w:val="32"/>
          <w:lang w:eastAsia="zh-CN"/>
        </w:rPr>
        <w:t>2022</w:t>
      </w:r>
      <w:r>
        <w:rPr>
          <w:rFonts w:ascii="仿宋_GB2312" w:eastAsia="仿宋_GB2312" w:cs="仿宋" w:hint="eastAsia"/>
          <w:color w:val="000000"/>
          <w:kern w:val="0"/>
          <w:sz w:val="32"/>
          <w:szCs w:val="32"/>
        </w:rPr>
        <w:t>〕</w:t>
      </w:r>
      <w:r>
        <w:rPr>
          <w:rFonts w:ascii="仿宋_GB2312" w:eastAsia="仿宋_GB2312" w:cs="仿宋"/>
          <w:color w:val="000000"/>
          <w:kern w:val="0"/>
          <w:sz w:val="32"/>
          <w:szCs w:val="32"/>
        </w:rPr>
        <w:t>11</w:t>
      </w:r>
      <w:r>
        <w:rPr>
          <w:rFonts w:ascii="仿宋_GB2312" w:eastAsia="仿宋_GB2312" w:cs="仿宋" w:hint="eastAsia"/>
          <w:color w:val="000000"/>
          <w:kern w:val="0"/>
          <w:sz w:val="32"/>
          <w:szCs w:val="32"/>
        </w:rPr>
        <w:t>号）文件要求，结合金川县</w:t>
      </w:r>
      <w:r>
        <w:rPr>
          <w:rFonts w:ascii="仿宋_GB2312" w:eastAsia="仿宋_GB2312" w:cs="仿宋" w:hint="eastAsia"/>
          <w:color w:val="000000"/>
          <w:kern w:val="0"/>
          <w:sz w:val="32"/>
          <w:szCs w:val="32"/>
          <w:lang w:val="en-US" w:eastAsia="zh-CN"/>
        </w:rPr>
        <w:t>科学技术和农业畜牧局</w:t>
      </w:r>
      <w:r>
        <w:rPr>
          <w:rFonts w:ascii="仿宋_GB2312" w:eastAsia="仿宋_GB2312" w:cs="仿宋" w:hint="eastAsia"/>
          <w:color w:val="000000"/>
          <w:kern w:val="0"/>
          <w:sz w:val="32"/>
          <w:szCs w:val="32"/>
        </w:rPr>
        <w:t>的实际，领导高度重视，认真开展部门预算支出绩效自评工作，现将</w:t>
      </w:r>
      <w:r>
        <w:rPr>
          <w:rFonts w:ascii="仿宋_GB2312" w:eastAsia="仿宋_GB2312" w:cs="仿宋" w:hint="eastAsia"/>
          <w:color w:val="000000"/>
          <w:kern w:val="0"/>
          <w:sz w:val="32"/>
          <w:szCs w:val="32"/>
          <w:lang w:eastAsia="zh-CN"/>
        </w:rPr>
        <w:t>2022</w:t>
      </w:r>
      <w:r>
        <w:rPr>
          <w:rFonts w:ascii="仿宋_GB2312" w:eastAsia="仿宋_GB2312" w:cs="仿宋" w:hint="eastAsia"/>
          <w:color w:val="000000"/>
          <w:kern w:val="0"/>
          <w:sz w:val="32"/>
          <w:szCs w:val="32"/>
        </w:rPr>
        <w:t>年部门预算支出绩效自评工作报告如下：</w:t>
      </w:r>
    </w:p>
    <w:p>
      <w:pPr>
        <w:widowControl/>
        <w:adjustRightInd w:val="0"/>
        <w:snapToGrid w:val="0"/>
        <w:spacing w:line="576" w:lineRule="exact"/>
        <w:rPr>
          <w:rFonts w:ascii="仿宋" w:eastAsia="仿宋" w:cs="仿宋"/>
          <w:b/>
          <w:bCs/>
          <w:color w:val="000000"/>
          <w:kern w:val="0"/>
          <w:sz w:val="32"/>
          <w:szCs w:val="32"/>
          <w:lang w:val="zh-CN"/>
        </w:rPr>
      </w:pPr>
      <w:r>
        <w:rPr>
          <w:rFonts w:ascii="仿宋" w:eastAsia="仿宋" w:cs="仿宋" w:hint="eastAsia"/>
          <w:color w:val="000000"/>
          <w:kern w:val="0"/>
          <w:sz w:val="32"/>
          <w:szCs w:val="32"/>
        </w:rPr>
        <w:t>　　</w:t>
      </w:r>
      <w:bookmarkStart w:id="77" w:name="_Toc12662"/>
      <w:r>
        <w:rPr>
          <w:rStyle w:val="2Char"/>
          <w:rFonts w:ascii="黑体" w:eastAsia="黑体" w:hint="eastAsia"/>
          <w:b w:val="0"/>
        </w:rPr>
        <w:t>一、</w:t>
      </w:r>
      <w:r>
        <w:rPr>
          <w:rStyle w:val="2Char"/>
          <w:rFonts w:ascii="黑体" w:eastAsia="黑体" w:hint="eastAsia"/>
          <w:b w:val="0"/>
          <w:lang w:val="zh-CN"/>
        </w:rPr>
        <w:t>部门（单位）概况</w:t>
      </w:r>
      <w:bookmarkEnd w:id="77"/>
    </w:p>
    <w:p>
      <w:pPr>
        <w:widowControl/>
        <w:adjustRightInd w:val="0"/>
        <w:snapToGrid w:val="0"/>
        <w:spacing w:line="576" w:lineRule="exact"/>
        <w:rPr>
          <w:rFonts w:ascii="仿宋" w:eastAsia="仿宋" w:cs="仿宋"/>
          <w:color w:val="000000"/>
          <w:kern w:val="0"/>
          <w:sz w:val="32"/>
          <w:szCs w:val="32"/>
          <w:lang w:val="zh-CN"/>
        </w:rPr>
      </w:pPr>
      <w:r>
        <w:rPr>
          <w:rFonts w:ascii="仿宋" w:eastAsia="仿宋" w:cs="仿宋" w:hint="eastAsia"/>
          <w:color w:val="000000"/>
          <w:kern w:val="0"/>
          <w:sz w:val="32"/>
          <w:szCs w:val="32"/>
          <w:lang w:val="zh-CN"/>
        </w:rPr>
        <w:t>　　</w:t>
      </w:r>
      <w:r>
        <w:rPr>
          <w:rFonts w:ascii="仿宋_GB2312" w:eastAsia="仿宋_GB2312" w:cs="仿宋" w:hint="eastAsia"/>
          <w:color w:val="000000"/>
          <w:kern w:val="0"/>
          <w:sz w:val="32"/>
          <w:szCs w:val="32"/>
          <w:lang w:val="zh-CN" w:eastAsia="zh-CN"/>
        </w:rPr>
        <w:t>（一）机构组成</w:t>
      </w:r>
    </w:p>
    <w:p>
      <w:pPr>
        <w:pageBreakBefore w:val="0"/>
        <w:widowControl/>
        <w:kinsoku/>
        <w:wordWrap/>
        <w:overflowPunct/>
        <w:topLinePunct w:val="0"/>
        <w:autoSpaceDE/>
        <w:autoSpaceDN/>
        <w:bidi w:val="0"/>
        <w:adjustRightInd/>
        <w:snapToGrid/>
        <w:spacing w:line="512" w:lineRule="exact"/>
        <w:ind w:firstLineChars="200" w:firstLine="640"/>
        <w:jc w:val="left"/>
        <w:textAlignment w:val="auto"/>
      </w:pPr>
      <w:r>
        <w:rPr>
          <w:rFonts w:ascii="仿宋_GB2312" w:eastAsia="仿宋_GB2312" w:cs="仿宋" w:hint="eastAsia"/>
          <w:color w:val="000000"/>
          <w:kern w:val="0"/>
          <w:sz w:val="32"/>
          <w:szCs w:val="32"/>
        </w:rPr>
        <w:t>县</w:t>
      </w:r>
      <w:r>
        <w:rPr>
          <w:rFonts w:ascii="仿宋_GB2312" w:eastAsia="仿宋_GB2312" w:cs="仿宋" w:hint="eastAsia"/>
          <w:color w:val="000000"/>
          <w:kern w:val="0"/>
          <w:sz w:val="32"/>
          <w:szCs w:val="32"/>
          <w:lang w:val="en-US" w:eastAsia="zh-CN"/>
        </w:rPr>
        <w:t>科学技术和农业畜牧局</w:t>
      </w:r>
      <w:r>
        <w:rPr>
          <w:rFonts w:ascii="仿宋_GB2312" w:eastAsia="仿宋_GB2312" w:cs="仿宋" w:hint="eastAsia"/>
          <w:color w:val="000000"/>
          <w:kern w:val="0"/>
          <w:sz w:val="32"/>
          <w:szCs w:val="32"/>
        </w:rPr>
        <w:t>属独立编制机构和独立核算的</w:t>
      </w:r>
      <w:r>
        <w:rPr>
          <w:rFonts w:ascii="仿宋_GB2312" w:eastAsia="仿宋_GB2312" w:cs="仿宋" w:hint="eastAsia"/>
          <w:color w:val="000000"/>
          <w:kern w:val="0"/>
          <w:sz w:val="32"/>
          <w:szCs w:val="32"/>
          <w:lang w:val="en-US" w:eastAsia="zh-CN"/>
        </w:rPr>
        <w:t>行政单位</w:t>
      </w:r>
      <w:r>
        <w:rPr>
          <w:rFonts w:ascii="仿宋_GB2312" w:eastAsia="仿宋_GB2312" w:cs="仿宋" w:hint="eastAsia"/>
          <w:color w:val="000000"/>
          <w:kern w:val="0"/>
          <w:sz w:val="32"/>
          <w:szCs w:val="32"/>
        </w:rPr>
        <w:t>。</w:t>
      </w:r>
      <w:r>
        <w:rPr>
          <w:rFonts w:ascii="仿宋_GB2312" w:eastAsia="仿宋_GB2312" w:hint="eastAsia"/>
          <w:bCs/>
          <w:color w:val="000000"/>
          <w:sz w:val="32"/>
          <w:szCs w:val="32"/>
        </w:rPr>
        <w:t>设</w:t>
      </w:r>
      <w:r>
        <w:rPr>
          <w:rFonts w:ascii="仿宋_GB2312" w:eastAsia="仿宋_GB2312" w:hint="eastAsia"/>
          <w:color w:val="000000"/>
          <w:sz w:val="32"/>
          <w:szCs w:val="32"/>
        </w:rPr>
        <w:t>统一核算机构为</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个，其中：</w:t>
      </w:r>
      <w:r>
        <w:rPr>
          <w:rFonts w:ascii="仿宋" w:eastAsia="仿宋" w:cs="仿宋" w:hint="eastAsia"/>
          <w:color w:val="000000"/>
          <w:sz w:val="32"/>
          <w:szCs w:val="32"/>
        </w:rPr>
        <w:t>行政单位</w:t>
      </w:r>
      <w:r>
        <w:rPr>
          <w:rFonts w:ascii="仿宋" w:eastAsia="仿宋" w:cs="仿宋" w:hint="eastAsia"/>
          <w:color w:val="000000"/>
          <w:sz w:val="32"/>
          <w:szCs w:val="32"/>
          <w:lang w:val="en-US" w:eastAsia="zh-CN"/>
        </w:rPr>
        <w:t>4</w:t>
      </w:r>
      <w:r>
        <w:rPr>
          <w:rFonts w:ascii="仿宋" w:eastAsia="仿宋" w:cs="仿宋" w:hint="eastAsia"/>
          <w:color w:val="000000"/>
          <w:sz w:val="32"/>
          <w:szCs w:val="32"/>
        </w:rPr>
        <w:t>个</w:t>
      </w:r>
      <w:r>
        <w:rPr>
          <w:rFonts w:ascii="仿宋" w:eastAsia="仿宋" w:cs="仿宋" w:hint="eastAsia"/>
          <w:color w:val="000000"/>
          <w:sz w:val="32"/>
          <w:szCs w:val="32"/>
          <w:lang w:eastAsia="zh-CN"/>
        </w:rPr>
        <w:t>，</w:t>
      </w:r>
      <w:r>
        <w:rPr>
          <w:rFonts w:ascii="仿宋_GB2312" w:eastAsia="仿宋_GB2312" w:hint="eastAsia"/>
          <w:color w:val="000000"/>
          <w:sz w:val="32"/>
          <w:szCs w:val="32"/>
        </w:rPr>
        <w:t>事业单位</w:t>
      </w:r>
      <w:r>
        <w:rPr>
          <w:rFonts w:ascii="仿宋_GB2312" w:eastAsia="仿宋_GB2312"/>
          <w:color w:val="000000"/>
          <w:sz w:val="32"/>
          <w:szCs w:val="32"/>
        </w:rPr>
        <w:t>1</w:t>
      </w:r>
      <w:r>
        <w:rPr>
          <w:rFonts w:ascii="仿宋_GB2312" w:eastAsia="仿宋_GB2312" w:hint="eastAsia"/>
          <w:color w:val="000000"/>
          <w:sz w:val="32"/>
          <w:szCs w:val="32"/>
        </w:rPr>
        <w:t>个</w:t>
      </w:r>
      <w:r>
        <w:rPr>
          <w:rFonts w:ascii="仿宋_GB2312" w:eastAsia="仿宋_GB2312" w:hint="eastAsia"/>
          <w:color w:val="000000"/>
          <w:sz w:val="32"/>
          <w:szCs w:val="32"/>
          <w:lang w:eastAsia="zh-CN"/>
        </w:rPr>
        <w:t>；</w:t>
      </w:r>
      <w:r>
        <w:rPr>
          <w:rFonts w:ascii="仿宋_GB2312" w:eastAsia="仿宋_GB2312" w:hint="eastAsia"/>
          <w:color w:val="000000"/>
          <w:sz w:val="32"/>
          <w:szCs w:val="32"/>
        </w:rPr>
        <w:t>独立编制机构数</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个，分别为</w:t>
      </w:r>
      <w:r>
        <w:rPr>
          <w:rFonts w:ascii="仿宋_GB2312" w:eastAsia="仿宋_GB2312" w:hint="eastAsia"/>
          <w:color w:val="000000"/>
          <w:sz w:val="32"/>
          <w:szCs w:val="32"/>
          <w:lang w:val="en-US" w:eastAsia="zh-CN"/>
        </w:rPr>
        <w:t>金川县科学技术和农业畜牧局</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金川县农村经营管理站、金川县农业技术推广站</w:t>
      </w:r>
      <w:r>
        <w:rPr>
          <w:rFonts w:ascii="仿宋_GB2312" w:eastAsia="仿宋_GB2312" w:hint="eastAsia"/>
          <w:sz w:val="32"/>
          <w:szCs w:val="32"/>
        </w:rPr>
        <w:t>。</w:t>
      </w:r>
    </w:p>
    <w:p>
      <w:pPr>
        <w:pStyle w:val="24"/>
        <w:keepNext w:val="0"/>
        <w:keepLines w:val="0"/>
        <w:widowControl/>
        <w:numPr>
          <w:ilvl w:val="0"/>
          <w:numId w:val="5"/>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人员概况。</w:t>
      </w:r>
    </w:p>
    <w:p>
      <w:pPr>
        <w:keepNext w:val="0"/>
        <w:keepLines w:val="0"/>
        <w:pageBreakBefore w:val="0"/>
        <w:widowControl w:val="0"/>
        <w:kinsoku/>
        <w:overflowPunct/>
        <w:topLinePunct w:val="0"/>
        <w:autoSpaceDE/>
        <w:autoSpaceDN/>
        <w:bidi w:val="0"/>
        <w:snapToGrid w:val="0"/>
        <w:spacing w:line="560" w:lineRule="exact"/>
        <w:ind w:firstLineChars="200" w:firstLine="640"/>
        <w:rPr>
          <w:rFonts w:ascii="仿宋_GB2312" w:eastAsia="仿宋_GB2312" w:cs="宋体" w:hint="eastAsia"/>
          <w:color w:val="000000"/>
          <w:spacing w:val="0"/>
          <w:kern w:val="0"/>
          <w:sz w:val="32"/>
          <w:szCs w:val="24"/>
          <w:u w:val="none"/>
          <w:lang w:val="zh-CN" w:eastAsia="zh-CN"/>
        </w:rPr>
      </w:pPr>
      <w:r>
        <w:rPr>
          <w:rFonts w:ascii="仿宋_GB2312" w:eastAsia="仿宋_GB2312" w:cs="宋体" w:hint="eastAsia"/>
          <w:color w:val="000000"/>
          <w:spacing w:val="0"/>
          <w:kern w:val="0"/>
          <w:sz w:val="32"/>
          <w:szCs w:val="24"/>
          <w:u w:val="none"/>
          <w:lang w:val="zh-CN" w:eastAsia="zh-CN"/>
        </w:rPr>
        <w:t>截止20</w:t>
      </w:r>
      <w:r>
        <w:rPr>
          <w:rFonts w:ascii="仿宋_GB2312" w:eastAsia="仿宋_GB2312" w:cs="宋体" w:hint="eastAsia"/>
          <w:color w:val="000000"/>
          <w:spacing w:val="0"/>
          <w:kern w:val="0"/>
          <w:sz w:val="32"/>
          <w:szCs w:val="24"/>
          <w:u w:val="none"/>
          <w:lang w:val="en-US" w:eastAsia="zh-CN"/>
        </w:rPr>
        <w:t>22</w:t>
      </w:r>
      <w:r>
        <w:rPr>
          <w:rFonts w:ascii="仿宋_GB2312" w:eastAsia="仿宋_GB2312" w:cs="宋体" w:hint="eastAsia"/>
          <w:color w:val="000000"/>
          <w:spacing w:val="0"/>
          <w:kern w:val="0"/>
          <w:sz w:val="32"/>
          <w:szCs w:val="24"/>
          <w:u w:val="none"/>
          <w:lang w:val="zh-CN" w:eastAsia="zh-CN"/>
        </w:rPr>
        <w:t>年底在职人员总数</w:t>
      </w:r>
      <w:r>
        <w:rPr>
          <w:rFonts w:ascii="仿宋_GB2312" w:eastAsia="仿宋_GB2312" w:cs="宋体" w:hint="eastAsia"/>
          <w:color w:val="000000"/>
          <w:spacing w:val="0"/>
          <w:kern w:val="0"/>
          <w:sz w:val="32"/>
          <w:szCs w:val="24"/>
          <w:u w:val="none"/>
          <w:lang w:val="en-US" w:eastAsia="zh-CN"/>
        </w:rPr>
        <w:t>77</w:t>
      </w:r>
      <w:r>
        <w:rPr>
          <w:rFonts w:ascii="仿宋_GB2312" w:eastAsia="仿宋_GB2312" w:cs="宋体" w:hint="eastAsia"/>
          <w:color w:val="000000"/>
          <w:spacing w:val="0"/>
          <w:kern w:val="0"/>
          <w:sz w:val="32"/>
          <w:szCs w:val="24"/>
          <w:u w:val="none"/>
          <w:lang w:val="zh-CN" w:eastAsia="zh-CN"/>
        </w:rPr>
        <w:t xml:space="preserve"> 名，其中：</w:t>
      </w:r>
      <w:r>
        <w:rPr>
          <w:rFonts w:ascii="仿宋_GB2312" w:eastAsia="仿宋_GB2312" w:cs="宋体" w:hint="eastAsia"/>
          <w:color w:val="000000"/>
          <w:spacing w:val="0"/>
          <w:kern w:val="0"/>
          <w:sz w:val="32"/>
          <w:szCs w:val="24"/>
          <w:u w:val="none"/>
          <w:lang w:val="en-US" w:eastAsia="zh-CN"/>
        </w:rPr>
        <w:t>行政运行21名，</w:t>
      </w:r>
      <w:r>
        <w:rPr>
          <w:rFonts w:ascii="仿宋_GB2312" w:eastAsia="仿宋_GB2312" w:cs="宋体" w:hint="eastAsia"/>
          <w:color w:val="000000"/>
          <w:spacing w:val="0"/>
          <w:kern w:val="0"/>
          <w:sz w:val="32"/>
          <w:szCs w:val="24"/>
          <w:u w:val="none"/>
          <w:lang w:val="zh-CN" w:eastAsia="zh-CN"/>
        </w:rPr>
        <w:t>事业编制</w:t>
      </w:r>
      <w:r>
        <w:rPr>
          <w:rFonts w:ascii="仿宋_GB2312" w:eastAsia="仿宋_GB2312" w:cs="宋体" w:hint="eastAsia"/>
          <w:color w:val="000000"/>
          <w:spacing w:val="0"/>
          <w:kern w:val="0"/>
          <w:sz w:val="32"/>
          <w:szCs w:val="24"/>
          <w:u w:val="none"/>
          <w:lang w:val="en-US" w:eastAsia="zh-CN"/>
        </w:rPr>
        <w:t>56</w:t>
      </w:r>
      <w:r>
        <w:rPr>
          <w:rFonts w:ascii="仿宋_GB2312" w:eastAsia="仿宋_GB2312" w:cs="宋体" w:hint="eastAsia"/>
          <w:color w:val="000000"/>
          <w:spacing w:val="0"/>
          <w:kern w:val="0"/>
          <w:sz w:val="32"/>
          <w:szCs w:val="24"/>
          <w:u w:val="none"/>
          <w:lang w:val="zh-CN" w:eastAsia="zh-CN"/>
        </w:rPr>
        <w:t>名。；退休人员</w:t>
      </w:r>
      <w:r>
        <w:rPr>
          <w:rFonts w:ascii="仿宋_GB2312" w:eastAsia="仿宋_GB2312" w:cs="宋体" w:hint="eastAsia"/>
          <w:color w:val="000000"/>
          <w:spacing w:val="0"/>
          <w:kern w:val="0"/>
          <w:sz w:val="32"/>
          <w:szCs w:val="24"/>
          <w:u w:val="none"/>
          <w:lang w:val="en-US" w:eastAsia="zh-CN"/>
        </w:rPr>
        <w:t>71</w:t>
      </w:r>
      <w:r>
        <w:rPr>
          <w:rFonts w:ascii="仿宋_GB2312" w:eastAsia="仿宋_GB2312" w:cs="宋体" w:hint="eastAsia"/>
          <w:color w:val="000000"/>
          <w:spacing w:val="0"/>
          <w:kern w:val="0"/>
          <w:sz w:val="32"/>
          <w:szCs w:val="24"/>
          <w:u w:val="none"/>
          <w:lang w:val="zh-CN" w:eastAsia="zh-CN"/>
        </w:rPr>
        <w:t>人，遗属</w:t>
      </w:r>
      <w:r>
        <w:rPr>
          <w:rFonts w:ascii="仿宋_GB2312" w:eastAsia="仿宋_GB2312" w:cs="宋体" w:hint="eastAsia"/>
          <w:color w:val="000000"/>
          <w:spacing w:val="0"/>
          <w:kern w:val="0"/>
          <w:sz w:val="32"/>
          <w:szCs w:val="24"/>
          <w:u w:val="none"/>
          <w:lang w:val="en-US" w:eastAsia="zh-CN"/>
        </w:rPr>
        <w:t>18</w:t>
      </w:r>
      <w:r>
        <w:rPr>
          <w:rFonts w:ascii="仿宋_GB2312" w:eastAsia="仿宋_GB2312" w:cs="宋体" w:hint="eastAsia"/>
          <w:color w:val="000000"/>
          <w:spacing w:val="0"/>
          <w:kern w:val="0"/>
          <w:sz w:val="32"/>
          <w:szCs w:val="24"/>
          <w:u w:val="none"/>
          <w:lang w:val="zh-CN" w:eastAsia="zh-CN"/>
        </w:rPr>
        <w:t>人。在职人员较上年</w:t>
      </w:r>
      <w:r>
        <w:rPr>
          <w:rFonts w:ascii="仿宋_GB2312" w:eastAsia="仿宋_GB2312" w:cs="宋体" w:hint="eastAsia"/>
          <w:color w:val="000000"/>
          <w:spacing w:val="0"/>
          <w:kern w:val="0"/>
          <w:sz w:val="32"/>
          <w:szCs w:val="24"/>
          <w:u w:val="none"/>
          <w:lang w:val="en-US" w:eastAsia="zh-CN"/>
        </w:rPr>
        <w:t>减少3人</w:t>
      </w:r>
      <w:r>
        <w:rPr>
          <w:rFonts w:ascii="仿宋_GB2312" w:eastAsia="仿宋_GB2312" w:cs="宋体" w:hint="eastAsia"/>
          <w:color w:val="000000"/>
          <w:spacing w:val="0"/>
          <w:kern w:val="0"/>
          <w:sz w:val="32"/>
          <w:szCs w:val="24"/>
          <w:u w:val="none"/>
          <w:lang w:val="zh-CN" w:eastAsia="zh-CN"/>
        </w:rPr>
        <w:t>，退休人员较上年</w:t>
      </w:r>
      <w:r>
        <w:rPr>
          <w:rFonts w:ascii="仿宋_GB2312" w:eastAsia="仿宋_GB2312" w:cs="宋体" w:hint="eastAsia"/>
          <w:color w:val="000000"/>
          <w:spacing w:val="0"/>
          <w:kern w:val="0"/>
          <w:sz w:val="32"/>
          <w:szCs w:val="24"/>
          <w:u w:val="none"/>
          <w:lang w:val="en-US" w:eastAsia="zh-CN"/>
        </w:rPr>
        <w:t>增加2</w:t>
      </w:r>
      <w:r>
        <w:rPr>
          <w:rFonts w:ascii="仿宋_GB2312" w:eastAsia="仿宋_GB2312" w:cs="宋体" w:hint="eastAsia"/>
          <w:color w:val="000000"/>
          <w:spacing w:val="0"/>
          <w:kern w:val="0"/>
          <w:sz w:val="32"/>
          <w:szCs w:val="24"/>
          <w:u w:val="none"/>
          <w:lang w:val="zh-CN" w:eastAsia="zh-CN"/>
        </w:rPr>
        <w:t>人；遗属人员较上年</w:t>
      </w:r>
      <w:r>
        <w:rPr>
          <w:rFonts w:ascii="仿宋_GB2312" w:eastAsia="仿宋_GB2312" w:cs="宋体" w:hint="eastAsia"/>
          <w:color w:val="000000"/>
          <w:spacing w:val="0"/>
          <w:kern w:val="0"/>
          <w:sz w:val="32"/>
          <w:szCs w:val="24"/>
          <w:u w:val="none"/>
          <w:lang w:val="en-US" w:eastAsia="zh-CN"/>
        </w:rPr>
        <w:t>增加1人</w:t>
      </w:r>
      <w:r>
        <w:rPr>
          <w:rFonts w:ascii="仿宋_GB2312" w:eastAsia="仿宋_GB2312" w:cs="宋体" w:hint="eastAsia"/>
          <w:color w:val="000000"/>
          <w:spacing w:val="0"/>
          <w:kern w:val="0"/>
          <w:sz w:val="32"/>
          <w:szCs w:val="24"/>
          <w:u w:val="none"/>
          <w:lang w:val="zh-CN" w:eastAsia="zh-CN"/>
        </w:rPr>
        <w:t>。</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0"/>
        <w:rPr>
          <w:rFonts w:ascii="仿宋_GB2312" w:eastAsia="仿宋_GB2312" w:cs="仿宋_GB2312" w:hint="eastAsia"/>
          <w:color w:val="000000"/>
          <w:sz w:val="31"/>
          <w:szCs w:val="31"/>
        </w:rPr>
      </w:pP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二、部门财政资金收支情况</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（一）部门财政资金收入情况。</w:t>
      </w:r>
    </w:p>
    <w:p>
      <w:pPr>
        <w:keepNext w:val="0"/>
        <w:keepLines w:val="0"/>
        <w:pageBreakBefore w:val="0"/>
        <w:widowControl w:val="0"/>
        <w:kinsoku/>
        <w:overflowPunct/>
        <w:topLinePunct w:val="0"/>
        <w:autoSpaceDE/>
        <w:autoSpaceDN/>
        <w:bidi w:val="0"/>
        <w:snapToGrid w:val="0"/>
        <w:spacing w:line="560" w:lineRule="exact"/>
        <w:ind w:firstLineChars="200" w:firstLine="640"/>
        <w:rPr>
          <w:rFonts w:ascii="仿宋_GB2312" w:eastAsia="仿宋_GB2312" w:cs="仿宋_GB2312" w:hint="eastAsia"/>
          <w:color w:val="000000"/>
          <w:sz w:val="31"/>
          <w:szCs w:val="31"/>
        </w:rPr>
      </w:pPr>
      <w:r>
        <w:rPr>
          <w:rFonts w:ascii="仿宋_GB2312" w:eastAsia="仿宋_GB2312" w:cs="宋体" w:hint="eastAsia"/>
          <w:color w:val="000000"/>
          <w:spacing w:val="0"/>
          <w:kern w:val="0"/>
          <w:sz w:val="32"/>
          <w:szCs w:val="24"/>
          <w:u w:val="none"/>
          <w:lang w:val="zh-CN" w:eastAsia="zh-CN"/>
        </w:rPr>
        <w:t>202</w:t>
      </w:r>
      <w:r>
        <w:rPr>
          <w:rFonts w:ascii="仿宋_GB2312" w:eastAsia="仿宋_GB2312" w:cs="宋体" w:hint="eastAsia"/>
          <w:color w:val="000000"/>
          <w:spacing w:val="0"/>
          <w:kern w:val="0"/>
          <w:sz w:val="32"/>
          <w:szCs w:val="24"/>
          <w:u w:val="none"/>
          <w:lang w:val="en-US" w:eastAsia="zh-CN"/>
        </w:rPr>
        <w:t>2</w:t>
      </w:r>
      <w:r>
        <w:rPr>
          <w:rFonts w:ascii="仿宋_GB2312" w:eastAsia="仿宋_GB2312" w:cs="宋体" w:hint="eastAsia"/>
          <w:color w:val="000000"/>
          <w:spacing w:val="0"/>
          <w:kern w:val="0"/>
          <w:sz w:val="32"/>
          <w:szCs w:val="24"/>
          <w:u w:val="none"/>
          <w:lang w:val="zh-CN" w:eastAsia="zh-CN"/>
        </w:rPr>
        <w:t>年我局财政拨款</w:t>
      </w:r>
      <w:r>
        <w:rPr>
          <w:rFonts w:ascii="仿宋_GB2312" w:eastAsia="仿宋_GB2312" w:cs="宋体" w:hint="eastAsia"/>
          <w:color w:val="000000"/>
          <w:spacing w:val="0"/>
          <w:kern w:val="0"/>
          <w:sz w:val="32"/>
          <w:szCs w:val="24"/>
          <w:u w:val="none"/>
          <w:lang w:val="en-US" w:eastAsia="zh-CN"/>
        </w:rPr>
        <w:t>总</w:t>
      </w:r>
      <w:r>
        <w:rPr>
          <w:rFonts w:ascii="仿宋_GB2312" w:eastAsia="仿宋_GB2312" w:cs="宋体" w:hint="eastAsia"/>
          <w:color w:val="000000"/>
          <w:spacing w:val="0"/>
          <w:kern w:val="0"/>
          <w:sz w:val="32"/>
          <w:szCs w:val="24"/>
          <w:u w:val="none"/>
          <w:lang w:val="zh-CN" w:eastAsia="zh-CN"/>
        </w:rPr>
        <w:t>收入</w:t>
      </w:r>
      <w:r>
        <w:rPr>
          <w:rFonts w:ascii="仿宋_GB2312" w:eastAsia="仿宋_GB2312" w:cs="宋体" w:hint="eastAsia"/>
          <w:color w:val="000000"/>
          <w:spacing w:val="0"/>
          <w:kern w:val="0"/>
          <w:sz w:val="32"/>
          <w:szCs w:val="24"/>
          <w:u w:val="none"/>
          <w:lang w:val="en-US" w:eastAsia="zh-CN"/>
        </w:rPr>
        <w:t>16013.442869</w:t>
      </w:r>
      <w:r>
        <w:rPr>
          <w:rFonts w:ascii="仿宋_GB2312" w:eastAsia="仿宋_GB2312" w:cs="宋体" w:hint="eastAsia"/>
          <w:color w:val="000000"/>
          <w:spacing w:val="0"/>
          <w:kern w:val="0"/>
          <w:sz w:val="32"/>
          <w:szCs w:val="24"/>
          <w:u w:val="none"/>
          <w:lang w:val="zh-CN" w:eastAsia="zh-CN"/>
        </w:rPr>
        <w:t>万元。其中，政府性基金预算财政拨款</w:t>
      </w:r>
      <w:r>
        <w:rPr>
          <w:rFonts w:ascii="仿宋_GB2312" w:eastAsia="仿宋_GB2312" w:cs="宋体" w:hint="eastAsia"/>
          <w:color w:val="000000"/>
          <w:spacing w:val="0"/>
          <w:kern w:val="0"/>
          <w:sz w:val="32"/>
          <w:szCs w:val="24"/>
          <w:u w:val="none"/>
          <w:lang w:val="en-US" w:eastAsia="zh-CN"/>
        </w:rPr>
        <w:t>0</w:t>
      </w:r>
      <w:r>
        <w:rPr>
          <w:rFonts w:ascii="仿宋_GB2312" w:eastAsia="仿宋_GB2312" w:cs="宋体" w:hint="eastAsia"/>
          <w:color w:val="000000"/>
          <w:spacing w:val="0"/>
          <w:kern w:val="0"/>
          <w:sz w:val="32"/>
          <w:szCs w:val="24"/>
          <w:u w:val="none"/>
          <w:lang w:val="zh-CN" w:eastAsia="zh-CN"/>
        </w:rPr>
        <w:t>万元。</w:t>
      </w:r>
    </w:p>
    <w:p>
      <w:pPr>
        <w:pStyle w:val="24"/>
        <w:keepNext w:val="0"/>
        <w:keepLines w:val="0"/>
        <w:widowControl/>
        <w:numPr>
          <w:ilvl w:val="0"/>
          <w:numId w:val="6"/>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部门财政资金支出情况。</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Chars="200" w:firstLine="640"/>
        <w:rPr>
          <w:rFonts w:ascii="仿宋_GB2312" w:eastAsia="仿宋_GB2312" w:cs="仿宋_GB2312" w:hint="eastAsia"/>
          <w:color w:val="000000"/>
          <w:sz w:val="31"/>
          <w:szCs w:val="31"/>
        </w:rPr>
      </w:pPr>
      <w:r>
        <w:rPr>
          <w:rFonts w:ascii="仿宋_GB2312" w:eastAsia="仿宋_GB2312" w:cs="宋体" w:hint="eastAsia"/>
          <w:color w:val="000000"/>
          <w:spacing w:val="0"/>
          <w:kern w:val="0"/>
          <w:sz w:val="32"/>
          <w:szCs w:val="24"/>
          <w:u w:val="none"/>
          <w:lang w:val="zh-CN" w:eastAsia="zh-CN"/>
        </w:rPr>
        <w:t>202</w:t>
      </w:r>
      <w:r>
        <w:rPr>
          <w:rFonts w:ascii="仿宋_GB2312" w:eastAsia="仿宋_GB2312" w:cs="宋体" w:hint="eastAsia"/>
          <w:color w:val="000000"/>
          <w:spacing w:val="0"/>
          <w:kern w:val="0"/>
          <w:sz w:val="32"/>
          <w:szCs w:val="24"/>
          <w:u w:val="none"/>
          <w:lang w:val="en-US" w:eastAsia="zh-CN"/>
        </w:rPr>
        <w:t>2</w:t>
      </w:r>
      <w:r>
        <w:rPr>
          <w:rFonts w:ascii="仿宋_GB2312" w:eastAsia="仿宋_GB2312" w:cs="宋体" w:hint="eastAsia"/>
          <w:color w:val="000000"/>
          <w:spacing w:val="0"/>
          <w:kern w:val="0"/>
          <w:sz w:val="32"/>
          <w:szCs w:val="24"/>
          <w:u w:val="none"/>
          <w:lang w:val="zh-CN" w:eastAsia="zh-CN"/>
        </w:rPr>
        <w:t>年我局财政拨款</w:t>
      </w:r>
      <w:r>
        <w:rPr>
          <w:rFonts w:ascii="仿宋_GB2312" w:eastAsia="仿宋_GB2312" w:cs="宋体" w:hint="eastAsia"/>
          <w:color w:val="000000"/>
          <w:spacing w:val="0"/>
          <w:kern w:val="0"/>
          <w:sz w:val="32"/>
          <w:szCs w:val="24"/>
          <w:u w:val="none"/>
          <w:lang w:val="en-US" w:eastAsia="zh-CN"/>
        </w:rPr>
        <w:t>总支出16013.442869</w:t>
      </w:r>
      <w:r>
        <w:rPr>
          <w:rFonts w:ascii="仿宋_GB2312" w:eastAsia="仿宋_GB2312" w:cs="宋体" w:hint="eastAsia"/>
          <w:color w:val="000000"/>
          <w:spacing w:val="0"/>
          <w:kern w:val="0"/>
          <w:sz w:val="32"/>
          <w:szCs w:val="24"/>
          <w:u w:val="none"/>
          <w:lang w:val="zh-CN" w:eastAsia="zh-CN"/>
        </w:rPr>
        <w:t>万元。其中，政府性基金预算财政</w:t>
      </w:r>
      <w:r>
        <w:rPr>
          <w:rFonts w:ascii="仿宋_GB2312" w:eastAsia="仿宋_GB2312" w:cs="宋体" w:hint="eastAsia"/>
          <w:color w:val="000000"/>
          <w:spacing w:val="0"/>
          <w:kern w:val="0"/>
          <w:sz w:val="32"/>
          <w:szCs w:val="24"/>
          <w:u w:val="none"/>
          <w:lang w:val="en-US" w:eastAsia="zh-CN"/>
        </w:rPr>
        <w:t>支出0</w:t>
      </w:r>
      <w:r>
        <w:rPr>
          <w:rFonts w:ascii="仿宋_GB2312" w:eastAsia="仿宋_GB2312" w:cs="宋体" w:hint="eastAsia"/>
          <w:color w:val="000000"/>
          <w:spacing w:val="0"/>
          <w:kern w:val="0"/>
          <w:sz w:val="32"/>
          <w:szCs w:val="24"/>
          <w:u w:val="none"/>
          <w:lang w:val="zh-CN" w:eastAsia="zh-CN"/>
        </w:rPr>
        <w:t>万元。</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0"/>
        <w:rPr>
          <w:rFonts w:ascii="仿宋_GB2312" w:eastAsia="仿宋_GB2312" w:cs="仿宋_GB2312" w:hint="eastAsia"/>
          <w:color w:val="000000"/>
          <w:sz w:val="31"/>
          <w:szCs w:val="31"/>
        </w:rPr>
      </w:pP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三、部门整体预算绩效管理情况（根据适用指标体系进行调整，涉及有专项预算的部门，专项预算项目自评报告根据要求另行单独报送）</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仿宋_GB2312" w:eastAsia="仿宋_GB2312" w:cs="仿宋_GB2312" w:hint="eastAsia"/>
          <w:color w:val="000000"/>
          <w:sz w:val="31"/>
          <w:szCs w:val="31"/>
        </w:rPr>
        <w:t>（一）部门预算管理。</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lang w:val="zh-CN"/>
        </w:rPr>
      </w:pPr>
      <w:r>
        <w:rPr>
          <w:rFonts w:ascii="仿宋_GB2312" w:eastAsia="仿宋_GB2312" w:cs="宋体" w:hint="eastAsia"/>
          <w:color w:val="000000"/>
          <w:kern w:val="0"/>
          <w:sz w:val="32"/>
          <w:szCs w:val="24"/>
          <w:lang w:val="zh-CN" w:eastAsia="zh-CN"/>
        </w:rPr>
        <w:t>我单位</w:t>
      </w:r>
      <w:r>
        <w:rPr>
          <w:rFonts w:ascii="仿宋_GB2312" w:eastAsia="仿宋_GB2312" w:cs="宋体" w:hint="eastAsia"/>
          <w:color w:val="000000"/>
          <w:kern w:val="0"/>
          <w:sz w:val="32"/>
          <w:szCs w:val="24"/>
          <w:lang w:val="en-US" w:eastAsia="zh-CN"/>
        </w:rPr>
        <w:t>20</w:t>
      </w:r>
      <w:r>
        <w:rPr>
          <w:rFonts w:ascii="仿宋_GB2312" w:cs="宋体" w:hAnsi="仿宋_GB2312" w:hint="eastAsia"/>
          <w:color w:val="000000"/>
          <w:kern w:val="0"/>
          <w:sz w:val="32"/>
          <w:szCs w:val="24"/>
          <w:lang w:val="en-US" w:eastAsia="zh-CN"/>
        </w:rPr>
        <w:t>21</w:t>
      </w:r>
      <w:r>
        <w:rPr>
          <w:rFonts w:ascii="仿宋_GB2312" w:eastAsia="仿宋_GB2312" w:cs="宋体" w:hint="eastAsia"/>
          <w:color w:val="000000"/>
          <w:kern w:val="0"/>
          <w:sz w:val="32"/>
          <w:szCs w:val="24"/>
          <w:lang w:val="en-US" w:eastAsia="zh-CN"/>
        </w:rPr>
        <w:t>年严格</w:t>
      </w:r>
      <w:r>
        <w:rPr>
          <w:rFonts w:ascii="仿宋_GB2312" w:eastAsia="仿宋_GB2312" w:cs="宋体" w:hint="eastAsia"/>
          <w:color w:val="000000"/>
          <w:kern w:val="0"/>
          <w:sz w:val="32"/>
          <w:szCs w:val="24"/>
          <w:lang w:val="zh-CN" w:eastAsia="zh-CN"/>
        </w:rPr>
        <w:t>按照州级部门预算编制通知及有关要求</w:t>
      </w:r>
      <w:r>
        <w:rPr>
          <w:rFonts w:ascii="仿宋_GB2312" w:eastAsia="仿宋_GB2312" w:cs="宋体" w:hint="eastAsia"/>
          <w:color w:val="000000"/>
          <w:kern w:val="0"/>
          <w:sz w:val="32"/>
          <w:szCs w:val="24"/>
          <w:lang w:val="en-US" w:eastAsia="zh-CN"/>
        </w:rPr>
        <w:t>和部门预算编制口径汇总编报了本部门预算。</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仿宋_GB2312" w:eastAsia="仿宋_GB2312" w:cs="仿宋_GB2312" w:hint="eastAsia"/>
          <w:color w:val="000000"/>
          <w:sz w:val="31"/>
          <w:szCs w:val="31"/>
        </w:rPr>
        <w:t>（二）结果应用情况。</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ascii="仿宋_GB2312" w:eastAsia="仿宋_GB2312" w:cs="宋体" w:hint="eastAsia"/>
          <w:color w:val="000000"/>
          <w:kern w:val="0"/>
          <w:sz w:val="32"/>
          <w:szCs w:val="24"/>
          <w:lang w:val="zh-CN" w:eastAsia="zh-CN"/>
        </w:rPr>
      </w:pPr>
      <w:r>
        <w:rPr>
          <w:rFonts w:ascii="仿宋_GB2312" w:eastAsia="仿宋_GB2312" w:cs="宋体" w:hint="eastAsia"/>
          <w:color w:val="000000"/>
          <w:kern w:val="0"/>
          <w:sz w:val="32"/>
          <w:szCs w:val="24"/>
          <w:lang w:val="en-US" w:eastAsia="zh-CN"/>
        </w:rPr>
        <w:t>1.</w:t>
      </w:r>
      <w:r>
        <w:rPr>
          <w:rFonts w:ascii="仿宋_GB2312" w:eastAsia="仿宋_GB2312" w:cs="宋体" w:hint="eastAsia"/>
          <w:color w:val="000000"/>
          <w:kern w:val="0"/>
          <w:sz w:val="32"/>
          <w:szCs w:val="24"/>
          <w:lang w:val="zh-CN" w:eastAsia="zh-CN"/>
        </w:rPr>
        <w:t>信息公开</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ascii="仿宋_GB2312" w:eastAsia="仿宋_GB2312" w:cs="宋体"/>
          <w:color w:val="000000"/>
          <w:kern w:val="0"/>
          <w:sz w:val="32"/>
          <w:szCs w:val="24"/>
          <w:lang w:val="en-US" w:eastAsia="zh-CN"/>
        </w:rPr>
      </w:pPr>
      <w:r>
        <w:rPr>
          <w:rFonts w:ascii="仿宋_GB2312" w:eastAsia="仿宋_GB2312" w:cs="宋体" w:hint="eastAsia"/>
          <w:color w:val="000000"/>
          <w:kern w:val="0"/>
          <w:sz w:val="32"/>
          <w:szCs w:val="24"/>
          <w:lang w:val="en-US" w:eastAsia="zh-CN"/>
        </w:rPr>
        <w:t>2022年1月20日在金川县人民政府网站公开“金川县科学技术和农业畜牧局2022年部门预算公开”。</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ascii="仿宋_GB2312" w:eastAsia="仿宋_GB2312" w:cs="宋体" w:hint="eastAsia"/>
          <w:color w:val="000000"/>
          <w:kern w:val="0"/>
          <w:sz w:val="32"/>
          <w:szCs w:val="24"/>
          <w:lang w:val="zh-CN" w:eastAsia="zh-CN"/>
        </w:rPr>
      </w:pPr>
      <w:r>
        <w:rPr>
          <w:rFonts w:ascii="仿宋_GB2312" w:eastAsia="仿宋_GB2312" w:cs="宋体" w:hint="eastAsia"/>
          <w:color w:val="000000"/>
          <w:kern w:val="0"/>
          <w:sz w:val="32"/>
          <w:szCs w:val="24"/>
          <w:lang w:val="en-US" w:eastAsia="zh-CN"/>
        </w:rPr>
        <w:t>2.</w:t>
      </w:r>
      <w:r>
        <w:rPr>
          <w:rFonts w:ascii="仿宋_GB2312" w:eastAsia="仿宋_GB2312" w:cs="宋体" w:hint="eastAsia"/>
          <w:color w:val="000000"/>
          <w:kern w:val="0"/>
          <w:sz w:val="32"/>
          <w:szCs w:val="24"/>
          <w:lang w:val="zh-CN" w:eastAsia="zh-CN"/>
        </w:rPr>
        <w:t>整改反馈</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ascii="仿宋_GB2312" w:eastAsia="仿宋_GB2312" w:cs="宋体" w:hint="eastAsia"/>
          <w:color w:val="000000"/>
          <w:kern w:val="0"/>
          <w:sz w:val="32"/>
          <w:szCs w:val="24"/>
          <w:lang w:val="en-US" w:eastAsia="zh-CN"/>
        </w:rPr>
      </w:pPr>
      <w:r>
        <w:rPr>
          <w:rFonts w:ascii="仿宋_GB2312" w:eastAsia="仿宋_GB2312" w:cs="宋体" w:hint="eastAsia"/>
          <w:color w:val="000000"/>
          <w:kern w:val="0"/>
          <w:sz w:val="32"/>
          <w:szCs w:val="24"/>
          <w:lang w:val="en-US" w:eastAsia="zh-CN"/>
        </w:rPr>
        <w:t>（1）结果整改</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ascii="仿宋_GB2312" w:eastAsia="仿宋_GB2312" w:cs="宋体" w:hint="eastAsia"/>
          <w:color w:val="000000"/>
          <w:kern w:val="0"/>
          <w:sz w:val="32"/>
          <w:szCs w:val="24"/>
          <w:lang w:val="en-US" w:eastAsia="zh-CN"/>
        </w:rPr>
      </w:pPr>
      <w:r>
        <w:rPr>
          <w:rFonts w:ascii="仿宋_GB2312" w:eastAsia="仿宋_GB2312" w:cs="宋体" w:hint="eastAsia"/>
          <w:color w:val="000000"/>
          <w:kern w:val="0"/>
          <w:sz w:val="32"/>
          <w:szCs w:val="24"/>
          <w:lang w:val="en-US" w:eastAsia="zh-CN"/>
        </w:rPr>
        <w:t>经过2022年审计、纪检监察等监督检查发现，我单位存在的问题多为：项目进度实施缓慢，资金使用不及时，资金拨付进度慢。该问题整改如下：</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ascii="仿宋_GB2312" w:eastAsia="仿宋_GB2312" w:cs="宋体" w:hint="eastAsia"/>
          <w:color w:val="000000"/>
          <w:kern w:val="0"/>
          <w:sz w:val="32"/>
          <w:szCs w:val="24"/>
          <w:lang w:val="en-US" w:eastAsia="zh-CN"/>
        </w:rPr>
      </w:pPr>
      <w:r>
        <w:rPr>
          <w:rFonts w:ascii="仿宋_GB2312" w:eastAsia="仿宋_GB2312" w:cs="宋体" w:hint="eastAsia"/>
          <w:color w:val="000000"/>
          <w:kern w:val="0"/>
          <w:sz w:val="32"/>
          <w:szCs w:val="24"/>
          <w:lang w:val="en-US" w:eastAsia="zh-CN"/>
        </w:rPr>
        <w:t>完善政策：理解充分绩效评价，在制定绩效目标时，要将立项依据、项目内容和目标、实施周期、投入总额、本年度预算目标和金额等因素考虑在内。另一方面，推进项目支出标准化体系建设。对可量化支出的项目，核定支出标准，推进预算编制的精细化。</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ascii="仿宋_GB2312" w:eastAsia="仿宋_GB2312" w:cs="宋体" w:hint="eastAsia"/>
          <w:color w:val="000000"/>
          <w:kern w:val="0"/>
          <w:sz w:val="32"/>
          <w:szCs w:val="24"/>
          <w:lang w:val="en-US" w:eastAsia="zh-CN"/>
        </w:rPr>
      </w:pPr>
      <w:r>
        <w:rPr>
          <w:rFonts w:ascii="仿宋_GB2312" w:eastAsia="仿宋_GB2312" w:cs="宋体" w:hint="eastAsia"/>
          <w:color w:val="000000"/>
          <w:kern w:val="0"/>
          <w:sz w:val="32"/>
          <w:szCs w:val="24"/>
          <w:lang w:val="en-US" w:eastAsia="zh-CN"/>
        </w:rPr>
        <w:t>改进管理:加快项目实施进度，保证项目质量，促进业主和施工方的联系，积极督促乡镇、村及时报账，使资金拨付进度提高。</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ascii="仿宋_GB2312" w:eastAsia="仿宋_GB2312" w:cs="宋体" w:hint="eastAsia"/>
          <w:color w:val="000000"/>
          <w:kern w:val="0"/>
          <w:sz w:val="32"/>
          <w:szCs w:val="24"/>
          <w:lang w:val="en-US" w:eastAsia="zh-CN"/>
        </w:rPr>
      </w:pPr>
      <w:r>
        <w:rPr>
          <w:rFonts w:ascii="仿宋_GB2312" w:eastAsia="仿宋_GB2312" w:cs="宋体" w:hint="eastAsia"/>
          <w:color w:val="000000"/>
          <w:kern w:val="0"/>
          <w:sz w:val="32"/>
          <w:szCs w:val="24"/>
          <w:lang w:val="en-US" w:eastAsia="zh-CN"/>
        </w:rPr>
        <w:t>跟进预算：重视、熟悉预算绩效管理业务，根据项目进度实施情况，及时作出预算上的调整。</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ascii="仿宋_GB2312" w:eastAsia="仿宋_GB2312" w:cs="宋体" w:hint="eastAsia"/>
          <w:color w:val="000000"/>
          <w:kern w:val="0"/>
          <w:sz w:val="32"/>
          <w:szCs w:val="24"/>
          <w:lang w:val="en-US" w:eastAsia="zh-CN"/>
        </w:rPr>
      </w:pPr>
      <w:r>
        <w:rPr>
          <w:rFonts w:ascii="仿宋_GB2312" w:eastAsia="仿宋_GB2312" w:cs="宋体" w:hint="eastAsia"/>
          <w:color w:val="000000"/>
          <w:kern w:val="0"/>
          <w:sz w:val="32"/>
          <w:szCs w:val="24"/>
          <w:lang w:val="en-US" w:eastAsia="zh-CN"/>
        </w:rPr>
        <w:t>（2）应用反馈</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ascii="仿宋_GB2312" w:eastAsia="仿宋_GB2312" w:cs="宋体"/>
          <w:color w:val="000000"/>
          <w:kern w:val="0"/>
          <w:sz w:val="32"/>
          <w:szCs w:val="24"/>
          <w:lang w:val="en-US" w:eastAsia="zh-CN"/>
        </w:rPr>
      </w:pPr>
      <w:r>
        <w:rPr>
          <w:rFonts w:ascii="仿宋_GB2312" w:eastAsia="仿宋_GB2312" w:cs="宋体" w:hint="eastAsia"/>
          <w:color w:val="000000"/>
          <w:kern w:val="0"/>
          <w:sz w:val="32"/>
          <w:szCs w:val="24"/>
          <w:lang w:val="en-US" w:eastAsia="zh-CN"/>
        </w:rPr>
        <w:t>我单位按要求在规定时间内，及时向财政部门反馈结果应用情况。</w:t>
      </w:r>
    </w:p>
    <w:p>
      <w:pPr>
        <w:pStyle w:val="2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四、评价结论及建议</w:t>
      </w:r>
    </w:p>
    <w:p>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560" w:lineRule="exact"/>
        <w:ind w:right="0" w:firstLineChars="200" w:firstLine="640"/>
        <w:jc w:val="left"/>
        <w:textAlignment w:val="auto"/>
        <w:rPr>
          <w:rFonts w:ascii="仿宋_GB2312" w:eastAsia="仿宋_GB2312" w:cs="宋体" w:hint="eastAsia"/>
          <w:b/>
          <w:bCs/>
          <w:color w:val="000000"/>
          <w:kern w:val="0"/>
          <w:sz w:val="32"/>
          <w:szCs w:val="24"/>
          <w:lang w:val="en-US" w:eastAsia="zh-CN"/>
        </w:rPr>
      </w:pPr>
      <w:r>
        <w:rPr>
          <w:rFonts w:ascii="仿宋_GB2312" w:eastAsia="仿宋_GB2312" w:cs="宋体" w:hint="eastAsia"/>
          <w:b/>
          <w:bCs/>
          <w:color w:val="000000"/>
          <w:kern w:val="0"/>
          <w:sz w:val="32"/>
          <w:szCs w:val="24"/>
          <w:lang w:val="en-US" w:eastAsia="zh-CN"/>
        </w:rPr>
        <w:t>（一）评价结论</w:t>
      </w:r>
    </w:p>
    <w:p>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560" w:lineRule="exact"/>
        <w:ind w:right="0" w:firstLineChars="200" w:firstLine="640"/>
        <w:jc w:val="left"/>
        <w:textAlignment w:val="auto"/>
        <w:rPr>
          <w:rFonts w:ascii="仿宋_GB2312" w:eastAsia="仿宋_GB2312" w:cs="宋体" w:hint="eastAsia"/>
          <w:color w:val="000000"/>
          <w:kern w:val="0"/>
          <w:sz w:val="32"/>
          <w:szCs w:val="24"/>
          <w:lang w:val="en-US" w:eastAsia="zh-CN"/>
        </w:rPr>
      </w:pPr>
      <w:r>
        <w:rPr>
          <w:rFonts w:ascii="仿宋_GB2312" w:eastAsia="仿宋_GB2312" w:cs="宋体" w:hint="eastAsia"/>
          <w:color w:val="000000"/>
          <w:kern w:val="0"/>
          <w:sz w:val="32"/>
          <w:szCs w:val="24"/>
          <w:lang w:val="en-US" w:eastAsia="zh-CN"/>
        </w:rPr>
        <w:t>2022年县级部门整体支出绩效评价指标体系，我单位各项指标都较好达到了相关要求，自评分为</w:t>
      </w:r>
      <w:r>
        <w:rPr>
          <w:rFonts w:ascii="仿宋_GB2312" w:cs="宋体" w:hAnsi="仿宋_GB2312" w:hint="eastAsia"/>
          <w:color w:val="000000"/>
          <w:kern w:val="0"/>
          <w:sz w:val="32"/>
          <w:szCs w:val="24"/>
          <w:lang w:val="en-US" w:eastAsia="zh-CN"/>
        </w:rPr>
        <w:t>93</w:t>
      </w:r>
      <w:r>
        <w:rPr>
          <w:rFonts w:ascii="仿宋_GB2312" w:eastAsia="仿宋_GB2312" w:cs="宋体" w:hint="eastAsia"/>
          <w:color w:val="000000"/>
          <w:kern w:val="0"/>
          <w:sz w:val="32"/>
          <w:szCs w:val="24"/>
          <w:lang w:val="en-US" w:eastAsia="zh-CN"/>
        </w:rPr>
        <w:t>分</w:t>
      </w:r>
      <w:r>
        <w:rPr>
          <w:rFonts w:ascii="仿宋_GB2312" w:cs="宋体" w:hAnsi="仿宋_GB2312" w:hint="eastAsia"/>
          <w:color w:val="000000"/>
          <w:kern w:val="0"/>
          <w:sz w:val="32"/>
          <w:szCs w:val="24"/>
          <w:lang w:val="en-US" w:eastAsia="zh-CN"/>
        </w:rPr>
        <w:t>（总分100分）</w:t>
      </w:r>
      <w:r>
        <w:rPr>
          <w:rFonts w:ascii="仿宋_GB2312" w:eastAsia="仿宋_GB2312" w:cs="宋体" w:hint="eastAsia"/>
          <w:color w:val="000000"/>
          <w:kern w:val="0"/>
          <w:sz w:val="32"/>
          <w:szCs w:val="24"/>
          <w:lang w:val="en-US" w:eastAsia="zh-CN"/>
        </w:rPr>
        <w:t>。</w:t>
      </w:r>
    </w:p>
    <w:p>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560" w:lineRule="exact"/>
        <w:ind w:right="0" w:firstLineChars="200" w:firstLine="640"/>
        <w:jc w:val="left"/>
        <w:textAlignment w:val="auto"/>
        <w:rPr>
          <w:rFonts w:ascii="仿宋_GB2312" w:eastAsia="仿宋_GB2312" w:cs="宋体" w:hint="eastAsia"/>
          <w:b/>
          <w:bCs/>
          <w:color w:val="000000"/>
          <w:kern w:val="0"/>
          <w:sz w:val="32"/>
          <w:szCs w:val="24"/>
          <w:lang w:val="en-US" w:eastAsia="zh-CN"/>
        </w:rPr>
      </w:pPr>
      <w:r>
        <w:rPr>
          <w:rFonts w:ascii="仿宋_GB2312" w:eastAsia="仿宋_GB2312" w:cs="宋体" w:hint="eastAsia"/>
          <w:b/>
          <w:bCs/>
          <w:color w:val="000000"/>
          <w:kern w:val="0"/>
          <w:sz w:val="32"/>
          <w:szCs w:val="24"/>
          <w:lang w:val="en-US" w:eastAsia="zh-CN"/>
        </w:rPr>
        <w:t>（二）存在问题</w:t>
      </w:r>
    </w:p>
    <w:p>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560" w:lineRule="exact"/>
        <w:ind w:right="0" w:firstLineChars="200" w:firstLine="640"/>
        <w:jc w:val="left"/>
        <w:textAlignment w:val="auto"/>
        <w:rPr>
          <w:rFonts w:ascii="仿宋_GB2312" w:eastAsia="仿宋_GB2312" w:cs="宋体" w:hint="eastAsia"/>
          <w:color w:val="000000"/>
          <w:kern w:val="0"/>
          <w:sz w:val="32"/>
          <w:szCs w:val="24"/>
          <w:lang w:val="en-US" w:eastAsia="zh-CN"/>
        </w:rPr>
      </w:pPr>
      <w:r>
        <w:rPr>
          <w:rFonts w:ascii="仿宋_GB2312" w:eastAsia="仿宋_GB2312" w:cs="宋体" w:hint="eastAsia"/>
          <w:color w:val="000000"/>
          <w:kern w:val="0"/>
          <w:sz w:val="32"/>
          <w:szCs w:val="24"/>
          <w:lang w:val="en-US" w:eastAsia="zh-CN"/>
        </w:rPr>
        <w:t>一是在填报的度部门预算资金额度较大的专项项目绩效目标时，对中长期绩效目标、年度绩效目标和明细绩效目标的把握还不够准确。</w:t>
      </w:r>
    </w:p>
    <w:p>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560" w:lineRule="exact"/>
        <w:ind w:right="0" w:firstLineChars="200" w:firstLine="640"/>
        <w:jc w:val="left"/>
        <w:textAlignment w:val="auto"/>
        <w:rPr>
          <w:rFonts w:ascii="仿宋_GB2312" w:eastAsia="仿宋_GB2312" w:cs="宋体" w:hint="eastAsia"/>
          <w:color w:val="000000"/>
          <w:kern w:val="0"/>
          <w:sz w:val="32"/>
          <w:szCs w:val="24"/>
          <w:lang w:val="en-US" w:eastAsia="zh-CN"/>
        </w:rPr>
      </w:pPr>
      <w:r>
        <w:rPr>
          <w:rFonts w:ascii="仿宋_GB2312" w:eastAsia="仿宋_GB2312" w:cs="宋体" w:hint="eastAsia"/>
          <w:color w:val="000000"/>
          <w:kern w:val="0"/>
          <w:sz w:val="32"/>
          <w:szCs w:val="24"/>
          <w:lang w:val="en-US" w:eastAsia="zh-CN"/>
        </w:rPr>
        <w:t>二是个别专项预算项目资金未能及时分配下达。</w:t>
      </w:r>
    </w:p>
    <w:p>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560" w:lineRule="exact"/>
        <w:ind w:right="0" w:firstLineChars="200" w:firstLine="640"/>
        <w:jc w:val="left"/>
        <w:textAlignment w:val="auto"/>
        <w:rPr>
          <w:rFonts w:ascii="仿宋_GB2312" w:eastAsia="仿宋_GB2312" w:cs="宋体" w:hint="eastAsia"/>
          <w:color w:val="000000"/>
          <w:kern w:val="0"/>
          <w:sz w:val="32"/>
          <w:szCs w:val="24"/>
          <w:lang w:val="en-US" w:eastAsia="zh-CN"/>
        </w:rPr>
      </w:pPr>
      <w:r>
        <w:rPr>
          <w:rFonts w:ascii="仿宋_GB2312" w:eastAsia="仿宋_GB2312" w:cs="宋体" w:hint="eastAsia"/>
          <w:color w:val="000000"/>
          <w:kern w:val="0"/>
          <w:sz w:val="32"/>
          <w:szCs w:val="24"/>
          <w:lang w:val="en-US" w:eastAsia="zh-CN"/>
        </w:rPr>
        <w:t>三是单位内控制度不够完善，其有效性有待提高。</w:t>
      </w:r>
    </w:p>
    <w:p>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560" w:lineRule="exact"/>
        <w:ind w:right="0" w:firstLineChars="200" w:firstLine="640"/>
        <w:jc w:val="left"/>
        <w:textAlignment w:val="auto"/>
        <w:rPr>
          <w:rFonts w:ascii="仿宋_GB2312" w:eastAsia="仿宋_GB2312" w:cs="宋体"/>
          <w:color w:val="000000"/>
          <w:kern w:val="0"/>
          <w:sz w:val="32"/>
          <w:szCs w:val="24"/>
          <w:lang w:val="en-US" w:eastAsia="zh-CN"/>
        </w:rPr>
      </w:pPr>
      <w:r>
        <w:rPr>
          <w:rFonts w:ascii="仿宋_GB2312" w:eastAsia="仿宋_GB2312" w:cs="宋体" w:hint="eastAsia"/>
          <w:color w:val="000000"/>
          <w:kern w:val="0"/>
          <w:sz w:val="32"/>
          <w:szCs w:val="24"/>
          <w:lang w:val="en-US" w:eastAsia="zh-CN"/>
        </w:rPr>
        <w:t xml:space="preserve">    四</w:t>
      </w:r>
      <w:r>
        <w:rPr>
          <w:rFonts w:ascii="仿宋_GB2312" w:eastAsia="仿宋_GB2312" w:cs="宋体"/>
          <w:color w:val="000000"/>
          <w:kern w:val="0"/>
          <w:sz w:val="32"/>
          <w:szCs w:val="24"/>
          <w:lang w:val="en-US" w:eastAsia="zh-CN"/>
        </w:rPr>
        <w:t>是项目执行部门对绩效评价认识不到位、理解不充分，对预算绩效管理业务不熟悉、不重视，对工作重点把握不到位</w:t>
      </w:r>
      <w:r>
        <w:rPr>
          <w:rFonts w:ascii="仿宋_GB2312" w:eastAsia="仿宋_GB2312" w:cs="宋体" w:hint="eastAsia"/>
          <w:color w:val="000000"/>
          <w:kern w:val="0"/>
          <w:sz w:val="32"/>
          <w:szCs w:val="24"/>
          <w:lang w:val="en-US" w:eastAsia="zh-CN"/>
        </w:rPr>
        <w:t>。</w:t>
      </w:r>
    </w:p>
    <w:p>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560" w:lineRule="exact"/>
        <w:ind w:right="0" w:firstLineChars="200" w:firstLine="640"/>
        <w:jc w:val="left"/>
        <w:textAlignment w:val="auto"/>
        <w:rPr>
          <w:rFonts w:ascii="仿宋_GB2312" w:eastAsia="仿宋_GB2312" w:cs="宋体" w:hint="eastAsia"/>
          <w:color w:val="000000"/>
          <w:kern w:val="0"/>
          <w:sz w:val="32"/>
          <w:szCs w:val="24"/>
          <w:lang w:val="en-US" w:eastAsia="zh-CN"/>
        </w:rPr>
      </w:pPr>
      <w:r>
        <w:rPr>
          <w:rFonts w:ascii="仿宋_GB2312" w:eastAsia="仿宋_GB2312" w:cs="宋体" w:hint="eastAsia"/>
          <w:color w:val="000000"/>
          <w:kern w:val="0"/>
          <w:sz w:val="32"/>
          <w:szCs w:val="24"/>
          <w:lang w:val="en-US" w:eastAsia="zh-CN"/>
        </w:rPr>
        <w:t>（三）改进建议</w:t>
      </w:r>
    </w:p>
    <w:p>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560" w:lineRule="exact"/>
        <w:ind w:right="0" w:firstLineChars="200" w:firstLine="640"/>
        <w:jc w:val="left"/>
        <w:textAlignment w:val="auto"/>
        <w:rPr>
          <w:rFonts w:ascii="仿宋_GB2312" w:eastAsia="仿宋_GB2312" w:cs="宋体" w:hint="eastAsia"/>
          <w:color w:val="000000"/>
          <w:kern w:val="0"/>
          <w:sz w:val="32"/>
          <w:szCs w:val="24"/>
          <w:lang w:val="en-US" w:eastAsia="zh-CN"/>
        </w:rPr>
      </w:pPr>
      <w:r>
        <w:rPr>
          <w:rFonts w:ascii="仿宋_GB2312" w:eastAsia="仿宋_GB2312" w:cs="宋体" w:hint="eastAsia"/>
          <w:color w:val="000000"/>
          <w:kern w:val="0"/>
          <w:sz w:val="32"/>
          <w:szCs w:val="24"/>
          <w:lang w:val="en-US" w:eastAsia="zh-CN"/>
        </w:rPr>
        <w:t>一是高度重视项目绩效目标的填报，要求各业务处室明确提出计划完成任务及要达到的预期效果。</w:t>
      </w:r>
    </w:p>
    <w:p>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560" w:lineRule="exact"/>
        <w:ind w:right="0" w:firstLineChars="200" w:firstLine="640"/>
        <w:jc w:val="left"/>
        <w:textAlignment w:val="auto"/>
        <w:rPr>
          <w:rFonts w:ascii="仿宋_GB2312" w:eastAsia="仿宋_GB2312" w:cs="宋体" w:hint="eastAsia"/>
          <w:color w:val="000000"/>
          <w:kern w:val="0"/>
          <w:sz w:val="32"/>
          <w:szCs w:val="24"/>
          <w:lang w:val="en-US" w:eastAsia="zh-CN"/>
        </w:rPr>
      </w:pPr>
      <w:r>
        <w:rPr>
          <w:rFonts w:ascii="仿宋_GB2312" w:eastAsia="仿宋_GB2312" w:cs="宋体" w:hint="eastAsia"/>
          <w:color w:val="000000"/>
          <w:kern w:val="0"/>
          <w:sz w:val="32"/>
          <w:szCs w:val="24"/>
          <w:lang w:val="en-US" w:eastAsia="zh-CN"/>
        </w:rPr>
        <w:t>二是严格执行专项资金的</w:t>
      </w:r>
      <w:bookmarkStart w:id="78" w:name="_GoBack"/>
      <w:bookmarkEnd w:id="78"/>
      <w:r>
        <w:rPr>
          <w:rFonts w:ascii="仿宋_GB2312" w:eastAsia="仿宋_GB2312" w:cs="宋体" w:hint="eastAsia"/>
          <w:color w:val="000000"/>
          <w:kern w:val="0"/>
          <w:sz w:val="32"/>
          <w:szCs w:val="24"/>
          <w:lang w:val="en-US" w:eastAsia="zh-CN"/>
        </w:rPr>
        <w:t>执行进度，在项目的前期准备工作、执行过程和验收过程中，全程做好监督工作，仔细审查项目材料、报账材料，及时拨款。</w:t>
      </w:r>
    </w:p>
    <w:p>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560" w:lineRule="exact"/>
        <w:ind w:right="0" w:firstLineChars="200" w:firstLine="640"/>
        <w:jc w:val="left"/>
        <w:textAlignment w:val="auto"/>
        <w:rPr>
          <w:rFonts w:ascii="仿宋_GB2312" w:eastAsia="仿宋_GB2312" w:cs="宋体" w:hint="eastAsia"/>
          <w:color w:val="000000"/>
          <w:kern w:val="0"/>
          <w:sz w:val="32"/>
          <w:szCs w:val="24"/>
          <w:lang w:val="en-US" w:eastAsia="zh-CN"/>
        </w:rPr>
      </w:pPr>
      <w:r>
        <w:rPr>
          <w:rFonts w:ascii="仿宋_GB2312" w:eastAsia="仿宋_GB2312" w:cs="宋体" w:hint="eastAsia"/>
          <w:color w:val="000000"/>
          <w:kern w:val="0"/>
          <w:sz w:val="32"/>
          <w:szCs w:val="24"/>
          <w:lang w:val="en-US" w:eastAsia="zh-CN"/>
        </w:rPr>
        <w:t>三是加强内控防范，根据业务流程找出风险防范点，针对各风险点制定完善单位内部控制制度。</w:t>
      </w:r>
    </w:p>
    <w:p>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560" w:lineRule="exact"/>
        <w:ind w:right="0" w:firstLineChars="200" w:firstLine="640"/>
        <w:jc w:val="left"/>
        <w:textAlignment w:val="auto"/>
        <w:rPr>
          <w:rFonts w:ascii="仿宋_GB2312" w:eastAsia="仿宋_GB2312" w:cs="宋体"/>
          <w:color w:val="000000"/>
          <w:kern w:val="0"/>
          <w:sz w:val="32"/>
          <w:szCs w:val="24"/>
          <w:lang w:val="en-US" w:eastAsia="zh-CN"/>
        </w:rPr>
      </w:pPr>
      <w:r>
        <w:rPr>
          <w:rFonts w:ascii="仿宋_GB2312" w:eastAsia="仿宋_GB2312" w:cs="宋体" w:hint="eastAsia"/>
          <w:color w:val="000000"/>
          <w:kern w:val="0"/>
          <w:sz w:val="32"/>
          <w:szCs w:val="24"/>
          <w:lang w:val="en-US" w:eastAsia="zh-CN"/>
        </w:rPr>
        <w:t>四是</w:t>
      </w:r>
      <w:r>
        <w:rPr>
          <w:rFonts w:ascii="仿宋_GB2312" w:eastAsia="仿宋_GB2312" w:cs="宋体"/>
          <w:color w:val="000000"/>
          <w:kern w:val="0"/>
          <w:sz w:val="32"/>
          <w:szCs w:val="24"/>
          <w:lang w:val="en-US" w:eastAsia="zh-CN"/>
        </w:rPr>
        <w:t>加强对下级部门的业务培训和指导。采取集中学习、讲座、专题会议等方式，加大对绩效评价人员培训力度，进一步统一认识，充实业务知识。</w:t>
      </w:r>
    </w:p>
    <w:p>
      <w:pPr>
        <w:pStyle w:val="25"/>
        <w:rPr>
          <w:rFonts w:ascii="仿宋_GB2312" w:eastAsia="仿宋_GB2312" w:cs="宋体"/>
          <w:color w:val="000000"/>
          <w:kern w:val="0"/>
          <w:sz w:val="32"/>
          <w:szCs w:val="24"/>
          <w:lang w:val="en-US" w:eastAsia="zh-CN"/>
        </w:rPr>
      </w:pPr>
    </w:p>
    <w:p>
      <w:pPr>
        <w:pStyle w:val="25"/>
        <w:rPr>
          <w:rFonts w:ascii="仿宋_GB2312" w:eastAsia="仿宋_GB2312" w:cs="宋体"/>
          <w:color w:val="000000"/>
          <w:kern w:val="0"/>
          <w:sz w:val="32"/>
          <w:szCs w:val="24"/>
          <w:lang w:val="en-US" w:eastAsia="zh-CN"/>
        </w:rPr>
      </w:pPr>
    </w:p>
    <w:p>
      <w:pPr>
        <w:pStyle w:val="25"/>
        <w:rPr>
          <w:rFonts w:ascii="仿宋_GB2312" w:eastAsia="仿宋_GB2312" w:cs="宋体"/>
          <w:color w:val="000000"/>
          <w:kern w:val="0"/>
          <w:sz w:val="32"/>
          <w:szCs w:val="24"/>
          <w:lang w:val="en-US" w:eastAsia="zh-CN"/>
        </w:rPr>
      </w:pPr>
    </w:p>
    <w:p>
      <w:pPr>
        <w:pStyle w:val="25"/>
        <w:rPr>
          <w:rFonts w:ascii="仿宋_GB2312" w:eastAsia="仿宋_GB2312" w:cs="宋体"/>
          <w:color w:val="000000"/>
          <w:kern w:val="0"/>
          <w:sz w:val="32"/>
          <w:szCs w:val="24"/>
          <w:lang w:val="en-US" w:eastAsia="zh-CN"/>
        </w:rPr>
      </w:pPr>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31"/>
        <w:keepNext w:val="0"/>
        <w:keepLines w:val="0"/>
        <w:pageBreakBefore w:val="0"/>
        <w:widowControl w:val="0"/>
        <w:kinsoku/>
        <w:wordWrap/>
        <w:overflowPunct/>
        <w:topLinePunct w:val="0"/>
        <w:autoSpaceDE/>
        <w:autoSpaceDN/>
        <w:bidi w:val="0"/>
        <w:spacing w:line="600" w:lineRule="exact"/>
        <w:jc w:val="center"/>
        <w:textAlignment w:val="auto"/>
        <w:rPr>
          <w:rFonts w:ascii="方正小标宋简体" w:eastAsia="方正小标宋简体" w:hint="eastAsia"/>
          <w:sz w:val="44"/>
          <w:szCs w:val="44"/>
        </w:rPr>
      </w:pPr>
      <w:r>
        <w:rPr>
          <w:rFonts w:ascii="方正小标宋简体" w:eastAsia="方正小标宋简体" w:hint="eastAsia"/>
          <w:sz w:val="44"/>
          <w:szCs w:val="44"/>
          <w:lang w:eastAsia="zh-CN"/>
        </w:rPr>
        <w:t>专项预算项目支出</w:t>
      </w:r>
      <w:r>
        <w:rPr>
          <w:rFonts w:ascii="方正小标宋简体" w:eastAsia="方正小标宋简体" w:hint="eastAsia"/>
          <w:sz w:val="44"/>
          <w:szCs w:val="44"/>
        </w:rPr>
        <w:t>绩效自评报告</w:t>
      </w:r>
    </w:p>
    <w:p>
      <w:pPr>
        <w:pStyle w:val="31"/>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仿宋_GB2312" w:eastAsia="仿宋_GB2312" w:hint="eastAsia"/>
          <w:color w:val="auto"/>
          <w:kern w:val="2"/>
          <w:sz w:val="32"/>
          <w:szCs w:val="32"/>
        </w:rPr>
        <w:t>（</w:t>
      </w:r>
      <w:r>
        <w:rPr>
          <w:rFonts w:ascii="仿宋_GB2312" w:eastAsia="仿宋_GB2312" w:hint="eastAsia"/>
          <w:color w:val="auto"/>
          <w:kern w:val="2"/>
          <w:sz w:val="32"/>
          <w:szCs w:val="32"/>
          <w:lang w:val="en-US" w:eastAsia="zh-CN"/>
        </w:rPr>
        <w:t>阿州财农〔2022〕30号、阿州财农〔2022〕71号</w:t>
      </w:r>
      <w:r>
        <w:rPr>
          <w:rFonts w:ascii="仿宋_GB2312" w:eastAsia="仿宋_GB2312" w:hint="eastAsia"/>
          <w:color w:val="auto"/>
          <w:kern w:val="2"/>
          <w:sz w:val="32"/>
          <w:szCs w:val="32"/>
        </w:rPr>
        <w:t>）</w:t>
      </w:r>
    </w:p>
    <w:p>
      <w:pPr>
        <w:pStyle w:val="31"/>
        <w:keepNext w:val="0"/>
        <w:keepLines w:val="0"/>
        <w:pageBreakBefore w:val="0"/>
        <w:widowControl w:val="0"/>
        <w:kinsoku/>
        <w:wordWrap/>
        <w:overflowPunct/>
        <w:topLinePunct w:val="0"/>
        <w:autoSpaceDE/>
        <w:autoSpaceDN/>
        <w:bidi w:val="0"/>
        <w:spacing w:line="600" w:lineRule="exact"/>
        <w:ind w:firstLine="640"/>
        <w:jc w:val="center"/>
        <w:textAlignment w:val="auto"/>
        <w:rPr>
          <w:rFonts w:ascii="仿宋_GB2312" w:eastAsia="仿宋_GB2312" w:cs="Times New Roman" w:hint="eastAsia"/>
          <w:color w:val="auto"/>
          <w:kern w:val="2"/>
          <w:sz w:val="32"/>
          <w:szCs w:val="32"/>
          <w:lang w:val="en-US" w:eastAsia="zh-CN" w:bidi="ar-SA"/>
        </w:rPr>
      </w:pPr>
    </w:p>
    <w:p>
      <w:pPr>
        <w:keepNext w:val="0"/>
        <w:keepLines w:val="0"/>
        <w:pageBreakBefore w:val="0"/>
        <w:widowControl w:val="0"/>
        <w:numPr>
          <w:ilvl w:val="0"/>
          <w:numId w:val="7"/>
        </w:numPr>
        <w:kinsoku/>
        <w:wordWrap/>
        <w:overflowPunct/>
        <w:topLinePunct w:val="0"/>
        <w:autoSpaceDE/>
        <w:autoSpaceDN/>
        <w:bidi w:val="0"/>
        <w:adjustRightInd w:val="0"/>
        <w:snapToGrid w:val="0"/>
        <w:spacing w:line="600" w:lineRule="exact"/>
        <w:ind w:left="0" w:firstLine="720"/>
        <w:textAlignment w:val="auto"/>
        <w:rPr>
          <w:rFonts w:ascii="仿宋_GB2312" w:eastAsia="仿宋_GB2312" w:cs="Times New Roman" w:hint="eastAsia"/>
          <w:b/>
          <w:bCs/>
          <w:color w:val="auto"/>
          <w:kern w:val="2"/>
          <w:sz w:val="32"/>
          <w:szCs w:val="32"/>
          <w:lang w:val="zh-CN" w:eastAsia="zh-CN" w:bidi="ar-SA"/>
        </w:rPr>
      </w:pPr>
      <w:r>
        <w:rPr>
          <w:rFonts w:ascii="仿宋_GB2312" w:eastAsia="仿宋_GB2312" w:cs="Times New Roman" w:hint="eastAsia"/>
          <w:b/>
          <w:bCs/>
          <w:color w:val="auto"/>
          <w:kern w:val="2"/>
          <w:sz w:val="32"/>
          <w:szCs w:val="32"/>
          <w:lang w:val="zh-CN" w:eastAsia="zh-CN" w:bidi="ar-SA"/>
        </w:rPr>
        <w:t>项目概况</w:t>
      </w:r>
    </w:p>
    <w:p>
      <w:pPr>
        <w:pStyle w:val="28"/>
        <w:rPr>
          <w:rFonts w:ascii="仿宋_GB2312" w:eastAsia="仿宋_GB2312" w:cs="Times New Roman"/>
          <w:color w:val="auto"/>
          <w:kern w:val="2"/>
          <w:sz w:val="32"/>
          <w:szCs w:val="32"/>
          <w:lang w:val="en-US" w:eastAsia="zh-CN" w:bidi="ar-SA"/>
        </w:rPr>
      </w:pPr>
      <w:r>
        <w:rPr>
          <w:rFonts w:ascii="仿宋_GB2312" w:eastAsia="仿宋_GB2312" w:cs="Times New Roman" w:hint="eastAsia"/>
          <w:color w:val="auto"/>
          <w:kern w:val="2"/>
          <w:sz w:val="32"/>
          <w:szCs w:val="32"/>
          <w:lang w:val="en-US" w:eastAsia="zh-CN" w:bidi="ar-SA"/>
        </w:rPr>
        <w:t xml:space="preserve">    2022年中央财政农村“厕所革命”整村推进项目项目建于河东乡八字口村、结木村、勒乌镇二甲村。撒瓦脚乡木赤村、甲布脚村。</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eastAsia="仿宋_GB2312" w:cs="Times New Roman" w:hint="eastAsia"/>
          <w:b/>
          <w:bCs/>
          <w:color w:val="auto"/>
          <w:kern w:val="2"/>
          <w:sz w:val="32"/>
          <w:szCs w:val="32"/>
          <w:lang w:val="zh-CN" w:eastAsia="zh-CN" w:bidi="ar-SA"/>
        </w:rPr>
      </w:pPr>
      <w:r>
        <w:rPr>
          <w:rFonts w:ascii="仿宋_GB2312" w:eastAsia="仿宋_GB2312" w:cs="Times New Roman" w:hint="eastAsia"/>
          <w:b/>
          <w:bCs/>
          <w:color w:val="auto"/>
          <w:kern w:val="2"/>
          <w:sz w:val="32"/>
          <w:szCs w:val="32"/>
          <w:lang w:val="zh-CN" w:eastAsia="zh-CN" w:bidi="ar-SA"/>
        </w:rPr>
        <w:t>（一）项目资金申报及批复情况。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eastAsia="仿宋_GB2312" w:cs="Times New Roman" w:hint="eastAsia"/>
          <w:color w:val="auto"/>
          <w:kern w:val="2"/>
          <w:sz w:val="32"/>
          <w:szCs w:val="32"/>
          <w:lang w:val="zh-CN" w:eastAsia="zh-CN" w:bidi="ar-SA"/>
        </w:rPr>
      </w:pPr>
      <w:r>
        <w:rPr>
          <w:rFonts w:ascii="仿宋_GB2312" w:eastAsia="仿宋_GB2312" w:cs="Times New Roman" w:hint="eastAsia"/>
          <w:color w:val="auto"/>
          <w:kern w:val="2"/>
          <w:sz w:val="32"/>
          <w:szCs w:val="32"/>
          <w:lang w:val="en-US" w:eastAsia="zh-CN" w:bidi="ar-SA"/>
        </w:rPr>
        <w:t>2022年中央财政农村“厕所革命”整村推进项目为省农业农村厅直接下达的民生任务项目，资金由中央下达，</w:t>
      </w:r>
      <w:r>
        <w:rPr>
          <w:rFonts w:ascii="仿宋_GB2312" w:eastAsia="仿宋_GB2312" w:cs="Times New Roman" w:hint="eastAsia"/>
          <w:color w:val="auto"/>
          <w:kern w:val="2"/>
          <w:sz w:val="32"/>
          <w:szCs w:val="32"/>
          <w:lang w:val="zh-CN" w:eastAsia="zh-CN" w:bidi="ar-SA"/>
        </w:rPr>
        <w:t>符合资金管理办法等相关规定。</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eastAsia="仿宋_GB2312" w:cs="Times New Roman" w:hint="eastAsia"/>
          <w:b/>
          <w:bCs/>
          <w:color w:val="auto"/>
          <w:kern w:val="2"/>
          <w:sz w:val="32"/>
          <w:szCs w:val="32"/>
          <w:lang w:val="zh-CN" w:eastAsia="zh-CN" w:bidi="ar-SA"/>
        </w:rPr>
      </w:pPr>
      <w:r>
        <w:rPr>
          <w:rFonts w:ascii="仿宋_GB2312" w:eastAsia="仿宋_GB2312" w:cs="Times New Roman" w:hint="eastAsia"/>
          <w:b/>
          <w:bCs/>
          <w:color w:val="auto"/>
          <w:kern w:val="2"/>
          <w:sz w:val="32"/>
          <w:szCs w:val="32"/>
          <w:lang w:val="zh-CN" w:eastAsia="zh-CN" w:bidi="ar-SA"/>
        </w:rPr>
        <w:t>（二）项目绩效目标。</w:t>
      </w:r>
    </w:p>
    <w:p>
      <w:pPr>
        <w:spacing w:line="576" w:lineRule="exact"/>
        <w:ind w:firstLine="645"/>
        <w:jc w:val="both"/>
        <w:rPr>
          <w:rFonts w:ascii="仿宋_GB2312" w:eastAsia="仿宋_GB2312" w:cs="Times New Roman" w:hint="eastAsia"/>
          <w:color w:val="auto"/>
          <w:kern w:val="2"/>
          <w:sz w:val="32"/>
          <w:szCs w:val="32"/>
          <w:lang w:val="en-US" w:eastAsia="zh-CN" w:bidi="ar-SA"/>
        </w:rPr>
      </w:pPr>
      <w:r>
        <w:rPr>
          <w:rFonts w:ascii="仿宋_GB2312" w:eastAsia="仿宋_GB2312" w:cs="Times New Roman" w:hint="eastAsia"/>
          <w:color w:val="auto"/>
          <w:kern w:val="2"/>
          <w:sz w:val="32"/>
          <w:szCs w:val="32"/>
          <w:lang w:val="en-US" w:eastAsia="zh-CN" w:bidi="ar-SA"/>
        </w:rPr>
        <w:t>以党的十九大精神、乡村振兴战略要求和习近平总书记关于“厕所革命”的重要指示为指导，因地制宜开展农村户用卫生厕所改造，按照群众接受、经济适用、干净卫生、不污染公共水体的要求，实行农村户用厕屋有墙、有顶、有门、有窗，并配套化粪池工艺等，部分提升为无害化卫生厕所，解决乡村厕所存在的环境卫生条件差、工程质量低、粪便收运处理难等问题，助推美丽乡村建设。</w:t>
      </w:r>
    </w:p>
    <w:p>
      <w:pPr>
        <w:keepNext w:val="0"/>
        <w:keepLines w:val="0"/>
        <w:pageBreakBefore w:val="0"/>
        <w:widowControl w:val="0"/>
        <w:numPr>
          <w:ilvl w:val="0"/>
          <w:numId w:val="8"/>
        </w:numPr>
        <w:kinsoku/>
        <w:wordWrap/>
        <w:overflowPunct/>
        <w:topLinePunct w:val="0"/>
        <w:autoSpaceDE/>
        <w:autoSpaceDN/>
        <w:bidi w:val="0"/>
        <w:adjustRightInd w:val="0"/>
        <w:snapToGrid w:val="0"/>
        <w:spacing w:line="600" w:lineRule="exact"/>
        <w:ind w:left="0" w:firstLine="720"/>
        <w:textAlignment w:val="auto"/>
        <w:rPr>
          <w:rFonts w:ascii="仿宋_GB2312" w:eastAsia="仿宋_GB2312" w:cs="Times New Roman" w:hint="eastAsia"/>
          <w:b/>
          <w:bCs/>
          <w:color w:val="auto"/>
          <w:kern w:val="2"/>
          <w:sz w:val="32"/>
          <w:szCs w:val="32"/>
          <w:lang w:val="zh-CN" w:eastAsia="zh-CN" w:bidi="ar-SA"/>
        </w:rPr>
      </w:pPr>
      <w:r>
        <w:rPr>
          <w:rFonts w:ascii="仿宋_GB2312" w:eastAsia="仿宋_GB2312" w:cs="Times New Roman" w:hint="eastAsia"/>
          <w:b/>
          <w:bCs/>
          <w:color w:val="auto"/>
          <w:kern w:val="2"/>
          <w:sz w:val="32"/>
          <w:szCs w:val="32"/>
          <w:lang w:val="zh-CN" w:eastAsia="zh-CN" w:bidi="ar-SA"/>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eastAsia="仿宋_GB2312" w:cs="Times New Roman"/>
          <w:color w:val="auto"/>
          <w:kern w:val="2"/>
          <w:sz w:val="32"/>
          <w:szCs w:val="32"/>
          <w:lang w:val="en-US" w:eastAsia="zh-CN" w:bidi="ar-SA"/>
        </w:rPr>
      </w:pPr>
      <w:r>
        <w:rPr>
          <w:rFonts w:ascii="仿宋_GB2312" w:eastAsia="仿宋_GB2312" w:cs="Times New Roman" w:hint="eastAsia"/>
          <w:color w:val="auto"/>
          <w:kern w:val="2"/>
          <w:sz w:val="32"/>
          <w:szCs w:val="32"/>
          <w:lang w:val="en-US" w:eastAsia="zh-CN" w:bidi="ar-SA"/>
        </w:rPr>
        <w:t>项目由省农业农村厅直接下达，项目方案为县科学技术和农业畜牧局与项目实施乡（镇）共同审核制定，项目实施内容与方案相符，资金使用与方案内容相符。</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eastAsia="仿宋_GB2312" w:cs="Times New Roman" w:hint="eastAsia"/>
          <w:b/>
          <w:bCs/>
          <w:color w:val="auto"/>
          <w:kern w:val="2"/>
          <w:sz w:val="32"/>
          <w:szCs w:val="32"/>
          <w:lang w:val="en-US" w:eastAsia="zh-CN" w:bidi="ar-SA"/>
        </w:rPr>
      </w:pPr>
      <w:r>
        <w:rPr>
          <w:rFonts w:ascii="仿宋_GB2312" w:eastAsia="仿宋_GB2312" w:cs="Times New Roman" w:hint="eastAsia"/>
          <w:b/>
          <w:bCs/>
          <w:color w:val="auto"/>
          <w:kern w:val="2"/>
          <w:sz w:val="32"/>
          <w:szCs w:val="32"/>
          <w:lang w:val="en-US" w:eastAsia="zh-CN" w:bidi="ar-S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eastAsia="仿宋_GB2312" w:cs="Times New Roman" w:hint="eastAsia"/>
          <w:color w:val="auto"/>
          <w:kern w:val="2"/>
          <w:sz w:val="32"/>
          <w:szCs w:val="32"/>
          <w:lang w:val="zh-CN" w:eastAsia="zh-CN" w:bidi="ar-SA"/>
        </w:rPr>
      </w:pPr>
      <w:r>
        <w:rPr>
          <w:rFonts w:ascii="仿宋_GB2312" w:eastAsia="仿宋_GB2312" w:cs="Times New Roman" w:hint="eastAsia"/>
          <w:color w:val="auto"/>
          <w:kern w:val="2"/>
          <w:sz w:val="32"/>
          <w:szCs w:val="32"/>
          <w:lang w:val="zh-CN" w:eastAsia="zh-CN" w:bidi="ar-SA"/>
        </w:rPr>
        <w:tab/>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eastAsia="仿宋_GB2312" w:cs="Times New Roman" w:hint="eastAsia"/>
          <w:b/>
          <w:bCs/>
          <w:color w:val="auto"/>
          <w:kern w:val="2"/>
          <w:sz w:val="32"/>
          <w:szCs w:val="32"/>
          <w:lang w:val="zh-CN" w:eastAsia="zh-CN" w:bidi="ar-SA"/>
        </w:rPr>
      </w:pPr>
      <w:r>
        <w:rPr>
          <w:rFonts w:ascii="仿宋_GB2312" w:eastAsia="仿宋_GB2312" w:cs="Times New Roman" w:hint="eastAsia"/>
          <w:b/>
          <w:bCs/>
          <w:color w:val="auto"/>
          <w:kern w:val="2"/>
          <w:sz w:val="32"/>
          <w:szCs w:val="32"/>
          <w:lang w:val="zh-CN" w:eastAsia="zh-CN" w:bidi="ar-SA"/>
        </w:rPr>
        <w:t>1．资金计划及到位。</w:t>
      </w:r>
    </w:p>
    <w:p>
      <w:pPr>
        <w:pStyle w:val="28"/>
        <w:ind w:firstLineChars="200" w:firstLine="640"/>
        <w:rPr>
          <w:rFonts w:ascii="仿宋_GB2312" w:eastAsia="仿宋_GB2312" w:cs="Times New Roman"/>
          <w:color w:val="auto"/>
          <w:kern w:val="2"/>
          <w:sz w:val="32"/>
          <w:szCs w:val="32"/>
          <w:lang w:val="en-US" w:eastAsia="zh-CN" w:bidi="ar-SA"/>
        </w:rPr>
      </w:pPr>
      <w:r>
        <w:rPr>
          <w:rFonts w:ascii="仿宋_GB2312" w:eastAsia="仿宋_GB2312" w:cs="Times New Roman" w:hint="eastAsia"/>
          <w:color w:val="auto"/>
          <w:kern w:val="2"/>
          <w:sz w:val="32"/>
          <w:szCs w:val="32"/>
          <w:lang w:val="en-US" w:eastAsia="zh-CN" w:bidi="ar-SA"/>
        </w:rPr>
        <w:t>截止项目评价时，该项目资金实际到位率100%，涉及中央资金98.66万元，无其他渠道资金。</w:t>
      </w:r>
    </w:p>
    <w:p>
      <w:pPr>
        <w:keepNext w:val="0"/>
        <w:keepLines w:val="0"/>
        <w:pageBreakBefore w:val="0"/>
        <w:widowControl w:val="0"/>
        <w:numPr>
          <w:ilvl w:val="0"/>
          <w:numId w:val="9"/>
        </w:numPr>
        <w:kinsoku/>
        <w:wordWrap/>
        <w:overflowPunct/>
        <w:topLinePunct w:val="0"/>
        <w:autoSpaceDE/>
        <w:autoSpaceDN/>
        <w:bidi w:val="0"/>
        <w:adjustRightInd w:val="0"/>
        <w:snapToGrid w:val="0"/>
        <w:spacing w:line="600" w:lineRule="exact"/>
        <w:ind w:left="0" w:firstLine="720"/>
        <w:textAlignment w:val="auto"/>
        <w:rPr>
          <w:rFonts w:ascii="仿宋_GB2312" w:eastAsia="仿宋_GB2312" w:cs="Times New Roman" w:hint="eastAsia"/>
          <w:b/>
          <w:bCs/>
          <w:color w:val="auto"/>
          <w:kern w:val="2"/>
          <w:sz w:val="32"/>
          <w:szCs w:val="32"/>
          <w:lang w:val="zh-CN" w:eastAsia="zh-CN" w:bidi="ar-SA"/>
        </w:rPr>
      </w:pPr>
      <w:r>
        <w:rPr>
          <w:rFonts w:ascii="仿宋_GB2312" w:eastAsia="仿宋_GB2312" w:cs="Times New Roman" w:hint="eastAsia"/>
          <w:b/>
          <w:bCs/>
          <w:color w:val="auto"/>
          <w:kern w:val="2"/>
          <w:sz w:val="32"/>
          <w:szCs w:val="32"/>
          <w:lang w:val="zh-CN" w:eastAsia="zh-CN" w:bidi="ar-SA"/>
        </w:rPr>
        <w:t>资金使用。</w:t>
      </w:r>
    </w:p>
    <w:p>
      <w:pPr>
        <w:pStyle w:val="28"/>
        <w:ind w:firstLineChars="200" w:firstLine="640"/>
        <w:rPr>
          <w:rFonts w:ascii="仿宋_GB2312" w:eastAsia="仿宋_GB2312" w:cs="Times New Roman"/>
          <w:color w:val="auto"/>
          <w:kern w:val="2"/>
          <w:sz w:val="32"/>
          <w:szCs w:val="32"/>
          <w:lang w:val="en-US" w:eastAsia="zh-CN" w:bidi="ar-SA"/>
        </w:rPr>
      </w:pPr>
      <w:r>
        <w:rPr>
          <w:rFonts w:ascii="仿宋_GB2312" w:eastAsia="仿宋_GB2312" w:cs="Times New Roman" w:hint="eastAsia"/>
          <w:color w:val="auto"/>
          <w:kern w:val="2"/>
          <w:sz w:val="32"/>
          <w:szCs w:val="32"/>
          <w:lang w:val="en-US" w:eastAsia="zh-CN" w:bidi="ar-SA"/>
        </w:rPr>
        <w:t>截止项目评价时，项目实际支出98.66万元，支付进度100%，资金按照项目方案全部兑现到户，支付依据合规合法，资金支付与预算相符。</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eastAsia="仿宋_GB2312" w:cs="Times New Roman" w:hint="eastAsia"/>
          <w:color w:val="auto"/>
          <w:kern w:val="2"/>
          <w:sz w:val="32"/>
          <w:szCs w:val="32"/>
          <w:lang w:val="zh-CN" w:eastAsia="zh-CN" w:bidi="ar-SA"/>
        </w:rPr>
      </w:pPr>
      <w:r>
        <w:rPr>
          <w:rFonts w:ascii="仿宋_GB2312" w:eastAsia="仿宋_GB2312" w:cs="Times New Roman" w:hint="eastAsia"/>
          <w:color w:val="auto"/>
          <w:kern w:val="2"/>
          <w:sz w:val="32"/>
          <w:szCs w:val="32"/>
          <w:lang w:val="zh-CN" w:eastAsia="zh-CN" w:bidi="ar-SA"/>
        </w:rPr>
        <w:t>（二）项目财务管理情况。</w:t>
      </w:r>
    </w:p>
    <w:p>
      <w:pPr>
        <w:pStyle w:val="28"/>
        <w:ind w:firstLineChars="200" w:firstLine="640"/>
        <w:rPr>
          <w:rFonts w:ascii="仿宋_GB2312" w:eastAsia="仿宋_GB2312" w:cs="Times New Roman"/>
          <w:color w:val="auto"/>
          <w:kern w:val="2"/>
          <w:sz w:val="32"/>
          <w:szCs w:val="32"/>
          <w:lang w:val="en-US" w:eastAsia="zh-CN" w:bidi="ar-SA"/>
        </w:rPr>
      </w:pPr>
      <w:r>
        <w:rPr>
          <w:rFonts w:ascii="仿宋_GB2312" w:eastAsia="仿宋_GB2312" w:cs="Times New Roman" w:hint="eastAsia"/>
          <w:color w:val="auto"/>
          <w:kern w:val="2"/>
          <w:sz w:val="32"/>
          <w:szCs w:val="32"/>
          <w:lang w:val="en-US" w:eastAsia="zh-CN" w:bidi="ar-SA"/>
        </w:rPr>
        <w:t>项目由县科学技术和农业畜牧局组织实施，项目资金由县科学技术和农业畜牧局管理，符合资金管理办法，严格执行了财务管理制度，财务处理及时，会计核算规范。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eastAsia="仿宋_GB2312" w:cs="Times New Roman" w:hint="eastAsia"/>
          <w:color w:val="auto"/>
          <w:kern w:val="2"/>
          <w:sz w:val="32"/>
          <w:szCs w:val="32"/>
          <w:lang w:val="zh-CN" w:eastAsia="zh-CN" w:bidi="ar-SA"/>
        </w:rPr>
      </w:pPr>
      <w:r>
        <w:rPr>
          <w:rFonts w:ascii="仿宋_GB2312" w:eastAsia="仿宋_GB2312" w:cs="Times New Roman" w:hint="eastAsia"/>
          <w:color w:val="auto"/>
          <w:kern w:val="2"/>
          <w:sz w:val="32"/>
          <w:szCs w:val="32"/>
          <w:lang w:val="zh-CN" w:eastAsia="zh-CN" w:bidi="ar-SA"/>
        </w:rPr>
        <w:t>（三）项目组织实施情况。</w:t>
      </w:r>
    </w:p>
    <w:p>
      <w:pPr>
        <w:spacing w:line="576" w:lineRule="exact"/>
        <w:ind w:firstLine="645"/>
        <w:jc w:val="both"/>
        <w:rPr>
          <w:rFonts w:ascii="仿宋_GB2312" w:eastAsia="仿宋_GB2312" w:cs="Times New Roman" w:hint="eastAsia"/>
          <w:color w:val="auto"/>
          <w:kern w:val="2"/>
          <w:sz w:val="32"/>
          <w:szCs w:val="32"/>
          <w:lang w:val="en-US" w:eastAsia="zh-CN" w:bidi="ar-SA"/>
        </w:rPr>
      </w:pPr>
      <w:r>
        <w:rPr>
          <w:rFonts w:ascii="仿宋_GB2312" w:eastAsia="仿宋_GB2312" w:cs="Times New Roman" w:hint="eastAsia"/>
          <w:color w:val="auto"/>
          <w:kern w:val="2"/>
          <w:sz w:val="32"/>
          <w:szCs w:val="32"/>
          <w:lang w:val="en-US" w:eastAsia="zh-CN" w:bidi="ar-SA"/>
        </w:rPr>
        <w:t>项目由村两委会组织村民自选方案、自行实施改造，各实施乡（镇）成立以镇党委副书记、镇长为组长，其他相关人员为成员的农村户厕改造工作领导小组，定期调度改厕工作，解决改厕过程中存在的问题与难题，切实推进改厕工作顺利进行。</w:t>
      </w:r>
    </w:p>
    <w:p>
      <w:pPr>
        <w:spacing w:line="576" w:lineRule="exact"/>
        <w:ind w:firstLine="645"/>
        <w:jc w:val="both"/>
        <w:rPr>
          <w:rFonts w:ascii="仿宋_GB2312" w:eastAsia="仿宋_GB2312" w:cs="Times New Roman"/>
          <w:color w:val="auto"/>
          <w:kern w:val="2"/>
          <w:sz w:val="32"/>
          <w:szCs w:val="32"/>
          <w:lang w:val="en-US" w:eastAsia="zh-CN" w:bidi="ar-SA"/>
        </w:rPr>
      </w:pPr>
      <w:r>
        <w:rPr>
          <w:rFonts w:ascii="仿宋_GB2312" w:eastAsia="仿宋_GB2312" w:cs="Times New Roman" w:hint="eastAsia"/>
          <w:color w:val="auto"/>
          <w:kern w:val="2"/>
          <w:sz w:val="32"/>
          <w:szCs w:val="32"/>
          <w:lang w:val="en-US" w:eastAsia="zh-CN" w:bidi="ar-SA"/>
        </w:rPr>
        <w:t>县科学技术和农业畜牧局组成技术指导小组，定期指导查看项目实施情况及进度，严格把关100%入户验收，严格资金管理及拨付。</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eastAsia="仿宋_GB2312" w:cs="Times New Roman" w:hint="eastAsia"/>
          <w:b/>
          <w:bCs/>
          <w:color w:val="auto"/>
          <w:kern w:val="2"/>
          <w:sz w:val="32"/>
          <w:szCs w:val="32"/>
          <w:lang w:val="zh-CN" w:eastAsia="zh-CN" w:bidi="ar-SA"/>
        </w:rPr>
      </w:pPr>
      <w:r>
        <w:rPr>
          <w:rFonts w:ascii="仿宋_GB2312" w:eastAsia="仿宋_GB2312" w:cs="Times New Roman" w:hint="eastAsia"/>
          <w:b/>
          <w:bCs/>
          <w:color w:val="auto"/>
          <w:kern w:val="2"/>
          <w:sz w:val="32"/>
          <w:szCs w:val="32"/>
          <w:lang w:val="en-US" w:eastAsia="zh-CN" w:bidi="ar-SA"/>
        </w:rPr>
        <w:t>三、项目绩效情况</w:t>
      </w:r>
      <w:r>
        <w:rPr>
          <w:rFonts w:ascii="仿宋_GB2312" w:eastAsia="仿宋_GB2312" w:cs="Times New Roman" w:hint="eastAsia"/>
          <w:b/>
          <w:bCs/>
          <w:color w:val="auto"/>
          <w:kern w:val="2"/>
          <w:sz w:val="32"/>
          <w:szCs w:val="32"/>
          <w:lang w:val="zh-CN" w:eastAsia="zh-CN" w:bidi="ar-SA"/>
        </w:rPr>
        <w:tab/>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仿宋_GB2312" w:eastAsia="仿宋_GB2312" w:cs="Times New Roman" w:hint="eastAsia"/>
          <w:color w:val="auto"/>
          <w:kern w:val="2"/>
          <w:sz w:val="32"/>
          <w:szCs w:val="32"/>
          <w:lang w:val="zh-CN" w:eastAsia="zh-CN" w:bidi="ar-SA"/>
        </w:rPr>
      </w:pPr>
      <w:r>
        <w:rPr>
          <w:rFonts w:ascii="仿宋_GB2312" w:eastAsia="仿宋_GB2312" w:cs="Times New Roman" w:hint="eastAsia"/>
          <w:color w:val="auto"/>
          <w:kern w:val="2"/>
          <w:sz w:val="32"/>
          <w:szCs w:val="32"/>
          <w:lang w:val="zh-CN" w:eastAsia="zh-CN" w:bidi="ar-SA"/>
        </w:rPr>
        <w:t>（</w:t>
      </w:r>
      <w:r>
        <w:rPr>
          <w:rFonts w:ascii="仿宋_GB2312" w:eastAsia="仿宋_GB2312" w:cs="Times New Roman" w:hint="eastAsia"/>
          <w:color w:val="auto"/>
          <w:kern w:val="2"/>
          <w:sz w:val="32"/>
          <w:szCs w:val="32"/>
          <w:lang w:val="en-US" w:eastAsia="zh-CN" w:bidi="ar-SA"/>
        </w:rPr>
        <w:t>一</w:t>
      </w:r>
      <w:r>
        <w:rPr>
          <w:rFonts w:ascii="仿宋_GB2312" w:eastAsia="仿宋_GB2312" w:cs="Times New Roman" w:hint="eastAsia"/>
          <w:color w:val="auto"/>
          <w:kern w:val="2"/>
          <w:sz w:val="32"/>
          <w:szCs w:val="32"/>
          <w:lang w:val="zh-CN" w:eastAsia="zh-CN" w:bidi="ar-SA"/>
        </w:rPr>
        <w:t>）项目完成情况。</w:t>
      </w:r>
    </w:p>
    <w:p>
      <w:pPr>
        <w:pStyle w:val="28"/>
        <w:ind w:left="0" w:firstLineChars="200" w:firstLine="640"/>
        <w:rPr>
          <w:rFonts w:ascii="仿宋_GB2312" w:eastAsia="仿宋_GB2312" w:cs="Times New Roman" w:hint="eastAsia"/>
          <w:color w:val="auto"/>
          <w:kern w:val="2"/>
          <w:sz w:val="32"/>
          <w:szCs w:val="32"/>
          <w:lang w:val="zh-CN" w:eastAsia="zh-CN" w:bidi="ar-SA"/>
        </w:rPr>
      </w:pPr>
      <w:r>
        <w:rPr>
          <w:rFonts w:ascii="仿宋_GB2312" w:eastAsia="仿宋_GB2312" w:cs="Times New Roman" w:hint="eastAsia"/>
          <w:color w:val="auto"/>
          <w:kern w:val="2"/>
          <w:sz w:val="32"/>
          <w:szCs w:val="32"/>
          <w:lang w:val="en-US" w:eastAsia="zh-CN" w:bidi="ar-SA"/>
        </w:rPr>
        <w:t>2022年农村“厕所革命”整村推进项目（中央资金），按照先行试点在河东乡八字口村、结木村、勒乌镇二甲村。撒瓦脚乡木赤村、甲布脚村实施项目。</w:t>
      </w:r>
      <w:r>
        <w:rPr>
          <w:rFonts w:ascii="仿宋_GB2312" w:eastAsia="仿宋_GB2312" w:cs="Times New Roman" w:hint="eastAsia"/>
          <w:color w:val="auto"/>
          <w:kern w:val="2"/>
          <w:sz w:val="32"/>
          <w:szCs w:val="32"/>
          <w:lang w:val="zh-CN" w:eastAsia="zh-CN" w:bidi="ar-SA"/>
        </w:rPr>
        <w:t>由村两委会组织村民自行实施，根据不同实施方式，按照不同标准通过一卡通兑现补助到农户账户。</w:t>
      </w:r>
      <w:r>
        <w:rPr>
          <w:rFonts w:ascii="仿宋_GB2312" w:eastAsia="仿宋_GB2312" w:cs="Times New Roman" w:hint="eastAsia"/>
          <w:color w:val="auto"/>
          <w:kern w:val="2"/>
          <w:sz w:val="32"/>
          <w:szCs w:val="32"/>
          <w:lang w:val="en-US" w:eastAsia="zh-CN" w:bidi="ar-SA"/>
        </w:rPr>
        <w:t>项目实施切实改善了农村人居环境，使村庄环境基本干净整洁有序，村民环境与健康意识增强，减少传染病的发生。</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仿宋_GB2312" w:eastAsia="仿宋_GB2312" w:cs="Times New Roman" w:hint="eastAsia"/>
          <w:color w:val="auto"/>
          <w:kern w:val="2"/>
          <w:sz w:val="32"/>
          <w:szCs w:val="32"/>
          <w:lang w:val="zh-CN" w:eastAsia="zh-CN" w:bidi="ar-SA"/>
        </w:rPr>
      </w:pPr>
      <w:r>
        <w:rPr>
          <w:rFonts w:ascii="仿宋_GB2312" w:eastAsia="仿宋_GB2312" w:cs="Times New Roman" w:hint="eastAsia"/>
          <w:color w:val="auto"/>
          <w:kern w:val="2"/>
          <w:sz w:val="32"/>
          <w:szCs w:val="32"/>
          <w:lang w:val="zh-CN" w:eastAsia="zh-CN" w:bidi="ar-SA"/>
        </w:rPr>
        <w:t>（</w:t>
      </w:r>
      <w:r>
        <w:rPr>
          <w:rFonts w:ascii="仿宋_GB2312" w:eastAsia="仿宋_GB2312" w:cs="Times New Roman" w:hint="eastAsia"/>
          <w:color w:val="auto"/>
          <w:kern w:val="2"/>
          <w:sz w:val="32"/>
          <w:szCs w:val="32"/>
          <w:lang w:val="en-US" w:eastAsia="zh-CN" w:bidi="ar-SA"/>
        </w:rPr>
        <w:t>二</w:t>
      </w:r>
      <w:r>
        <w:rPr>
          <w:rFonts w:ascii="仿宋_GB2312" w:eastAsia="仿宋_GB2312" w:cs="Times New Roman" w:hint="eastAsia"/>
          <w:color w:val="auto"/>
          <w:kern w:val="2"/>
          <w:sz w:val="32"/>
          <w:szCs w:val="32"/>
          <w:lang w:val="zh-CN" w:eastAsia="zh-CN" w:bidi="ar-SA"/>
        </w:rPr>
        <w:t>）项目效益情况。</w:t>
      </w:r>
    </w:p>
    <w:p>
      <w:pPr>
        <w:pStyle w:val="28"/>
        <w:ind w:left="0" w:firstLineChars="200" w:firstLine="640"/>
        <w:rPr>
          <w:rFonts w:ascii="仿宋_GB2312" w:eastAsia="仿宋_GB2312" w:cs="Times New Roman" w:hint="eastAsia"/>
          <w:color w:val="auto"/>
          <w:kern w:val="2"/>
          <w:sz w:val="32"/>
          <w:szCs w:val="32"/>
          <w:lang w:val="en-US" w:eastAsia="zh-CN" w:bidi="ar-SA"/>
        </w:rPr>
      </w:pPr>
      <w:r>
        <w:rPr>
          <w:rFonts w:ascii="仿宋_GB2312" w:eastAsia="仿宋_GB2312" w:cs="Times New Roman" w:hint="eastAsia"/>
          <w:color w:val="auto"/>
          <w:kern w:val="2"/>
          <w:sz w:val="32"/>
          <w:szCs w:val="32"/>
          <w:lang w:val="en-US" w:eastAsia="zh-CN" w:bidi="ar-SA"/>
        </w:rPr>
        <w:t>社会效益：通过开展农村改厕，对粪便实施无害化处理，有效杀灭粪便中的细菌和寄生虫卵，减少蚊蝇滋生，实现从源头上预防控制疾病的发生流行。通过进行厕所改造，帮助群众改变不良卫生习惯，农村群众健康知识知晓率和个人卫生行为形成率得到明显提高，成为农村精神文明建设的有力抓手，群众满意率达95%以上，显示了良好的社会效益。</w:t>
      </w:r>
    </w:p>
    <w:p>
      <w:pPr>
        <w:pStyle w:val="28"/>
        <w:ind w:left="0" w:firstLineChars="200" w:firstLine="640"/>
        <w:rPr>
          <w:rFonts w:ascii="仿宋_GB2312" w:eastAsia="仿宋_GB2312" w:cs="Times New Roman"/>
          <w:color w:val="auto"/>
          <w:kern w:val="2"/>
          <w:sz w:val="32"/>
          <w:szCs w:val="32"/>
          <w:lang w:val="en-US" w:eastAsia="zh-CN" w:bidi="ar-SA"/>
        </w:rPr>
      </w:pPr>
      <w:r>
        <w:rPr>
          <w:rFonts w:ascii="仿宋_GB2312" w:eastAsia="仿宋_GB2312" w:cs="Times New Roman" w:hint="eastAsia"/>
          <w:color w:val="auto"/>
          <w:kern w:val="2"/>
          <w:sz w:val="32"/>
          <w:szCs w:val="32"/>
          <w:lang w:val="en-US" w:eastAsia="zh-CN" w:bidi="ar-SA"/>
        </w:rPr>
        <w:t>生态效益：实施改厕后，大大降低了蚊蝇密度，居住环境更加整洁卫生。农村改厕与沼气池建设、改厨、改圈相结合，实现了粪便、秸秆、有机垃圾等农村主要废弃物的无害化处理、资源化利用，有效降低了对土壤和水源的污染。</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仿宋_GB2312" w:eastAsia="仿宋_GB2312" w:cs="Times New Roman" w:hint="eastAsia"/>
          <w:b/>
          <w:bCs/>
          <w:color w:val="auto"/>
          <w:kern w:val="2"/>
          <w:sz w:val="32"/>
          <w:szCs w:val="32"/>
          <w:lang w:val="en-US" w:eastAsia="zh-CN" w:bidi="ar-SA"/>
        </w:rPr>
      </w:pPr>
      <w:r>
        <w:rPr>
          <w:rFonts w:ascii="仿宋_GB2312" w:eastAsia="仿宋_GB2312" w:cs="Times New Roman" w:hint="eastAsia"/>
          <w:b/>
          <w:bCs/>
          <w:color w:val="auto"/>
          <w:kern w:val="2"/>
          <w:sz w:val="32"/>
          <w:szCs w:val="32"/>
          <w:lang w:val="en-US" w:eastAsia="zh-CN" w:bidi="ar-S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eastAsia="仿宋_GB2312" w:cs="Times New Roman" w:hint="eastAsia"/>
          <w:color w:val="auto"/>
          <w:kern w:val="2"/>
          <w:sz w:val="32"/>
          <w:szCs w:val="32"/>
          <w:lang w:val="zh-CN" w:eastAsia="zh-CN" w:bidi="ar-SA"/>
        </w:rPr>
      </w:pPr>
      <w:r>
        <w:rPr>
          <w:rFonts w:ascii="仿宋_GB2312" w:eastAsia="仿宋_GB2312" w:cs="Times New Roman" w:hint="eastAsia"/>
          <w:color w:val="auto"/>
          <w:kern w:val="2"/>
          <w:sz w:val="32"/>
          <w:szCs w:val="32"/>
          <w:lang w:val="zh-CN" w:eastAsia="zh-CN" w:bidi="ar-SA"/>
        </w:rPr>
        <w:t>（一）存在的问题。</w:t>
      </w:r>
    </w:p>
    <w:p>
      <w:pPr>
        <w:pStyle w:val="28"/>
        <w:ind w:left="420" w:firstLine="420"/>
        <w:rPr>
          <w:rFonts w:ascii="仿宋_GB2312" w:eastAsia="仿宋_GB2312" w:cs="Times New Roman" w:hint="eastAsia"/>
          <w:color w:val="auto"/>
          <w:kern w:val="2"/>
          <w:sz w:val="32"/>
          <w:szCs w:val="32"/>
          <w:lang w:val="en-US" w:eastAsia="zh-CN" w:bidi="ar-SA"/>
        </w:rPr>
      </w:pPr>
      <w:r>
        <w:rPr>
          <w:rFonts w:ascii="仿宋_GB2312" w:eastAsia="仿宋_GB2312" w:cs="Times New Roman" w:hint="eastAsia"/>
          <w:color w:val="auto"/>
          <w:kern w:val="2"/>
          <w:sz w:val="32"/>
          <w:szCs w:val="32"/>
          <w:lang w:val="en-US" w:eastAsia="zh-CN" w:bidi="ar-SA"/>
        </w:rPr>
        <w:t>无。</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eastAsia="仿宋_GB2312" w:cs="Times New Roman" w:hint="eastAsia"/>
          <w:color w:val="auto"/>
          <w:kern w:val="2"/>
          <w:sz w:val="32"/>
          <w:szCs w:val="32"/>
          <w:lang w:val="zh-CN" w:eastAsia="zh-CN" w:bidi="ar-SA"/>
        </w:rPr>
      </w:pPr>
      <w:r>
        <w:rPr>
          <w:rFonts w:ascii="仿宋_GB2312" w:eastAsia="仿宋_GB2312" w:cs="Times New Roman" w:hint="eastAsia"/>
          <w:color w:val="auto"/>
          <w:kern w:val="2"/>
          <w:sz w:val="32"/>
          <w:szCs w:val="32"/>
          <w:lang w:val="zh-CN" w:eastAsia="zh-CN" w:bidi="ar-SA"/>
        </w:rPr>
        <w:t>（二）相关建议。</w:t>
      </w:r>
    </w:p>
    <w:p>
      <w:pPr>
        <w:ind w:left="420" w:firstLine="420"/>
        <w:rPr>
          <w:rFonts w:ascii="仿宋_GB2312" w:eastAsia="仿宋_GB2312" w:cs="Times New Roman" w:hint="eastAsia"/>
          <w:color w:val="auto"/>
          <w:kern w:val="2"/>
          <w:sz w:val="32"/>
          <w:szCs w:val="32"/>
          <w:lang w:val="en-US" w:eastAsia="zh-CN" w:bidi="ar-SA"/>
        </w:rPr>
      </w:pPr>
      <w:r>
        <w:rPr>
          <w:rFonts w:ascii="仿宋_GB2312" w:eastAsia="仿宋_GB2312" w:cs="Times New Roman" w:hint="eastAsia"/>
          <w:color w:val="auto"/>
          <w:kern w:val="2"/>
          <w:sz w:val="32"/>
          <w:szCs w:val="32"/>
          <w:lang w:val="en-US" w:eastAsia="zh-CN" w:bidi="ar-SA"/>
        </w:rPr>
        <w:t>无。</w:t>
      </w:r>
    </w:p>
    <w:p>
      <w:pPr>
        <w:pStyle w:val="15"/>
        <w:ind w:firstLineChars="300" w:firstLine="1320"/>
        <w:rPr>
          <w:rFonts w:eastAsia="方正小标宋简体" w:hint="eastAsia"/>
          <w:lang w:val="en-US" w:eastAsia="zh-CN"/>
        </w:rPr>
      </w:pPr>
      <w:r>
        <w:rPr>
          <w:rFonts w:ascii="方正小标宋简体" w:eastAsia="方正小标宋简体" w:hint="eastAsia"/>
          <w:sz w:val="44"/>
          <w:szCs w:val="44"/>
          <w:lang w:eastAsia="zh-CN"/>
        </w:rPr>
        <w:t>专项预算项目支出</w:t>
      </w:r>
      <w:r>
        <w:rPr>
          <w:rFonts w:ascii="方正小标宋简体" w:eastAsia="方正小标宋简体" w:hint="eastAsia"/>
          <w:sz w:val="44"/>
          <w:szCs w:val="44"/>
        </w:rPr>
        <w:t>绩效</w:t>
      </w:r>
      <w:r>
        <w:rPr>
          <w:rFonts w:ascii="方正小标宋简体" w:eastAsia="方正小标宋简体" w:hint="eastAsia"/>
          <w:sz w:val="44"/>
          <w:szCs w:val="44"/>
          <w:lang w:val="en-US" w:eastAsia="zh-CN"/>
        </w:rPr>
        <w:t>表</w:t>
      </w:r>
    </w:p>
    <w:tbl>
      <w:tblPr>
        <w:tblpPr w:leftFromText="180" w:rightFromText="180" w:vertAnchor="text" w:horzAnchor="page" w:tblpX="1281" w:tblpY="660"/>
        <w:tblOverlap w:val="never"/>
        <w:tblW w:w="8951"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977"/>
        <w:gridCol w:w="1142"/>
        <w:gridCol w:w="1635"/>
        <w:gridCol w:w="1189"/>
        <w:gridCol w:w="1224"/>
        <w:gridCol w:w="1784"/>
      </w:tblGrid>
      <w:tr>
        <w:trPr>
          <w:trHeight w:val="299"/>
        </w:trPr>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cs="Times New Roman" w:hAnsi="Times New Roman"/>
                <w:sz w:val="24"/>
              </w:rPr>
            </w:pPr>
            <w:r>
              <w:rPr>
                <w:rFonts w:ascii="Times New Roman" w:cs="Times New Roman" w:hAnsi="Times New Roman"/>
                <w:kern w:val="0"/>
                <w:sz w:val="24"/>
              </w:rPr>
              <w:t>主管部门及代码</w:t>
            </w:r>
          </w:p>
        </w:tc>
        <w:tc>
          <w:tcPr>
            <w:tcW w:w="282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textAlignment w:val="center"/>
              <w:rPr>
                <w:rFonts w:ascii="Times New Roman" w:eastAsia="宋体" w:cs="Times New Roman" w:hAnsi="Times New Roman"/>
                <w:sz w:val="24"/>
                <w:lang w:val="en-US" w:eastAsia="zh-CN"/>
              </w:rPr>
            </w:pPr>
            <w:r>
              <w:rPr>
                <w:rFonts w:ascii="Times New Roman" w:cs="Times New Roman" w:hAnsi="Times New Roman" w:hint="eastAsia"/>
                <w:sz w:val="24"/>
                <w:lang w:val="en-US" w:eastAsia="zh-CN"/>
              </w:rPr>
              <w:t>金川县科学技术和农业畜牧局</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cs="Times New Roman" w:hAnsi="Times New Roman"/>
                <w:sz w:val="24"/>
              </w:rPr>
            </w:pPr>
            <w:r>
              <w:rPr>
                <w:rFonts w:ascii="Times New Roman" w:cs="Times New Roman" w:hAnsi="Times New Roman"/>
                <w:kern w:val="0"/>
                <w:sz w:val="24"/>
              </w:rPr>
              <w:t>实施单位</w:t>
            </w:r>
          </w:p>
        </w:tc>
        <w:tc>
          <w:tcPr>
            <w:tcW w:w="17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cs="Times New Roman" w:hAnsi="Times New Roman"/>
                <w:sz w:val="24"/>
              </w:rPr>
            </w:pPr>
            <w:r>
              <w:rPr>
                <w:rFonts w:ascii="Times New Roman" w:cs="Times New Roman" w:hAnsi="Times New Roman" w:hint="eastAsia"/>
                <w:sz w:val="24"/>
                <w:lang w:val="en-US" w:eastAsia="zh-CN"/>
              </w:rPr>
              <w:t>金川县科学技术和农业畜牧局</w:t>
            </w:r>
          </w:p>
        </w:tc>
      </w:tr>
      <w:tr>
        <w:trPr>
          <w:trHeight w:val="341"/>
        </w:trPr>
        <w:tc>
          <w:tcPr>
            <w:tcW w:w="311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eastAsia="宋体" w:cs="Times New Roman" w:hAnsi="Times New Roman"/>
                <w:kern w:val="0"/>
                <w:sz w:val="24"/>
                <w:lang w:eastAsia="zh-CN"/>
              </w:rPr>
            </w:pPr>
            <w:r>
              <w:rPr>
                <w:rFonts w:ascii="Times New Roman" w:cs="Times New Roman" w:hAnsi="Times New Roman"/>
                <w:kern w:val="0"/>
                <w:sz w:val="24"/>
              </w:rPr>
              <w:t>项目预算</w:t>
            </w:r>
          </w:p>
          <w:p>
            <w:pPr>
              <w:pageBreakBefore w:val="0"/>
              <w:widowControl/>
              <w:kinsoku/>
              <w:wordWrap/>
              <w:overflowPunct/>
              <w:topLinePunct w:val="0"/>
              <w:bidi w:val="0"/>
              <w:spacing w:line="576" w:lineRule="exact"/>
              <w:jc w:val="center"/>
              <w:textAlignment w:val="center"/>
              <w:rPr>
                <w:rFonts w:ascii="Times New Roman" w:eastAsia="宋体" w:cs="Times New Roman" w:hAnsi="Times New Roman"/>
                <w:kern w:val="0"/>
                <w:sz w:val="24"/>
                <w:lang w:eastAsia="zh-CN"/>
              </w:rPr>
            </w:pPr>
            <w:r>
              <w:rPr>
                <w:rFonts w:ascii="Times New Roman" w:cs="Times New Roman" w:hAnsi="Times New Roman"/>
                <w:kern w:val="0"/>
                <w:sz w:val="24"/>
              </w:rPr>
              <w:t>执行情况</w:t>
            </w:r>
          </w:p>
          <w:p>
            <w:pPr>
              <w:pageBreakBefore w:val="0"/>
              <w:widowControl/>
              <w:kinsoku/>
              <w:wordWrap/>
              <w:overflowPunct/>
              <w:topLinePunct w:val="0"/>
              <w:bidi w:val="0"/>
              <w:spacing w:line="576" w:lineRule="exact"/>
              <w:jc w:val="center"/>
              <w:textAlignment w:val="center"/>
              <w:rPr>
                <w:rFonts w:ascii="Times New Roman" w:cs="Times New Roman" w:hAnsi="Times New Roman"/>
                <w:sz w:val="24"/>
              </w:rPr>
            </w:pPr>
            <w:r>
              <w:rPr>
                <w:rFonts w:ascii="Times New Roman" w:cs="Times New Roman" w:hAnsi="Times New Roman"/>
                <w:kern w:val="0"/>
                <w:sz w:val="24"/>
              </w:rPr>
              <w:t>（万元）</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cs="Times New Roman" w:hAnsi="Times New Roman"/>
                <w:sz w:val="24"/>
              </w:rPr>
            </w:pPr>
            <w:r>
              <w:rPr>
                <w:rFonts w:ascii="Times New Roman" w:cs="Times New Roman" w:hAnsi="Times New Roman"/>
                <w:kern w:val="0"/>
                <w:sz w:val="24"/>
              </w:rPr>
              <w:t xml:space="preserve"> 预算数：</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eastAsia="宋体" w:cs="Times New Roman" w:hAnsi="Times New Roman"/>
                <w:sz w:val="24"/>
                <w:lang w:val="en-US" w:eastAsia="zh-CN"/>
              </w:rPr>
            </w:pPr>
            <w:r>
              <w:rPr>
                <w:rFonts w:ascii="Times New Roman" w:cs="Times New Roman" w:hAnsi="Times New Roman" w:hint="eastAsia"/>
                <w:sz w:val="24"/>
                <w:lang w:val="en-US" w:eastAsia="zh-CN"/>
              </w:rPr>
              <w:t>98.66</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cs="Times New Roman" w:hAnsi="Times New Roman"/>
                <w:sz w:val="24"/>
              </w:rPr>
            </w:pPr>
            <w:r>
              <w:rPr>
                <w:rFonts w:ascii="Times New Roman" w:cs="Times New Roman" w:hAnsi="Times New Roman"/>
                <w:kern w:val="0"/>
                <w:sz w:val="24"/>
              </w:rPr>
              <w:t xml:space="preserve"> 执行数：</w:t>
            </w:r>
          </w:p>
        </w:tc>
        <w:tc>
          <w:tcPr>
            <w:tcW w:w="17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cs="Times New Roman" w:hAnsi="Times New Roman"/>
                <w:sz w:val="24"/>
              </w:rPr>
            </w:pPr>
            <w:r>
              <w:rPr>
                <w:rFonts w:ascii="Times New Roman" w:cs="Times New Roman" w:hAnsi="Times New Roman" w:hint="eastAsia"/>
                <w:sz w:val="24"/>
                <w:lang w:val="en-US" w:eastAsia="zh-CN"/>
              </w:rPr>
              <w:t>98.66</w:t>
            </w:r>
          </w:p>
        </w:tc>
      </w:tr>
      <w:tr>
        <w:trPr>
          <w:trHeight w:val="555"/>
        </w:trPr>
        <w:tc>
          <w:tcPr>
            <w:tcW w:w="311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cs="Times New Roman" w:hAnsi="Times New Roman"/>
                <w:kern w:val="0"/>
                <w:sz w:val="24"/>
              </w:rPr>
            </w:pPr>
            <w:r>
              <w:rPr>
                <w:rFonts w:ascii="Times New Roman" w:cs="Times New Roman" w:hAnsi="Times New Roman"/>
                <w:kern w:val="0"/>
                <w:sz w:val="24"/>
              </w:rPr>
              <w:t>其中：</w:t>
            </w:r>
          </w:p>
          <w:p>
            <w:pPr>
              <w:pageBreakBefore w:val="0"/>
              <w:widowControl/>
              <w:kinsoku/>
              <w:wordWrap/>
              <w:overflowPunct/>
              <w:topLinePunct w:val="0"/>
              <w:bidi w:val="0"/>
              <w:spacing w:line="576" w:lineRule="exact"/>
              <w:jc w:val="left"/>
              <w:textAlignment w:val="center"/>
              <w:rPr>
                <w:rFonts w:ascii="Times New Roman" w:cs="Times New Roman" w:hAnsi="Times New Roman"/>
                <w:sz w:val="24"/>
              </w:rPr>
            </w:pPr>
            <w:r>
              <w:rPr>
                <w:rFonts w:ascii="Times New Roman" w:cs="Times New Roman" w:hAnsi="Times New Roman"/>
                <w:kern w:val="0"/>
                <w:sz w:val="24"/>
              </w:rPr>
              <w:t>财政拨款</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cs="Times New Roman" w:hAnsi="Times New Roman"/>
                <w:sz w:val="24"/>
              </w:rPr>
            </w:pPr>
            <w:r>
              <w:rPr>
                <w:rFonts w:ascii="Times New Roman" w:cs="Times New Roman" w:hAnsi="Times New Roman" w:hint="eastAsia"/>
                <w:sz w:val="24"/>
                <w:lang w:val="en-US" w:eastAsia="zh-CN"/>
              </w:rPr>
              <w:t>98.66</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cs="Times New Roman" w:hAnsi="Times New Roman"/>
                <w:kern w:val="0"/>
                <w:sz w:val="24"/>
              </w:rPr>
            </w:pPr>
            <w:r>
              <w:rPr>
                <w:rFonts w:ascii="Times New Roman" w:cs="Times New Roman" w:hAnsi="Times New Roman"/>
                <w:kern w:val="0"/>
                <w:sz w:val="24"/>
              </w:rPr>
              <w:t>其中：</w:t>
            </w:r>
          </w:p>
          <w:p>
            <w:pPr>
              <w:pageBreakBefore w:val="0"/>
              <w:widowControl/>
              <w:kinsoku/>
              <w:wordWrap/>
              <w:overflowPunct/>
              <w:topLinePunct w:val="0"/>
              <w:bidi w:val="0"/>
              <w:spacing w:line="576" w:lineRule="exact"/>
              <w:jc w:val="left"/>
              <w:textAlignment w:val="center"/>
              <w:rPr>
                <w:rFonts w:ascii="Times New Roman" w:cs="Times New Roman" w:hAnsi="Times New Roman"/>
                <w:sz w:val="24"/>
              </w:rPr>
            </w:pPr>
            <w:r>
              <w:rPr>
                <w:rFonts w:ascii="Times New Roman" w:cs="Times New Roman" w:hAnsi="Times New Roman"/>
                <w:kern w:val="0"/>
                <w:sz w:val="24"/>
              </w:rPr>
              <w:t>财政拨款</w:t>
            </w:r>
          </w:p>
        </w:tc>
        <w:tc>
          <w:tcPr>
            <w:tcW w:w="17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textAlignment w:val="center"/>
              <w:rPr>
                <w:rFonts w:ascii="Times New Roman" w:cs="Times New Roman" w:hAnsi="Times New Roman"/>
                <w:sz w:val="24"/>
              </w:rPr>
            </w:pPr>
            <w:r>
              <w:rPr>
                <w:rFonts w:ascii="Times New Roman" w:cs="Times New Roman" w:hAnsi="Times New Roman" w:hint="eastAsia"/>
                <w:sz w:val="24"/>
                <w:lang w:val="en-US" w:eastAsia="zh-CN"/>
              </w:rPr>
              <w:t>98.66</w:t>
            </w:r>
          </w:p>
        </w:tc>
      </w:tr>
      <w:tr>
        <w:trPr>
          <w:trHeight w:val="341"/>
        </w:trPr>
        <w:tc>
          <w:tcPr>
            <w:tcW w:w="311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cs="Times New Roman" w:hAnsi="Times New Roman"/>
                <w:sz w:val="24"/>
              </w:rPr>
            </w:pPr>
            <w:r>
              <w:rPr>
                <w:rFonts w:ascii="Times New Roman" w:cs="Times New Roman" w:hAnsi="Times New Roman"/>
                <w:kern w:val="0"/>
                <w:sz w:val="24"/>
              </w:rPr>
              <w:t>其他资金</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cs="Times New Roman" w:hAnsi="Times New Roman"/>
                <w:sz w:val="24"/>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Times New Roman" w:cs="Times New Roman" w:hAnsi="Times New Roman"/>
                <w:sz w:val="24"/>
              </w:rPr>
            </w:pPr>
            <w:r>
              <w:rPr>
                <w:rFonts w:ascii="Times New Roman" w:cs="Times New Roman" w:hAnsi="Times New Roman"/>
                <w:kern w:val="0"/>
                <w:sz w:val="24"/>
              </w:rPr>
              <w:t>其他资金</w:t>
            </w:r>
          </w:p>
        </w:tc>
        <w:tc>
          <w:tcPr>
            <w:tcW w:w="17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cs="Times New Roman" w:hAnsi="Times New Roman"/>
                <w:sz w:val="24"/>
              </w:rPr>
            </w:pPr>
          </w:p>
        </w:tc>
      </w:tr>
      <w:tr>
        <w:trPr>
          <w:trHeight w:val="217"/>
        </w:trPr>
        <w:tc>
          <w:tcPr>
            <w:tcW w:w="197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cs="Times New Roman" w:hAnsi="Times New Roman"/>
                <w:kern w:val="0"/>
                <w:sz w:val="24"/>
              </w:rPr>
            </w:pPr>
            <w:r>
              <w:rPr>
                <w:rFonts w:ascii="Times New Roman" w:cs="Times New Roman" w:hAnsi="Times New Roman"/>
                <w:kern w:val="0"/>
                <w:sz w:val="24"/>
              </w:rPr>
              <w:t>年度总体目标</w:t>
            </w:r>
          </w:p>
          <w:p>
            <w:pPr>
              <w:pageBreakBefore w:val="0"/>
              <w:widowControl/>
              <w:kinsoku/>
              <w:wordWrap/>
              <w:overflowPunct/>
              <w:topLinePunct w:val="0"/>
              <w:bidi w:val="0"/>
              <w:spacing w:line="576" w:lineRule="exact"/>
              <w:jc w:val="center"/>
              <w:textAlignment w:val="center"/>
              <w:rPr>
                <w:rFonts w:ascii="Times New Roman" w:cs="Times New Roman" w:hAnsi="Times New Roman"/>
                <w:sz w:val="24"/>
              </w:rPr>
            </w:pPr>
            <w:r>
              <w:rPr>
                <w:rFonts w:ascii="Times New Roman" w:cs="Times New Roman" w:hAnsi="Times New Roman"/>
                <w:kern w:val="0"/>
                <w:sz w:val="24"/>
              </w:rPr>
              <w:t>完成情况</w:t>
            </w:r>
          </w:p>
        </w:tc>
        <w:tc>
          <w:tcPr>
            <w:tcW w:w="396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cs="Times New Roman" w:hAnsi="Times New Roman"/>
                <w:sz w:val="24"/>
              </w:rPr>
            </w:pPr>
            <w:r>
              <w:rPr>
                <w:rFonts w:ascii="Times New Roman" w:cs="Times New Roman" w:hAnsi="Times New Roman"/>
                <w:kern w:val="0"/>
                <w:sz w:val="24"/>
              </w:rPr>
              <w:t>预期目标</w:t>
            </w:r>
          </w:p>
        </w:tc>
        <w:tc>
          <w:tcPr>
            <w:tcW w:w="30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cs="Times New Roman" w:hAnsi="Times New Roman"/>
                <w:sz w:val="24"/>
              </w:rPr>
            </w:pPr>
            <w:r>
              <w:rPr>
                <w:rFonts w:ascii="Times New Roman" w:cs="Times New Roman" w:hAnsi="Times New Roman"/>
                <w:kern w:val="0"/>
                <w:sz w:val="24"/>
              </w:rPr>
              <w:t>目标实际完成情况</w:t>
            </w:r>
          </w:p>
        </w:tc>
      </w:tr>
      <w:tr>
        <w:trPr>
          <w:trHeight w:val="797"/>
        </w:trPr>
        <w:tc>
          <w:tcPr>
            <w:tcW w:w="19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966" w:type="dxa"/>
            <w:gridSpan w:val="3"/>
            <w:tcBorders>
              <w:top w:val="single" w:sz="4" w:space="0" w:color="000000"/>
              <w:left w:val="single" w:sz="4" w:space="0" w:color="000000"/>
              <w:bottom w:val="single" w:sz="4" w:space="0" w:color="000000"/>
              <w:right w:val="single" w:sz="4" w:space="0" w:color="000000"/>
            </w:tcBorders>
            <w:shd w:val="clear" w:color="auto" w:fill="auto"/>
            <w:noWrap/>
          </w:tcPr>
          <w:p>
            <w:pPr>
              <w:pageBreakBefore w:val="0"/>
              <w:widowControl/>
              <w:kinsoku/>
              <w:wordWrap/>
              <w:overflowPunct/>
              <w:topLinePunct w:val="0"/>
              <w:bidi w:val="0"/>
              <w:spacing w:line="576" w:lineRule="exact"/>
              <w:jc w:val="left"/>
              <w:textAlignment w:val="top"/>
              <w:rPr>
                <w:rFonts w:ascii="Times New Roman" w:cs="Times New Roman" w:hAnsi="Times New Roman"/>
                <w:sz w:val="24"/>
                <w:lang w:val="en-US"/>
              </w:rPr>
            </w:pPr>
            <w:r>
              <w:rPr>
                <w:rFonts w:ascii="Times New Roman" w:cs="Times New Roman" w:hAnsi="Times New Roman" w:hint="eastAsia"/>
                <w:sz w:val="24"/>
                <w:lang w:val="en-US" w:eastAsia="zh-CN" w:bidi="ar-SA"/>
              </w:rPr>
              <w:t>完成当年厕所革命任</w:t>
            </w:r>
            <w:r>
              <w:rPr>
                <w:rFonts w:ascii="Times New Roman" w:eastAsia="宋体" w:cs="Times New Roman" w:hAnsi="Times New Roman" w:hint="eastAsia"/>
                <w:sz w:val="24"/>
                <w:lang w:val="en-US" w:eastAsia="zh-CN" w:bidi="ar-SA"/>
              </w:rPr>
              <w:t>务，</w:t>
            </w:r>
            <w:r>
              <w:rPr>
                <w:rFonts w:ascii="Times New Roman" w:eastAsia="宋体" w:cs="Times New Roman" w:hAnsi="Times New Roman" w:hint="eastAsia"/>
                <w:sz w:val="24"/>
                <w:lang w:val="zh-CN" w:eastAsia="zh-CN" w:bidi="ar-SA"/>
              </w:rPr>
              <w:t>按照不同标准通过一卡通兑现补助到农户账户。</w:t>
            </w:r>
          </w:p>
        </w:tc>
        <w:tc>
          <w:tcPr>
            <w:tcW w:w="3008" w:type="dxa"/>
            <w:gridSpan w:val="2"/>
            <w:tcBorders>
              <w:top w:val="single" w:sz="4" w:space="0" w:color="000000"/>
              <w:left w:val="single" w:sz="4" w:space="0" w:color="000000"/>
              <w:bottom w:val="single" w:sz="4" w:space="0" w:color="000000"/>
              <w:right w:val="single" w:sz="4" w:space="0" w:color="000000"/>
            </w:tcBorders>
            <w:shd w:val="clear" w:color="auto" w:fill="auto"/>
            <w:noWrap/>
          </w:tcPr>
          <w:p>
            <w:pPr>
              <w:pStyle w:val="28"/>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en-US" w:eastAsia="zh-CN" w:bidi="ar-SA"/>
              </w:rPr>
              <w:t>实际完成当年厕所革命任务，切实改善了农村人居环境，使村庄环境基本干净整洁有序，村民环境与健康意识增强，减少传染病的发生。</w:t>
            </w:r>
          </w:p>
          <w:p>
            <w:pPr>
              <w:pageBreakBefore w:val="0"/>
              <w:widowControl/>
              <w:kinsoku/>
              <w:wordWrap/>
              <w:overflowPunct/>
              <w:topLinePunct w:val="0"/>
              <w:bidi w:val="0"/>
              <w:spacing w:line="576" w:lineRule="exact"/>
              <w:jc w:val="left"/>
              <w:textAlignment w:val="top"/>
              <w:rPr>
                <w:rFonts w:ascii="Times New Roman" w:cs="Times New Roman" w:hAnsi="Times New Roman"/>
                <w:sz w:val="24"/>
              </w:rPr>
            </w:pPr>
          </w:p>
        </w:tc>
      </w:tr>
      <w:tr>
        <w:trPr>
          <w:trHeight w:val="693"/>
        </w:trPr>
        <w:tc>
          <w:tcPr>
            <w:tcW w:w="1977" w:type="dxa"/>
            <w:vMerge w:val="restart"/>
            <w:tcBorders>
              <w:top w:val="single" w:sz="4" w:space="0" w:color="000000"/>
              <w:left w:val="single" w:sz="4" w:space="0" w:color="000000"/>
              <w:bottom w:val="nil"/>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年度绩效指标完成情况</w:t>
            </w:r>
          </w:p>
        </w:tc>
        <w:tc>
          <w:tcPr>
            <w:tcW w:w="1142" w:type="dxa"/>
            <w:tcBorders>
              <w:top w:val="single" w:sz="4" w:space="0" w:color="000000"/>
              <w:left w:val="nil"/>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一级</w:t>
            </w:r>
          </w:p>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二级</w:t>
            </w:r>
          </w:p>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三级</w:t>
            </w:r>
          </w:p>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指标</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预期指标值</w:t>
            </w:r>
          </w:p>
        </w:tc>
        <w:tc>
          <w:tcPr>
            <w:tcW w:w="17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实际完成指标值</w:t>
            </w:r>
          </w:p>
        </w:tc>
      </w:tr>
      <w:tr>
        <w:trPr>
          <w:trHeight w:val="415"/>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完成</w:t>
            </w:r>
          </w:p>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数量指标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sz w:val="24"/>
                <w:lang w:val="en-US" w:eastAsia="zh-CN" w:bidi="ar-SA"/>
              </w:rPr>
            </w:pPr>
            <w:r>
              <w:rPr>
                <w:rFonts w:ascii="Times New Roman" w:eastAsia="宋体" w:cs="Times New Roman" w:hAnsi="Times New Roman" w:hint="eastAsia"/>
                <w:sz w:val="24"/>
                <w:lang w:val="en-US" w:eastAsia="zh-CN" w:bidi="ar-SA"/>
              </w:rPr>
              <w:t>完成补贴户数</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sz w:val="24"/>
                <w:lang w:val="en-US" w:eastAsia="zh-CN" w:bidi="ar-SA"/>
              </w:rPr>
            </w:pPr>
            <w:r>
              <w:rPr>
                <w:rFonts w:ascii="Times New Roman" w:eastAsia="宋体" w:cs="Times New Roman" w:hAnsi="Times New Roman" w:hint="eastAsia"/>
                <w:sz w:val="24"/>
                <w:lang w:val="en-US" w:eastAsia="zh-CN" w:bidi="ar-SA"/>
              </w:rPr>
              <w:t>≥215户</w:t>
            </w:r>
          </w:p>
        </w:tc>
        <w:tc>
          <w:tcPr>
            <w:tcW w:w="178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sz w:val="24"/>
                <w:lang w:val="en-US" w:eastAsia="zh-CN" w:bidi="ar-SA"/>
              </w:rPr>
            </w:pPr>
            <w:r>
              <w:rPr>
                <w:rFonts w:ascii="Times New Roman" w:eastAsia="宋体" w:cs="Times New Roman" w:hAnsi="Times New Roman" w:hint="eastAsia"/>
                <w:sz w:val="24"/>
                <w:lang w:val="en-US" w:eastAsia="zh-CN" w:bidi="ar-SA"/>
              </w:rPr>
              <w:t>261户</w:t>
            </w:r>
          </w:p>
        </w:tc>
      </w:tr>
      <w:tr>
        <w:trPr>
          <w:trHeight w:val="415"/>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质量指标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完成质量</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圆满完成各项任务</w:t>
            </w:r>
          </w:p>
        </w:tc>
        <w:tc>
          <w:tcPr>
            <w:tcW w:w="178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圆满完成各项任务</w:t>
            </w:r>
          </w:p>
        </w:tc>
      </w:tr>
      <w:tr>
        <w:trPr>
          <w:trHeight w:val="415"/>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时效指标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及时贯彻落实</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及时贯彻各项部署</w:t>
            </w:r>
          </w:p>
        </w:tc>
        <w:tc>
          <w:tcPr>
            <w:tcW w:w="178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及时贯彻各项部署</w:t>
            </w:r>
          </w:p>
        </w:tc>
      </w:tr>
      <w:tr>
        <w:trPr>
          <w:trHeight w:val="480"/>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成本指标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sz w:val="24"/>
                <w:lang w:val="en-US" w:eastAsia="zh-CN" w:bidi="ar-SA"/>
              </w:rPr>
            </w:pPr>
            <w:r>
              <w:rPr>
                <w:rFonts w:ascii="Times New Roman" w:eastAsia="宋体" w:cs="Times New Roman" w:hAnsi="Times New Roman" w:hint="eastAsia"/>
                <w:sz w:val="24"/>
                <w:lang w:val="en-US" w:eastAsia="zh-CN" w:bidi="ar-SA"/>
              </w:rPr>
              <w:t>项目经济成本</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sz w:val="24"/>
                <w:lang w:val="en-US" w:eastAsia="zh-CN" w:bidi="ar-SA"/>
              </w:rPr>
            </w:pPr>
            <w:r>
              <w:rPr>
                <w:rFonts w:ascii="Times New Roman" w:eastAsia="宋体" w:cs="Times New Roman" w:hAnsi="Times New Roman" w:hint="eastAsia"/>
                <w:sz w:val="24"/>
                <w:lang w:val="en-US" w:eastAsia="zh-CN" w:bidi="ar-SA"/>
              </w:rPr>
              <w:t>≤98.66万</w:t>
            </w:r>
          </w:p>
        </w:tc>
        <w:tc>
          <w:tcPr>
            <w:tcW w:w="178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sz w:val="24"/>
                <w:lang w:val="en-US" w:eastAsia="zh-CN" w:bidi="ar-SA"/>
              </w:rPr>
            </w:pPr>
            <w:r>
              <w:rPr>
                <w:rFonts w:ascii="Times New Roman" w:eastAsia="宋体" w:cs="Times New Roman" w:hAnsi="Times New Roman" w:hint="eastAsia"/>
                <w:sz w:val="24"/>
                <w:lang w:val="en-US" w:eastAsia="zh-CN" w:bidi="ar-SA"/>
              </w:rPr>
              <w:t>成本内完成</w:t>
            </w:r>
          </w:p>
        </w:tc>
      </w:tr>
      <w:tr>
        <w:trPr>
          <w:trHeight w:val="480"/>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效益</w:t>
            </w:r>
          </w:p>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经济效益  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p>
        </w:tc>
        <w:tc>
          <w:tcPr>
            <w:tcW w:w="178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p>
        </w:tc>
      </w:tr>
      <w:tr>
        <w:trPr>
          <w:trHeight w:val="480"/>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社会效益  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Style w:val="28"/>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en-US" w:eastAsia="zh-CN" w:bidi="ar-SA"/>
              </w:rPr>
              <w:t>村民环境与健康意识增强，减少传染病的发生。</w:t>
            </w:r>
          </w:p>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Style w:val="28"/>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en-US" w:eastAsia="zh-CN" w:bidi="ar-SA"/>
              </w:rPr>
              <w:t>村民环境与健康意识增强，减少传染病的发生。</w:t>
            </w:r>
          </w:p>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p>
        </w:tc>
        <w:tc>
          <w:tcPr>
            <w:tcW w:w="178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Style w:val="28"/>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en-US" w:eastAsia="zh-CN" w:bidi="ar-SA"/>
              </w:rPr>
              <w:t>村庄环境基本干净整洁有序，村民环境与健康意识增强，减少传染病的发生。</w:t>
            </w:r>
          </w:p>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p>
        </w:tc>
      </w:tr>
      <w:tr>
        <w:trPr>
          <w:trHeight w:val="577"/>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生态效益  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en-US" w:eastAsia="zh-CN" w:bidi="ar-SA"/>
              </w:rPr>
              <w:t>村庄环境基本干净整洁有序</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en-US" w:eastAsia="zh-CN" w:bidi="ar-SA"/>
              </w:rPr>
              <w:t>村庄环境基本干净整洁有序</w:t>
            </w:r>
          </w:p>
        </w:tc>
        <w:tc>
          <w:tcPr>
            <w:tcW w:w="178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en-US" w:eastAsia="zh-CN" w:bidi="ar-SA"/>
              </w:rPr>
              <w:t>村庄环境基本干净整洁有序</w:t>
            </w:r>
          </w:p>
        </w:tc>
      </w:tr>
      <w:tr>
        <w:trPr>
          <w:trHeight w:val="480"/>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可持续影响 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sz w:val="24"/>
                <w:lang w:val="en-US" w:eastAsia="zh-CN" w:bidi="ar-SA"/>
              </w:rPr>
            </w:pPr>
            <w:r>
              <w:rPr>
                <w:rFonts w:ascii="Times New Roman" w:eastAsia="宋体" w:cs="Times New Roman" w:hAnsi="Times New Roman" w:hint="eastAsia"/>
                <w:sz w:val="24"/>
                <w:lang w:val="en-US" w:eastAsia="zh-CN" w:bidi="ar-SA"/>
              </w:rPr>
              <w:t>项目可持续使用年限</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sz w:val="24"/>
                <w:lang w:val="en-US" w:eastAsia="zh-CN" w:bidi="ar-SA"/>
              </w:rPr>
            </w:pPr>
            <w:r>
              <w:rPr>
                <w:rFonts w:ascii="Times New Roman" w:eastAsia="宋体" w:cs="Times New Roman" w:hAnsi="Times New Roman" w:hint="eastAsia"/>
                <w:sz w:val="24"/>
                <w:lang w:val="en-US" w:eastAsia="zh-CN" w:bidi="ar-SA"/>
              </w:rPr>
              <w:t>2</w:t>
            </w:r>
          </w:p>
        </w:tc>
        <w:tc>
          <w:tcPr>
            <w:tcW w:w="178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sz w:val="24"/>
                <w:lang w:val="en-US" w:eastAsia="zh-CN" w:bidi="ar-SA"/>
              </w:rPr>
            </w:pPr>
            <w:r>
              <w:rPr>
                <w:rFonts w:ascii="Times New Roman" w:eastAsia="宋体" w:cs="Times New Roman" w:hAnsi="Times New Roman" w:hint="eastAsia"/>
                <w:sz w:val="24"/>
                <w:lang w:val="en-US" w:eastAsia="zh-CN" w:bidi="ar-SA"/>
              </w:rPr>
              <w:t>2</w:t>
            </w:r>
          </w:p>
        </w:tc>
      </w:tr>
      <w:tr>
        <w:trPr>
          <w:trHeight w:val="530"/>
        </w:trPr>
        <w:tc>
          <w:tcPr>
            <w:tcW w:w="1977" w:type="dxa"/>
            <w:vMerge/>
            <w:tcBorders>
              <w:top w:val="nil"/>
              <w:left w:val="single" w:sz="4" w:space="0" w:color="000000"/>
              <w:bottom w:val="single" w:sz="4" w:space="0" w:color="000000"/>
              <w:right w:val="single" w:sz="4" w:space="0" w:color="000000"/>
            </w:tcBorders>
            <w:shd w:val="clear" w:color="auto" w:fill="auto"/>
            <w:noWrap/>
            <w:vAlign w:val="center"/>
          </w:tcPr>
          <w:p/>
        </w:tc>
        <w:tc>
          <w:tcPr>
            <w:tcW w:w="11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满意</w:t>
            </w:r>
          </w:p>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度指标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满意度</w:t>
            </w:r>
          </w:p>
          <w:p>
            <w:pPr>
              <w:pageBreakBefore w:val="0"/>
              <w:widowControl/>
              <w:kinsoku/>
              <w:wordWrap/>
              <w:overflowPunct/>
              <w:topLinePunct w:val="0"/>
              <w:bidi w:val="0"/>
              <w:spacing w:line="576" w:lineRule="exact"/>
              <w:jc w:val="left"/>
              <w:textAlignment w:val="top"/>
              <w:rPr>
                <w:rFonts w:ascii="Times New Roman" w:eastAsia="宋体" w:cs="Times New Roman" w:hAnsi="Times New Roman" w:hint="eastAsia"/>
                <w:sz w:val="24"/>
                <w:lang w:val="zh-CN" w:eastAsia="zh-CN" w:bidi="ar-SA"/>
              </w:rPr>
            </w:pPr>
            <w:r>
              <w:rPr>
                <w:rFonts w:ascii="Times New Roman" w:eastAsia="宋体" w:cs="Times New Roman" w:hAnsi="Times New Roman" w:hint="eastAsia"/>
                <w:sz w:val="24"/>
                <w:lang w:val="zh-CN" w:eastAsia="zh-CN" w:bidi="ar-SA"/>
              </w:rPr>
              <w:t>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sz w:val="24"/>
                <w:lang w:val="en-US" w:eastAsia="zh-CN" w:bidi="ar-SA"/>
              </w:rPr>
            </w:pPr>
            <w:r>
              <w:rPr>
                <w:rFonts w:ascii="Times New Roman" w:eastAsia="宋体" w:cs="Times New Roman" w:hAnsi="Times New Roman" w:hint="eastAsia"/>
                <w:sz w:val="24"/>
                <w:lang w:val="en-US" w:eastAsia="zh-CN" w:bidi="ar-SA"/>
              </w:rPr>
              <w:t>95%</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sz w:val="24"/>
                <w:lang w:val="en-US" w:eastAsia="zh-CN" w:bidi="ar-SA"/>
              </w:rPr>
            </w:pPr>
            <w:r>
              <w:rPr>
                <w:rFonts w:ascii="Times New Roman" w:eastAsia="宋体" w:cs="Times New Roman" w:hAnsi="Times New Roman" w:hint="eastAsia"/>
                <w:sz w:val="24"/>
                <w:lang w:val="en-US" w:eastAsia="zh-CN" w:bidi="ar-SA"/>
              </w:rPr>
              <w:t>95%</w:t>
            </w:r>
          </w:p>
        </w:tc>
        <w:tc>
          <w:tcPr>
            <w:tcW w:w="178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pageBreakBefore w:val="0"/>
              <w:widowControl/>
              <w:kinsoku/>
              <w:wordWrap/>
              <w:overflowPunct/>
              <w:topLinePunct w:val="0"/>
              <w:bidi w:val="0"/>
              <w:spacing w:line="576" w:lineRule="exact"/>
              <w:jc w:val="left"/>
              <w:textAlignment w:val="top"/>
              <w:rPr>
                <w:rFonts w:ascii="Times New Roman" w:eastAsia="宋体" w:cs="Times New Roman" w:hAnsi="Times New Roman"/>
                <w:sz w:val="24"/>
                <w:lang w:val="en-US" w:eastAsia="zh-CN" w:bidi="ar-SA"/>
              </w:rPr>
            </w:pPr>
            <w:r>
              <w:rPr>
                <w:rFonts w:ascii="Times New Roman" w:eastAsia="宋体" w:cs="Times New Roman" w:hAnsi="Times New Roman" w:hint="eastAsia"/>
                <w:sz w:val="24"/>
                <w:lang w:val="en-US" w:eastAsia="zh-CN" w:bidi="ar-SA"/>
              </w:rPr>
              <w:t>95%</w:t>
            </w:r>
          </w:p>
        </w:tc>
      </w:tr>
    </w:tbl>
    <w:p>
      <w:pPr>
        <w:pageBreakBefore w:val="0"/>
        <w:widowControl/>
        <w:kinsoku/>
        <w:wordWrap/>
        <w:overflowPunct/>
        <w:topLinePunct w:val="0"/>
        <w:bidi w:val="0"/>
        <w:spacing w:line="576" w:lineRule="exact"/>
        <w:jc w:val="left"/>
        <w:textAlignment w:val="top"/>
        <w:rPr>
          <w:rFonts w:ascii="Times New Roman" w:eastAsia="宋体" w:cs="Times New Roman" w:hAnsi="Times New Roman"/>
          <w:sz w:val="24"/>
          <w:lang w:val="en-US" w:eastAsia="zh-CN" w:bidi="ar-SA"/>
        </w:rPr>
      </w:pPr>
    </w:p>
    <w:p>
      <w:pPr>
        <w:pStyle w:val="25"/>
        <w:rPr>
          <w:rFonts w:ascii="仿宋_GB2312" w:eastAsia="仿宋_GB2312" w:cs="宋体"/>
          <w:color w:val="000000"/>
          <w:kern w:val="0"/>
          <w:sz w:val="32"/>
          <w:szCs w:val="24"/>
          <w:lang w:val="en-US" w:eastAsia="zh-CN"/>
        </w:rPr>
      </w:pPr>
    </w:p>
    <w:p>
      <w:pPr>
        <w:pStyle w:val="25"/>
        <w:rPr>
          <w:rFonts w:ascii="仿宋_GB2312" w:eastAsia="仿宋_GB2312" w:cs="宋体" w:hint="eastAsia"/>
          <w:color w:val="000000"/>
          <w:kern w:val="0"/>
          <w:sz w:val="32"/>
          <w:szCs w:val="24"/>
          <w:lang w:val="en-US" w:eastAsia="zh-CN"/>
        </w:rPr>
      </w:pPr>
    </w:p>
    <w:p>
      <w:pPr>
        <w:numPr>
          <w:ilvl w:val="0"/>
          <w:numId w:val="4"/>
        </w:numPr>
        <w:spacing w:line="600" w:lineRule="exact"/>
        <w:ind w:left="0" w:firstLineChars="150" w:firstLine="660"/>
        <w:jc w:val="center"/>
        <w:outlineLvl w:val="0"/>
        <w:rPr>
          <w:rStyle w:val="1Char"/>
          <w:rFonts w:ascii="黑体" w:eastAsia="黑体" w:hint="eastAsia"/>
          <w:b w:val="0"/>
        </w:rPr>
      </w:pPr>
      <w:r>
        <w:rPr>
          <w:rStyle w:val="1Char"/>
          <w:rFonts w:ascii="黑体" w:eastAsia="黑体" w:hint="eastAsia"/>
          <w:b w:val="0"/>
        </w:rPr>
        <w:t>附表</w:t>
      </w:r>
    </w:p>
    <w:p>
      <w:pPr>
        <w:tabs>
          <w:tab w:val="left" w:pos="0"/>
        </w:tabs>
        <w:spacing w:line="600" w:lineRule="exact"/>
        <w:ind w:leftChars="150" w:left="315"/>
        <w:jc w:val="both"/>
        <w:outlineLvl w:val="0"/>
        <w:rPr>
          <w:rStyle w:val="1Char"/>
          <w:rFonts w:ascii="黑体" w:eastAsia="黑体" w:hint="eastAsia"/>
          <w:b w:val="0"/>
        </w:rPr>
      </w:pPr>
    </w:p>
    <w:p>
      <w:pPr>
        <w:pStyle w:val="2"/>
        <w:spacing w:before="0" w:after="0" w:line="560" w:lineRule="exact"/>
        <w:rPr>
          <w:rFonts w:ascii="仿宋_GB2312" w:eastAsia="仿宋_GB2312" w:cs="仿宋" w:hint="eastAsia"/>
          <w:b w:val="0"/>
          <w:bCs w:val="0"/>
          <w:color w:val="000000"/>
          <w:kern w:val="0"/>
          <w:sz w:val="32"/>
          <w:szCs w:val="32"/>
          <w:lang w:val="zh-CN" w:eastAsia="zh-CN" w:bidi="ar-SA"/>
        </w:rPr>
      </w:pPr>
      <w:bookmarkStart w:id="79" w:name="_Toc79163636"/>
      <w:bookmarkStart w:id="80" w:name="_Toc79163886"/>
      <w:bookmarkStart w:id="81" w:name="_Toc15396619"/>
      <w:r>
        <w:rPr>
          <w:rFonts w:ascii="仿宋_GB2312" w:eastAsia="仿宋_GB2312" w:cs="仿宋" w:hint="eastAsia"/>
          <w:b w:val="0"/>
          <w:bCs w:val="0"/>
          <w:color w:val="000000"/>
          <w:kern w:val="0"/>
          <w:sz w:val="32"/>
          <w:szCs w:val="32"/>
          <w:lang w:val="zh-CN" w:eastAsia="zh-CN" w:bidi="ar-SA"/>
        </w:rPr>
        <w:t>一、收入支出决算总表</w:t>
      </w:r>
      <w:bookmarkEnd w:id="79"/>
      <w:bookmarkEnd w:id="80"/>
      <w:bookmarkEnd w:id="81"/>
    </w:p>
    <w:p>
      <w:pPr>
        <w:pStyle w:val="2"/>
        <w:spacing w:before="0" w:after="0" w:line="560" w:lineRule="exact"/>
        <w:rPr>
          <w:rFonts w:ascii="仿宋_GB2312" w:eastAsia="仿宋_GB2312" w:cs="仿宋" w:hint="eastAsia"/>
          <w:b w:val="0"/>
          <w:bCs w:val="0"/>
          <w:color w:val="000000"/>
          <w:kern w:val="0"/>
          <w:sz w:val="32"/>
          <w:szCs w:val="32"/>
          <w:lang w:val="zh-CN" w:eastAsia="zh-CN" w:bidi="ar-SA"/>
        </w:rPr>
      </w:pPr>
      <w:bookmarkStart w:id="82" w:name="_Toc79163637"/>
      <w:bookmarkStart w:id="83" w:name="_Toc15396620"/>
      <w:bookmarkStart w:id="84" w:name="_Toc79163887"/>
      <w:r>
        <w:rPr>
          <w:rFonts w:ascii="仿宋_GB2312" w:eastAsia="仿宋_GB2312" w:cs="仿宋" w:hint="eastAsia"/>
          <w:b w:val="0"/>
          <w:bCs w:val="0"/>
          <w:color w:val="000000"/>
          <w:kern w:val="0"/>
          <w:sz w:val="32"/>
          <w:szCs w:val="32"/>
          <w:lang w:val="zh-CN" w:eastAsia="zh-CN" w:bidi="ar-SA"/>
        </w:rPr>
        <w:t>二、收入决算表</w:t>
      </w:r>
      <w:bookmarkEnd w:id="82"/>
      <w:bookmarkEnd w:id="83"/>
      <w:bookmarkEnd w:id="84"/>
    </w:p>
    <w:p>
      <w:pPr>
        <w:pStyle w:val="2"/>
        <w:spacing w:before="0" w:after="0" w:line="560" w:lineRule="exact"/>
        <w:rPr>
          <w:rFonts w:ascii="仿宋_GB2312" w:eastAsia="仿宋_GB2312" w:cs="仿宋" w:hint="eastAsia"/>
          <w:b w:val="0"/>
          <w:bCs w:val="0"/>
          <w:color w:val="000000"/>
          <w:kern w:val="0"/>
          <w:sz w:val="32"/>
          <w:szCs w:val="32"/>
          <w:lang w:val="zh-CN" w:eastAsia="zh-CN" w:bidi="ar-SA"/>
        </w:rPr>
      </w:pPr>
      <w:bookmarkStart w:id="85" w:name="_Toc79163638"/>
      <w:bookmarkStart w:id="86" w:name="_Toc79163888"/>
      <w:bookmarkStart w:id="87" w:name="_Toc15396621"/>
      <w:r>
        <w:rPr>
          <w:rFonts w:ascii="仿宋_GB2312" w:eastAsia="仿宋_GB2312" w:cs="仿宋" w:hint="eastAsia"/>
          <w:b w:val="0"/>
          <w:bCs w:val="0"/>
          <w:color w:val="000000"/>
          <w:kern w:val="0"/>
          <w:sz w:val="32"/>
          <w:szCs w:val="32"/>
          <w:lang w:val="zh-CN" w:eastAsia="zh-CN" w:bidi="ar-SA"/>
        </w:rPr>
        <w:t>三、支出决算表</w:t>
      </w:r>
      <w:bookmarkEnd w:id="85"/>
      <w:bookmarkEnd w:id="86"/>
      <w:bookmarkEnd w:id="87"/>
    </w:p>
    <w:p>
      <w:pPr>
        <w:pStyle w:val="2"/>
        <w:spacing w:before="0" w:after="0" w:line="560" w:lineRule="exact"/>
        <w:rPr>
          <w:rFonts w:ascii="仿宋_GB2312" w:eastAsia="仿宋_GB2312" w:cs="仿宋" w:hint="eastAsia"/>
          <w:b w:val="0"/>
          <w:bCs w:val="0"/>
          <w:color w:val="000000"/>
          <w:kern w:val="0"/>
          <w:sz w:val="32"/>
          <w:szCs w:val="32"/>
          <w:lang w:val="zh-CN" w:eastAsia="zh-CN" w:bidi="ar-SA"/>
        </w:rPr>
      </w:pPr>
      <w:bookmarkStart w:id="88" w:name="_Toc79163889"/>
      <w:bookmarkStart w:id="89" w:name="_Toc79163639"/>
      <w:bookmarkStart w:id="90" w:name="_Toc15396622"/>
      <w:r>
        <w:rPr>
          <w:rFonts w:ascii="仿宋_GB2312" w:eastAsia="仿宋_GB2312" w:cs="仿宋" w:hint="eastAsia"/>
          <w:b w:val="0"/>
          <w:bCs w:val="0"/>
          <w:color w:val="000000"/>
          <w:kern w:val="0"/>
          <w:sz w:val="32"/>
          <w:szCs w:val="32"/>
          <w:lang w:val="zh-CN" w:eastAsia="zh-CN" w:bidi="ar-SA"/>
        </w:rPr>
        <w:t>四、财政拨款收入支出决算总表</w:t>
      </w:r>
      <w:bookmarkEnd w:id="88"/>
      <w:bookmarkEnd w:id="89"/>
      <w:bookmarkEnd w:id="90"/>
    </w:p>
    <w:p>
      <w:pPr>
        <w:pStyle w:val="2"/>
        <w:spacing w:before="0" w:after="0" w:line="560" w:lineRule="exact"/>
        <w:rPr>
          <w:rFonts w:ascii="仿宋_GB2312" w:eastAsia="仿宋_GB2312" w:cs="仿宋" w:hint="eastAsia"/>
          <w:b w:val="0"/>
          <w:bCs w:val="0"/>
          <w:color w:val="000000"/>
          <w:kern w:val="0"/>
          <w:sz w:val="32"/>
          <w:szCs w:val="32"/>
          <w:lang w:val="zh-CN" w:eastAsia="zh-CN" w:bidi="ar-SA"/>
        </w:rPr>
      </w:pPr>
      <w:bookmarkStart w:id="91" w:name="_Toc79163640"/>
      <w:bookmarkStart w:id="92" w:name="_Toc15396623"/>
      <w:bookmarkStart w:id="93" w:name="_Toc79163890"/>
      <w:r>
        <w:rPr>
          <w:rFonts w:ascii="仿宋_GB2312" w:eastAsia="仿宋_GB2312" w:cs="仿宋" w:hint="eastAsia"/>
          <w:b w:val="0"/>
          <w:bCs w:val="0"/>
          <w:color w:val="000000"/>
          <w:kern w:val="0"/>
          <w:sz w:val="32"/>
          <w:szCs w:val="32"/>
          <w:lang w:val="zh-CN" w:eastAsia="zh-CN" w:bidi="ar-SA"/>
        </w:rPr>
        <w:t>五、财政拨款支出决算明细表</w:t>
      </w:r>
      <w:bookmarkStart w:id="94" w:name="_Toc15396624"/>
      <w:bookmarkEnd w:id="91"/>
      <w:bookmarkEnd w:id="92"/>
      <w:bookmarkEnd w:id="93"/>
    </w:p>
    <w:p>
      <w:pPr>
        <w:pStyle w:val="2"/>
        <w:spacing w:before="0" w:after="0" w:line="560" w:lineRule="exact"/>
        <w:rPr>
          <w:rFonts w:ascii="仿宋_GB2312" w:eastAsia="仿宋_GB2312" w:cs="仿宋" w:hint="eastAsia"/>
          <w:b w:val="0"/>
          <w:bCs w:val="0"/>
          <w:color w:val="000000"/>
          <w:kern w:val="0"/>
          <w:sz w:val="32"/>
          <w:szCs w:val="32"/>
          <w:lang w:val="zh-CN" w:eastAsia="zh-CN" w:bidi="ar-SA"/>
        </w:rPr>
      </w:pPr>
      <w:bookmarkStart w:id="95" w:name="_Toc79163891"/>
      <w:bookmarkStart w:id="96" w:name="_Toc79163641"/>
      <w:r>
        <w:rPr>
          <w:rFonts w:ascii="仿宋_GB2312" w:eastAsia="仿宋_GB2312" w:cs="仿宋" w:hint="eastAsia"/>
          <w:b w:val="0"/>
          <w:bCs w:val="0"/>
          <w:color w:val="000000"/>
          <w:kern w:val="0"/>
          <w:sz w:val="32"/>
          <w:szCs w:val="32"/>
          <w:lang w:val="zh-CN" w:eastAsia="zh-CN" w:bidi="ar-SA"/>
        </w:rPr>
        <w:t>六、一般公共预算财政拨款支出决算表</w:t>
      </w:r>
      <w:bookmarkEnd w:id="94"/>
      <w:bookmarkEnd w:id="95"/>
      <w:bookmarkEnd w:id="96"/>
    </w:p>
    <w:p>
      <w:pPr>
        <w:pStyle w:val="2"/>
        <w:spacing w:before="0" w:after="0" w:line="560" w:lineRule="exact"/>
        <w:rPr>
          <w:rFonts w:ascii="仿宋_GB2312" w:eastAsia="仿宋_GB2312" w:cs="仿宋" w:hint="eastAsia"/>
          <w:b w:val="0"/>
          <w:bCs w:val="0"/>
          <w:color w:val="000000"/>
          <w:kern w:val="0"/>
          <w:sz w:val="32"/>
          <w:szCs w:val="32"/>
          <w:lang w:val="zh-CN" w:eastAsia="zh-CN" w:bidi="ar-SA"/>
        </w:rPr>
      </w:pPr>
      <w:bookmarkStart w:id="97" w:name="_Toc79163642"/>
      <w:bookmarkStart w:id="98" w:name="_Toc79163892"/>
      <w:bookmarkStart w:id="99" w:name="_Toc15396625"/>
      <w:r>
        <w:rPr>
          <w:rFonts w:ascii="仿宋_GB2312" w:eastAsia="仿宋_GB2312" w:cs="仿宋" w:hint="eastAsia"/>
          <w:b w:val="0"/>
          <w:bCs w:val="0"/>
          <w:color w:val="000000"/>
          <w:kern w:val="0"/>
          <w:sz w:val="32"/>
          <w:szCs w:val="32"/>
          <w:lang w:val="zh-CN" w:eastAsia="zh-CN" w:bidi="ar-SA"/>
        </w:rPr>
        <w:t>七、一般公共预算财政拨款支出决算明细表</w:t>
      </w:r>
      <w:bookmarkEnd w:id="97"/>
      <w:bookmarkEnd w:id="98"/>
      <w:bookmarkEnd w:id="99"/>
    </w:p>
    <w:p>
      <w:pPr>
        <w:pStyle w:val="2"/>
        <w:spacing w:before="0" w:after="0" w:line="560" w:lineRule="exact"/>
        <w:rPr>
          <w:rFonts w:ascii="仿宋_GB2312" w:eastAsia="仿宋_GB2312" w:cs="仿宋" w:hint="eastAsia"/>
          <w:b w:val="0"/>
          <w:bCs w:val="0"/>
          <w:color w:val="000000"/>
          <w:kern w:val="0"/>
          <w:sz w:val="32"/>
          <w:szCs w:val="32"/>
          <w:lang w:val="zh-CN" w:eastAsia="zh-CN" w:bidi="ar-SA"/>
        </w:rPr>
      </w:pPr>
      <w:bookmarkStart w:id="100" w:name="_Toc79163643"/>
      <w:bookmarkStart w:id="101" w:name="_Toc79163893"/>
      <w:bookmarkStart w:id="102" w:name="_Toc15396626"/>
      <w:r>
        <w:rPr>
          <w:rFonts w:ascii="仿宋_GB2312" w:eastAsia="仿宋_GB2312" w:cs="仿宋" w:hint="eastAsia"/>
          <w:b w:val="0"/>
          <w:bCs w:val="0"/>
          <w:color w:val="000000"/>
          <w:kern w:val="0"/>
          <w:sz w:val="32"/>
          <w:szCs w:val="32"/>
          <w:lang w:val="zh-CN" w:eastAsia="zh-CN" w:bidi="ar-SA"/>
        </w:rPr>
        <w:t>八、一般公共预算财政拨款基本支出决算表</w:t>
      </w:r>
      <w:bookmarkEnd w:id="100"/>
      <w:bookmarkEnd w:id="101"/>
      <w:bookmarkEnd w:id="102"/>
    </w:p>
    <w:p>
      <w:pPr>
        <w:pStyle w:val="2"/>
        <w:spacing w:before="0" w:after="0" w:line="560" w:lineRule="exact"/>
        <w:rPr>
          <w:rFonts w:ascii="仿宋_GB2312" w:eastAsia="仿宋_GB2312" w:cs="仿宋" w:hint="eastAsia"/>
          <w:b w:val="0"/>
          <w:bCs w:val="0"/>
          <w:color w:val="000000"/>
          <w:kern w:val="0"/>
          <w:sz w:val="32"/>
          <w:szCs w:val="32"/>
          <w:lang w:val="zh-CN" w:eastAsia="zh-CN" w:bidi="ar-SA"/>
        </w:rPr>
      </w:pPr>
      <w:bookmarkStart w:id="103" w:name="_Toc79163894"/>
      <w:bookmarkStart w:id="104" w:name="_Toc79163644"/>
      <w:bookmarkStart w:id="105" w:name="_Toc15396627"/>
      <w:r>
        <w:rPr>
          <w:rFonts w:ascii="仿宋_GB2312" w:eastAsia="仿宋_GB2312" w:cs="仿宋" w:hint="eastAsia"/>
          <w:b w:val="0"/>
          <w:bCs w:val="0"/>
          <w:color w:val="000000"/>
          <w:kern w:val="0"/>
          <w:sz w:val="32"/>
          <w:szCs w:val="32"/>
          <w:lang w:val="zh-CN" w:eastAsia="zh-CN" w:bidi="ar-SA"/>
        </w:rPr>
        <w:t>九、一般公共预算财政拨款项目支出决算表</w:t>
      </w:r>
      <w:bookmarkEnd w:id="103"/>
      <w:bookmarkEnd w:id="104"/>
      <w:bookmarkEnd w:id="105"/>
    </w:p>
    <w:p>
      <w:pPr>
        <w:pStyle w:val="2"/>
        <w:spacing w:before="0" w:after="0" w:line="560" w:lineRule="exact"/>
        <w:rPr>
          <w:rFonts w:ascii="仿宋_GB2312" w:eastAsia="仿宋_GB2312" w:cs="仿宋" w:hint="eastAsia"/>
          <w:b w:val="0"/>
          <w:bCs w:val="0"/>
          <w:color w:val="000000"/>
          <w:kern w:val="0"/>
          <w:sz w:val="36"/>
          <w:szCs w:val="36"/>
          <w:lang w:val="en-US" w:eastAsia="zh-CN" w:bidi="ar-SA"/>
        </w:rPr>
      </w:pPr>
      <w:bookmarkStart w:id="106" w:name="_Toc79163895"/>
      <w:bookmarkStart w:id="107" w:name="_Toc15396628"/>
      <w:bookmarkStart w:id="108" w:name="_Toc79163645"/>
      <w:r>
        <w:rPr>
          <w:rFonts w:ascii="仿宋_GB2312" w:eastAsia="仿宋_GB2312" w:cs="仿宋" w:hint="eastAsia"/>
          <w:b w:val="0"/>
          <w:bCs w:val="0"/>
          <w:color w:val="000000"/>
          <w:kern w:val="0"/>
          <w:sz w:val="36"/>
          <w:szCs w:val="36"/>
          <w:lang w:val="zh-CN" w:eastAsia="zh-CN" w:bidi="ar-SA"/>
        </w:rPr>
        <w:t>十、</w:t>
      </w:r>
      <w:bookmarkStart w:id="109" w:name="_Toc79163646"/>
      <w:bookmarkStart w:id="110" w:name="_Toc79163896"/>
      <w:bookmarkStart w:id="111" w:name="_Toc15396629"/>
      <w:bookmarkEnd w:id="106"/>
      <w:bookmarkEnd w:id="107"/>
      <w:bookmarkEnd w:id="108"/>
      <w:r>
        <w:rPr>
          <w:rFonts w:ascii="仿宋_GB2312" w:eastAsia="仿宋_GB2312" w:cs="仿宋" w:hint="eastAsia"/>
          <w:b w:val="0"/>
          <w:bCs w:val="0"/>
          <w:color w:val="000000"/>
          <w:kern w:val="0"/>
          <w:sz w:val="36"/>
          <w:szCs w:val="36"/>
          <w:lang w:val="en-US" w:eastAsia="zh-CN" w:bidi="ar-SA"/>
        </w:rPr>
        <w:t>政府性基金预算财政拨款收入支出决算表</w:t>
      </w:r>
    </w:p>
    <w:p>
      <w:pPr>
        <w:pStyle w:val="2"/>
        <w:spacing w:before="0" w:after="0" w:line="560" w:lineRule="exact"/>
        <w:rPr>
          <w:rFonts w:ascii="仿宋_GB2312" w:eastAsia="仿宋_GB2312" w:cs="仿宋" w:hint="eastAsia"/>
          <w:b w:val="0"/>
          <w:bCs w:val="0"/>
          <w:color w:val="000000"/>
          <w:kern w:val="0"/>
          <w:sz w:val="36"/>
          <w:szCs w:val="36"/>
          <w:lang w:val="zh-CN" w:eastAsia="zh-CN" w:bidi="ar-SA"/>
        </w:rPr>
      </w:pPr>
      <w:r>
        <w:rPr>
          <w:rFonts w:ascii="仿宋_GB2312" w:eastAsia="仿宋_GB2312" w:cs="仿宋" w:hint="eastAsia"/>
          <w:b w:val="0"/>
          <w:bCs w:val="0"/>
          <w:color w:val="000000"/>
          <w:kern w:val="0"/>
          <w:sz w:val="36"/>
          <w:szCs w:val="36"/>
          <w:lang w:val="zh-CN" w:eastAsia="zh-CN" w:bidi="ar-SA"/>
        </w:rPr>
        <w:t>十一、</w:t>
      </w:r>
      <w:bookmarkEnd w:id="109"/>
      <w:bookmarkEnd w:id="110"/>
      <w:bookmarkEnd w:id="111"/>
      <w:r>
        <w:rPr>
          <w:rFonts w:ascii="仿宋_GB2312" w:eastAsia="仿宋_GB2312" w:cs="仿宋" w:hint="eastAsia"/>
          <w:b w:val="0"/>
          <w:bCs w:val="0"/>
          <w:color w:val="000000"/>
          <w:kern w:val="0"/>
          <w:sz w:val="36"/>
          <w:szCs w:val="36"/>
          <w:lang w:val="en-US" w:eastAsia="zh-CN" w:bidi="ar-SA"/>
        </w:rPr>
        <w:t>国有资本经营预算</w:t>
      </w:r>
      <w:r>
        <w:rPr>
          <w:rFonts w:ascii="仿宋_GB2312" w:eastAsia="仿宋_GB2312" w:cs="仿宋" w:hint="eastAsia"/>
          <w:b w:val="0"/>
          <w:bCs w:val="0"/>
          <w:color w:val="000000"/>
          <w:kern w:val="0"/>
          <w:sz w:val="36"/>
          <w:szCs w:val="36"/>
          <w:lang w:val="zh-CN" w:eastAsia="zh-CN" w:bidi="ar-SA"/>
        </w:rPr>
        <w:t>财政拨款收入支出决算表</w:t>
      </w:r>
    </w:p>
    <w:p>
      <w:pPr>
        <w:pStyle w:val="2"/>
        <w:spacing w:before="0" w:after="0" w:line="560" w:lineRule="exact"/>
        <w:rPr>
          <w:rFonts w:ascii="仿宋_GB2312" w:eastAsia="仿宋_GB2312" w:cs="仿宋" w:hint="eastAsia"/>
          <w:b w:val="0"/>
          <w:bCs w:val="0"/>
          <w:color w:val="000000"/>
          <w:kern w:val="0"/>
          <w:sz w:val="36"/>
          <w:szCs w:val="36"/>
          <w:lang w:val="zh-CN" w:eastAsia="zh-CN" w:bidi="ar-SA"/>
        </w:rPr>
      </w:pPr>
      <w:bookmarkStart w:id="112" w:name="_Toc79163897"/>
      <w:bookmarkStart w:id="113" w:name="_Toc79163647"/>
      <w:bookmarkStart w:id="114" w:name="_Toc15396630"/>
      <w:r>
        <w:rPr>
          <w:rFonts w:ascii="仿宋_GB2312" w:eastAsia="仿宋_GB2312" w:cs="仿宋" w:hint="eastAsia"/>
          <w:b w:val="0"/>
          <w:bCs w:val="0"/>
          <w:color w:val="000000"/>
          <w:kern w:val="0"/>
          <w:sz w:val="36"/>
          <w:szCs w:val="36"/>
          <w:lang w:val="zh-CN" w:eastAsia="zh-CN" w:bidi="ar-SA"/>
        </w:rPr>
        <w:t>十二、</w:t>
      </w:r>
      <w:bookmarkEnd w:id="112"/>
      <w:bookmarkEnd w:id="113"/>
      <w:bookmarkEnd w:id="114"/>
      <w:r>
        <w:rPr>
          <w:rFonts w:ascii="仿宋_GB2312" w:eastAsia="仿宋_GB2312" w:cs="仿宋" w:hint="eastAsia"/>
          <w:b w:val="0"/>
          <w:bCs w:val="0"/>
          <w:color w:val="000000"/>
          <w:kern w:val="0"/>
          <w:sz w:val="36"/>
          <w:szCs w:val="36"/>
          <w:lang w:val="en-US" w:eastAsia="zh-CN" w:bidi="ar-SA"/>
        </w:rPr>
        <w:t>国有资本经营预算</w:t>
      </w:r>
      <w:r>
        <w:rPr>
          <w:rFonts w:ascii="仿宋_GB2312" w:eastAsia="仿宋_GB2312" w:cs="仿宋" w:hint="eastAsia"/>
          <w:b w:val="0"/>
          <w:bCs w:val="0"/>
          <w:color w:val="000000"/>
          <w:kern w:val="0"/>
          <w:sz w:val="36"/>
          <w:szCs w:val="36"/>
          <w:lang w:val="zh-CN" w:eastAsia="zh-CN" w:bidi="ar-SA"/>
        </w:rPr>
        <w:t>财政拨款支出决算表</w:t>
      </w:r>
    </w:p>
    <w:p>
      <w:pPr>
        <w:pStyle w:val="2"/>
        <w:spacing w:before="0" w:after="0" w:line="560" w:lineRule="exact"/>
        <w:rPr>
          <w:rFonts w:ascii="仿宋_GB2312" w:eastAsia="仿宋_GB2312" w:cs="仿宋" w:hint="eastAsia"/>
          <w:b w:val="0"/>
          <w:bCs w:val="0"/>
          <w:color w:val="000000"/>
          <w:kern w:val="0"/>
          <w:sz w:val="36"/>
          <w:szCs w:val="36"/>
          <w:lang w:val="zh-CN" w:eastAsia="zh-CN" w:bidi="ar-SA"/>
        </w:rPr>
      </w:pPr>
      <w:bookmarkStart w:id="115" w:name="_Toc15396631"/>
      <w:bookmarkStart w:id="116" w:name="_Toc79163648"/>
      <w:bookmarkStart w:id="117" w:name="_Toc79163898"/>
      <w:r>
        <w:rPr>
          <w:rFonts w:ascii="仿宋_GB2312" w:eastAsia="仿宋_GB2312" w:cs="仿宋" w:hint="eastAsia"/>
          <w:b w:val="0"/>
          <w:bCs w:val="0"/>
          <w:color w:val="000000"/>
          <w:kern w:val="0"/>
          <w:sz w:val="36"/>
          <w:szCs w:val="36"/>
          <w:lang w:val="zh-CN" w:eastAsia="zh-CN" w:bidi="ar-SA"/>
        </w:rPr>
        <w:t>十三、</w:t>
      </w:r>
      <w:bookmarkEnd w:id="115"/>
      <w:bookmarkEnd w:id="116"/>
      <w:bookmarkEnd w:id="117"/>
      <w:r>
        <w:rPr>
          <w:rFonts w:ascii="仿宋_GB2312" w:eastAsia="仿宋_GB2312" w:cs="仿宋" w:hint="eastAsia"/>
          <w:b w:val="0"/>
          <w:bCs w:val="0"/>
          <w:color w:val="000000"/>
          <w:kern w:val="0"/>
          <w:sz w:val="36"/>
          <w:szCs w:val="36"/>
          <w:lang w:val="en-US" w:eastAsia="zh-CN" w:bidi="ar-SA"/>
        </w:rPr>
        <w:t>财政拨款“三公”经费支出决算表</w:t>
      </w:r>
    </w:p>
    <w:p>
      <w:pPr>
        <w:pStyle w:val="2"/>
        <w:spacing w:before="0" w:after="0" w:line="560" w:lineRule="exact"/>
        <w:rPr>
          <w:rFonts w:ascii="仿宋_GB2312" w:eastAsia="仿宋_GB2312" w:cs="仿宋"/>
          <w:b w:val="0"/>
          <w:bCs w:val="0"/>
          <w:color w:val="000000"/>
          <w:kern w:val="0"/>
          <w:sz w:val="36"/>
          <w:szCs w:val="36"/>
          <w:lang w:val="en-US" w:eastAsia="zh-CN" w:bidi="ar-SA"/>
        </w:rPr>
      </w:pPr>
      <w:r>
        <w:rPr>
          <w:rFonts w:ascii="仿宋_GB2312" w:eastAsia="仿宋_GB2312" w:cs="仿宋" w:hint="eastAsia"/>
          <w:b w:val="0"/>
          <w:bCs w:val="0"/>
          <w:color w:val="000000"/>
          <w:kern w:val="0"/>
          <w:sz w:val="36"/>
          <w:szCs w:val="36"/>
          <w:lang w:val="en-US" w:eastAsia="zh-CN" w:bidi="ar-SA"/>
        </w:rPr>
        <w:t xml:space="preserve">   </w:t>
      </w:r>
    </w:p>
    <w:p>
      <w:pPr>
        <w:widowControl/>
        <w:adjustRightInd w:val="0"/>
        <w:snapToGrid w:val="0"/>
        <w:spacing w:line="576" w:lineRule="exact"/>
        <w:rPr>
          <w:rFonts w:ascii="仿宋_GB2312" w:eastAsia="仿宋_GB2312" w:cs="仿宋" w:hint="eastAsia"/>
          <w:color w:val="000000"/>
          <w:kern w:val="0"/>
          <w:sz w:val="32"/>
          <w:szCs w:val="32"/>
          <w:lang w:val="zh-CN"/>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黑体"/>
    <w:panose1 w:val="02010601030101010101"/>
    <w:charset w:val="86"/>
    <w:family w:val="auto"/>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Arial">
    <w:panose1 w:val="020B0604020202020204"/>
    <w:charset w:val="01"/>
    <w:family w:val="swiss"/>
    <w:pitch w:val="variable"/>
    <w:sig w:usb0="E0002EFF" w:usb1="C000785B" w:usb2="00000009" w:usb3="00000000" w:csb0="400001FF" w:csb1="FFFF0000"/>
  </w:font>
  <w:font w:name="仿宋">
    <w:panose1 w:val="02010609060101010101"/>
    <w:charset w:val="86"/>
    <w:family w:val="auto"/>
    <w:pitch w:val="variable"/>
    <w:sig w:usb0="800002BF" w:usb1="38CF7CFA" w:usb2="00000016" w:usb3="00000000" w:csb0="00040001" w:csb1="00000000"/>
  </w:font>
  <w:font w:name="Times New Roman">
    <w:panose1 w:val="02020603050405020304"/>
    <w:charset w:val="01"/>
    <w:family w:val="auto"/>
    <w:pitch w:val="variable"/>
    <w:sig w:usb0="E0002EFF" w:usb1="C000785B" w:usb2="00000009" w:usb3="00000000" w:csb0="400001FF" w:csb1="FFFF0000"/>
  </w:font>
  <w:font w:name="楷体_GB2312">
    <w:altName w:val="楷体"/>
    <w:panose1 w:val="02010609030101010101"/>
    <w:charset w:val="86"/>
    <w:family w:val="modern"/>
    <w:pitch w:val="variable"/>
    <w:sig w:usb0="00000000" w:usb1="00000000" w:usb2="00000010" w:usb3="00000000" w:csb0="00040000" w:csb1="00000000"/>
  </w:font>
  <w:font w:name="仿宋_GB2312">
    <w:altName w:val="仿宋"/>
    <w:panose1 w:val="02010609030101010101"/>
    <w:charset w:val="86"/>
    <w:family w:val="modern"/>
    <w:pitch w:val="variable"/>
    <w:sig w:usb0="00000000" w:usb1="00000000" w:usb2="00000010" w:usb3="00000000" w:csb0="00040000" w:csb1="00000000"/>
  </w:font>
  <w:font w:name="宋体">
    <w:panose1 w:val="02010600030101010101"/>
    <w:charset w:val="7A"/>
    <w:family w:val="auto"/>
    <w:pitch w:val="variable"/>
    <w:sig w:usb0="00000003" w:usb1="288F0000" w:usb2="00000006" w:usb3="00000000" w:csb0="00040001" w:csb1="00000000"/>
  </w:font>
  <w:font w:name="Cambria">
    <w:panose1 w:val="02040503050406030204"/>
    <w:charset w:val="00"/>
    <w:family w:val="roman"/>
    <w:pitch w:val="variable"/>
    <w:sig w:usb0="E00006FF" w:usb1="420024FF" w:usb2="02000000" w:usb3="00000000" w:csb0="2000019F" w:csb1="00000000"/>
  </w:font>
  <w:font w:name="Calibri">
    <w:panose1 w:val="020F0502020204030204"/>
    <w:charset w:val="00"/>
    <w:family w:val="swiss"/>
    <w:pitch w:val="variable"/>
    <w:sig w:usb0="E4002EFF" w:usb1="C000247B" w:usb2="00000009" w:usb3="00000000" w:csb0="200001FF" w:csb1="00000000"/>
  </w:font>
  <w:font w:name="??">
    <w:altName w:val="Segoe Print"/>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jc w:val="center"/>
    </w:pPr>
    <w:r>
      <w:fldChar w:fldCharType="begin"/>
    </w:r>
    <w:r>
      <w:instrText>PAGE   \* MERGEFORMAT</w:instrText>
    </w:r>
    <w:r>
      <w:fldChar w:fldCharType="separate"/>
    </w:r>
    <w:r>
      <w:rPr>
        <w:lang w:val="zh-CN"/>
      </w:rPr>
      <w:t>2</w:t>
    </w:r>
    <w:r>
      <w:rPr>
        <w:lang w:val="zh-CN"/>
      </w:rPr>
      <w:fldChar w:fldCharType="end"/>
    </w:r>
  </w:p>
  <w:p>
    <w:pPr>
      <w:pStyle w:val="20"/>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3EA822E5"/>
    <w:multiLevelType w:val="singleLevel"/>
    <w:tmpl w:val="3EA822E5"/>
    <w:lvl w:ilvl="0">
      <w:start w:val="1"/>
      <w:numFmt w:val="chineseCounting"/>
      <w:lvlRestart w:val="0"/>
      <w:suff w:val="space"/>
      <w:lvlText w:val="第%1部分"/>
      <w:lvlJc w:val="left"/>
      <w:pPr>
        <w:ind w:left="0" w:hanging="0"/>
      </w:pPr>
      <w:rPr>
        <w:rFonts w:hint="eastAsia"/>
      </w:rPr>
    </w:lvl>
  </w:abstractNum>
  <w:abstractNum w:abstractNumId="1">
    <w:nsid w:val="7B3296B4"/>
    <w:multiLevelType w:val="singleLevel"/>
    <w:tmpl w:val="7B3296B4"/>
    <w:lvl w:ilvl="0">
      <w:start w:val="3"/>
      <w:numFmt w:val="decimal"/>
      <w:lvlRestart w:val="0"/>
      <w:suff w:val="nothing"/>
      <w:lvlText w:val="%1、"/>
      <w:lvlJc w:val="left"/>
      <w:pPr>
        <w:ind w:left="0" w:hanging="0"/>
      </w:pPr>
    </w:lvl>
  </w:abstractNum>
  <w:abstractNum w:abstractNumId="2">
    <w:nsid w:val="CF652CEC"/>
    <w:multiLevelType w:val="singleLevel"/>
    <w:tmpl w:val="CF652CEC"/>
    <w:lvl w:ilvl="0">
      <w:start w:val="9"/>
      <w:numFmt w:val="chineseCounting"/>
      <w:lvlRestart w:val="0"/>
      <w:suff w:val="nothing"/>
      <w:lvlText w:val="%1、"/>
      <w:lvlJc w:val="left"/>
      <w:pPr>
        <w:ind w:left="0" w:hanging="0"/>
      </w:pPr>
      <w:rPr>
        <w:rFonts w:cs="Times New Roman" w:hint="eastAsia"/>
      </w:rPr>
    </w:lvl>
  </w:abstractNum>
  <w:abstractNum w:abstractNumId="3">
    <w:nsid w:val="E2FA047D"/>
    <w:multiLevelType w:val="singleLevel"/>
    <w:tmpl w:val="E2FA047D"/>
    <w:lvl w:ilvl="0">
      <w:start w:val="3"/>
      <w:numFmt w:val="chineseCounting"/>
      <w:lvlRestart w:val="0"/>
      <w:suff w:val="space"/>
      <w:lvlText w:val="第%1部分"/>
      <w:lvlJc w:val="left"/>
      <w:pPr>
        <w:ind w:left="0" w:hanging="0"/>
      </w:pPr>
      <w:rPr>
        <w:rFonts w:cs="Times New Roman" w:hint="eastAsia"/>
      </w:rPr>
    </w:lvl>
  </w:abstractNum>
  <w:abstractNum w:abstractNumId="4">
    <w:nsid w:val="65674485"/>
    <w:multiLevelType w:val="singleLevel"/>
    <w:tmpl w:val="65674485"/>
    <w:lvl w:ilvl="0">
      <w:start w:val="2"/>
      <w:numFmt w:val="chineseCounting"/>
      <w:lvlRestart w:val="0"/>
      <w:suff w:val="nothing"/>
      <w:lvlText w:val="（%1）"/>
      <w:lvlJc w:val="left"/>
      <w:pPr>
        <w:ind w:left="0" w:hanging="0"/>
      </w:pPr>
      <w:rPr>
        <w:rFonts w:hint="eastAsia"/>
      </w:rPr>
    </w:lvl>
  </w:abstractNum>
  <w:abstractNum w:abstractNumId="5">
    <w:nsid w:val="0822463E"/>
    <w:multiLevelType w:val="singleLevel"/>
    <w:tmpl w:val="0822463E"/>
    <w:lvl w:ilvl="0">
      <w:start w:val="2"/>
      <w:numFmt w:val="chineseCounting"/>
      <w:lvlRestart w:val="0"/>
      <w:suff w:val="nothing"/>
      <w:lvlText w:val="（%1）"/>
      <w:lvlJc w:val="left"/>
      <w:pPr>
        <w:ind w:left="0" w:hanging="0"/>
      </w:pPr>
      <w:rPr>
        <w:rFonts w:hint="eastAsia"/>
      </w:rPr>
    </w:lvl>
  </w:abstractNum>
  <w:abstractNum w:abstractNumId="6">
    <w:nsid w:val="53F3A8EA"/>
    <w:multiLevelType w:val="singleLevel"/>
    <w:tmpl w:val="53F3A8EA"/>
    <w:lvl w:ilvl="0">
      <w:start w:val="1"/>
      <w:numFmt w:val="chineseCounting"/>
      <w:lvlRestart w:val="0"/>
      <w:suff w:val="nothing"/>
      <w:lvlText w:val="%1、"/>
      <w:lvlJc w:val="left"/>
      <w:pPr>
        <w:ind w:left="0" w:hanging="0"/>
      </w:pPr>
      <w:rPr>
        <w:rFonts w:hint="eastAsia"/>
      </w:rPr>
    </w:lvl>
  </w:abstractNum>
  <w:abstractNum w:abstractNumId="7">
    <w:nsid w:val="743D2733"/>
    <w:multiLevelType w:val="singleLevel"/>
    <w:tmpl w:val="743D2733"/>
    <w:lvl w:ilvl="0">
      <w:start w:val="3"/>
      <w:numFmt w:val="chineseCounting"/>
      <w:lvlRestart w:val="0"/>
      <w:suff w:val="nothing"/>
      <w:lvlText w:val="（%1）"/>
      <w:lvlJc w:val="left"/>
      <w:pPr>
        <w:ind w:left="0" w:hanging="0"/>
      </w:pPr>
      <w:rPr>
        <w:rFonts w:hint="eastAsia"/>
      </w:rPr>
    </w:lvl>
  </w:abstractNum>
  <w:abstractNum w:abstractNumId="8">
    <w:nsid w:val="B461EFB3"/>
    <w:multiLevelType w:val="singleLevel"/>
    <w:tmpl w:val="B461EFB3"/>
    <w:lvl w:ilvl="0">
      <w:start w:val="2"/>
      <w:numFmt w:val="decimal"/>
      <w:lvlRestart w:val="0"/>
      <w:suff w:val="nothing"/>
      <w:lvlText w:val="%1．"/>
      <w:lvlJc w:val="left"/>
      <w:pPr>
        <w:ind w:left="0" w:hanging="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noLineBreaksAfter w:lang="zh-CN" w:val="$([{£¥·‘“〈《「『【〔〖〝﹙﹛﹝＄（．［｛￡￥"/>
  <w:noLineBreaksBefore w:lang="zh-CN" w:val="!%),.:;&gt;?]}¢¨°·ˇˉ―‖’”…‰′″›℃∶、。〃〉》」』】〕〗〞︶︺︾﹀﹄﹚﹜﹞！＂％＇），．：；？］｀｜｝～￠"/>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ZTAzZjU5NzQzYTJhYTAzMzk3NjA1NGZkNjBiYmQ3Yjg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Salutation"/>
    <w:basedOn w:val="0"/>
    <w:next w:val="0"/>
    <w:rPr>
      <w:rFonts w:ascii="Times New Roman" w:hAnsi="Times New Roman"/>
    </w:rPr>
  </w:style>
  <w:style w:type="paragraph" w:styleId="17">
    <w:name w:val="Body Text Indent"/>
    <w:basedOn w:val="0"/>
    <w:pPr>
      <w:spacing w:after="120"/>
      <w:ind w:leftChars="200" w:left="200"/>
    </w:pPr>
  </w:style>
  <w:style w:type="paragraph" w:styleId="18">
    <w:name w:val="toc 3"/>
    <w:basedOn w:val="0"/>
    <w:next w:val="0"/>
    <w:pPr>
      <w:tabs>
        <w:tab w:val="right" w:leader="dot" w:pos="8296"/>
      </w:tabs>
      <w:ind w:leftChars="400" w:left="400"/>
    </w:pPr>
  </w:style>
  <w:style w:type="paragraph" w:styleId="19">
    <w:name w:val="Balloon Text"/>
    <w:basedOn w:val="0"/>
    <w:rPr>
      <w:sz w:val="18"/>
      <w:szCs w:val="18"/>
    </w:rPr>
  </w:style>
  <w:style w:type="paragraph" w:styleId="20">
    <w:name w:val="footer"/>
    <w:basedOn w:val="0"/>
    <w:pPr>
      <w:tabs>
        <w:tab w:val="center" w:pos="4153"/>
        <w:tab w:val="right" w:pos="8306"/>
      </w:tabs>
      <w:snapToGrid w:val="0"/>
      <w:jc w:val="left"/>
    </w:pPr>
    <w:rPr>
      <w:rFonts w:ascii="Calibri" w:hAnsi="Calibri"/>
      <w:kern w:val="0"/>
      <w:sz w:val="18"/>
      <w:szCs w:val="18"/>
    </w:rPr>
  </w:style>
  <w:style w:type="paragraph" w:styleId="21">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2">
    <w:name w:val="toc 1"/>
    <w:basedOn w:val="0"/>
    <w:next w:val="0"/>
    <w:pPr>
      <w:tabs>
        <w:tab w:val="right" w:leader="dot" w:pos="8296"/>
      </w:tabs>
      <w:spacing w:before="93"/>
      <w:jc w:val="center"/>
    </w:pPr>
    <w:rPr>
      <w:rFonts w:ascii="仿宋" w:eastAsia="仿宋"/>
      <w:sz w:val="28"/>
      <w:szCs w:val="28"/>
    </w:rPr>
  </w:style>
  <w:style w:type="paragraph" w:styleId="23">
    <w:name w:val="toc 2"/>
    <w:basedOn w:val="0"/>
    <w:next w:val="0"/>
    <w:pPr>
      <w:tabs>
        <w:tab w:val="right" w:leader="dot" w:pos="8296"/>
      </w:tabs>
      <w:ind w:leftChars="200" w:left="200"/>
    </w:pPr>
  </w:style>
  <w:style w:type="paragraph" w:styleId="24">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paragraph" w:styleId="25">
    <w:name w:val="Body Text First Indent 2"/>
    <w:basedOn w:val="17"/>
    <w:pPr>
      <w:ind w:firstLineChars="200" w:firstLine="200"/>
    </w:pPr>
  </w:style>
  <w:style w:type="character" w:styleId="26">
    <w:name w:val="Strong"/>
    <w:basedOn w:val="10"/>
    <w:rPr>
      <w:rFonts w:cs="Times New Roman"/>
      <w:b/>
    </w:rPr>
  </w:style>
  <w:style w:type="character" w:styleId="27">
    <w:name w:val="Hyperlink"/>
    <w:basedOn w:val="10"/>
    <w:rPr>
      <w:rFonts w:cs="Times New Roman"/>
      <w:color w:val="0000FF"/>
      <w:u w:val="single"/>
    </w:rPr>
  </w:style>
  <w:style w:type="paragraph" w:customStyle="1" w:styleId="28">
    <w:name w:val="Default"/>
    <w:pPr>
      <w:widowControl w:val="0"/>
      <w:autoSpaceDE w:val="0"/>
      <w:autoSpaceDN w:val="0"/>
      <w:adjustRightInd w:val="0"/>
    </w:pPr>
    <w:rPr>
      <w:rFonts w:ascii="仿宋" w:eastAsia="仿宋" w:cs="仿宋"/>
      <w:color w:val="000000"/>
      <w:kern w:val="0"/>
      <w:sz w:val="24"/>
      <w:szCs w:val="24"/>
      <w:lang w:val="en-US" w:eastAsia="zh-CN" w:bidi="ar-SA"/>
    </w:rPr>
  </w:style>
  <w:style w:type="paragraph" w:styleId="29">
    <w:name w:val="List Paragraph"/>
    <w:basedOn w:val="0"/>
    <w:pPr>
      <w:ind w:firstLineChars="200" w:firstLine="200"/>
    </w:pPr>
  </w:style>
  <w:style w:type="paragraph" w:customStyle="1" w:styleId="30">
    <w:name w:val="TOC Heading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1">
    <w:name w:val="四号正文"/>
    <w:basedOn w:val="0"/>
    <w:pPr>
      <w:spacing w:line="360" w:lineRule="auto"/>
    </w:pPr>
    <w:rPr>
      <w:rFonts w:ascii="??" w:eastAsia="宋体" w:hAnsi="??"/>
      <w:color w:val="000000"/>
      <w:kern w:val="0"/>
      <w:sz w:val="28"/>
      <w:szCs w:val="21"/>
      <w:lang w:val="zh-CN"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收支对比图</a:t>
            </a:r>
          </a:p>
        </c:rich>
      </c:tx>
      <c:layout/>
      <c:overlay val="0"/>
      <c:spPr>
        <a:noFill/>
        <a:ln>
          <a:noFill/>
        </a:ln>
      </c:spPr>
    </c:title>
    <c:autoTitleDeleted val="1"/>
    <c:plotArea>
      <c:layout/>
      <c:barChart>
        <c:barDir val="col"/>
        <c:grouping val="clustered"/>
        <c:varyColors val="0"/>
        <c:ser>
          <c:idx val="0"/>
          <c:order val="0"/>
          <c:tx>
            <c:strRef>
              <c:f>'Sheet1'!$B$1</c:f>
              <c:strCache>
                <c:ptCount val="1"/>
                <c:pt idx="0">
                  <c:v>2021年</c:v>
                </c:pt>
              </c:strCache>
            </c:strRef>
          </c:tx>
          <c:spPr>
            <a:solidFill>
              <a:srgbClr val="4F81BD"/>
            </a:solidFill>
            <a:ln>
              <a:noFill/>
            </a:ln>
          </c:spPr>
          <c:invertIfNegative val="0"/>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0"/>
            <c:showCatName val="0"/>
            <c:showSerName val="0"/>
            <c:showPercent val="0"/>
            <c:showBubbleSize val="0"/>
            <c:showLeaderLines val="0"/>
          </c:dLbls>
          <c:cat>
            <c:strRef>
              <c:f>'Sheet1'!$A$2:$A$3</c:f>
              <c:strCache>
                <c:ptCount val="2"/>
                <c:pt idx="0">
                  <c:v>收入</c:v>
                </c:pt>
                <c:pt idx="1">
                  <c:v>支出</c:v>
                </c:pt>
              </c:strCache>
            </c:strRef>
          </c:cat>
          <c:val>
            <c:numRef>
              <c:f>'Sheet1'!$B$2:$B$3</c:f>
              <c:numCache>
                <c:formatCode>General</c:formatCode>
                <c:ptCount val="2"/>
                <c:pt idx="0">
                  <c:v>11672.52</c:v>
                </c:pt>
                <c:pt idx="1">
                  <c:v>12206.41</c:v>
                </c:pt>
              </c:numCache>
            </c:numRef>
          </c:val>
        </c:ser>
        <c:ser>
          <c:idx val="1"/>
          <c:order val="1"/>
          <c:tx>
            <c:strRef>
              <c:f>'Sheet1'!$C$1</c:f>
              <c:strCache>
                <c:ptCount val="1"/>
                <c:pt idx="0">
                  <c:v>2022年</c:v>
                </c:pt>
              </c:strCache>
            </c:strRef>
          </c:tx>
          <c:spPr>
            <a:solidFill>
              <a:srgbClr val="C0504D"/>
            </a:solidFill>
            <a:ln>
              <a:noFill/>
            </a:ln>
          </c:spPr>
          <c:invertIfNegative val="0"/>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0"/>
            <c:showCatName val="0"/>
            <c:showSerName val="0"/>
            <c:showPercent val="0"/>
            <c:showBubbleSize val="0"/>
            <c:showLeaderLines val="0"/>
          </c:dLbls>
          <c:cat>
            <c:strRef>
              <c:f>'Sheet1'!$A$2:$A$3</c:f>
              <c:strCache>
                <c:ptCount val="2"/>
                <c:pt idx="0">
                  <c:v>收入</c:v>
                </c:pt>
                <c:pt idx="1">
                  <c:v>支出</c:v>
                </c:pt>
              </c:strCache>
            </c:strRef>
          </c:cat>
          <c:val>
            <c:numRef>
              <c:f>'Sheet1'!$C$2:$C$3</c:f>
              <c:numCache>
                <c:formatCode>General</c:formatCode>
                <c:ptCount val="2"/>
                <c:pt idx="0">
                  <c:v>16103.44</c:v>
                </c:pt>
                <c:pt idx="1">
                  <c:v>16103.44</c:v>
                </c:pt>
              </c:numCache>
            </c:numRef>
          </c:val>
        </c:ser>
        <c:ser>
          <c:idx val="2"/>
          <c:order val="2"/>
          <c:spPr>
            <a:solidFill>
              <a:srgbClr val="9BBB59"/>
            </a:solidFill>
            <a:ln>
              <a:noFill/>
            </a:ln>
          </c:spPr>
          <c:invertIfNegative val="0"/>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0"/>
            <c:showCatName val="0"/>
            <c:showSerName val="0"/>
            <c:showPercent val="0"/>
            <c:showBubbleSize val="0"/>
            <c:showLeaderLines val="0"/>
          </c:dLbls>
          <c:cat>
            <c:strRef>
              <c:f>'Sheet1'!$A$2:$A$3</c:f>
              <c:strCache>
                <c:ptCount val="2"/>
                <c:pt idx="0">
                  <c:v>收入</c:v>
                </c:pt>
                <c:pt idx="1">
                  <c:v>支出</c:v>
                </c:pt>
              </c:strCache>
            </c:strRef>
          </c:cat>
          <c:val>
            <c:numRef>
              <c:f/>
              <c:numCache>
                <c:formatCode>General</c:formatCode>
                <c:ptCount val="1"/>
                <c:pt idx="0">
                  <c:v>1.0</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Arial"/>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2022年支出结构</a:t>
            </a:r>
          </a:p>
        </c:rich>
      </c:tx>
      <c:layout/>
      <c:overlay val="0"/>
      <c:spPr>
        <a:noFill/>
        <a:ln>
          <a:noFill/>
        </a:ln>
      </c:spPr>
    </c:title>
    <c:autoTitleDeleted val="0"/>
    <c:plotArea>
      <c:layout/>
      <c:pieChart>
        <c:varyColors val="1"/>
        <c:ser>
          <c:idx val="0"/>
          <c:order val="0"/>
          <c:tx>
            <c:strRef>
              <c:f>'Sheet1 (2)'!$B$1</c:f>
              <c:strCache>
                <c:ptCount val="1"/>
                <c:pt idx="0">
                  <c:v>2022年支出结构</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0"/>
            <c:showCatName val="0"/>
            <c:showSerName val="0"/>
            <c:showPercent val="0"/>
            <c:showBubbleSize val="0"/>
            <c:showLeaderLines val="0"/>
          </c:dLbls>
          <c:cat>
            <c:strRef>
              <c:f>'Sheet1 (2)'!$A$2:$A$3</c:f>
              <c:strCache>
                <c:ptCount val="2"/>
                <c:pt idx="0">
                  <c:v>基本支出</c:v>
                </c:pt>
                <c:pt idx="1">
                  <c:v>项目支出</c:v>
                </c:pt>
              </c:strCache>
            </c:strRef>
          </c:cat>
          <c:val>
            <c:numRef>
              <c:f>'Sheet1 (2)'!$B$2:$B$3</c:f>
              <c:numCache>
                <c:formatCode>General</c:formatCode>
                <c:ptCount val="2"/>
                <c:pt idx="0">
                  <c:v>1900.85</c:v>
                </c:pt>
                <c:pt idx="1">
                  <c:v>14112.59</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财政拨款收入支出对比</a:t>
            </a:r>
          </a:p>
        </c:rich>
      </c:tx>
      <c:layout/>
      <c:overlay val="0"/>
      <c:spPr>
        <a:noFill/>
        <a:ln>
          <a:noFill/>
        </a:ln>
      </c:spPr>
    </c:title>
    <c:autoTitleDeleted val="1"/>
    <c:plotArea>
      <c:layout/>
      <c:barChart>
        <c:barDir val="col"/>
        <c:grouping val="clustered"/>
        <c:varyColors val="0"/>
        <c:ser>
          <c:idx val="0"/>
          <c:order val="0"/>
          <c:tx>
            <c:strRef>
              <c:f>'Sheet1 (3)'!$B$1</c:f>
              <c:strCache>
                <c:ptCount val="1"/>
                <c:pt idx="0">
                  <c:v>2021年</c:v>
                </c:pt>
              </c:strCache>
            </c:strRef>
          </c:tx>
          <c:spPr>
            <a:solidFill>
              <a:srgbClr val="4F81BD"/>
            </a:solidFill>
            <a:ln>
              <a:noFill/>
            </a:ln>
          </c:spPr>
          <c:invertIfNegative val="0"/>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0"/>
            <c:showCatName val="0"/>
            <c:showSerName val="0"/>
            <c:showPercent val="0"/>
            <c:showBubbleSize val="0"/>
            <c:showLeaderLines val="0"/>
          </c:dLbls>
          <c:cat>
            <c:strRef>
              <c:f>'Sheet1 (3)'!$A$2:$A$3</c:f>
              <c:strCache>
                <c:ptCount val="2"/>
                <c:pt idx="0">
                  <c:v>收入</c:v>
                </c:pt>
                <c:pt idx="1">
                  <c:v>支出</c:v>
                </c:pt>
              </c:strCache>
            </c:strRef>
          </c:cat>
          <c:val>
            <c:numRef>
              <c:f>'Sheet1 (3)'!$B$2:$B$3</c:f>
              <c:numCache>
                <c:formatCode>General</c:formatCode>
                <c:ptCount val="2"/>
                <c:pt idx="0">
                  <c:v>11672.52</c:v>
                </c:pt>
                <c:pt idx="1">
                  <c:v>12206.41</c:v>
                </c:pt>
              </c:numCache>
            </c:numRef>
          </c:val>
        </c:ser>
        <c:ser>
          <c:idx val="1"/>
          <c:order val="1"/>
          <c:tx>
            <c:strRef>
              <c:f>'Sheet1 (3)'!$C$1</c:f>
              <c:strCache>
                <c:ptCount val="1"/>
                <c:pt idx="0">
                  <c:v>2022年</c:v>
                </c:pt>
              </c:strCache>
            </c:strRef>
          </c:tx>
          <c:spPr>
            <a:solidFill>
              <a:srgbClr val="C0504D"/>
            </a:solidFill>
            <a:ln>
              <a:noFill/>
            </a:ln>
          </c:spPr>
          <c:invertIfNegative val="0"/>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0"/>
            <c:showCatName val="0"/>
            <c:showSerName val="0"/>
            <c:showPercent val="0"/>
            <c:showBubbleSize val="0"/>
            <c:showLeaderLines val="0"/>
          </c:dLbls>
          <c:cat>
            <c:strRef>
              <c:f>'Sheet1 (3)'!$A$2:$A$3</c:f>
              <c:strCache>
                <c:ptCount val="2"/>
                <c:pt idx="0">
                  <c:v>收入</c:v>
                </c:pt>
                <c:pt idx="1">
                  <c:v>支出</c:v>
                </c:pt>
              </c:strCache>
            </c:strRef>
          </c:cat>
          <c:val>
            <c:numRef>
              <c:f>'Sheet1 (3)'!$C$2:$C$3</c:f>
              <c:numCache>
                <c:formatCode>General</c:formatCode>
                <c:ptCount val="2"/>
                <c:pt idx="0">
                  <c:v>16103.44</c:v>
                </c:pt>
                <c:pt idx="1">
                  <c:v>16103.44</c:v>
                </c:pt>
              </c:numCache>
            </c:numRef>
          </c:val>
        </c:ser>
        <c:ser>
          <c:idx val="2"/>
          <c:order val="2"/>
          <c:spPr>
            <a:solidFill>
              <a:srgbClr val="9BBB59"/>
            </a:solidFill>
            <a:ln>
              <a:noFill/>
            </a:ln>
          </c:spPr>
          <c:invertIfNegative val="0"/>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0"/>
            <c:showCatName val="0"/>
            <c:showSerName val="0"/>
            <c:showPercent val="0"/>
            <c:showBubbleSize val="0"/>
            <c:showLeaderLines val="0"/>
          </c:dLbls>
          <c:cat>
            <c:strRef>
              <c:f>'Sheet1 (3)'!$A$2:$A$3</c:f>
              <c:strCache>
                <c:ptCount val="2"/>
                <c:pt idx="0">
                  <c:v>收入</c:v>
                </c:pt>
                <c:pt idx="1">
                  <c:v>支出</c:v>
                </c:pt>
              </c:strCache>
            </c:strRef>
          </c:cat>
          <c:val>
            <c:numRef>
              <c:f/>
              <c:numCache>
                <c:formatCode>General</c:formatCode>
                <c:ptCount val="1"/>
                <c:pt idx="0">
                  <c:v>1.0</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Arial"/>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sz="1400" b="0" i="0" u="none" strike="noStrike" baseline="0">
                <a:solidFill>
                  <a:srgbClr val="595959"/>
                </a:solidFill>
                <a:latin typeface="Times New Roman"/>
                <a:ea typeface="宋体"/>
                <a:cs typeface="Arial"/>
              </a:rPr>
              <a:t>2022</a:t>
            </a:r>
            <a:r>
              <a:rPr lang="zh-CN" sz="1400" b="0" i="0" u="none" strike="noStrike" baseline="0">
                <a:solidFill>
                  <a:srgbClr val="595959"/>
                </a:solidFill>
                <a:latin typeface="Times New Roman"/>
                <a:ea typeface="宋体"/>
                <a:cs typeface="Arial"/>
              </a:rPr>
              <a:t>年</a:t>
            </a:r>
            <a:r>
              <a:rPr lang="zh-CN" sz="1400" b="0" i="0" u="none" strike="noStrike" baseline="0">
                <a:solidFill>
                  <a:srgbClr val="595959"/>
                </a:solidFill>
                <a:latin typeface="Times New Roman"/>
                <a:ea typeface="宋体"/>
                <a:cs typeface="Arial"/>
              </a:rPr>
              <a:t>支出结构</a:t>
            </a:r>
          </a:p>
        </c:rich>
      </c:tx>
      <c:layout/>
      <c:overlay val="0"/>
      <c:spPr>
        <a:noFill/>
        <a:ln>
          <a:noFill/>
        </a:ln>
      </c:spPr>
    </c:title>
    <c:autoTitleDeleted val="1"/>
    <c:plotArea>
      <c:layout/>
      <c:pieChart>
        <c:varyColors val="1"/>
        <c:ser>
          <c:idx val="0"/>
          <c:order val="0"/>
          <c:tx>
            <c:strRef>
              <c:f>'Sheet1 (4)'!$B$1</c:f>
              <c:strCache>
                <c:ptCount val="1"/>
                <c:pt idx="0">
                  <c:v>支出</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Pt>
            <c:idx val="5"/>
            <c:bubble3D val="0"/>
            <c:spPr>
              <a:solidFill>
                <a:srgbClr val="F79646"/>
              </a:solidFill>
              <a:ln w="19050">
                <a:solidFill>
                  <a:srgbClr val="FFFFFF"/>
                </a:solidFill>
                <a:prstDash val="solid"/>
              </a:ln>
            </c:spPr>
          </c:dPt>
          <c:dPt>
            <c:idx val="6"/>
            <c:bubble3D val="0"/>
            <c:spPr>
              <a:solidFill>
                <a:srgbClr val="2C4D75"/>
              </a:solidFill>
              <a:ln w="19050">
                <a:solidFill>
                  <a:srgbClr val="FFFFFF"/>
                </a:solidFill>
                <a:prstDash val="solid"/>
              </a:ln>
            </c:spPr>
          </c:dPt>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0"/>
            <c:showCatName val="0"/>
            <c:showSerName val="0"/>
            <c:showPercent val="0"/>
            <c:showBubbleSize val="0"/>
            <c:showLeaderLines val="0"/>
          </c:dLbls>
          <c:cat>
            <c:strRef>
              <c:f>'Sheet1 (4)'!$A$2:$A$8</c:f>
              <c:strCache>
                <c:ptCount val="7"/>
                <c:pt idx="0">
                  <c:v>教育支出（类）</c:v>
                </c:pt>
                <c:pt idx="1">
                  <c:v>科学技术支出（类）</c:v>
                </c:pt>
                <c:pt idx="2">
                  <c:v>农林水支出（类）</c:v>
                </c:pt>
                <c:pt idx="3">
                  <c:v>社会保障和就业（类）</c:v>
                </c:pt>
                <c:pt idx="4">
                  <c:v>卫生健康支出（类）</c:v>
                </c:pt>
                <c:pt idx="5">
                  <c:v>住房保障支出（类）</c:v>
                </c:pt>
                <c:pt idx="6">
                  <c:v>其他支出（类）</c:v>
                </c:pt>
              </c:strCache>
            </c:strRef>
          </c:cat>
          <c:val>
            <c:numRef>
              <c:f>'Sheet1 (4)'!$B$2:$B$8</c:f>
              <c:numCache>
                <c:formatCode>General</c:formatCode>
                <c:ptCount val="7"/>
                <c:pt idx="0">
                  <c:v>0.5</c:v>
                </c:pt>
                <c:pt idx="1">
                  <c:v>124.68</c:v>
                </c:pt>
                <c:pt idx="2">
                  <c:v>15214.52</c:v>
                </c:pt>
                <c:pt idx="3">
                  <c:v>207.47</c:v>
                </c:pt>
                <c:pt idx="4">
                  <c:v>88.73</c:v>
                </c:pt>
                <c:pt idx="5">
                  <c:v>117.53</c:v>
                </c:pt>
                <c:pt idx="6">
                  <c:v>260.0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三公经费支出</a:t>
            </a:r>
          </a:p>
        </c:rich>
      </c:tx>
      <c:layout/>
      <c:overlay val="0"/>
      <c:spPr>
        <a:noFill/>
        <a:ln>
          <a:noFill/>
        </a:ln>
      </c:spPr>
    </c:title>
    <c:autoTitleDeleted val="0"/>
    <c:plotArea>
      <c:layout/>
      <c:pieChart>
        <c:varyColors val="1"/>
        <c:ser>
          <c:idx val="0"/>
          <c:order val="0"/>
          <c:tx>
            <c:strRef>
              <c:f>'Sheet1 (5)'!$B$1</c:f>
              <c:strCache>
                <c:ptCount val="1"/>
                <c:pt idx="0">
                  <c:v>三公经费支出</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0"/>
            <c:showCatName val="0"/>
            <c:showSerName val="0"/>
            <c:showPercent val="0"/>
            <c:showBubbleSize val="0"/>
            <c:showLeaderLines val="0"/>
          </c:dLbls>
          <c:cat>
            <c:strRef>
              <c:f>'Sheet1 (5)'!$A$2:$A$3</c:f>
              <c:strCache>
                <c:ptCount val="2"/>
                <c:pt idx="0">
                  <c:v>公务用车购置及运行维护费支出决算</c:v>
                </c:pt>
                <c:pt idx="1">
                  <c:v>公务接待费支出决算</c:v>
                </c:pt>
              </c:strCache>
            </c:strRef>
          </c:cat>
          <c:val>
            <c:numRef>
              <c:f>'Sheet1 (5)'!$B$2:$B$3</c:f>
              <c:numCache>
                <c:formatCode>General</c:formatCode>
                <c:ptCount val="2"/>
                <c:pt idx="0">
                  <c:v>4.51</c:v>
                </c:pt>
                <c:pt idx="1">
                  <c:v>0.6</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公务用车运行维护费对比图</a:t>
            </a:r>
          </a:p>
        </c:rich>
      </c:tx>
      <c:layout/>
      <c:overlay val="0"/>
      <c:spPr>
        <a:noFill/>
        <a:ln>
          <a:noFill/>
        </a:ln>
      </c:spPr>
    </c:title>
    <c:autoTitleDeleted val="1"/>
    <c:plotArea>
      <c:layout/>
      <c:barChart>
        <c:barDir val="col"/>
        <c:grouping val="clustered"/>
        <c:varyColors val="0"/>
        <c:ser>
          <c:idx val="0"/>
          <c:order val="0"/>
          <c:tx>
            <c:strRef>
              <c:f>'Sheet1 (6)'!$B$1</c:f>
              <c:strCache>
                <c:ptCount val="1"/>
                <c:pt idx="0">
                  <c:v>2021年</c:v>
                </c:pt>
              </c:strCache>
            </c:strRef>
          </c:tx>
          <c:spPr>
            <a:solidFill>
              <a:srgbClr val="4F81BD"/>
            </a:solidFill>
            <a:ln>
              <a:noFill/>
            </a:ln>
          </c:spPr>
          <c:invertIfNegative val="0"/>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0"/>
            <c:showCatName val="0"/>
            <c:showSerName val="0"/>
            <c:showPercent val="0"/>
            <c:showBubbleSize val="0"/>
            <c:showLeaderLines val="0"/>
          </c:dLbls>
          <c:cat>
            <c:strRef>
              <c:f>'Sheet1 (6)'!$A$2</c:f>
              <c:strCache>
                <c:ptCount val="1"/>
                <c:pt idx="0">
                  <c:v>公务用车运行维护费</c:v>
                </c:pt>
              </c:strCache>
            </c:strRef>
          </c:cat>
          <c:val>
            <c:numRef>
              <c:f>Sheet1 (6)!$B$2</c:f>
              <c:numCache>
                <c:formatCode>General</c:formatCode>
                <c:ptCount val="1"/>
                <c:pt idx="0">
                  <c:v>5.41</c:v>
                </c:pt>
              </c:numCache>
            </c:numRef>
          </c:val>
        </c:ser>
        <c:ser>
          <c:idx val="1"/>
          <c:order val="1"/>
          <c:tx>
            <c:strRef>
              <c:f>'Sheet1 (6)'!$C$1</c:f>
              <c:strCache>
                <c:ptCount val="1"/>
                <c:pt idx="0">
                  <c:v>2022年</c:v>
                </c:pt>
              </c:strCache>
            </c:strRef>
          </c:tx>
          <c:spPr>
            <a:solidFill>
              <a:srgbClr val="C0504D"/>
            </a:solidFill>
            <a:ln>
              <a:noFill/>
            </a:ln>
          </c:spPr>
          <c:invertIfNegative val="0"/>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0"/>
            <c:showCatName val="0"/>
            <c:showSerName val="0"/>
            <c:showPercent val="0"/>
            <c:showBubbleSize val="0"/>
            <c:showLeaderLines val="0"/>
          </c:dLbls>
          <c:cat>
            <c:strRef>
              <c:f>'Sheet1 (6)'!$A$2</c:f>
              <c:strCache>
                <c:ptCount val="1"/>
                <c:pt idx="0">
                  <c:v>公务用车运行维护费</c:v>
                </c:pt>
              </c:strCache>
            </c:strRef>
          </c:cat>
          <c:val>
            <c:numRef>
              <c:f>Sheet1 (6)!$C$2</c:f>
              <c:numCache>
                <c:formatCode>General</c:formatCode>
                <c:ptCount val="1"/>
                <c:pt idx="0">
                  <c:v>4.51</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Arial"/>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图表标题</a:t>
            </a:r>
          </a:p>
        </c:rich>
      </c:tx>
      <c:layout/>
      <c:overlay val="0"/>
      <c:spPr>
        <a:noFill/>
        <a:ln>
          <a:noFill/>
        </a:ln>
      </c:spPr>
    </c:title>
    <c:autoTitleDeleted val="1"/>
    <c:plotArea>
      <c:layout/>
      <c:barChart>
        <c:barDir val="col"/>
        <c:grouping val="clustered"/>
        <c:varyColors val="0"/>
        <c:ser>
          <c:idx val="0"/>
          <c:order val="0"/>
          <c:tx>
            <c:strRef>
              <c:f>'Sheet1 (7)'!$B$1</c:f>
              <c:strCache>
                <c:ptCount val="1"/>
                <c:pt idx="0">
                  <c:v>2021年</c:v>
                </c:pt>
              </c:strCache>
            </c:strRef>
          </c:tx>
          <c:spPr>
            <a:solidFill>
              <a:srgbClr val="4F81BD"/>
            </a:solidFill>
            <a:ln>
              <a:noFill/>
            </a:ln>
          </c:spPr>
          <c:invertIfNegative val="0"/>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0"/>
            <c:showCatName val="0"/>
            <c:showSerName val="0"/>
            <c:showPercent val="0"/>
            <c:showBubbleSize val="0"/>
            <c:showLeaderLines val="0"/>
          </c:dLbls>
          <c:cat>
            <c:strRef>
              <c:f>'Sheet1 (7)'!$A$2</c:f>
              <c:strCache>
                <c:ptCount val="1"/>
                <c:pt idx="0">
                  <c:v>公务接待费</c:v>
                </c:pt>
              </c:strCache>
            </c:strRef>
          </c:cat>
          <c:val>
            <c:numRef>
              <c:f>Sheet1 (7)!$B$2</c:f>
              <c:numCache>
                <c:formatCode>General</c:formatCode>
                <c:ptCount val="1"/>
                <c:pt idx="0">
                  <c:v>7440.0</c:v>
                </c:pt>
              </c:numCache>
            </c:numRef>
          </c:val>
        </c:ser>
        <c:ser>
          <c:idx val="1"/>
          <c:order val="1"/>
          <c:tx>
            <c:strRef>
              <c:f>'Sheet1 (7)'!$C$1</c:f>
              <c:strCache>
                <c:ptCount val="1"/>
                <c:pt idx="0">
                  <c:v>2022年</c:v>
                </c:pt>
              </c:strCache>
            </c:strRef>
          </c:tx>
          <c:spPr>
            <a:solidFill>
              <a:srgbClr val="C0504D"/>
            </a:solidFill>
            <a:ln>
              <a:noFill/>
            </a:ln>
          </c:spPr>
          <c:invertIfNegative val="0"/>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0"/>
            <c:showCatName val="0"/>
            <c:showSerName val="0"/>
            <c:showPercent val="0"/>
            <c:showBubbleSize val="0"/>
            <c:showLeaderLines val="0"/>
          </c:dLbls>
          <c:cat>
            <c:strRef>
              <c:f>'Sheet1 (7)'!$A$2</c:f>
              <c:strCache>
                <c:ptCount val="1"/>
                <c:pt idx="0">
                  <c:v>公务接待费</c:v>
                </c:pt>
              </c:strCache>
            </c:strRef>
          </c:cat>
          <c:val>
            <c:numRef>
              <c:f>Sheet1 (7)!$C$2</c:f>
              <c:numCache>
                <c:formatCode>General</c:formatCode>
                <c:ptCount val="1"/>
                <c:pt idx="0">
                  <c:v>6000.0</c:v>
                </c:pt>
              </c:numCache>
            </c:numRef>
          </c:val>
        </c:ser>
        <c:ser>
          <c:idx val="2"/>
          <c:order val="2"/>
          <c:spPr>
            <a:solidFill>
              <a:srgbClr val="9BBB59"/>
            </a:solidFill>
            <a:ln>
              <a:noFill/>
            </a:ln>
          </c:spPr>
          <c:invertIfNegative val="0"/>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0"/>
            <c:showCatName val="0"/>
            <c:showSerName val="0"/>
            <c:showPercent val="0"/>
            <c:showBubbleSize val="0"/>
            <c:showLeaderLines val="0"/>
          </c:dLbls>
          <c:cat>
            <c:strRef>
              <c:f>'Sheet1 (7)'!$A$2</c:f>
              <c:strCache>
                <c:ptCount val="1"/>
                <c:pt idx="0">
                  <c:v>公务接待费</c:v>
                </c:pt>
              </c:strCache>
            </c:strRef>
          </c:cat>
          <c:val>
            <c:numRef>
              <c:f/>
              <c:numCache>
                <c:formatCode>General</c:formatCode>
                <c:ptCount val="1"/>
                <c:pt idx="0">
                  <c:v>1.0</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Arial"/>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3</TotalTime>
  <Application>Yozo_Office27021597764231179</Application>
  <Pages>31</Pages>
  <Words>12494</Words>
  <Characters>13854</Characters>
  <Lines>786</Lines>
  <Paragraphs>319</Paragraphs>
  <CharactersWithSpaces>14038</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2021年度</dc:title>
  <dc:creator>guixiang1984</dc:creator>
  <cp:lastModifiedBy>Administrator</cp:lastModifiedBy>
  <cp:revision>2</cp:revision>
  <cp:lastPrinted>2023-08-28T02:42:00Z</cp:lastPrinted>
  <dcterms:created xsi:type="dcterms:W3CDTF">2022-08-16T01:05:00Z</dcterms:created>
  <dcterms:modified xsi:type="dcterms:W3CDTF">2023-08-30T07:51:09Z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2052-12.1.0.15120</vt:lpwstr>
  </property>
  <property fmtid="{D5CDD505-2E9C-101B-9397-08002B2CF9AE}" pid="3" name="ICV">
    <vt:lpwstr>456CC82AC25D40A6AF5906B721AC1D98</vt:lpwstr>
  </property>
</Properties>
</file>