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96597"/>
      <w:bookmarkStart w:id="3" w:name="_Toc15396475"/>
      <w:bookmarkStart w:id="4" w:name="_Toc15377193"/>
      <w:bookmarkStart w:id="5" w:name="_Toc15378441"/>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96476"/>
      <w:bookmarkStart w:id="8" w:name="_Toc15396598"/>
      <w:bookmarkStart w:id="9" w:name="_Toc15378442"/>
      <w:bookmarkStart w:id="10" w:name="_Toc15377426"/>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金川县科学技术农业畜牧局部门决算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2"/>
      </w:pPr>
      <w:r>
        <w:rPr>
          <w:rFonts w:hint="eastAsia"/>
        </w:rPr>
        <w:t>公开时间：2021年8月3日</w:t>
      </w:r>
    </w:p>
    <w:p>
      <w:pPr>
        <w:pStyle w:val="12"/>
        <w:jc w:val="both"/>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4"/>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4"/>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9</w:t>
      </w:r>
      <w:r>
        <w:rPr>
          <w:rFonts w:hint="eastAsia"/>
        </w:rPr>
        <w:fldChar w:fldCharType="end"/>
      </w:r>
    </w:p>
    <w:p>
      <w:pPr>
        <w:pStyle w:val="14"/>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4"/>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4"/>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4"/>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4"/>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4"/>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4"/>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4"/>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sz w:val="28"/>
          <w:szCs w:val="28"/>
        </w:rPr>
      </w:pPr>
      <w:r>
        <w:rPr>
          <w:rStyle w:val="19"/>
          <w:rFonts w:hint="eastAsia" w:ascii="仿宋" w:eastAsia="仿宋"/>
          <w:bCs/>
          <w:sz w:val="28"/>
          <w:szCs w:val="28"/>
        </w:rPr>
        <w:t xml:space="preserve"> 十、预算绩效情况说明..................................17</w:t>
      </w:r>
    </w:p>
    <w:p/>
    <w:p>
      <w:pPr>
        <w:pStyle w:val="14"/>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0</w:t>
      </w:r>
    </w:p>
    <w:p>
      <w:pPr>
        <w:pStyle w:val="12"/>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1</w:t>
      </w:r>
    </w:p>
    <w:p/>
    <w:p>
      <w:pPr>
        <w:widowControl/>
        <w:jc w:val="left"/>
        <w:rPr>
          <w:rFonts w:ascii="仿宋" w:eastAsia="仿宋"/>
          <w:color w:val="000000"/>
          <w:sz w:val="24"/>
        </w:rPr>
      </w:pPr>
      <w:r>
        <w:rPr>
          <w:rFonts w:ascii="仿宋" w:eastAsia="仿宋"/>
          <w:color w:val="000000"/>
          <w:sz w:val="24"/>
        </w:rPr>
        <w:fldChar w:fldCharType="end"/>
      </w:r>
    </w:p>
    <w:p>
      <w:pPr>
        <w:pStyle w:val="2"/>
        <w:ind w:firstLine="480"/>
        <w:rPr>
          <w:rFonts w:ascii="仿宋" w:eastAsia="仿宋"/>
          <w:color w:val="000000"/>
          <w:sz w:val="24"/>
        </w:rPr>
      </w:pPr>
    </w:p>
    <w:p>
      <w:pPr>
        <w:pStyle w:val="2"/>
        <w:ind w:firstLine="480"/>
        <w:rPr>
          <w:rFonts w:ascii="仿宋" w:eastAsia="仿宋"/>
          <w:color w:val="000000"/>
          <w:sz w:val="24"/>
        </w:rPr>
      </w:pPr>
    </w:p>
    <w:p>
      <w:pPr>
        <w:pStyle w:val="12"/>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4</w:t>
      </w:r>
    </w:p>
    <w:p>
      <w:pPr>
        <w:pStyle w:val="14"/>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4</w:t>
      </w:r>
    </w:p>
    <w:p>
      <w:pPr>
        <w:pStyle w:val="12"/>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3</w:t>
      </w:r>
      <w:r>
        <w:rPr>
          <w:rFonts w:hint="eastAsia"/>
        </w:rPr>
        <w:fldChar w:fldCharType="end"/>
      </w:r>
      <w:r>
        <w:rPr>
          <w:rFonts w:hint="eastAsia"/>
        </w:rPr>
        <w:t>7</w:t>
      </w:r>
    </w:p>
    <w:p>
      <w:pPr>
        <w:pStyle w:val="14"/>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14"/>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7</w:t>
      </w:r>
    </w:p>
    <w:p>
      <w:pPr>
        <w:pStyle w:val="5"/>
        <w:ind w:firstLine="280" w:firstLineChars="100"/>
        <w:rPr>
          <w:rFonts w:ascii="仿宋" w:hAnsi="Times New Roman" w:eastAsia="仿宋"/>
          <w:b w:val="0"/>
          <w:bCs w:val="0"/>
          <w:sz w:val="28"/>
          <w:szCs w:val="28"/>
          <w:u w:val="dotted"/>
        </w:rPr>
      </w:pPr>
      <w:r>
        <w:rPr>
          <w:rFonts w:hint="eastAsia" w:ascii="仿宋" w:hAnsi="Times New Roman" w:eastAsia="仿宋"/>
          <w:b w:val="0"/>
          <w:bCs w:val="0"/>
          <w:sz w:val="28"/>
          <w:szCs w:val="28"/>
        </w:rPr>
        <w:t>十一、政府性基金预算财政拨款收入支出决算表</w:t>
      </w:r>
      <w:r>
        <w:rPr>
          <w:rFonts w:hint="eastAsia" w:ascii="仿宋" w:hAnsi="Times New Roman" w:eastAsia="仿宋"/>
          <w:b w:val="0"/>
          <w:bCs w:val="0"/>
          <w:sz w:val="28"/>
          <w:szCs w:val="28"/>
          <w:u w:val="dotted"/>
        </w:rPr>
        <w:t xml:space="preserve">              </w:t>
      </w:r>
      <w:r>
        <w:rPr>
          <w:rFonts w:hint="eastAsia" w:ascii="仿宋" w:hAnsi="Times New Roman" w:eastAsia="仿宋"/>
          <w:b w:val="0"/>
          <w:bCs w:val="0"/>
          <w:sz w:val="28"/>
          <w:szCs w:val="28"/>
        </w:rPr>
        <w:t>37</w:t>
      </w:r>
    </w:p>
    <w:p>
      <w:pPr>
        <w:pStyle w:val="5"/>
        <w:ind w:firstLine="280" w:firstLineChars="100"/>
        <w:jc w:val="left"/>
        <w:rPr>
          <w:rFonts w:ascii="仿宋" w:hAnsi="Times New Roman" w:eastAsia="仿宋"/>
          <w:b w:val="0"/>
          <w:bCs w:val="0"/>
          <w:sz w:val="28"/>
          <w:szCs w:val="28"/>
        </w:rPr>
      </w:pPr>
      <w:r>
        <w:rPr>
          <w:rFonts w:hint="eastAsia" w:ascii="仿宋" w:hAnsi="Times New Roman" w:eastAsia="仿宋"/>
          <w:b w:val="0"/>
          <w:bCs w:val="0"/>
          <w:sz w:val="28"/>
          <w:szCs w:val="28"/>
        </w:rPr>
        <w:t>十二、政府性基金预算财政拨款“三公”经费支出决算表</w:t>
      </w:r>
      <w:r>
        <w:rPr>
          <w:rFonts w:hint="eastAsia" w:ascii="仿宋" w:hAnsi="Times New Roman" w:eastAsia="仿宋"/>
          <w:b w:val="0"/>
          <w:bCs w:val="0"/>
          <w:sz w:val="28"/>
          <w:szCs w:val="28"/>
          <w:u w:val="dotted"/>
        </w:rPr>
        <w:t xml:space="preserve">      </w:t>
      </w:r>
      <w:r>
        <w:rPr>
          <w:rFonts w:hint="eastAsia" w:ascii="仿宋" w:hAnsi="Times New Roman" w:eastAsia="仿宋"/>
          <w:b w:val="0"/>
          <w:bCs w:val="0"/>
          <w:sz w:val="28"/>
          <w:szCs w:val="28"/>
        </w:rPr>
        <w:t>37</w:t>
      </w:r>
    </w:p>
    <w:p>
      <w:pPr>
        <w:pStyle w:val="5"/>
        <w:ind w:firstLine="280" w:firstLineChars="100"/>
        <w:rPr>
          <w:rFonts w:ascii="仿宋" w:hAnsi="Times New Roman" w:eastAsia="仿宋"/>
          <w:b w:val="0"/>
          <w:bCs w:val="0"/>
          <w:sz w:val="28"/>
          <w:szCs w:val="28"/>
        </w:rPr>
      </w:pPr>
      <w:r>
        <w:rPr>
          <w:rFonts w:hint="eastAsia" w:ascii="仿宋" w:hAnsi="Times New Roman" w:eastAsia="仿宋"/>
          <w:b w:val="0"/>
          <w:bCs w:val="0"/>
          <w:sz w:val="28"/>
          <w:szCs w:val="28"/>
        </w:rPr>
        <w:t>十三、国有资本经营预算支出决算表</w:t>
      </w:r>
      <w:r>
        <w:rPr>
          <w:rFonts w:hint="eastAsia" w:ascii="仿宋" w:hAnsi="Times New Roman" w:eastAsia="仿宋"/>
          <w:b w:val="0"/>
          <w:bCs w:val="0"/>
          <w:sz w:val="28"/>
          <w:szCs w:val="28"/>
          <w:u w:val="dotted"/>
        </w:rPr>
        <w:t xml:space="preserve">                        </w:t>
      </w:r>
      <w:r>
        <w:rPr>
          <w:rFonts w:hint="eastAsia" w:ascii="仿宋" w:hAnsi="Times New Roman" w:eastAsia="仿宋"/>
          <w:b w:val="0"/>
          <w:bCs w:val="0"/>
          <w:sz w:val="28"/>
          <w:szCs w:val="28"/>
        </w:rPr>
        <w:t>37</w:t>
      </w:r>
    </w:p>
    <w:p>
      <w:pPr>
        <w:pStyle w:val="14"/>
        <w:ind w:left="0" w:leftChars="0"/>
        <w:rPr>
          <w:rFonts w:ascii="仿宋" w:eastAsia="仿宋" w:cs="Arial"/>
          <w:sz w:val="28"/>
          <w:szCs w:val="28"/>
        </w:rPr>
      </w:pPr>
    </w:p>
    <w:p>
      <w:pPr>
        <w:pStyle w:val="2"/>
        <w:ind w:firstLine="480"/>
        <w:rPr>
          <w:rFonts w:ascii="仿宋" w:eastAsia="仿宋"/>
          <w:color w:val="000000"/>
          <w:sz w:val="24"/>
        </w:rPr>
      </w:pPr>
    </w:p>
    <w:p>
      <w:pPr>
        <w:widowControl/>
        <w:ind w:firstLine="2640" w:firstLineChars="600"/>
        <w:jc w:val="left"/>
        <w:rPr>
          <w:rStyle w:val="20"/>
          <w:rFonts w:ascii="黑体" w:eastAsia="黑体"/>
          <w:b w:val="0"/>
          <w:bCs w:val="0"/>
        </w:rPr>
      </w:pPr>
      <w:bookmarkStart w:id="12" w:name="_Toc15396599"/>
      <w:bookmarkStart w:id="13" w:name="_Toc15377196"/>
    </w:p>
    <w:p>
      <w:pPr>
        <w:widowControl/>
        <w:jc w:val="left"/>
        <w:rPr>
          <w:rStyle w:val="20"/>
          <w:rFonts w:ascii="黑体" w:eastAsia="黑体"/>
          <w:b w:val="0"/>
          <w:bCs w:val="0"/>
        </w:rPr>
      </w:pPr>
    </w:p>
    <w:p>
      <w:pPr>
        <w:widowControl/>
        <w:ind w:firstLine="2640" w:firstLineChars="600"/>
        <w:jc w:val="left"/>
        <w:rPr>
          <w:rFonts w:ascii="黑体" w:eastAsia="黑体"/>
          <w:color w:val="000000"/>
          <w:sz w:val="32"/>
          <w:szCs w:val="32"/>
        </w:rPr>
      </w:pPr>
      <w:r>
        <w:rPr>
          <w:rStyle w:val="20"/>
          <w:rFonts w:hint="eastAsia" w:ascii="黑体" w:eastAsia="黑体"/>
          <w:b w:val="0"/>
          <w:bCs w:val="0"/>
        </w:rPr>
        <w:t>第一部分 部门概况</w:t>
      </w:r>
      <w:bookmarkEnd w:id="12"/>
      <w:bookmarkEnd w:id="13"/>
    </w:p>
    <w:p>
      <w:pPr>
        <w:pStyle w:val="5"/>
        <w:spacing w:before="0" w:after="0" w:line="240" w:lineRule="auto"/>
        <w:ind w:left="640" w:hanging="640" w:hangingChars="200"/>
        <w:rPr>
          <w:rStyle w:val="21"/>
          <w:rFonts w:ascii="黑体" w:eastAsia="黑体"/>
          <w:b w:val="0"/>
          <w:bCs w:val="0"/>
        </w:rPr>
      </w:pPr>
      <w:bookmarkStart w:id="14" w:name="_Toc15377197"/>
      <w:bookmarkStart w:id="15" w:name="_Toc15396600"/>
      <w:r>
        <w:rPr>
          <w:rFonts w:hint="eastAsia" w:ascii="黑体" w:eastAsia="黑体"/>
          <w:b w:val="0"/>
          <w:color w:val="000000"/>
        </w:rPr>
        <w:t>一、基</w:t>
      </w:r>
      <w:r>
        <w:rPr>
          <w:rStyle w:val="21"/>
          <w:rFonts w:hint="eastAsia" w:ascii="黑体" w:eastAsia="黑体"/>
          <w:b w:val="0"/>
          <w:bCs w:val="0"/>
        </w:rPr>
        <w:t>本职能及主要工作</w:t>
      </w:r>
      <w:bookmarkEnd w:id="14"/>
      <w:bookmarkEnd w:id="15"/>
      <w:bookmarkStart w:id="16" w:name="_Toc15378445"/>
      <w:bookmarkStart w:id="17" w:name="_Toc15377198"/>
    </w:p>
    <w:p>
      <w:pPr>
        <w:pStyle w:val="5"/>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snapToGrid w:val="0"/>
        <w:spacing w:line="520" w:lineRule="exact"/>
        <w:ind w:firstLine="643" w:firstLineChars="200"/>
        <w:rPr>
          <w:rFonts w:ascii="仿宋_GB2312" w:hAnsi="仿宋_GB2312" w:eastAsia="仿宋_GB2312" w:cs="仿宋_GB2312"/>
        </w:rPr>
      </w:pPr>
      <w:r>
        <w:rPr>
          <w:rFonts w:hint="eastAsia" w:ascii="仿宋_GB2312" w:eastAsia="仿宋_GB2312"/>
          <w:b/>
          <w:bCs/>
          <w:color w:val="000000"/>
          <w:sz w:val="32"/>
          <w:szCs w:val="32"/>
        </w:rPr>
        <w:t>一是</w:t>
      </w:r>
      <w:r>
        <w:rPr>
          <w:rFonts w:hint="eastAsia" w:ascii="仿宋_GB2312" w:hAnsi="仿宋_GB2312" w:eastAsia="仿宋_GB2312" w:cs="仿宋_GB2312"/>
          <w:color w:val="333333"/>
          <w:kern w:val="0"/>
          <w:sz w:val="28"/>
          <w:szCs w:val="28"/>
          <w:lang w:val="zh-CN"/>
        </w:rPr>
        <w:t>贯彻执行国家有关种植业、农业机械化等各产业工作方针、政策和法律、法规；拟订全县农业、畜牧业经济发展战略、中长期发展规划、政策和年度计划并组织实施；组织起草有关农业和农村经济的地方性法规、规章草案；参与拟订涉农财税、价格、金融保险等政策，提出农业产业保护的政策建议，推进依法行政。</w:t>
      </w:r>
      <w:r>
        <w:rPr>
          <w:rFonts w:hint="eastAsia" w:ascii="仿宋_GB2312" w:hAnsi="仿宋_GB2312" w:eastAsia="仿宋_GB2312" w:cs="仿宋_GB2312"/>
          <w:b/>
          <w:bCs/>
          <w:color w:val="333333"/>
          <w:kern w:val="0"/>
          <w:sz w:val="32"/>
          <w:szCs w:val="32"/>
        </w:rPr>
        <w:t>二是</w:t>
      </w:r>
      <w:r>
        <w:rPr>
          <w:rFonts w:hint="eastAsia" w:ascii="仿宋_GB2312" w:hAnsi="仿宋_GB2312" w:eastAsia="仿宋_GB2312" w:cs="仿宋_GB2312"/>
          <w:color w:val="333333"/>
          <w:kern w:val="0"/>
          <w:sz w:val="28"/>
          <w:szCs w:val="28"/>
          <w:lang w:val="zh-CN"/>
        </w:rPr>
        <w:t>承担完善农村经营管理体制的责任。提出深化农村经济体制改革和稳定完善农村基本经营制度的政策建议，指导农村土地承包、耕地使用权流转和承包纠纷仲裁管理。指导、监督减轻农民负担和村民筹资筹劳管理工作，指导农村集体资产和财务管理。拟订农业产业化经营的发展规划与政策并组织实施，指导、扶持农业社会化服务体系、农村合作经济组织、农民专业合作社和农产品行业协会的建设与发展。</w:t>
      </w:r>
      <w:r>
        <w:rPr>
          <w:rFonts w:hint="eastAsia" w:ascii="仿宋_GB2312" w:hAnsi="仿宋_GB2312" w:eastAsia="仿宋_GB2312" w:cs="仿宋_GB2312"/>
          <w:b/>
          <w:bCs/>
          <w:color w:val="333333"/>
          <w:kern w:val="0"/>
          <w:sz w:val="32"/>
          <w:szCs w:val="32"/>
        </w:rPr>
        <w:t>三是</w:t>
      </w:r>
      <w:r>
        <w:rPr>
          <w:rFonts w:hint="eastAsia" w:ascii="仿宋_GB2312" w:hAnsi="仿宋_GB2312" w:eastAsia="仿宋_GB2312" w:cs="仿宋_GB2312"/>
          <w:color w:val="333333"/>
          <w:kern w:val="0"/>
          <w:sz w:val="28"/>
          <w:szCs w:val="28"/>
          <w:lang w:val="zh-CN"/>
        </w:rPr>
        <w:t>指导产业化经营，促进产前、产中、产后一体化发展。组织拟订优势特色效益农业发展、现代农业产业基地建设等政策与规划并组织实施，提出促进大宗农产品流通政策，研究制订大宗农产品市场体系建设与发展规划，培育、保护和发展农产品品牌。组织协调“菜篮子”工程有关工作。</w:t>
      </w:r>
      <w:r>
        <w:rPr>
          <w:rFonts w:hint="eastAsia" w:ascii="仿宋_GB2312" w:hAnsi="仿宋_GB2312" w:eastAsia="仿宋_GB2312" w:cs="仿宋_GB2312"/>
          <w:b/>
          <w:bCs/>
          <w:color w:val="333333"/>
          <w:kern w:val="0"/>
          <w:sz w:val="28"/>
          <w:szCs w:val="28"/>
        </w:rPr>
        <w:t>四是</w:t>
      </w:r>
      <w:r>
        <w:rPr>
          <w:rFonts w:hint="eastAsia" w:ascii="仿宋_GB2312" w:hAnsi="仿宋_GB2312" w:eastAsia="仿宋_GB2312" w:cs="仿宋_GB2312"/>
          <w:color w:val="333333"/>
          <w:kern w:val="0"/>
          <w:sz w:val="28"/>
          <w:szCs w:val="28"/>
          <w:lang w:val="zh-CN"/>
        </w:rPr>
        <w:t>负责制订全县农业机械化发展规划并组织实施。承担推广先进适用的农业机械化新技术、新机械并组织生产作业，指导农村机电提灌、机耕道建设，承担负责农业机械使用安全监管的责任。</w:t>
      </w:r>
      <w:r>
        <w:rPr>
          <w:rFonts w:hint="eastAsia" w:ascii="仿宋_GB2312" w:hAnsi="仿宋_GB2312" w:eastAsia="仿宋_GB2312" w:cs="仿宋_GB2312"/>
          <w:b/>
          <w:bCs/>
          <w:color w:val="333333"/>
          <w:kern w:val="0"/>
          <w:sz w:val="32"/>
          <w:szCs w:val="32"/>
        </w:rPr>
        <w:t>五是</w:t>
      </w:r>
      <w:r>
        <w:rPr>
          <w:rFonts w:hint="eastAsia" w:ascii="仿宋_GB2312" w:hAnsi="仿宋_GB2312" w:eastAsia="仿宋_GB2312" w:cs="仿宋_GB2312"/>
          <w:color w:val="333333"/>
          <w:kern w:val="0"/>
          <w:sz w:val="28"/>
          <w:szCs w:val="28"/>
          <w:lang w:val="zh-CN"/>
        </w:rPr>
        <w:t>承担农业防灾减灾责任。监测、发布农业灾情，组织种子、化肥、种苗、消毒剂等救灾物资的储备和调拨，提出生产救灾资金安排建议，指导紧急救灾和灾后生产恢复。</w:t>
      </w:r>
      <w:r>
        <w:rPr>
          <w:rFonts w:hint="eastAsia" w:ascii="仿宋_GB2312" w:hAnsi="仿宋_GB2312" w:eastAsia="仿宋_GB2312" w:cs="仿宋_GB2312"/>
          <w:b/>
          <w:bCs/>
          <w:color w:val="333333"/>
          <w:kern w:val="0"/>
          <w:sz w:val="32"/>
          <w:szCs w:val="32"/>
        </w:rPr>
        <w:t>六是</w:t>
      </w:r>
      <w:r>
        <w:rPr>
          <w:rFonts w:hint="eastAsia" w:ascii="仿宋_GB2312" w:hAnsi="仿宋_GB2312" w:eastAsia="仿宋_GB2312" w:cs="仿宋_GB2312"/>
          <w:color w:val="333333"/>
          <w:kern w:val="0"/>
          <w:sz w:val="28"/>
          <w:szCs w:val="28"/>
          <w:lang w:val="zh-CN"/>
        </w:rPr>
        <w:t>管理农业、经济信息，监测分析农业、经济运行。开展相关统计工作，发布相关经济信息，负责相关信息体系建设，指导相关信息服务。</w:t>
      </w:r>
      <w:r>
        <w:rPr>
          <w:rFonts w:hint="eastAsia" w:ascii="仿宋_GB2312" w:hAnsi="仿宋_GB2312" w:eastAsia="仿宋_GB2312" w:cs="仿宋_GB2312"/>
          <w:b/>
          <w:bCs/>
          <w:color w:val="333333"/>
          <w:kern w:val="0"/>
          <w:sz w:val="32"/>
          <w:szCs w:val="32"/>
        </w:rPr>
        <w:t>七是</w:t>
      </w:r>
      <w:r>
        <w:rPr>
          <w:rFonts w:hint="eastAsia" w:ascii="仿宋_GB2312" w:hAnsi="仿宋_GB2312" w:eastAsia="仿宋_GB2312" w:cs="仿宋_GB2312"/>
          <w:color w:val="333333"/>
          <w:kern w:val="0"/>
          <w:sz w:val="28"/>
          <w:szCs w:val="28"/>
          <w:lang w:val="zh-CN"/>
        </w:rPr>
        <w:t>制定全县农牧渔业科研、农牧渔业技术推广的规划、计划和政策并组织实施，会同有关部门组织县级农牧科技创新体系、农牧渔业产业技术体系建设。组织引进农牧渔业先进技术，组织实施农牧渔业领域的高新技术和应用技术研究、农牧渔业科技成果转化和技术推广，负责农牧渔业科技成果管理，指导农技推广体系改革与建设，负责农牧渔业新品种保护、农牧渔业转基因生物的安全监督管理。</w:t>
      </w:r>
      <w:r>
        <w:rPr>
          <w:rFonts w:hint="eastAsia" w:ascii="仿宋_GB2312" w:hAnsi="仿宋_GB2312" w:eastAsia="仿宋_GB2312" w:cs="仿宋_GB2312"/>
          <w:b/>
          <w:bCs/>
          <w:color w:val="333333"/>
          <w:kern w:val="0"/>
          <w:sz w:val="32"/>
          <w:szCs w:val="32"/>
        </w:rPr>
        <w:t>八是</w:t>
      </w:r>
      <w:r>
        <w:rPr>
          <w:rFonts w:hint="eastAsia" w:ascii="仿宋_GB2312" w:hAnsi="仿宋_GB2312" w:eastAsia="仿宋_GB2312" w:cs="仿宋_GB2312"/>
          <w:color w:val="333333"/>
          <w:kern w:val="0"/>
          <w:sz w:val="28"/>
          <w:szCs w:val="28"/>
          <w:lang w:val="zh-CN"/>
        </w:rPr>
        <w:t>负责农牧资源区划和资源保护工作。指导农牧业用地、渔业水域、草原、宜农宜牧滩涂、宜农宜牧湿地以及农牧业生物物种资源的保护和管理；；拟订耕地及基本农田质量保护与改良政策并指导实施，依法管理耕地质量，运用工程设施、农艺、农机、生物等措施发展资源节约型环境友好型农业。</w:t>
      </w:r>
    </w:p>
    <w:p>
      <w:pPr>
        <w:pStyle w:val="5"/>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numPr>
          <w:ilvl w:val="0"/>
          <w:numId w:val="1"/>
        </w:numPr>
        <w:spacing w:line="560" w:lineRule="exact"/>
        <w:ind w:firstLine="562"/>
        <w:rPr>
          <w:rFonts w:ascii="仿宋_GB2312" w:eastAsia="仿宋_GB2312"/>
          <w:sz w:val="32"/>
          <w:szCs w:val="32"/>
        </w:rPr>
      </w:pPr>
      <w:bookmarkStart w:id="20" w:name="_Toc15377200"/>
      <w:bookmarkStart w:id="21" w:name="_Toc15396601"/>
      <w:r>
        <w:rPr>
          <w:rFonts w:hint="eastAsia" w:ascii="黑体" w:hAnsi="黑体" w:eastAsia="黑体" w:cs="黑体"/>
          <w:color w:val="333333"/>
          <w:kern w:val="0"/>
          <w:sz w:val="32"/>
          <w:szCs w:val="32"/>
          <w:lang w:val="zh-CN"/>
        </w:rPr>
        <w:t>金眉雪梨现代农业园区建设</w:t>
      </w:r>
      <w:r>
        <w:rPr>
          <w:rFonts w:hint="eastAsia" w:ascii="黑体" w:hAnsi="黑体" w:eastAsia="黑体" w:cs="黑体"/>
          <w:b/>
          <w:bCs/>
          <w:color w:val="333333"/>
          <w:kern w:val="0"/>
          <w:sz w:val="32"/>
          <w:szCs w:val="32"/>
          <w:lang w:val="zh-CN"/>
        </w:rPr>
        <w:t>：</w:t>
      </w:r>
      <w:r>
        <w:rPr>
          <w:rFonts w:hint="eastAsia" w:ascii="仿宋_GB2312" w:hAnsi="仿宋_GB2312" w:eastAsia="仿宋_GB2312" w:cs="仿宋_GB2312"/>
          <w:color w:val="333333"/>
          <w:kern w:val="0"/>
          <w:sz w:val="28"/>
          <w:szCs w:val="28"/>
          <w:lang w:val="zh-CN"/>
        </w:rPr>
        <w:t>2020年3月被评为州级现代农业园区，并纳入省级现代农业园区培育名单。完成园区各类建设资金6657.6万元，其中州重点项目资金3754万元。实施了主导产业绿色防控、基础配套设施建设、水肥一体化建设、品牌建设等项目69个，目前已全面开工建设并有序推进，已完成年初目标任务</w:t>
      </w:r>
      <w:r>
        <w:rPr>
          <w:rFonts w:hint="eastAsia" w:ascii="仿宋_GB2312" w:eastAsia="仿宋_GB2312"/>
          <w:sz w:val="32"/>
          <w:szCs w:val="32"/>
        </w:rPr>
        <w:t>。</w:t>
      </w:r>
    </w:p>
    <w:p>
      <w:pPr>
        <w:numPr>
          <w:ilvl w:val="0"/>
          <w:numId w:val="1"/>
        </w:numPr>
        <w:spacing w:line="560" w:lineRule="exact"/>
        <w:ind w:firstLine="562"/>
        <w:rPr>
          <w:rFonts w:ascii="仿宋_GB2312" w:hAnsi="仿宋_GB2312" w:eastAsia="仿宋_GB2312" w:cs="仿宋_GB2312"/>
          <w:color w:val="333333"/>
          <w:kern w:val="0"/>
          <w:sz w:val="28"/>
          <w:szCs w:val="28"/>
          <w:lang w:val="zh-CN"/>
        </w:rPr>
      </w:pPr>
      <w:r>
        <w:rPr>
          <w:rFonts w:hint="eastAsia" w:ascii="黑体" w:hAnsi="黑体" w:eastAsia="黑体" w:cs="黑体"/>
          <w:color w:val="333333"/>
          <w:kern w:val="0"/>
          <w:sz w:val="32"/>
          <w:szCs w:val="32"/>
          <w:lang w:val="zh-CN"/>
        </w:rPr>
        <w:t>雪梨林保护与综合开发示范建设：</w:t>
      </w:r>
      <w:r>
        <w:rPr>
          <w:rFonts w:hint="eastAsia" w:ascii="仿宋_GB2312" w:hAnsi="仿宋_GB2312" w:eastAsia="仿宋_GB2312" w:cs="仿宋_GB2312"/>
          <w:color w:val="333333"/>
          <w:kern w:val="0"/>
          <w:sz w:val="28"/>
          <w:szCs w:val="28"/>
          <w:lang w:val="zh-CN"/>
        </w:rPr>
        <w:t>按照县委、县政府雪梨振兴思路，计划投入500万元，其中255万用于45万株雪梨，245万元用于雪梨加工收购补贴。目前已投入255万元对全县2.15万亩、43万株雪梨树实施肥水灌溉、梨树刷白、复壮修剪、病虫害防控等综合措施，新定植高桩梨8000余株，并以打造金川雪梨之乡名片和提升县城城市品位为建设目标，栽植景观梨树473株。同时，金川县雪梨园区加工研发储藏中心等产业配套正在抓紧建设，年底前完成兑现雪梨加工收购补贴资金。</w:t>
      </w:r>
      <w:r>
        <w:rPr>
          <w:rFonts w:hint="eastAsia" w:ascii="仿宋_GB2312" w:hAnsi="仿宋_GB2312" w:eastAsia="仿宋_GB2312" w:cs="仿宋_GB2312"/>
          <w:color w:val="333333"/>
          <w:kern w:val="0"/>
          <w:sz w:val="28"/>
          <w:szCs w:val="28"/>
        </w:rPr>
        <w:t xml:space="preserve"> </w:t>
      </w:r>
    </w:p>
    <w:p>
      <w:pPr>
        <w:spacing w:line="560" w:lineRule="exact"/>
        <w:ind w:firstLine="640" w:firstLineChars="200"/>
        <w:rPr>
          <w:rFonts w:ascii="仿宋_GB2312" w:hAnsi="仿宋_GB2312" w:eastAsia="仿宋_GB2312" w:cs="仿宋_GB2312"/>
          <w:color w:val="333333"/>
          <w:kern w:val="0"/>
          <w:sz w:val="28"/>
          <w:szCs w:val="28"/>
          <w:lang w:val="zh-CN"/>
        </w:rPr>
      </w:pPr>
      <w:r>
        <w:rPr>
          <w:rFonts w:hint="eastAsia" w:ascii="黑体" w:eastAsia="黑体"/>
          <w:color w:val="000000"/>
          <w:sz w:val="32"/>
          <w:szCs w:val="32"/>
        </w:rPr>
        <w:t>3、</w:t>
      </w:r>
      <w:r>
        <w:rPr>
          <w:rFonts w:hint="eastAsia" w:ascii="黑体" w:hAnsi="黑体" w:eastAsia="黑体" w:cs="黑体"/>
          <w:color w:val="333333"/>
          <w:kern w:val="0"/>
          <w:sz w:val="32"/>
          <w:szCs w:val="32"/>
          <w:lang w:val="zh-CN"/>
        </w:rPr>
        <w:t>高标准农田建设</w:t>
      </w:r>
      <w:r>
        <w:rPr>
          <w:rFonts w:hint="eastAsia" w:ascii="仿宋_GB2312" w:hAnsi="仿宋_GB2312" w:eastAsia="仿宋_GB2312" w:cs="仿宋_GB2312"/>
          <w:b/>
          <w:bCs/>
          <w:color w:val="333333"/>
          <w:kern w:val="0"/>
          <w:sz w:val="28"/>
          <w:szCs w:val="28"/>
          <w:lang w:val="zh-CN"/>
        </w:rPr>
        <w:t>：</w:t>
      </w:r>
      <w:r>
        <w:rPr>
          <w:rFonts w:hint="eastAsia" w:ascii="仿宋_GB2312" w:hAnsi="仿宋_GB2312" w:eastAsia="仿宋_GB2312" w:cs="仿宋_GB2312"/>
          <w:color w:val="333333"/>
          <w:kern w:val="0"/>
          <w:sz w:val="28"/>
          <w:szCs w:val="28"/>
          <w:lang w:val="zh-CN"/>
        </w:rPr>
        <w:t>2019年度项目，在金眉雪梨园区勒乌镇实施5000亩高标准农田建设和2000亩高效节水灌溉建设项目，并顺利通过州县级验收；2020年度项目，投资1500万元，在咯尔、沙耳、庆宁建设5000亩高标准农田，目前正紧密实施，年底前完成目标任务。</w:t>
      </w:r>
    </w:p>
    <w:p>
      <w:pPr>
        <w:tabs>
          <w:tab w:val="left" w:pos="1566"/>
        </w:tabs>
        <w:spacing w:line="500" w:lineRule="exact"/>
        <w:ind w:firstLine="640" w:firstLineChars="200"/>
        <w:rPr>
          <w:rFonts w:ascii="仿宋_GB2312" w:hAnsi="仿宋_GB2312" w:eastAsia="仿宋_GB2312" w:cs="仿宋_GB2312"/>
          <w:color w:val="333333"/>
          <w:kern w:val="0"/>
          <w:sz w:val="28"/>
          <w:szCs w:val="28"/>
          <w:lang w:val="zh-CN"/>
        </w:rPr>
      </w:pPr>
      <w:r>
        <w:rPr>
          <w:rFonts w:hint="eastAsia" w:ascii="黑体" w:hAnsi="黑体" w:eastAsia="黑体" w:cs="黑体"/>
          <w:sz w:val="32"/>
          <w:szCs w:val="32"/>
        </w:rPr>
        <w:t>4、</w:t>
      </w:r>
      <w:r>
        <w:rPr>
          <w:rFonts w:hint="eastAsia" w:ascii="黑体" w:hAnsi="黑体" w:eastAsia="黑体" w:cs="黑体"/>
          <w:color w:val="333333"/>
          <w:kern w:val="0"/>
          <w:sz w:val="32"/>
          <w:szCs w:val="32"/>
          <w:lang w:val="zh-CN"/>
        </w:rPr>
        <w:t>农业产业基础设施建设项目</w:t>
      </w:r>
      <w:r>
        <w:rPr>
          <w:rFonts w:hint="eastAsia" w:ascii="仿宋_GB2312" w:hAnsi="仿宋_GB2312" w:eastAsia="仿宋_GB2312" w:cs="仿宋_GB2312"/>
          <w:b/>
          <w:bCs/>
          <w:color w:val="333333"/>
          <w:kern w:val="0"/>
          <w:sz w:val="28"/>
          <w:szCs w:val="28"/>
          <w:lang w:val="zh-CN"/>
        </w:rPr>
        <w:t>：</w:t>
      </w:r>
      <w:r>
        <w:rPr>
          <w:rFonts w:hint="eastAsia" w:ascii="仿宋_GB2312" w:hAnsi="仿宋_GB2312" w:eastAsia="仿宋_GB2312" w:cs="仿宋_GB2312"/>
          <w:color w:val="333333"/>
          <w:kern w:val="0"/>
          <w:sz w:val="28"/>
          <w:szCs w:val="28"/>
          <w:lang w:val="zh-CN"/>
        </w:rPr>
        <w:t>一是涉农整合资金3060.1万元，实施通组入户、产业道路、肥水一体化等建设项目57个。截止目前，已完成项目建设11个。其余46个项目正在实施中，预计年内竣工验收。二是东西部扶贫协作浙川援建资金295万元，实施农业基础设施建设。截止目前，已完成项目建设总工程量的80%，预计年内竣工验收。三是眉山援建资金120万元，农业基础设施建设项目3个。截止目前，1个项目已竣工验收，其余2个项目正在实施中，预计年内竣工验收。四是省级财政脱贫攻坚资金支持彝区藏区脱贫攻坚资金910万元。已完成施工待验收项目5个，其余项目正在实施中，预计年内竣工验收。</w:t>
      </w:r>
    </w:p>
    <w:p>
      <w:pPr>
        <w:spacing w:line="560" w:lineRule="exact"/>
        <w:ind w:firstLine="640" w:firstLineChars="200"/>
        <w:rPr>
          <w:rFonts w:ascii="仿宋_GB2312" w:hAnsi="仿宋_GB2312" w:eastAsia="仿宋_GB2312" w:cs="仿宋_GB2312"/>
          <w:color w:val="333333"/>
          <w:kern w:val="0"/>
          <w:sz w:val="28"/>
          <w:szCs w:val="28"/>
        </w:rPr>
      </w:pPr>
      <w:r>
        <w:rPr>
          <w:rFonts w:hint="eastAsia" w:ascii="黑体" w:hAnsi="黑体" w:eastAsia="黑体" w:cs="黑体"/>
          <w:sz w:val="32"/>
          <w:szCs w:val="32"/>
        </w:rPr>
        <w:t>5、</w:t>
      </w:r>
      <w:r>
        <w:rPr>
          <w:rFonts w:hint="eastAsia" w:ascii="黑体" w:hAnsi="黑体" w:eastAsia="黑体" w:cs="黑体"/>
          <w:color w:val="333333"/>
          <w:kern w:val="0"/>
          <w:sz w:val="32"/>
          <w:szCs w:val="32"/>
          <w:lang w:val="zh-CN"/>
        </w:rPr>
        <w:t>产业基地建设：</w:t>
      </w:r>
      <w:r>
        <w:rPr>
          <w:rFonts w:hint="eastAsia" w:ascii="仿宋_GB2312" w:hAnsi="仿宋_GB2312" w:eastAsia="仿宋_GB2312" w:cs="仿宋_GB2312"/>
          <w:color w:val="333333"/>
          <w:kern w:val="0"/>
          <w:sz w:val="28"/>
          <w:szCs w:val="28"/>
          <w:lang w:val="zh-CN"/>
        </w:rPr>
        <w:t>已完成咯尔乡、庆宁乡、沙耳乡、勒乌镇、安宁镇种植新品种桃2万株，河西乡、独松乡、安宁镇、马奈镇发展甜樱桃种植400亩；卡撒乡色尔岭村、河西乡、勒乌镇马厂村2680亩酿酒葡萄基地进行提质增效；在全县适宜地区新种植花椒4000亩。</w:t>
      </w:r>
      <w:r>
        <w:rPr>
          <w:rFonts w:hint="eastAsia" w:ascii="仿宋_GB2312" w:hAnsi="仿宋_GB2312" w:eastAsia="仿宋_GB2312" w:cs="仿宋_GB2312"/>
          <w:color w:val="333333"/>
          <w:kern w:val="0"/>
          <w:sz w:val="28"/>
          <w:szCs w:val="28"/>
        </w:rPr>
        <w:t xml:space="preserve"> </w:t>
      </w:r>
    </w:p>
    <w:p>
      <w:pPr>
        <w:spacing w:line="560" w:lineRule="exact"/>
        <w:ind w:firstLine="560" w:firstLineChars="200"/>
        <w:rPr>
          <w:rFonts w:ascii="仿宋_GB2312" w:hAnsi="仿宋_GB2312" w:eastAsia="仿宋_GB2312" w:cs="仿宋_GB2312"/>
          <w:color w:val="333333"/>
          <w:kern w:val="0"/>
          <w:sz w:val="28"/>
          <w:szCs w:val="28"/>
          <w:lang w:val="zh-CN"/>
        </w:rPr>
      </w:pPr>
      <w:r>
        <w:rPr>
          <w:rFonts w:hint="eastAsia" w:ascii="仿宋_GB2312" w:hAnsi="仿宋_GB2312" w:eastAsia="仿宋_GB2312" w:cs="仿宋_GB2312"/>
          <w:color w:val="333333"/>
          <w:kern w:val="0"/>
          <w:sz w:val="28"/>
          <w:szCs w:val="28"/>
        </w:rPr>
        <w:t xml:space="preserve"> </w:t>
      </w:r>
      <w:r>
        <w:rPr>
          <w:rFonts w:hint="eastAsia" w:ascii="黑体" w:hAnsi="黑体" w:eastAsia="黑体" w:cs="黑体"/>
          <w:sz w:val="32"/>
          <w:szCs w:val="32"/>
        </w:rPr>
        <w:t>6、</w:t>
      </w:r>
      <w:r>
        <w:rPr>
          <w:rFonts w:hint="eastAsia" w:ascii="黑体" w:hAnsi="黑体" w:eastAsia="黑体" w:cs="黑体"/>
          <w:color w:val="333333"/>
          <w:kern w:val="0"/>
          <w:sz w:val="32"/>
          <w:szCs w:val="32"/>
          <w:lang w:val="zh-CN"/>
        </w:rPr>
        <w:t>东西部扶贫协作浙川援建项目：</w:t>
      </w:r>
      <w:r>
        <w:rPr>
          <w:rFonts w:hint="eastAsia" w:ascii="仿宋_GB2312" w:hAnsi="仿宋_GB2312" w:eastAsia="仿宋_GB2312" w:cs="仿宋_GB2312"/>
          <w:color w:val="333333"/>
          <w:kern w:val="0"/>
          <w:sz w:val="28"/>
          <w:szCs w:val="28"/>
          <w:lang w:val="zh-CN"/>
        </w:rPr>
        <w:t>投入资金295万元，主要用于全县7个乡镇农业基础设施建设。截止目前，已完成项目建设总工程量的80%，年内完成竣工验收。</w:t>
      </w:r>
    </w:p>
    <w:p>
      <w:pPr>
        <w:spacing w:line="560" w:lineRule="exact"/>
        <w:ind w:firstLine="640" w:firstLineChars="200"/>
        <w:rPr>
          <w:rFonts w:ascii="仿宋_GB2312" w:hAnsi="仿宋_GB2312" w:eastAsia="仿宋_GB2312" w:cs="仿宋_GB2312"/>
          <w:color w:val="333333"/>
          <w:kern w:val="0"/>
          <w:sz w:val="28"/>
          <w:szCs w:val="28"/>
          <w:lang w:val="zh-CN"/>
        </w:rPr>
      </w:pPr>
      <w:r>
        <w:rPr>
          <w:rFonts w:hint="eastAsia" w:ascii="黑体" w:hAnsi="黑体" w:eastAsia="黑体" w:cs="黑体"/>
          <w:color w:val="333333"/>
          <w:kern w:val="0"/>
          <w:sz w:val="32"/>
          <w:szCs w:val="32"/>
        </w:rPr>
        <w:t>7</w:t>
      </w:r>
      <w:r>
        <w:rPr>
          <w:rFonts w:hint="eastAsia" w:ascii="黑体" w:hAnsi="黑体" w:eastAsia="黑体" w:cs="黑体"/>
          <w:sz w:val="32"/>
          <w:szCs w:val="32"/>
        </w:rPr>
        <w:t>、</w:t>
      </w:r>
      <w:r>
        <w:rPr>
          <w:rFonts w:hint="eastAsia" w:ascii="黑体" w:hAnsi="黑体" w:eastAsia="黑体" w:cs="黑体"/>
          <w:color w:val="333333"/>
          <w:kern w:val="0"/>
          <w:sz w:val="32"/>
          <w:szCs w:val="32"/>
          <w:lang w:val="zh-CN"/>
        </w:rPr>
        <w:t>生猪稳产保供：</w:t>
      </w:r>
      <w:r>
        <w:rPr>
          <w:rFonts w:hint="eastAsia" w:ascii="仿宋_GB2312" w:hAnsi="仿宋_GB2312" w:eastAsia="仿宋_GB2312" w:cs="仿宋_GB2312"/>
          <w:color w:val="333333"/>
          <w:kern w:val="0"/>
          <w:sz w:val="28"/>
          <w:szCs w:val="28"/>
          <w:lang w:val="zh-CN"/>
        </w:rPr>
        <w:t>一是做好项目申报。大力宣传《四川省促进恢复生猪生产八条举措》，做好《2020年支持生猪稳产保供新增</w:t>
      </w:r>
      <w:r>
        <w:rPr>
          <w:rFonts w:hint="eastAsia" w:ascii="仿宋_GB2312" w:hAnsi="仿宋_GB2312" w:eastAsia="仿宋_GB2312" w:cs="仿宋_GB2312"/>
          <w:b/>
          <w:bCs/>
          <w:color w:val="333333"/>
          <w:kern w:val="0"/>
          <w:sz w:val="28"/>
          <w:szCs w:val="28"/>
          <w:lang w:val="zh-CN"/>
        </w:rPr>
        <w:t>中央预算内投资项目申报》，通过第一批、第二批申报，确定出栏在</w:t>
      </w:r>
      <w:r>
        <w:rPr>
          <w:rFonts w:hint="eastAsia" w:ascii="仿宋_GB2312" w:hAnsi="仿宋_GB2312" w:eastAsia="仿宋_GB2312" w:cs="仿宋_GB2312"/>
          <w:color w:val="333333"/>
          <w:kern w:val="0"/>
          <w:sz w:val="28"/>
          <w:szCs w:val="28"/>
          <w:lang w:val="zh-CN"/>
        </w:rPr>
        <w:t>2000-4000头生猪规模养殖新建或改扩建建设项目6个。二是完善补贴措施。编制完成《2020年能繁母猪补贴资金实施方案》，刺激农户养殖积极性，有效提升我县仔猪量；投入东西部援建资金10万元，对我县通过相关程序购买的种公猪进行40%的资金补贴；三是加大资金投入。投入灾后重建资金238万元，新修圈舍525间，进一步增加我县生猪出栏量。截至10月，全县生猪出栏达35187头，完成任务率达92%，年底完成全县生猪出栏3.8万头的目标任务及帮助成都市完成0.9万头的目标任务。</w:t>
      </w:r>
    </w:p>
    <w:p>
      <w:pPr>
        <w:spacing w:line="560" w:lineRule="exact"/>
        <w:ind w:firstLine="640" w:firstLineChars="200"/>
        <w:rPr>
          <w:rFonts w:ascii="仿宋_GB2312" w:hAnsi="仿宋_GB2312" w:eastAsia="仿宋_GB2312" w:cs="仿宋_GB2312"/>
          <w:color w:val="333333"/>
          <w:kern w:val="0"/>
          <w:sz w:val="28"/>
          <w:szCs w:val="28"/>
          <w:lang w:val="zh-CN"/>
        </w:rPr>
      </w:pPr>
      <w:r>
        <w:rPr>
          <w:rFonts w:hint="eastAsia" w:ascii="黑体" w:hAnsi="黑体" w:eastAsia="黑体" w:cs="黑体"/>
          <w:color w:val="333333"/>
          <w:kern w:val="0"/>
          <w:sz w:val="32"/>
          <w:szCs w:val="32"/>
        </w:rPr>
        <w:t>8</w:t>
      </w:r>
      <w:r>
        <w:rPr>
          <w:rFonts w:hint="eastAsia" w:ascii="黑体" w:hAnsi="黑体" w:eastAsia="黑体" w:cs="黑体"/>
          <w:sz w:val="32"/>
          <w:szCs w:val="32"/>
        </w:rPr>
        <w:t>、</w:t>
      </w:r>
      <w:r>
        <w:rPr>
          <w:rFonts w:hint="eastAsia" w:ascii="黑体" w:hAnsi="黑体" w:eastAsia="黑体" w:cs="黑体"/>
          <w:color w:val="333333"/>
          <w:kern w:val="0"/>
          <w:sz w:val="32"/>
          <w:szCs w:val="32"/>
          <w:lang w:val="zh-CN"/>
        </w:rPr>
        <w:t>乡村振兴工作：</w:t>
      </w:r>
      <w:r>
        <w:rPr>
          <w:rFonts w:hint="eastAsia" w:ascii="仿宋_GB2312" w:hAnsi="仿宋_GB2312" w:eastAsia="仿宋_GB2312" w:cs="仿宋_GB2312"/>
          <w:color w:val="333333"/>
          <w:kern w:val="0"/>
          <w:sz w:val="28"/>
          <w:szCs w:val="28"/>
          <w:lang w:val="zh-CN"/>
        </w:rPr>
        <w:t>2020年统筹全县各方力量，全面开展示范点建设，实施了“一镇一乡十村”示范点建设。截至目前，“一镇一乡十村”已投入各类资金4.31亿元，各示范点结合实际，从“五大振兴”方面进行振兴，其中斯玛都村、二普鲁村、角木牛村已突显出振兴特色亮点；“厕所革命”投入省级财政脱贫攻坚资金700万和中央资金139万，改厕4735户。目前，各改厕实施村的进度良好，内生动力项目已完成验收633户、中央资金项目已完成验收253户；实施农村人居环境项目27个，计划投入1352.5万元，实施垃圾池建设、厕所改造、基础设施等建设项目27个，目前已验收10个项目。</w:t>
      </w:r>
    </w:p>
    <w:p>
      <w:pPr>
        <w:spacing w:line="560" w:lineRule="exact"/>
        <w:ind w:firstLine="640" w:firstLineChars="200"/>
        <w:rPr>
          <w:rFonts w:ascii="仿宋_GB2312" w:hAnsi="仿宋_GB2312" w:eastAsia="仿宋_GB2312" w:cs="仿宋_GB2312"/>
          <w:color w:val="333333"/>
          <w:kern w:val="0"/>
          <w:sz w:val="28"/>
          <w:szCs w:val="28"/>
          <w:lang w:val="zh-CN"/>
        </w:rPr>
      </w:pPr>
      <w:r>
        <w:rPr>
          <w:rFonts w:hint="eastAsia" w:ascii="黑体" w:hAnsi="黑体" w:eastAsia="黑体" w:cs="黑体"/>
          <w:color w:val="333333"/>
          <w:kern w:val="0"/>
          <w:sz w:val="32"/>
          <w:szCs w:val="32"/>
        </w:rPr>
        <w:t>9</w:t>
      </w:r>
      <w:r>
        <w:rPr>
          <w:rFonts w:hint="eastAsia" w:ascii="黑体" w:hAnsi="黑体" w:eastAsia="黑体" w:cs="黑体"/>
          <w:sz w:val="32"/>
          <w:szCs w:val="32"/>
        </w:rPr>
        <w:t>、</w:t>
      </w:r>
      <w:r>
        <w:rPr>
          <w:rFonts w:hint="eastAsia" w:ascii="黑体" w:hAnsi="黑体" w:eastAsia="黑体" w:cs="黑体"/>
          <w:color w:val="333333"/>
          <w:kern w:val="0"/>
          <w:sz w:val="32"/>
          <w:szCs w:val="32"/>
          <w:lang w:val="zh-CN"/>
        </w:rPr>
        <w:t>农产品质量安全监管与监测工作：</w:t>
      </w:r>
      <w:r>
        <w:rPr>
          <w:rFonts w:hint="eastAsia" w:ascii="仿宋_GB2312" w:hAnsi="仿宋_GB2312" w:eastAsia="仿宋_GB2312" w:cs="仿宋_GB2312"/>
          <w:color w:val="333333"/>
          <w:kern w:val="0"/>
          <w:sz w:val="28"/>
          <w:szCs w:val="28"/>
          <w:lang w:val="zh-CN"/>
        </w:rPr>
        <w:t>截止10月，共抽检蔬菜、水果样品918个，抽检合格率达100%；申报农产品地理标志4个，金川白瓜子、金川雪梨膏和金川花椒正在申请入名录，名录内产品金川雪梨已通过专家品鉴论证环节；完成“金川县农产品质量安全监督检验检测站”的双认证工作；加紧实施“金川县创建省级农产品质量安全监管示范县工作”，争取圆满完成考核任务。</w:t>
      </w:r>
    </w:p>
    <w:p>
      <w:pPr>
        <w:spacing w:line="560" w:lineRule="exact"/>
        <w:ind w:firstLine="840" w:firstLineChars="300"/>
        <w:rPr>
          <w:rFonts w:ascii="仿宋_GB2312" w:hAnsi="仿宋_GB2312" w:eastAsia="仿宋_GB2312" w:cs="仿宋_GB2312"/>
          <w:color w:val="333333"/>
          <w:kern w:val="0"/>
          <w:sz w:val="28"/>
          <w:szCs w:val="28"/>
        </w:rPr>
      </w:pPr>
    </w:p>
    <w:p>
      <w:pPr>
        <w:spacing w:line="560" w:lineRule="exact"/>
        <w:ind w:firstLine="640" w:firstLineChars="200"/>
        <w:rPr>
          <w:rFonts w:ascii="仿宋_GB2312" w:hAnsi="仿宋_GB2312" w:eastAsia="仿宋_GB2312" w:cs="仿宋_GB2312"/>
          <w:color w:val="333333"/>
          <w:kern w:val="0"/>
          <w:sz w:val="28"/>
          <w:szCs w:val="28"/>
          <w:lang w:val="zh-CN"/>
        </w:rPr>
      </w:pPr>
      <w:r>
        <w:rPr>
          <w:rFonts w:hint="eastAsia" w:ascii="黑体" w:hAnsi="黑体" w:eastAsia="黑体" w:cs="黑体"/>
          <w:sz w:val="32"/>
          <w:szCs w:val="32"/>
        </w:rPr>
        <w:t>10、</w:t>
      </w:r>
      <w:r>
        <w:rPr>
          <w:rFonts w:hint="eastAsia" w:ascii="黑体" w:hAnsi="黑体" w:eastAsia="黑体" w:cs="黑体"/>
          <w:color w:val="333333"/>
          <w:kern w:val="0"/>
          <w:sz w:val="32"/>
          <w:szCs w:val="32"/>
          <w:lang w:val="zh-CN"/>
        </w:rPr>
        <w:t>动植物疫情防控：</w:t>
      </w:r>
      <w:r>
        <w:rPr>
          <w:rFonts w:hint="eastAsia" w:ascii="仿宋_GB2312" w:hAnsi="仿宋_GB2312" w:eastAsia="仿宋_GB2312" w:cs="仿宋_GB2312"/>
          <w:color w:val="333333"/>
          <w:kern w:val="0"/>
          <w:sz w:val="28"/>
          <w:szCs w:val="28"/>
          <w:lang w:val="zh-CN"/>
        </w:rPr>
        <w:t>一是非洲猪瘟防控。检疫</w:t>
      </w:r>
      <w:r>
        <w:fldChar w:fldCharType="begin"/>
      </w:r>
      <w:r>
        <w:instrText xml:space="preserve"> HYPERLINK "http://cpro.baidu.com/cpro/ui/uijs.php?rs=1&amp;u=http:/www.51test.net/show/2862099.html&amp;p=baidu&amp;c=news&amp;n=10&amp;t=tpclicked3_hc&amp;q=chinacpunioncpr&amp;k=????&amp;k0=???????&amp;k1=???????&amp;k2=????&amp;k3=????&amp;k4=????&amp;sid=be8691863a3e1dba&amp;ch=0&amp;tu=u1305503&amp;jk=698419e84b15ea49&amp;cf=1&amp;fv=11&amp;stid=9&amp;urlid=0&amp;luki=3&amp;seller_id=1" </w:instrText>
      </w:r>
      <w:r>
        <w:fldChar w:fldCharType="separate"/>
      </w:r>
      <w:r>
        <w:rPr>
          <w:rFonts w:hint="eastAsia" w:ascii="仿宋_GB2312" w:hAnsi="仿宋_GB2312" w:eastAsia="仿宋_GB2312" w:cs="仿宋_GB2312"/>
          <w:color w:val="333333"/>
          <w:kern w:val="0"/>
          <w:sz w:val="28"/>
          <w:szCs w:val="28"/>
          <w:lang w:val="zh-CN"/>
        </w:rPr>
        <w:t>生猪</w:t>
      </w:r>
      <w:r>
        <w:rPr>
          <w:rFonts w:hint="eastAsia" w:ascii="仿宋_GB2312" w:hAnsi="仿宋_GB2312" w:eastAsia="仿宋_GB2312" w:cs="仿宋_GB2312"/>
          <w:color w:val="333333"/>
          <w:kern w:val="0"/>
          <w:sz w:val="28"/>
          <w:szCs w:val="28"/>
          <w:lang w:val="zh-CN"/>
        </w:rPr>
        <w:fldChar w:fldCharType="end"/>
      </w:r>
      <w:r>
        <w:rPr>
          <w:rFonts w:hint="eastAsia" w:ascii="仿宋_GB2312" w:hAnsi="仿宋_GB2312" w:eastAsia="仿宋_GB2312" w:cs="仿宋_GB2312"/>
          <w:color w:val="333333"/>
          <w:kern w:val="0"/>
          <w:sz w:val="28"/>
          <w:szCs w:val="28"/>
          <w:lang w:val="zh-CN"/>
        </w:rPr>
        <w:t>8994头、牛2671头，检出病理动物产品约93公斤，进行深埋无害化处理。抽检“瘦肉精”2000余份，监管17家饲料及饲料添加剂经营企业的备案管理工作，督促畜禽养殖场户严格防疫管理，做好自身防护，规范养殖、生产和销售。购置县级兽医实验室设备，为非洲猪瘟防控检测提供了有力的技术支持，并严格实施禁调限运政策。二是植物疫情监测。实施专业化统防统治2.73万亩次，绿色防控1.1万亩，辐射带动4.2万亩；主要作物病虫草鼠害防治面积15.9万亩次，粮食作物挽回损失621.66吨，实际损失88.385吨；发布病虫趋势预报2期，准确率达到95%以上；实施农区蝗虫绿色防控1.01万亩；建立苹果枝枯病和黄瓜绿斑驳花叶病毒群总监测点40个，黄瓜绿斑驳花叶病毒抽样50个，经初筛检测全部为阴性；检疫调运种苗甜樱桃、桃树各2万株，梨树0.8万株。</w:t>
      </w:r>
    </w:p>
    <w:p>
      <w:pPr>
        <w:spacing w:line="560" w:lineRule="exact"/>
        <w:ind w:firstLine="640" w:firstLineChars="200"/>
        <w:rPr>
          <w:rFonts w:ascii="仿宋_GB2312" w:hAnsi="仿宋_GB2312" w:eastAsia="仿宋_GB2312" w:cs="仿宋_GB2312"/>
          <w:color w:val="333333"/>
          <w:kern w:val="0"/>
          <w:sz w:val="28"/>
          <w:szCs w:val="28"/>
          <w:lang w:val="zh-CN"/>
        </w:rPr>
      </w:pPr>
      <w:r>
        <w:rPr>
          <w:rFonts w:hint="eastAsia" w:ascii="黑体" w:hAnsi="黑体" w:eastAsia="黑体" w:cs="黑体"/>
          <w:sz w:val="32"/>
          <w:szCs w:val="32"/>
        </w:rPr>
        <w:t>11、</w:t>
      </w:r>
      <w:r>
        <w:rPr>
          <w:rFonts w:hint="eastAsia" w:ascii="黑体" w:hAnsi="黑体" w:eastAsia="黑体" w:cs="黑体"/>
          <w:color w:val="333333"/>
          <w:kern w:val="0"/>
          <w:sz w:val="32"/>
          <w:szCs w:val="32"/>
          <w:lang w:val="zh-CN"/>
        </w:rPr>
        <w:t>科技示范推广</w:t>
      </w:r>
      <w:r>
        <w:rPr>
          <w:rFonts w:hint="eastAsia" w:ascii="仿宋_GB2312" w:hAnsi="仿宋_GB2312" w:eastAsia="仿宋_GB2312" w:cs="仿宋_GB2312"/>
          <w:b/>
          <w:bCs/>
          <w:color w:val="333333"/>
          <w:kern w:val="0"/>
          <w:sz w:val="28"/>
          <w:szCs w:val="28"/>
          <w:lang w:val="zh-CN"/>
        </w:rPr>
        <w:t>：</w:t>
      </w:r>
      <w:bookmarkStart w:id="22" w:name="OLE_LINK2"/>
      <w:r>
        <w:rPr>
          <w:rFonts w:hint="eastAsia" w:ascii="仿宋_GB2312" w:hAnsi="仿宋_GB2312" w:eastAsia="仿宋_GB2312" w:cs="仿宋_GB2312"/>
          <w:color w:val="333333"/>
          <w:kern w:val="0"/>
          <w:sz w:val="28"/>
          <w:szCs w:val="28"/>
          <w:lang w:val="zh-CN"/>
        </w:rPr>
        <w:t>一是积极争各级项目，加快项目建设进程。</w:t>
      </w:r>
      <w:bookmarkEnd w:id="22"/>
      <w:r>
        <w:rPr>
          <w:rFonts w:hint="eastAsia" w:ascii="仿宋_GB2312" w:hAnsi="仿宋_GB2312" w:eastAsia="仿宋_GB2312" w:cs="仿宋_GB2312"/>
          <w:color w:val="333333"/>
          <w:kern w:val="0"/>
          <w:sz w:val="28"/>
          <w:szCs w:val="28"/>
          <w:lang w:val="zh-CN"/>
        </w:rPr>
        <w:t>高原濒危药材羌活种植示范基地建设及适宜技术研究与示范推广项目，已完成项目建设内容，正开展羌活示范种植基地田间管理；金川县果桑套作魔芋立体种植研究与推广（示范基地），已完成100亩的魔芋种植工作及31户贫困户的种植工作，正开展魔芋田间管理工作；高原特色水果优质丰产栽培及高效立体种植模式示范推广（面上项目），建设水果产业基地核心面积221亩，直接带动2个贫困村、39户贫困户；金川雪梨品种资源保护与应用研究，已在金川县沙耳乡园艺场建立金川雪梨品种资源保护基地1个，对入园品种进行生物学特性观察研究，现正建立品种生物学特性档案。二是优化提升科技扶贫在线平台。下达专项资金30万元，完成录入示范村53个，示范户2415人，专家140人，信息员306人，信息咨询1738条，已完成1687条。完成州局下达任务目标的241%；完成技术供给4条，产业资讯3条，供销对接2条，完成州局下达任务目标的100%。</w:t>
      </w:r>
    </w:p>
    <w:p>
      <w:pPr>
        <w:spacing w:line="578" w:lineRule="exact"/>
        <w:rPr>
          <w:rStyle w:val="21"/>
          <w:b w:val="0"/>
          <w:bCs w:val="0"/>
        </w:rPr>
      </w:pPr>
      <w:r>
        <w:rPr>
          <w:rStyle w:val="21"/>
          <w:rFonts w:hint="eastAsia" w:ascii="黑体" w:eastAsia="黑体"/>
          <w:b w:val="0"/>
          <w:bCs w:val="0"/>
        </w:rPr>
        <w:t>二、机构设置</w:t>
      </w:r>
      <w:bookmarkEnd w:id="20"/>
      <w:bookmarkEnd w:id="21"/>
    </w:p>
    <w:p>
      <w:pPr>
        <w:snapToGrid w:val="0"/>
        <w:spacing w:line="540" w:lineRule="atLeast"/>
        <w:ind w:firstLine="560" w:firstLineChars="200"/>
        <w:rPr>
          <w:rFonts w:ascii="仿宋_GB2312" w:hAnsi="宋体" w:eastAsia="仿宋_GB2312" w:cs="宋体"/>
          <w:color w:val="333333"/>
          <w:kern w:val="0"/>
          <w:sz w:val="28"/>
          <w:szCs w:val="28"/>
          <w:lang w:val="zh-CN"/>
        </w:rPr>
      </w:pPr>
      <w:r>
        <w:rPr>
          <w:rFonts w:hint="eastAsia" w:ascii="仿宋_GB2312" w:hAnsi="宋体" w:eastAsia="仿宋_GB2312" w:cs="宋体"/>
          <w:color w:val="333333"/>
          <w:kern w:val="0"/>
          <w:sz w:val="28"/>
          <w:szCs w:val="28"/>
          <w:lang w:val="zh-CN"/>
        </w:rPr>
        <w:t>我单位纳入本部门决算汇编范围的独立核算单位共1个，无增减变动。</w:t>
      </w:r>
    </w:p>
    <w:p>
      <w:pPr>
        <w:snapToGrid w:val="0"/>
        <w:spacing w:line="540" w:lineRule="atLeast"/>
        <w:ind w:firstLine="560" w:firstLineChars="200"/>
        <w:rPr>
          <w:rFonts w:ascii="仿宋_GB2312" w:hAnsi="宋体" w:eastAsia="仿宋_GB2312" w:cs="宋体"/>
          <w:color w:val="333333"/>
          <w:kern w:val="0"/>
          <w:sz w:val="28"/>
          <w:szCs w:val="28"/>
          <w:lang w:val="zh-CN"/>
        </w:rPr>
      </w:pPr>
      <w:r>
        <w:rPr>
          <w:rFonts w:hint="eastAsia" w:ascii="仿宋_GB2312" w:hAnsi="宋体" w:eastAsia="仿宋_GB2312" w:cs="宋体"/>
          <w:color w:val="333333"/>
          <w:kern w:val="0"/>
          <w:sz w:val="28"/>
          <w:szCs w:val="28"/>
          <w:lang w:val="zh-CN"/>
        </w:rPr>
        <w:t>我单位编制一共127名，其中：行政编制10名，参公编制12名，机关工勤编制1名，事业编制104名。截止2020年底在职人员总数124名，其中：行政人员12名，参公人员11名，机关工勤人员2名，事业专技人员96人，事业工勤3人。退休人员</w:t>
      </w:r>
      <w:r>
        <w:rPr>
          <w:rFonts w:hint="eastAsia" w:ascii="仿宋_GB2312" w:hAnsi="宋体" w:eastAsia="仿宋_GB2312" w:cs="宋体"/>
          <w:color w:val="333333"/>
          <w:kern w:val="0"/>
          <w:sz w:val="28"/>
          <w:szCs w:val="28"/>
        </w:rPr>
        <w:t>71</w:t>
      </w:r>
      <w:r>
        <w:rPr>
          <w:rFonts w:hint="eastAsia" w:ascii="仿宋_GB2312" w:hAnsi="宋体" w:eastAsia="仿宋_GB2312" w:cs="宋体"/>
          <w:color w:val="333333"/>
          <w:kern w:val="0"/>
          <w:sz w:val="28"/>
          <w:szCs w:val="28"/>
          <w:lang w:val="zh-CN"/>
        </w:rPr>
        <w:t>人，遗属人员16人。</w:t>
      </w:r>
      <w:r>
        <w:rPr>
          <w:rFonts w:hint="eastAsia" w:ascii="仿宋_GB2312" w:hAnsi="仿宋_GB2312" w:eastAsia="仿宋_GB2312" w:cs="仿宋_GB2312"/>
          <w:color w:val="333333"/>
          <w:kern w:val="0"/>
          <w:sz w:val="30"/>
          <w:szCs w:val="30"/>
          <w:lang w:val="zh-CN"/>
        </w:rPr>
        <w:t>因机构改革、人员调动、人员死亡等原因，</w:t>
      </w:r>
      <w:r>
        <w:rPr>
          <w:rFonts w:hint="eastAsia" w:ascii="仿宋_GB2312" w:hAnsi="宋体" w:eastAsia="仿宋_GB2312" w:cs="宋体"/>
          <w:color w:val="333333"/>
          <w:kern w:val="0"/>
          <w:sz w:val="28"/>
          <w:szCs w:val="28"/>
          <w:lang w:val="zh-CN"/>
        </w:rPr>
        <w:t>在职人员较上年减少9人，遗属人员较上年增加2人。</w:t>
      </w:r>
    </w:p>
    <w:p>
      <w:pPr>
        <w:snapToGrid w:val="0"/>
        <w:spacing w:line="520" w:lineRule="exact"/>
        <w:ind w:firstLine="640" w:firstLineChars="200"/>
        <w:rPr>
          <w:rFonts w:ascii="仿宋_GB2312" w:eastAsia="仿宋_GB2312"/>
          <w:sz w:val="32"/>
        </w:rPr>
      </w:pPr>
    </w:p>
    <w:p>
      <w:pPr>
        <w:pStyle w:val="4"/>
        <w:ind w:right="440"/>
        <w:jc w:val="right"/>
      </w:pPr>
      <w:bookmarkStart w:id="23" w:name="_Toc15396602"/>
      <w:bookmarkStart w:id="24" w:name="_Toc15377204"/>
      <w:r>
        <w:rPr>
          <w:rFonts w:hint="eastAsia" w:ascii="黑体" w:eastAsia="黑体"/>
          <w:b w:val="0"/>
          <w:color w:val="000000"/>
        </w:rPr>
        <w:t>第二部分</w:t>
      </w:r>
      <w:r>
        <w:rPr>
          <w:rFonts w:hint="eastAsia" w:ascii="黑体" w:eastAsia="黑体"/>
          <w:color w:val="000000"/>
        </w:rPr>
        <w:t xml:space="preserve"> </w:t>
      </w:r>
      <w:r>
        <w:rPr>
          <w:rStyle w:val="20"/>
          <w:rFonts w:hint="eastAsia" w:ascii="黑体" w:eastAsia="黑体"/>
          <w:b w:val="0"/>
          <w:bCs w:val="0"/>
        </w:rPr>
        <w:t>2020年度部门决算情况说明</w:t>
      </w:r>
      <w:bookmarkEnd w:id="23"/>
      <w:bookmarkEnd w:id="24"/>
    </w:p>
    <w:p>
      <w:pPr>
        <w:pStyle w:val="26"/>
        <w:numPr>
          <w:ilvl w:val="0"/>
          <w:numId w:val="2"/>
        </w:numPr>
        <w:ind w:left="0" w:firstLine="0" w:firstLineChars="0"/>
        <w:outlineLvl w:val="1"/>
        <w:rPr>
          <w:rStyle w:val="21"/>
          <w:rFonts w:ascii="黑体" w:eastAsia="黑体"/>
          <w:b w:val="0"/>
        </w:rPr>
      </w:pPr>
      <w:bookmarkStart w:id="25" w:name="_Toc15377205"/>
      <w:bookmarkStart w:id="26" w:name="_Toc15396603"/>
      <w:r>
        <w:rPr>
          <w:rFonts w:hint="eastAsia" w:ascii="黑体" w:eastAsia="黑体"/>
          <w:color w:val="000000"/>
          <w:sz w:val="32"/>
          <w:szCs w:val="32"/>
        </w:rPr>
        <w:t>收</w:t>
      </w:r>
      <w:r>
        <w:rPr>
          <w:rStyle w:val="21"/>
          <w:rFonts w:hint="eastAsia" w:ascii="黑体" w:eastAsia="黑体"/>
          <w:b w:val="0"/>
        </w:rPr>
        <w:t>入支出决算总体情况说明</w:t>
      </w:r>
      <w:bookmarkEnd w:id="25"/>
      <w:bookmarkEnd w:id="26"/>
    </w:p>
    <w:p>
      <w:pPr>
        <w:snapToGrid w:val="0"/>
        <w:spacing w:line="540" w:lineRule="atLeast"/>
        <w:ind w:firstLine="60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度总收入12954.3万元，较上年13895.92万元收入减少941.62万元，减少6.78%。减少的主要原因一是2020年当年扶贫结束，中央及省级、州级项目相关扶贫资金投入相比2019年有所降低。原因二是机构改革，部分农技员划分到乡镇机关，故相关农技员经费减少。</w:t>
      </w:r>
    </w:p>
    <w:p>
      <w:pPr>
        <w:snapToGrid w:val="0"/>
        <w:spacing w:line="540" w:lineRule="atLeast"/>
        <w:ind w:firstLine="60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2020年总支出</w:t>
      </w:r>
      <w:r>
        <w:rPr>
          <w:rFonts w:hint="eastAsia" w:ascii="仿宋_GB2312" w:hAnsi="仿宋_GB2312" w:eastAsia="仿宋_GB2312" w:cs="仿宋_GB2312"/>
          <w:color w:val="333333"/>
          <w:kern w:val="0"/>
          <w:sz w:val="30"/>
          <w:szCs w:val="30"/>
          <w:lang w:val="zh-CN"/>
        </w:rPr>
        <w:t>13561.88</w:t>
      </w:r>
      <w:r>
        <w:rPr>
          <w:rFonts w:hint="eastAsia" w:ascii="仿宋_GB2312" w:hAnsi="仿宋_GB2312" w:eastAsia="仿宋_GB2312" w:cs="仿宋_GB2312"/>
          <w:color w:val="333333"/>
          <w:kern w:val="0"/>
          <w:sz w:val="30"/>
          <w:szCs w:val="30"/>
        </w:rPr>
        <w:t>万元，较上年10236.45万元支出增多3325.43万元，增多32.49%。主要原因为2019年疫情原因，对大部分当年项目施工产生影响，预计项目竣工期限延迟，故相关项目资金拨付进度缓慢，于2020年完成资金拨付。</w:t>
      </w:r>
    </w:p>
    <w:p>
      <w:pPr>
        <w:snapToGrid w:val="0"/>
        <w:spacing w:line="540" w:lineRule="atLeast"/>
        <w:rPr>
          <w:rStyle w:val="21"/>
          <w:rFonts w:ascii="黑体" w:eastAsia="黑体"/>
          <w:b w:val="0"/>
        </w:rPr>
      </w:pPr>
      <w:r>
        <w:drawing>
          <wp:anchor distT="0" distB="0" distL="114300" distR="114300" simplePos="0" relativeHeight="251661312" behindDoc="0" locked="0" layoutInCell="1" allowOverlap="1">
            <wp:simplePos x="0" y="0"/>
            <wp:positionH relativeFrom="column">
              <wp:posOffset>-182245</wp:posOffset>
            </wp:positionH>
            <wp:positionV relativeFrom="paragraph">
              <wp:posOffset>191135</wp:posOffset>
            </wp:positionV>
            <wp:extent cx="5269865" cy="3168650"/>
            <wp:effectExtent l="0" t="0" r="3175" b="1270"/>
            <wp:wrapTopAndBottom/>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6" cstate="print"/>
                    <a:stretch>
                      <a:fillRect/>
                    </a:stretch>
                  </pic:blipFill>
                  <pic:spPr>
                    <a:xfrm>
                      <a:off x="0" y="0"/>
                      <a:ext cx="5269865" cy="3168650"/>
                    </a:xfrm>
                    <a:prstGeom prst="rect">
                      <a:avLst/>
                    </a:prstGeom>
                    <a:noFill/>
                    <a:ln>
                      <a:noFill/>
                    </a:ln>
                  </pic:spPr>
                </pic:pic>
              </a:graphicData>
            </a:graphic>
          </wp:anchor>
        </w:drawing>
      </w:r>
      <w:bookmarkStart w:id="27" w:name="_Toc15396604"/>
      <w:bookmarkStart w:id="28" w:name="_Toc15377206"/>
      <w:r>
        <w:rPr>
          <w:rFonts w:hint="eastAsia" w:ascii="黑体" w:eastAsia="黑体"/>
          <w:color w:val="000000"/>
          <w:sz w:val="32"/>
          <w:szCs w:val="32"/>
        </w:rPr>
        <w:t>二、 收入决</w:t>
      </w:r>
      <w:r>
        <w:rPr>
          <w:rStyle w:val="21"/>
          <w:rFonts w:hint="eastAsia" w:ascii="黑体" w:eastAsia="黑体"/>
          <w:b w:val="0"/>
        </w:rPr>
        <w:t>算情况说明</w:t>
      </w:r>
      <w:bookmarkEnd w:id="27"/>
      <w:bookmarkEnd w:id="28"/>
    </w:p>
    <w:p>
      <w:pPr>
        <w:spacing w:line="600" w:lineRule="exact"/>
        <w:ind w:firstLine="600" w:firstLineChars="200"/>
        <w:outlineLvl w:val="1"/>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2020年总收入</w:t>
      </w:r>
      <w:r>
        <w:rPr>
          <w:rFonts w:hint="eastAsia" w:ascii="仿宋_GB2312" w:hAnsi="仿宋_GB2312" w:eastAsia="仿宋_GB2312" w:cs="仿宋_GB2312"/>
          <w:color w:val="333333"/>
          <w:kern w:val="0"/>
          <w:sz w:val="30"/>
          <w:szCs w:val="30"/>
          <w:lang w:val="zh-CN"/>
        </w:rPr>
        <w:t>12954.3</w:t>
      </w:r>
      <w:r>
        <w:rPr>
          <w:rFonts w:hint="eastAsia" w:ascii="仿宋_GB2312" w:hAnsi="仿宋_GB2312" w:eastAsia="仿宋_GB2312" w:cs="仿宋_GB2312"/>
          <w:color w:val="333333"/>
          <w:kern w:val="0"/>
          <w:sz w:val="30"/>
          <w:szCs w:val="30"/>
        </w:rPr>
        <w:t>万元，其中：一般公共预算财政拨款收入</w:t>
      </w:r>
      <w:r>
        <w:rPr>
          <w:rFonts w:hint="eastAsia" w:ascii="仿宋_GB2312" w:hAnsi="仿宋_GB2312" w:eastAsia="仿宋_GB2312" w:cs="仿宋_GB2312"/>
          <w:color w:val="333333"/>
          <w:kern w:val="0"/>
          <w:sz w:val="30"/>
          <w:szCs w:val="30"/>
          <w:lang w:val="zh-CN"/>
        </w:rPr>
        <w:t>12308.3</w:t>
      </w:r>
      <w:r>
        <w:rPr>
          <w:rFonts w:hint="eastAsia" w:ascii="仿宋_GB2312" w:hAnsi="仿宋_GB2312" w:eastAsia="仿宋_GB2312" w:cs="仿宋_GB2312"/>
          <w:color w:val="333333"/>
          <w:kern w:val="0"/>
          <w:sz w:val="30"/>
          <w:szCs w:val="30"/>
        </w:rPr>
        <w:t>万元，占95%；政府性基金预算财政拨款收入</w:t>
      </w:r>
      <w:r>
        <w:rPr>
          <w:rFonts w:hint="eastAsia" w:ascii="仿宋_GB2312" w:hAnsi="仿宋_GB2312" w:eastAsia="仿宋_GB2312" w:cs="仿宋_GB2312"/>
          <w:color w:val="333333"/>
          <w:kern w:val="0"/>
          <w:sz w:val="30"/>
          <w:szCs w:val="30"/>
          <w:lang w:val="zh-CN"/>
        </w:rPr>
        <w:t>646</w:t>
      </w:r>
      <w:r>
        <w:rPr>
          <w:rFonts w:hint="eastAsia" w:ascii="仿宋_GB2312" w:hAnsi="仿宋_GB2312" w:eastAsia="仿宋_GB2312" w:cs="仿宋_GB2312"/>
          <w:color w:val="333333"/>
          <w:kern w:val="0"/>
          <w:sz w:val="30"/>
          <w:szCs w:val="30"/>
        </w:rPr>
        <w:t>万元，占5%；国有资本经营预算财政拨款收入0万元，占0%；事业收入0万元，占0%；经营收入0万元，占0%；附属单位上缴收入0万元，占0%；其他收入0万元，占0%。</w:t>
      </w:r>
    </w:p>
    <w:p>
      <w:pPr>
        <w:spacing w:line="600" w:lineRule="exact"/>
        <w:ind w:firstLine="420" w:firstLineChars="200"/>
        <w:outlineLvl w:val="1"/>
        <w:rPr>
          <w:rFonts w:ascii="仿宋_GB2312" w:hAnsi="仿宋_GB2312" w:eastAsia="仿宋_GB2312" w:cs="仿宋_GB2312"/>
          <w:color w:val="333333"/>
          <w:kern w:val="0"/>
          <w:sz w:val="30"/>
          <w:szCs w:val="30"/>
        </w:rPr>
      </w:pPr>
      <w:r>
        <w:drawing>
          <wp:anchor distT="0" distB="0" distL="114300" distR="114300" simplePos="0" relativeHeight="251663360" behindDoc="0" locked="0" layoutInCell="1" allowOverlap="1">
            <wp:simplePos x="0" y="0"/>
            <wp:positionH relativeFrom="column">
              <wp:posOffset>860425</wp:posOffset>
            </wp:positionH>
            <wp:positionV relativeFrom="paragraph">
              <wp:posOffset>126365</wp:posOffset>
            </wp:positionV>
            <wp:extent cx="3776345" cy="2066290"/>
            <wp:effectExtent l="5080" t="4445" r="13335" b="171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黑体" w:eastAsia="黑体"/>
          <w:color w:val="000000"/>
          <w:sz w:val="32"/>
          <w:szCs w:val="32"/>
        </w:rPr>
      </w:pPr>
      <w:bookmarkStart w:id="29" w:name="_Toc15396605"/>
      <w:bookmarkStart w:id="30" w:name="_Toc15377207"/>
    </w:p>
    <w:p>
      <w:pPr>
        <w:spacing w:line="600" w:lineRule="exact"/>
        <w:outlineLvl w:val="1"/>
        <w:rPr>
          <w:rFonts w:ascii="黑体" w:eastAsia="黑体"/>
          <w:color w:val="000000"/>
          <w:sz w:val="32"/>
          <w:szCs w:val="32"/>
        </w:rPr>
      </w:pPr>
    </w:p>
    <w:p>
      <w:pPr>
        <w:spacing w:line="600" w:lineRule="exact"/>
        <w:outlineLvl w:val="1"/>
        <w:rPr>
          <w:rFonts w:ascii="黑体" w:eastAsia="黑体"/>
          <w:color w:val="000000"/>
          <w:sz w:val="32"/>
          <w:szCs w:val="32"/>
        </w:rPr>
      </w:pPr>
    </w:p>
    <w:p>
      <w:pPr>
        <w:spacing w:line="600" w:lineRule="exact"/>
        <w:outlineLvl w:val="1"/>
        <w:rPr>
          <w:rFonts w:ascii="黑体" w:eastAsia="黑体"/>
          <w:color w:val="000000"/>
          <w:sz w:val="32"/>
          <w:szCs w:val="32"/>
        </w:rPr>
      </w:pPr>
    </w:p>
    <w:p>
      <w:pPr>
        <w:spacing w:line="600" w:lineRule="exact"/>
        <w:outlineLvl w:val="1"/>
        <w:rPr>
          <w:rFonts w:ascii="黑体" w:eastAsia="黑体"/>
          <w:color w:val="000000"/>
          <w:sz w:val="32"/>
          <w:szCs w:val="32"/>
        </w:rPr>
      </w:pPr>
    </w:p>
    <w:p>
      <w:pPr>
        <w:spacing w:line="600" w:lineRule="exact"/>
        <w:outlineLvl w:val="1"/>
        <w:rPr>
          <w:rFonts w:ascii="黑体" w:eastAsia="黑体"/>
          <w:color w:val="000000"/>
          <w:sz w:val="32"/>
          <w:szCs w:val="32"/>
        </w:rPr>
      </w:pPr>
    </w:p>
    <w:p>
      <w:pPr>
        <w:spacing w:line="600" w:lineRule="exact"/>
        <w:outlineLvl w:val="1"/>
        <w:rPr>
          <w:rStyle w:val="21"/>
          <w:rFonts w:ascii="黑体" w:eastAsia="黑体"/>
          <w:b w:val="0"/>
        </w:rPr>
      </w:pPr>
      <w:r>
        <w:rPr>
          <w:rFonts w:hint="eastAsia" w:ascii="黑体" w:eastAsia="黑体"/>
          <w:color w:val="000000"/>
          <w:sz w:val="32"/>
          <w:szCs w:val="32"/>
        </w:rPr>
        <w:t>三、支出决</w:t>
      </w:r>
      <w:r>
        <w:rPr>
          <w:rStyle w:val="21"/>
          <w:rFonts w:hint="eastAsia" w:ascii="黑体" w:eastAsia="黑体"/>
          <w:b w:val="0"/>
        </w:rPr>
        <w:t>算情况说明</w:t>
      </w:r>
      <w:bookmarkEnd w:id="29"/>
      <w:bookmarkEnd w:id="30"/>
    </w:p>
    <w:p>
      <w:pPr>
        <w:spacing w:line="600" w:lineRule="exact"/>
        <w:ind w:firstLine="600" w:firstLineChars="200"/>
        <w:outlineLvl w:val="1"/>
      </w:pPr>
      <w:r>
        <w:rPr>
          <w:rFonts w:hint="eastAsia" w:ascii="仿宋_GB2312" w:hAnsi="仿宋_GB2312" w:eastAsia="仿宋_GB2312" w:cs="仿宋_GB2312"/>
          <w:color w:val="333333"/>
          <w:kern w:val="0"/>
          <w:sz w:val="30"/>
          <w:szCs w:val="30"/>
        </w:rPr>
        <w:t>2020年本年总支出</w:t>
      </w:r>
      <w:r>
        <w:rPr>
          <w:rFonts w:hint="eastAsia" w:ascii="仿宋_GB2312" w:hAnsi="仿宋_GB2312" w:eastAsia="仿宋_GB2312" w:cs="仿宋_GB2312"/>
          <w:color w:val="333333"/>
          <w:kern w:val="0"/>
          <w:sz w:val="30"/>
          <w:szCs w:val="30"/>
          <w:lang w:val="zh-CN"/>
        </w:rPr>
        <w:t>13561.88</w:t>
      </w:r>
      <w:r>
        <w:rPr>
          <w:rFonts w:hint="eastAsia" w:ascii="仿宋_GB2312" w:hAnsi="仿宋_GB2312" w:eastAsia="仿宋_GB2312" w:cs="仿宋_GB2312"/>
          <w:color w:val="333333"/>
          <w:kern w:val="0"/>
          <w:sz w:val="30"/>
          <w:szCs w:val="30"/>
        </w:rPr>
        <w:t>万元，其中：基本支出</w:t>
      </w:r>
      <w:r>
        <w:rPr>
          <w:rFonts w:hint="eastAsia" w:ascii="仿宋_GB2312" w:hAnsi="仿宋_GB2312" w:eastAsia="仿宋_GB2312" w:cs="仿宋_GB2312"/>
          <w:color w:val="333333"/>
          <w:kern w:val="0"/>
          <w:sz w:val="30"/>
          <w:szCs w:val="30"/>
          <w:lang w:val="zh-CN"/>
        </w:rPr>
        <w:t>2121.2</w:t>
      </w:r>
      <w:r>
        <w:rPr>
          <w:rFonts w:hint="eastAsia" w:ascii="仿宋_GB2312" w:hAnsi="仿宋_GB2312" w:eastAsia="仿宋_GB2312" w:cs="仿宋_GB2312"/>
          <w:color w:val="333333"/>
          <w:kern w:val="0"/>
          <w:sz w:val="30"/>
          <w:szCs w:val="30"/>
        </w:rPr>
        <w:t>5万元，占</w:t>
      </w:r>
      <w:r>
        <w:rPr>
          <w:rFonts w:hint="eastAsia" w:ascii="仿宋_GB2312" w:hAnsi="仿宋_GB2312" w:eastAsia="仿宋_GB2312" w:cs="仿宋_GB2312"/>
          <w:color w:val="333333"/>
          <w:kern w:val="0"/>
          <w:sz w:val="30"/>
          <w:szCs w:val="30"/>
          <w:lang w:val="zh-CN"/>
        </w:rPr>
        <w:t>15.64</w:t>
      </w:r>
      <w:r>
        <w:rPr>
          <w:rFonts w:hint="eastAsia" w:ascii="仿宋_GB2312" w:hAnsi="仿宋_GB2312" w:eastAsia="仿宋_GB2312" w:cs="仿宋_GB2312"/>
          <w:color w:val="333333"/>
          <w:kern w:val="0"/>
          <w:sz w:val="30"/>
          <w:szCs w:val="30"/>
        </w:rPr>
        <w:t>%；项目支出</w:t>
      </w:r>
      <w:r>
        <w:rPr>
          <w:rFonts w:hint="eastAsia" w:ascii="仿宋_GB2312" w:hAnsi="仿宋_GB2312" w:eastAsia="仿宋_GB2312" w:cs="仿宋_GB2312"/>
          <w:color w:val="333333"/>
          <w:kern w:val="0"/>
          <w:sz w:val="30"/>
          <w:szCs w:val="30"/>
          <w:lang w:val="zh-CN"/>
        </w:rPr>
        <w:t>11440.6</w:t>
      </w:r>
      <w:r>
        <w:rPr>
          <w:rFonts w:hint="eastAsia" w:ascii="仿宋_GB2312" w:hAnsi="仿宋_GB2312" w:eastAsia="仿宋_GB2312" w:cs="仿宋_GB2312"/>
          <w:color w:val="333333"/>
          <w:kern w:val="0"/>
          <w:sz w:val="30"/>
          <w:szCs w:val="30"/>
        </w:rPr>
        <w:t>3万元，占</w:t>
      </w:r>
      <w:r>
        <w:rPr>
          <w:rFonts w:hint="eastAsia" w:ascii="仿宋_GB2312" w:hAnsi="仿宋_GB2312" w:eastAsia="仿宋_GB2312" w:cs="仿宋_GB2312"/>
          <w:color w:val="333333"/>
          <w:kern w:val="0"/>
          <w:sz w:val="30"/>
          <w:szCs w:val="30"/>
          <w:lang w:val="zh-CN"/>
        </w:rPr>
        <w:t>84.36</w:t>
      </w:r>
      <w:r>
        <w:rPr>
          <w:rFonts w:hint="eastAsia" w:ascii="仿宋_GB2312" w:hAnsi="仿宋_GB2312" w:eastAsia="仿宋_GB2312" w:cs="仿宋_GB2312"/>
          <w:color w:val="333333"/>
          <w:kern w:val="0"/>
          <w:sz w:val="30"/>
          <w:szCs w:val="30"/>
        </w:rPr>
        <w:t>%；上缴上级支出0万元，占0%；经营支出0万元，占0%；对附属单位补助支出0万元，占0%。</w:t>
      </w:r>
    </w:p>
    <w:p>
      <w:pPr>
        <w:spacing w:line="600" w:lineRule="exact"/>
        <w:ind w:firstLine="420" w:firstLineChars="200"/>
        <w:outlineLvl w:val="1"/>
      </w:pPr>
    </w:p>
    <w:p>
      <w:pPr>
        <w:spacing w:line="600" w:lineRule="exact"/>
        <w:ind w:firstLine="420" w:firstLineChars="200"/>
        <w:outlineLvl w:val="1"/>
      </w:pPr>
    </w:p>
    <w:p>
      <w:pPr>
        <w:spacing w:line="600" w:lineRule="exact"/>
        <w:ind w:firstLine="420" w:firstLineChars="200"/>
        <w:outlineLvl w:val="1"/>
      </w:pPr>
    </w:p>
    <w:p>
      <w:pPr>
        <w:spacing w:line="600" w:lineRule="exact"/>
        <w:ind w:firstLine="420" w:firstLineChars="200"/>
        <w:outlineLvl w:val="1"/>
      </w:pPr>
    </w:p>
    <w:p>
      <w:pPr>
        <w:spacing w:line="600" w:lineRule="exact"/>
        <w:ind w:firstLine="420" w:firstLineChars="200"/>
        <w:outlineLvl w:val="1"/>
      </w:pPr>
    </w:p>
    <w:p>
      <w:pPr>
        <w:spacing w:line="600" w:lineRule="exact"/>
        <w:ind w:firstLine="420" w:firstLineChars="200"/>
        <w:outlineLvl w:val="1"/>
      </w:pPr>
    </w:p>
    <w:p>
      <w:pPr>
        <w:spacing w:line="600" w:lineRule="exact"/>
        <w:ind w:firstLine="420" w:firstLineChars="200"/>
        <w:outlineLvl w:val="1"/>
      </w:pPr>
    </w:p>
    <w:p>
      <w:pPr>
        <w:spacing w:line="600" w:lineRule="exact"/>
        <w:ind w:firstLine="420" w:firstLineChars="200"/>
        <w:outlineLvl w:val="1"/>
      </w:pPr>
      <w:r>
        <w:drawing>
          <wp:anchor distT="0" distB="0" distL="114300" distR="114300" simplePos="0" relativeHeight="251664384" behindDoc="0" locked="0" layoutInCell="1" allowOverlap="1">
            <wp:simplePos x="0" y="0"/>
            <wp:positionH relativeFrom="column">
              <wp:posOffset>271145</wp:posOffset>
            </wp:positionH>
            <wp:positionV relativeFrom="paragraph">
              <wp:posOffset>-2449195</wp:posOffset>
            </wp:positionV>
            <wp:extent cx="4283710" cy="2734945"/>
            <wp:effectExtent l="4445" t="4445" r="9525" b="1905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rPr>
          <w:rStyle w:val="21"/>
          <w:rFonts w:ascii="黑体" w:eastAsia="黑体"/>
          <w:b w:val="0"/>
        </w:rPr>
      </w:pPr>
      <w:bookmarkStart w:id="31" w:name="_Toc15377208"/>
      <w:bookmarkStart w:id="32" w:name="_Toc15396606"/>
      <w:r>
        <w:rPr>
          <w:rFonts w:hint="eastAsia" w:ascii="黑体" w:eastAsia="黑体"/>
          <w:color w:val="000000"/>
          <w:sz w:val="32"/>
          <w:szCs w:val="32"/>
        </w:rPr>
        <w:t>四、财</w:t>
      </w:r>
      <w:r>
        <w:rPr>
          <w:rStyle w:val="21"/>
          <w:rFonts w:hint="eastAsia" w:ascii="黑体" w:eastAsia="黑体"/>
          <w:b w:val="0"/>
        </w:rPr>
        <w:t>政拨款收入支出决算总体情况说明</w:t>
      </w:r>
      <w:bookmarkEnd w:id="31"/>
      <w:bookmarkEnd w:id="32"/>
    </w:p>
    <w:p>
      <w:pPr>
        <w:snapToGrid w:val="0"/>
        <w:spacing w:line="540" w:lineRule="atLeast"/>
        <w:ind w:firstLine="60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2020年度财政拨款收入</w:t>
      </w:r>
      <w:r>
        <w:rPr>
          <w:rFonts w:hint="eastAsia" w:ascii="仿宋_GB2312" w:hAnsi="仿宋_GB2312" w:eastAsia="仿宋_GB2312" w:cs="仿宋_GB2312"/>
          <w:color w:val="333333"/>
          <w:kern w:val="0"/>
          <w:sz w:val="30"/>
          <w:szCs w:val="30"/>
          <w:lang w:val="zh-CN"/>
        </w:rPr>
        <w:t>12954.3</w:t>
      </w:r>
      <w:r>
        <w:rPr>
          <w:rFonts w:hint="eastAsia" w:ascii="仿宋_GB2312" w:hAnsi="仿宋_GB2312" w:eastAsia="仿宋_GB2312" w:cs="仿宋_GB2312"/>
          <w:color w:val="333333"/>
          <w:kern w:val="0"/>
          <w:sz w:val="30"/>
          <w:szCs w:val="30"/>
        </w:rPr>
        <w:t>万元，较上年13895.92万元收入减少941.62万元，减少6.78%。减少的主要原因一是2020年当年扶贫结束，中央及省级、州级项目相关扶贫资金投入相比2019年有所降低。原因二是机构改革，部分农技员划分到乡镇机关，故相关农技员经费减少。</w:t>
      </w:r>
    </w:p>
    <w:p>
      <w:pPr>
        <w:snapToGrid w:val="0"/>
        <w:spacing w:line="540" w:lineRule="atLeast"/>
        <w:ind w:firstLine="600" w:firstLineChars="200"/>
        <w:rPr>
          <w:rFonts w:ascii="仿宋_GB2312" w:hAnsi="仿宋_GB2312" w:eastAsia="仿宋_GB2312" w:cs="仿宋_GB2312"/>
          <w:color w:val="333333"/>
          <w:kern w:val="0"/>
          <w:sz w:val="30"/>
          <w:szCs w:val="30"/>
        </w:rPr>
      </w:pPr>
      <w:r>
        <w:rPr>
          <w:rFonts w:hint="eastAsia" w:ascii="仿宋_GB2312" w:hAnsi="仿宋_GB2312" w:eastAsia="仿宋_GB2312" w:cs="仿宋_GB2312"/>
          <w:color w:val="333333"/>
          <w:kern w:val="0"/>
          <w:sz w:val="30"/>
          <w:szCs w:val="30"/>
        </w:rPr>
        <w:t>2020年财政拨款支出</w:t>
      </w:r>
      <w:r>
        <w:rPr>
          <w:rFonts w:hint="eastAsia" w:ascii="仿宋_GB2312" w:hAnsi="仿宋_GB2312" w:eastAsia="仿宋_GB2312" w:cs="仿宋_GB2312"/>
          <w:color w:val="333333"/>
          <w:kern w:val="0"/>
          <w:sz w:val="30"/>
          <w:szCs w:val="30"/>
          <w:lang w:val="zh-CN"/>
        </w:rPr>
        <w:t>13561.8</w:t>
      </w:r>
      <w:r>
        <w:rPr>
          <w:rFonts w:hint="eastAsia" w:ascii="仿宋_GB2312" w:hAnsi="仿宋_GB2312" w:eastAsia="仿宋_GB2312" w:cs="仿宋_GB2312"/>
          <w:color w:val="333333"/>
          <w:kern w:val="0"/>
          <w:sz w:val="30"/>
          <w:szCs w:val="30"/>
        </w:rPr>
        <w:t>9万元，较上年10236.45万元支出增多3325.43万元，增多32.49%。主要原因一2019年疫情原因，对大部分当年项目施工产生影响，预计项目竣工期限延迟，故相关项目资金拨付进度缓慢，于2020年完成资金拨付。</w:t>
      </w:r>
    </w:p>
    <w:p>
      <w:pPr>
        <w:spacing w:line="600" w:lineRule="exact"/>
        <w:ind w:firstLine="420" w:firstLineChars="200"/>
      </w:pPr>
      <w:bookmarkStart w:id="33" w:name="_Toc15396607"/>
      <w:bookmarkStart w:id="34" w:name="_Toc15377209"/>
    </w:p>
    <w:p>
      <w:pPr>
        <w:spacing w:line="600" w:lineRule="exact"/>
        <w:ind w:firstLine="420" w:firstLineChars="200"/>
      </w:pPr>
      <w:r>
        <w:drawing>
          <wp:anchor distT="0" distB="0" distL="114300" distR="114300" simplePos="0" relativeHeight="251662336" behindDoc="0" locked="0" layoutInCell="1" allowOverlap="1">
            <wp:simplePos x="0" y="0"/>
            <wp:positionH relativeFrom="column">
              <wp:posOffset>288290</wp:posOffset>
            </wp:positionH>
            <wp:positionV relativeFrom="paragraph">
              <wp:posOffset>182245</wp:posOffset>
            </wp:positionV>
            <wp:extent cx="4572000" cy="2743200"/>
            <wp:effectExtent l="4445" t="4445" r="10795" b="10795"/>
            <wp:wrapTopAndBottom/>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Style w:val="21"/>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33"/>
      <w:bookmarkEnd w:id="34"/>
    </w:p>
    <w:p>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pPr>
        <w:snapToGrid w:val="0"/>
        <w:spacing w:line="540" w:lineRule="atLeast"/>
        <w:ind w:firstLine="420" w:firstLineChars="200"/>
        <w:rPr>
          <w:rFonts w:ascii="仿宋_GB2312" w:hAnsi="仿宋_GB2312" w:eastAsia="仿宋_GB2312" w:cs="仿宋_GB2312"/>
          <w:color w:val="333333"/>
          <w:kern w:val="0"/>
          <w:sz w:val="30"/>
          <w:szCs w:val="30"/>
        </w:rPr>
      </w:pPr>
      <w:r>
        <w:drawing>
          <wp:anchor distT="0" distB="0" distL="114300" distR="114300" simplePos="0" relativeHeight="251662336" behindDoc="0" locked="0" layoutInCell="1" allowOverlap="1">
            <wp:simplePos x="0" y="0"/>
            <wp:positionH relativeFrom="column">
              <wp:posOffset>567690</wp:posOffset>
            </wp:positionH>
            <wp:positionV relativeFrom="paragraph">
              <wp:posOffset>2107565</wp:posOffset>
            </wp:positionV>
            <wp:extent cx="4343400" cy="2176780"/>
            <wp:effectExtent l="4445" t="4445" r="10795" b="13335"/>
            <wp:wrapTopAndBottom/>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color w:val="333333"/>
          <w:kern w:val="0"/>
          <w:sz w:val="30"/>
          <w:szCs w:val="30"/>
        </w:rPr>
        <w:t>科学技术和农业畜牧局2020年度一般公共预算财政拨款支出</w:t>
      </w:r>
      <w:r>
        <w:rPr>
          <w:rFonts w:hint="eastAsia" w:ascii="仿宋_GB2312" w:hAnsi="仿宋_GB2312" w:eastAsia="仿宋_GB2312" w:cs="仿宋_GB2312"/>
          <w:color w:val="333333"/>
          <w:kern w:val="0"/>
          <w:sz w:val="30"/>
          <w:szCs w:val="30"/>
          <w:lang w:val="zh-CN"/>
        </w:rPr>
        <w:t>12897.13</w:t>
      </w:r>
      <w:r>
        <w:rPr>
          <w:rFonts w:hint="eastAsia" w:ascii="仿宋_GB2312" w:hAnsi="仿宋_GB2312" w:eastAsia="仿宋_GB2312" w:cs="仿宋_GB2312"/>
          <w:color w:val="333333"/>
          <w:kern w:val="0"/>
          <w:sz w:val="30"/>
          <w:szCs w:val="30"/>
        </w:rPr>
        <w:t>万元，占本年支出合计的95.1%。与2019年9998.15万元相比，一般公共预算财政拨款支出增多2898.98万元，增多28.99%。主要原因是2019年疫情原因，对大部分当年项目施工产生影响，预计项目竣工期限延迟，故相关项目资金拨付进度缓慢，于2020年完成资金拨付。</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3" w:firstLineChars="200"/>
        <w:rPr>
          <w:rFonts w:ascii="仿宋" w:eastAsia="仿宋"/>
          <w:b/>
          <w:sz w:val="32"/>
          <w:szCs w:val="32"/>
        </w:rPr>
      </w:pPr>
      <w:bookmarkStart w:id="36" w:name="_Toc15377211"/>
      <w:r>
        <w:rPr>
          <w:rFonts w:hint="eastAsia" w:ascii="仿宋" w:eastAsia="仿宋"/>
          <w:b/>
          <w:sz w:val="32"/>
          <w:szCs w:val="32"/>
        </w:rPr>
        <w:t>（二）一般公共预算财政拨款支出决算结构情况</w:t>
      </w:r>
      <w:bookmarkEnd w:id="36"/>
    </w:p>
    <w:p>
      <w:pPr>
        <w:spacing w:line="600" w:lineRule="exact"/>
        <w:ind w:firstLine="640" w:firstLineChars="200"/>
        <w:rPr>
          <w:rFonts w:ascii="仿宋_GB2312" w:hAnsi="仿宋_GB2312" w:eastAsia="仿宋_GB2312" w:cs="仿宋_GB2312"/>
          <w:sz w:val="28"/>
          <w:szCs w:val="28"/>
        </w:rPr>
      </w:pPr>
      <w:r>
        <w:rPr>
          <w:rFonts w:ascii="仿宋" w:eastAsia="仿宋"/>
          <w:sz w:val="32"/>
          <w:szCs w:val="32"/>
        </w:rPr>
        <w:t>20</w:t>
      </w:r>
      <w:r>
        <w:rPr>
          <w:rFonts w:hint="eastAsia" w:ascii="仿宋" w:eastAsia="仿宋"/>
          <w:sz w:val="32"/>
          <w:szCs w:val="32"/>
        </w:rPr>
        <w:t>20年一般公共预算财政拨款支出</w:t>
      </w:r>
      <w:r>
        <w:rPr>
          <w:rFonts w:hint="eastAsia" w:ascii="仿宋_GB2312" w:hAnsi="仿宋_GB2312" w:eastAsia="仿宋_GB2312" w:cs="仿宋_GB2312"/>
          <w:sz w:val="28"/>
          <w:szCs w:val="28"/>
        </w:rPr>
        <w:t>12897.13</w:t>
      </w:r>
      <w:r>
        <w:rPr>
          <w:rFonts w:hint="eastAsia" w:ascii="仿宋" w:eastAsia="仿宋"/>
          <w:sz w:val="32"/>
          <w:szCs w:val="32"/>
        </w:rPr>
        <w:t>万元，主要用于以下方面</w:t>
      </w:r>
      <w:r>
        <w:rPr>
          <w:rFonts w:ascii="仿宋" w:eastAsia="仿宋"/>
          <w:sz w:val="32"/>
          <w:szCs w:val="32"/>
        </w:rPr>
        <w:t>:</w:t>
      </w:r>
      <w:r>
        <w:rPr>
          <w:rFonts w:hint="eastAsia" w:ascii="仿宋" w:hAnsi="仿宋" w:eastAsia="仿宋" w:cs="仿宋"/>
          <w:b/>
          <w:bCs/>
          <w:sz w:val="32"/>
          <w:szCs w:val="32"/>
        </w:rPr>
        <w:t>工资福利支出</w:t>
      </w:r>
      <w:r>
        <w:rPr>
          <w:rFonts w:hint="eastAsia" w:ascii="仿宋_GB2312" w:hAnsi="仿宋_GB2312" w:eastAsia="仿宋_GB2312" w:cs="仿宋_GB2312"/>
          <w:sz w:val="28"/>
          <w:szCs w:val="28"/>
        </w:rPr>
        <w:t>1733.28万元，占13.44%；</w:t>
      </w:r>
      <w:r>
        <w:rPr>
          <w:rFonts w:hint="eastAsia" w:ascii="仿宋" w:hAnsi="仿宋" w:eastAsia="仿宋" w:cs="仿宋"/>
          <w:b/>
          <w:bCs/>
          <w:sz w:val="32"/>
          <w:szCs w:val="32"/>
        </w:rPr>
        <w:t>商品和服务支出</w:t>
      </w:r>
      <w:r>
        <w:rPr>
          <w:rFonts w:hint="eastAsia" w:ascii="仿宋_GB2312" w:hAnsi="仿宋_GB2312" w:eastAsia="仿宋_GB2312" w:cs="仿宋_GB2312"/>
          <w:sz w:val="28"/>
          <w:szCs w:val="28"/>
        </w:rPr>
        <w:t>542.24万元，占4.47%；</w:t>
      </w:r>
      <w:r>
        <w:rPr>
          <w:rFonts w:hint="eastAsia" w:ascii="仿宋" w:hAnsi="仿宋" w:eastAsia="仿宋" w:cs="仿宋"/>
          <w:b/>
          <w:bCs/>
          <w:sz w:val="32"/>
          <w:szCs w:val="32"/>
        </w:rPr>
        <w:t>对个人和家庭的补助支出</w:t>
      </w:r>
      <w:r>
        <w:rPr>
          <w:rFonts w:hint="eastAsia" w:ascii="仿宋_GB2312" w:hAnsi="仿宋_GB2312" w:eastAsia="仿宋_GB2312" w:cs="仿宋_GB2312"/>
          <w:sz w:val="28"/>
          <w:szCs w:val="28"/>
        </w:rPr>
        <w:t>2279.43万元，占12.89%；</w:t>
      </w:r>
      <w:r>
        <w:rPr>
          <w:rFonts w:hint="eastAsia" w:ascii="仿宋" w:hAnsi="仿宋" w:eastAsia="仿宋" w:cs="仿宋"/>
          <w:b/>
          <w:bCs/>
          <w:sz w:val="32"/>
          <w:szCs w:val="32"/>
        </w:rPr>
        <w:t>资本性支出</w:t>
      </w:r>
      <w:r>
        <w:rPr>
          <w:rFonts w:hint="eastAsia" w:ascii="仿宋_GB2312" w:hAnsi="仿宋_GB2312" w:eastAsia="仿宋_GB2312" w:cs="仿宋_GB2312"/>
          <w:sz w:val="28"/>
          <w:szCs w:val="28"/>
        </w:rPr>
        <w:t>8342.18万元，占69.2%。</w:t>
      </w:r>
    </w:p>
    <w:p>
      <w:pPr>
        <w:spacing w:line="600" w:lineRule="exact"/>
        <w:ind w:firstLine="640"/>
        <w:rPr>
          <w:rFonts w:ascii="仿宋" w:eastAsia="仿宋"/>
          <w:color w:val="000000"/>
          <w:sz w:val="32"/>
          <w:szCs w:val="32"/>
        </w:rPr>
      </w:pPr>
    </w:p>
    <w:p>
      <w:pPr>
        <w:spacing w:line="600" w:lineRule="exact"/>
        <w:ind w:firstLine="8320" w:firstLineChars="2600"/>
        <w:outlineLvl w:val="2"/>
        <w:rPr>
          <w:rFonts w:ascii="仿宋" w:eastAsia="仿宋"/>
          <w:b/>
          <w:color w:val="000000"/>
          <w:sz w:val="32"/>
          <w:szCs w:val="32"/>
        </w:rPr>
      </w:pPr>
      <w:bookmarkStart w:id="37" w:name="_Toc15377444"/>
      <w:bookmarkStart w:id="38" w:name="_Toc15378460"/>
      <w:bookmarkStart w:id="39" w:name="_Toc15377213"/>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pPr>
        <w:spacing w:line="600" w:lineRule="exact"/>
        <w:rPr>
          <w:rFonts w:ascii="仿宋_GB2312" w:hAnsi="仿宋_GB2312" w:eastAsia="仿宋_GB2312" w:cs="仿宋_GB2312"/>
          <w:b/>
          <w:bCs/>
          <w:color w:val="000000"/>
          <w:sz w:val="28"/>
          <w:szCs w:val="28"/>
        </w:rPr>
      </w:pPr>
      <w:r>
        <w:rPr>
          <w:rFonts w:hint="eastAsia" w:ascii="仿宋" w:eastAsia="仿宋"/>
          <w:bCs/>
          <w:color w:val="000000"/>
          <w:sz w:val="32"/>
          <w:szCs w:val="32"/>
        </w:rPr>
        <w:t xml:space="preserve">    </w:t>
      </w:r>
      <w:bookmarkEnd w:id="37"/>
      <w:bookmarkEnd w:id="38"/>
      <w:bookmarkEnd w:id="39"/>
      <w:bookmarkStart w:id="41" w:name="_Toc15396608"/>
      <w:bookmarkStart w:id="42" w:name="_Toc15377214"/>
      <w:r>
        <w:rPr>
          <w:rFonts w:hint="eastAsia" w:ascii="仿宋_GB2312" w:hAnsi="仿宋_GB2312" w:eastAsia="仿宋_GB2312" w:cs="仿宋_GB2312"/>
          <w:b/>
          <w:bCs/>
          <w:color w:val="000000"/>
          <w:sz w:val="28"/>
          <w:szCs w:val="28"/>
        </w:rPr>
        <w:t>1.科学技术支出：</w:t>
      </w:r>
    </w:p>
    <w:p>
      <w:pPr>
        <w:spacing w:line="600" w:lineRule="exact"/>
        <w:ind w:firstLine="840" w:firstLineChars="3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科学技术支出206（类）技术研究与开发04（款）</w:t>
      </w:r>
      <w:r>
        <w:rPr>
          <w:rFonts w:hint="eastAsia" w:ascii="仿宋_GB2312" w:hAnsi="仿宋_GB2312" w:eastAsia="仿宋_GB2312" w:cs="仿宋_GB2312"/>
          <w:sz w:val="28"/>
          <w:szCs w:val="28"/>
        </w:rPr>
        <w:t>：2020年决算数为91.4万元。</w:t>
      </w:r>
    </w:p>
    <w:p>
      <w:pPr>
        <w:spacing w:line="600" w:lineRule="exact"/>
        <w:ind w:firstLine="840" w:firstLineChars="3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科学技术支出206（类）科技条件与服务05（款）</w:t>
      </w:r>
      <w:r>
        <w:rPr>
          <w:rFonts w:hint="eastAsia" w:ascii="仿宋_GB2312" w:hAnsi="仿宋_GB2312" w:eastAsia="仿宋_GB2312" w:cs="仿宋_GB2312"/>
          <w:sz w:val="28"/>
          <w:szCs w:val="28"/>
        </w:rPr>
        <w:t>：2020年决算数为50万元。</w:t>
      </w:r>
    </w:p>
    <w:p>
      <w:pPr>
        <w:spacing w:line="600" w:lineRule="exact"/>
        <w:ind w:firstLine="840" w:firstLineChars="3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科学技术支出206（类）科学技术普及07（款）</w:t>
      </w:r>
      <w:r>
        <w:rPr>
          <w:rFonts w:hint="eastAsia" w:ascii="仿宋_GB2312" w:hAnsi="仿宋_GB2312" w:eastAsia="仿宋_GB2312" w:cs="仿宋_GB2312"/>
          <w:sz w:val="28"/>
          <w:szCs w:val="28"/>
        </w:rPr>
        <w:t>：2020年决算数为18.15万元。</w:t>
      </w:r>
    </w:p>
    <w:p>
      <w:pPr>
        <w:spacing w:line="600" w:lineRule="exact"/>
        <w:ind w:firstLine="840" w:firstLineChars="3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科学技术支出206（类）其他科学技术支出99（款）</w:t>
      </w:r>
      <w:r>
        <w:rPr>
          <w:rFonts w:hint="eastAsia" w:ascii="仿宋_GB2312" w:hAnsi="仿宋_GB2312" w:eastAsia="仿宋_GB2312" w:cs="仿宋_GB2312"/>
          <w:sz w:val="28"/>
          <w:szCs w:val="28"/>
        </w:rPr>
        <w:t>：2020年决算数为45.95万元。</w:t>
      </w:r>
    </w:p>
    <w:p>
      <w:pPr>
        <w:spacing w:line="600" w:lineRule="exact"/>
        <w:ind w:firstLine="138" w:firstLineChars="49"/>
        <w:rPr>
          <w:rStyle w:val="18"/>
          <w:rFonts w:ascii="仿宋_GB2312" w:hAnsi="仿宋_GB2312" w:eastAsia="仿宋_GB2312" w:cs="仿宋_GB2312"/>
          <w:sz w:val="28"/>
          <w:szCs w:val="28"/>
        </w:rPr>
      </w:pPr>
      <w:r>
        <w:rPr>
          <w:rStyle w:val="18"/>
          <w:rFonts w:hint="eastAsia" w:ascii="仿宋_GB2312" w:hAnsi="仿宋_GB2312" w:eastAsia="仿宋_GB2312" w:cs="仿宋_GB2312"/>
          <w:sz w:val="28"/>
          <w:szCs w:val="28"/>
        </w:rPr>
        <w:t>2.</w:t>
      </w:r>
      <w:r>
        <w:rPr>
          <w:rFonts w:hint="eastAsia" w:ascii="仿宋_GB2312" w:hAnsi="仿宋_GB2312" w:eastAsia="仿宋_GB2312" w:cs="仿宋_GB2312"/>
          <w:b/>
          <w:sz w:val="28"/>
          <w:szCs w:val="28"/>
        </w:rPr>
        <w:t xml:space="preserve"> 社会保障和就业</w:t>
      </w:r>
      <w:r>
        <w:rPr>
          <w:rStyle w:val="18"/>
          <w:rFonts w:hint="eastAsia" w:ascii="仿宋_GB2312" w:hAnsi="仿宋_GB2312" w:eastAsia="仿宋_GB2312" w:cs="仿宋_GB2312"/>
          <w:sz w:val="28"/>
          <w:szCs w:val="28"/>
        </w:rPr>
        <w:t>:</w:t>
      </w:r>
    </w:p>
    <w:p>
      <w:pPr>
        <w:spacing w:line="60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社会保障和就业支出208（类）行政事业单位养老支出05（款）</w:t>
      </w:r>
      <w:r>
        <w:rPr>
          <w:rFonts w:hint="eastAsia" w:ascii="仿宋_GB2312" w:hAnsi="仿宋_GB2312" w:eastAsia="仿宋_GB2312" w:cs="仿宋_GB2312"/>
          <w:sz w:val="28"/>
          <w:szCs w:val="28"/>
        </w:rPr>
        <w:t>：2020年决算数为257.57万元。</w:t>
      </w:r>
    </w:p>
    <w:p>
      <w:pPr>
        <w:spacing w:line="600" w:lineRule="exact"/>
        <w:rPr>
          <w:rStyle w:val="18"/>
          <w:rFonts w:ascii="仿宋_GB2312" w:hAnsi="仿宋_GB2312" w:eastAsia="仿宋_GB2312" w:cs="仿宋_GB2312"/>
          <w:b w:val="0"/>
          <w:sz w:val="28"/>
          <w:szCs w:val="28"/>
        </w:rPr>
      </w:pPr>
      <w:r>
        <w:rPr>
          <w:rStyle w:val="18"/>
          <w:rFonts w:hint="eastAsia" w:ascii="仿宋_GB2312" w:hAnsi="仿宋_GB2312" w:eastAsia="仿宋_GB2312" w:cs="仿宋_GB2312"/>
          <w:sz w:val="28"/>
          <w:szCs w:val="28"/>
        </w:rPr>
        <w:t>3.医疗卫生与计划生育:</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医疗卫生与计划生育支出210（类）公共卫生04（款）：</w:t>
      </w:r>
      <w:r>
        <w:rPr>
          <w:rFonts w:hint="eastAsia" w:ascii="仿宋_GB2312" w:hAnsi="仿宋_GB2312" w:eastAsia="仿宋_GB2312" w:cs="仿宋_GB2312"/>
          <w:sz w:val="28"/>
          <w:szCs w:val="28"/>
        </w:rPr>
        <w:t xml:space="preserve"> 2020年决算数为0.46万元。</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医疗卫生与计划生育支出210（类）行政事业单位医疗11（款）：</w:t>
      </w:r>
      <w:r>
        <w:rPr>
          <w:rFonts w:hint="eastAsia" w:ascii="仿宋_GB2312" w:hAnsi="仿宋_GB2312" w:eastAsia="仿宋_GB2312" w:cs="仿宋_GB2312"/>
          <w:sz w:val="28"/>
          <w:szCs w:val="28"/>
        </w:rPr>
        <w:t xml:space="preserve"> 2020年决算数为110.38万元。</w:t>
      </w:r>
    </w:p>
    <w:p>
      <w:pPr>
        <w:spacing w:line="600" w:lineRule="exact"/>
        <w:rPr>
          <w:rStyle w:val="18"/>
          <w:rFonts w:ascii="仿宋_GB2312" w:hAnsi="仿宋_GB2312" w:eastAsia="仿宋_GB2312" w:cs="仿宋_GB2312"/>
          <w:sz w:val="28"/>
          <w:szCs w:val="28"/>
        </w:rPr>
      </w:pPr>
      <w:r>
        <w:rPr>
          <w:rStyle w:val="18"/>
          <w:rFonts w:hint="eastAsia" w:ascii="仿宋_GB2312" w:hAnsi="仿宋_GB2312" w:eastAsia="仿宋_GB2312" w:cs="仿宋_GB2312"/>
          <w:sz w:val="28"/>
          <w:szCs w:val="28"/>
        </w:rPr>
        <w:t>4.农林水支出：</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农林水支出213（类）农业农村支出01（款）：</w:t>
      </w:r>
      <w:r>
        <w:rPr>
          <w:rFonts w:hint="eastAsia" w:ascii="仿宋_GB2312" w:hAnsi="仿宋_GB2312" w:eastAsia="仿宋_GB2312" w:cs="仿宋_GB2312"/>
          <w:sz w:val="28"/>
          <w:szCs w:val="28"/>
        </w:rPr>
        <w:t xml:space="preserve"> 2020年决算数为4079.87万元。</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农林水支出213（类）扶贫支出05（款）：</w:t>
      </w:r>
      <w:r>
        <w:rPr>
          <w:rFonts w:hint="eastAsia" w:ascii="仿宋_GB2312" w:hAnsi="仿宋_GB2312" w:eastAsia="仿宋_GB2312" w:cs="仿宋_GB2312"/>
          <w:sz w:val="28"/>
          <w:szCs w:val="28"/>
        </w:rPr>
        <w:t xml:space="preserve"> 2020年决算数为7584.16万元。</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农林水支出213（类）农村综合改革支出07（款）：</w:t>
      </w:r>
      <w:r>
        <w:rPr>
          <w:rFonts w:hint="eastAsia" w:ascii="仿宋_GB2312" w:hAnsi="仿宋_GB2312" w:eastAsia="仿宋_GB2312" w:cs="仿宋_GB2312"/>
          <w:sz w:val="28"/>
          <w:szCs w:val="28"/>
        </w:rPr>
        <w:t xml:space="preserve"> 2020年决算数为40.90万元。</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农林水支出213（类）其他农林水支出99（款）：</w:t>
      </w:r>
      <w:r>
        <w:rPr>
          <w:rFonts w:hint="eastAsia" w:ascii="仿宋_GB2312" w:hAnsi="仿宋_GB2312" w:eastAsia="仿宋_GB2312" w:cs="仿宋_GB2312"/>
          <w:sz w:val="28"/>
          <w:szCs w:val="28"/>
        </w:rPr>
        <w:t xml:space="preserve"> 2020年决算数为179.39万元。</w:t>
      </w:r>
    </w:p>
    <w:p>
      <w:pPr>
        <w:spacing w:line="600" w:lineRule="exact"/>
        <w:rPr>
          <w:rStyle w:val="18"/>
          <w:rFonts w:ascii="仿宋_GB2312" w:hAnsi="仿宋_GB2312" w:eastAsia="仿宋_GB2312" w:cs="仿宋_GB2312"/>
          <w:sz w:val="28"/>
          <w:szCs w:val="28"/>
        </w:rPr>
      </w:pPr>
      <w:r>
        <w:rPr>
          <w:rStyle w:val="18"/>
          <w:rFonts w:hint="eastAsia" w:ascii="仿宋_GB2312" w:hAnsi="仿宋_GB2312" w:eastAsia="仿宋_GB2312" w:cs="仿宋_GB2312"/>
          <w:sz w:val="28"/>
          <w:szCs w:val="28"/>
        </w:rPr>
        <w:t>5.住房保障支出:</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住房保障支出221（类）住房改革支出02（款）</w:t>
      </w:r>
      <w:r>
        <w:rPr>
          <w:rFonts w:hint="eastAsia" w:ascii="仿宋_GB2312" w:hAnsi="仿宋_GB2312" w:eastAsia="仿宋_GB2312" w:cs="仿宋_GB2312"/>
          <w:sz w:val="28"/>
          <w:szCs w:val="28"/>
        </w:rPr>
        <w:t>： 2020年决算数为173.71万元。</w:t>
      </w:r>
    </w:p>
    <w:p>
      <w:pPr>
        <w:spacing w:line="600" w:lineRule="exact"/>
        <w:rPr>
          <w:rStyle w:val="18"/>
          <w:rFonts w:ascii="仿宋_GB2312" w:hAnsi="仿宋_GB2312" w:eastAsia="仿宋_GB2312" w:cs="仿宋_GB2312"/>
          <w:sz w:val="28"/>
          <w:szCs w:val="28"/>
        </w:rPr>
      </w:pPr>
      <w:r>
        <w:rPr>
          <w:rStyle w:val="18"/>
          <w:rFonts w:hint="eastAsia" w:ascii="仿宋_GB2312" w:hAnsi="仿宋_GB2312" w:eastAsia="仿宋_GB2312" w:cs="仿宋_GB2312"/>
          <w:sz w:val="28"/>
          <w:szCs w:val="28"/>
        </w:rPr>
        <w:t>6.其他支出：</w:t>
      </w:r>
    </w:p>
    <w:p>
      <w:pPr>
        <w:spacing w:line="600" w:lineRule="exact"/>
        <w:ind w:firstLine="560" w:firstLineChars="200"/>
        <w:rPr>
          <w:rStyle w:val="18"/>
          <w:rFonts w:ascii="仿宋_GB2312" w:hAnsi="仿宋_GB2312" w:eastAsia="仿宋_GB2312" w:cs="仿宋_GB2312"/>
          <w:b w:val="0"/>
          <w:sz w:val="28"/>
          <w:szCs w:val="28"/>
        </w:rPr>
      </w:pPr>
      <w:r>
        <w:rPr>
          <w:rFonts w:hint="eastAsia" w:ascii="仿宋_GB2312" w:hAnsi="仿宋_GB2312" w:eastAsia="仿宋_GB2312" w:cs="仿宋_GB2312"/>
          <w:color w:val="000000"/>
          <w:sz w:val="28"/>
          <w:szCs w:val="28"/>
        </w:rPr>
        <w:t>其他支出229（类）其他支出99（款）：</w:t>
      </w:r>
      <w:r>
        <w:rPr>
          <w:rFonts w:hint="eastAsia" w:ascii="仿宋_GB2312" w:hAnsi="仿宋_GB2312" w:eastAsia="仿宋_GB2312" w:cs="仿宋_GB2312"/>
          <w:sz w:val="28"/>
          <w:szCs w:val="28"/>
        </w:rPr>
        <w:t xml:space="preserve"> 2020年决算数为265.19万元。</w:t>
      </w:r>
    </w:p>
    <w:p>
      <w:pPr>
        <w:spacing w:line="600" w:lineRule="exact"/>
        <w:ind w:firstLine="643" w:firstLineChars="200"/>
        <w:rPr>
          <w:rStyle w:val="18"/>
          <w:rFonts w:ascii="仿宋" w:eastAsia="仿宋"/>
          <w:bCs/>
          <w:color w:val="000000"/>
          <w:sz w:val="32"/>
          <w:szCs w:val="32"/>
          <w:highlight w:val="yellow"/>
        </w:rPr>
      </w:pPr>
    </w:p>
    <w:p>
      <w:pPr>
        <w:spacing w:line="600" w:lineRule="exact"/>
        <w:ind w:firstLine="640"/>
        <w:rPr>
          <w:rStyle w:val="21"/>
        </w:rPr>
      </w:pPr>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41"/>
      <w:bookmarkEnd w:id="42"/>
      <w:r>
        <w:rPr>
          <w:rStyle w:val="21"/>
          <w:rFonts w:ascii="黑体" w:eastAsia="黑体"/>
          <w:b w:val="0"/>
        </w:rPr>
        <w:tab/>
      </w:r>
    </w:p>
    <w:p>
      <w:pPr>
        <w:spacing w:line="600" w:lineRule="exact"/>
        <w:ind w:firstLine="640"/>
        <w:rPr>
          <w:rFonts w:ascii="仿宋" w:eastAsia="仿宋"/>
          <w:color w:val="000000"/>
          <w:sz w:val="32"/>
          <w:szCs w:val="32"/>
          <w:lang w:val="zh-CN"/>
        </w:rPr>
      </w:pPr>
      <w:r>
        <w:rPr>
          <w:rFonts w:hint="eastAsia" w:ascii="仿宋" w:eastAsia="仿宋"/>
          <w:color w:val="000000"/>
          <w:sz w:val="32"/>
          <w:szCs w:val="32"/>
          <w:lang w:val="zh-CN"/>
        </w:rPr>
        <w:t>2020年一般公共预算财政拨款基本支出</w:t>
      </w:r>
      <w:r>
        <w:rPr>
          <w:rFonts w:hint="eastAsia" w:ascii="仿宋" w:eastAsia="仿宋"/>
          <w:color w:val="000000"/>
          <w:sz w:val="32"/>
          <w:szCs w:val="32"/>
        </w:rPr>
        <w:t>2121.27</w:t>
      </w:r>
      <w:r>
        <w:rPr>
          <w:rFonts w:hint="eastAsia" w:ascii="仿宋" w:eastAsia="仿宋"/>
          <w:color w:val="000000"/>
          <w:sz w:val="32"/>
          <w:szCs w:val="32"/>
          <w:lang w:val="zh-CN"/>
        </w:rPr>
        <w:t>万元，其中：工资福利支出：1733.2</w:t>
      </w:r>
      <w:r>
        <w:rPr>
          <w:rFonts w:hint="eastAsia" w:ascii="仿宋" w:eastAsia="仿宋"/>
          <w:color w:val="000000"/>
          <w:sz w:val="32"/>
          <w:szCs w:val="32"/>
        </w:rPr>
        <w:t>9</w:t>
      </w:r>
      <w:r>
        <w:rPr>
          <w:rFonts w:hint="eastAsia" w:ascii="仿宋" w:eastAsia="仿宋"/>
          <w:color w:val="000000"/>
          <w:sz w:val="32"/>
          <w:szCs w:val="32"/>
          <w:lang w:val="zh-CN"/>
        </w:rPr>
        <w:t>万元（基本工资：471.4万元，津贴补贴：344.2万元，奖金：38.83万元，绩效工资：320.74万元，机关事业单位基本养老保险缴费171.5万元，职业年金缴费86.07万元，职工基本医疗保险缴费76.25万元，公务员医疗补助缴费</w:t>
      </w:r>
      <w:r>
        <w:rPr>
          <w:rFonts w:hint="eastAsia" w:ascii="仿宋" w:eastAsia="仿宋"/>
          <w:color w:val="000000"/>
          <w:sz w:val="32"/>
          <w:szCs w:val="32"/>
        </w:rPr>
        <w:t>6.88</w:t>
      </w:r>
      <w:r>
        <w:rPr>
          <w:rFonts w:hint="eastAsia" w:ascii="仿宋" w:eastAsia="仿宋"/>
          <w:color w:val="000000"/>
          <w:sz w:val="32"/>
          <w:szCs w:val="32"/>
          <w:lang w:val="zh-CN"/>
        </w:rPr>
        <w:t>万元，</w:t>
      </w:r>
      <w:r>
        <w:rPr>
          <w:rFonts w:hint="eastAsia" w:ascii="仿宋" w:eastAsia="仿宋"/>
          <w:color w:val="000000"/>
          <w:sz w:val="32"/>
          <w:szCs w:val="32"/>
        </w:rPr>
        <w:t>其他社会保障缴费45.75</w:t>
      </w:r>
      <w:r>
        <w:rPr>
          <w:rFonts w:hint="eastAsia" w:ascii="仿宋" w:eastAsia="仿宋"/>
          <w:color w:val="000000"/>
          <w:sz w:val="32"/>
          <w:szCs w:val="32"/>
          <w:lang w:val="zh-CN"/>
        </w:rPr>
        <w:t>万元，住房公积金171.65万元）。</w:t>
      </w:r>
    </w:p>
    <w:p>
      <w:pPr>
        <w:spacing w:line="600" w:lineRule="exact"/>
        <w:ind w:firstLine="640"/>
        <w:rPr>
          <w:rFonts w:ascii="仿宋" w:eastAsia="仿宋"/>
          <w:color w:val="000000"/>
          <w:sz w:val="32"/>
          <w:szCs w:val="32"/>
          <w:lang w:val="zh-CN"/>
        </w:rPr>
      </w:pPr>
      <w:r>
        <w:rPr>
          <w:rFonts w:hint="eastAsia" w:ascii="仿宋" w:eastAsia="仿宋"/>
          <w:color w:val="000000"/>
          <w:sz w:val="32"/>
          <w:szCs w:val="32"/>
          <w:lang w:val="zh-CN"/>
        </w:rPr>
        <w:t>商品和服务支出：121.0</w:t>
      </w:r>
      <w:r>
        <w:rPr>
          <w:rFonts w:hint="eastAsia" w:ascii="仿宋" w:eastAsia="仿宋"/>
          <w:color w:val="000000"/>
          <w:sz w:val="32"/>
          <w:szCs w:val="32"/>
        </w:rPr>
        <w:t>6</w:t>
      </w:r>
      <w:r>
        <w:rPr>
          <w:rFonts w:hint="eastAsia" w:ascii="仿宋" w:eastAsia="仿宋"/>
          <w:color w:val="000000"/>
          <w:sz w:val="32"/>
          <w:szCs w:val="32"/>
          <w:lang w:val="zh-CN"/>
        </w:rPr>
        <w:t>万元（办公费：10万元，水费：1万元，电费：5.7万元，邮电费：5.7万元，差旅费：42.98万元，维护费:2.84万元，会议费：0元，培训费：4.06万元，公务接待费0.79万元，专用材料费：0.61万元，专用燃料费：0元，劳务费：12.8万元，福利费：5.13万元，公务用车运行维护费：4.75万元，其他交通费用：24.7万元，其他商品和服务支出：0元）。</w:t>
      </w:r>
    </w:p>
    <w:p>
      <w:pPr>
        <w:spacing w:line="600" w:lineRule="exact"/>
        <w:ind w:firstLine="640"/>
        <w:rPr>
          <w:rFonts w:ascii="仿宋" w:eastAsia="仿宋"/>
          <w:color w:val="000000"/>
          <w:sz w:val="32"/>
          <w:szCs w:val="32"/>
          <w:lang w:val="zh-CN"/>
        </w:rPr>
      </w:pPr>
      <w:r>
        <w:rPr>
          <w:rFonts w:hint="eastAsia" w:ascii="仿宋" w:eastAsia="仿宋"/>
          <w:color w:val="000000"/>
          <w:sz w:val="32"/>
          <w:szCs w:val="32"/>
          <w:lang w:val="zh-CN"/>
        </w:rPr>
        <w:t>对个人和家庭的补助：266.9</w:t>
      </w:r>
      <w:r>
        <w:rPr>
          <w:rFonts w:hint="eastAsia" w:ascii="仿宋" w:eastAsia="仿宋"/>
          <w:color w:val="000000"/>
          <w:sz w:val="32"/>
          <w:szCs w:val="32"/>
        </w:rPr>
        <w:t>2</w:t>
      </w:r>
      <w:r>
        <w:rPr>
          <w:rFonts w:hint="eastAsia" w:ascii="仿宋" w:eastAsia="仿宋"/>
          <w:color w:val="000000"/>
          <w:sz w:val="32"/>
          <w:szCs w:val="32"/>
          <w:lang w:val="zh-CN"/>
        </w:rPr>
        <w:t>万元（退休费：</w:t>
      </w:r>
      <w:r>
        <w:rPr>
          <w:rFonts w:hint="eastAsia" w:ascii="仿宋" w:eastAsia="仿宋"/>
          <w:color w:val="000000"/>
          <w:sz w:val="32"/>
          <w:szCs w:val="32"/>
        </w:rPr>
        <w:t>0元</w:t>
      </w:r>
      <w:r>
        <w:rPr>
          <w:rFonts w:hint="eastAsia" w:ascii="仿宋" w:eastAsia="仿宋"/>
          <w:color w:val="000000"/>
          <w:sz w:val="32"/>
          <w:szCs w:val="32"/>
          <w:lang w:val="zh-CN"/>
        </w:rPr>
        <w:t>，抚恤金：11.31元，生活补助21.32万元，奖励金：234.29万元，生产补贴：0元，其他对个人和家庭的补助支出：0元）。</w:t>
      </w:r>
    </w:p>
    <w:p>
      <w:pPr>
        <w:spacing w:line="600" w:lineRule="exact"/>
        <w:ind w:firstLine="645"/>
        <w:rPr>
          <w:rFonts w:ascii="仿宋" w:eastAsia="仿宋"/>
          <w:color w:val="000000"/>
          <w:sz w:val="32"/>
          <w:szCs w:val="32"/>
        </w:rPr>
      </w:pPr>
    </w:p>
    <w:p>
      <w:pPr>
        <w:spacing w:line="600" w:lineRule="exact"/>
        <w:ind w:firstLine="640" w:firstLineChars="200"/>
        <w:outlineLvl w:val="1"/>
        <w:rPr>
          <w:rStyle w:val="21"/>
          <w:rFonts w:ascii="黑体" w:eastAsia="黑体"/>
          <w:b w:val="0"/>
        </w:rPr>
      </w:pPr>
      <w:bookmarkStart w:id="43" w:name="_Toc15377215"/>
      <w:bookmarkStart w:id="44" w:name="_Toc15396609"/>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hint="eastAsia" w:ascii="仿宋" w:eastAsia="仿宋"/>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20年“三公”经费财政拨款支出决算为5.54万元，完成预算100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6" w:name="_Toc15377217"/>
      <w:r>
        <w:rPr>
          <w:rFonts w:hint="eastAsia" w:ascii="仿宋" w:eastAsia="仿宋"/>
          <w:b/>
          <w:color w:val="000000"/>
          <w:sz w:val="32"/>
          <w:szCs w:val="32"/>
        </w:rPr>
        <w:t>（二）“三公”经费财政拨款支出决算具体情况说明</w:t>
      </w:r>
      <w:bookmarkEnd w:id="4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决算5.54万元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；公务用车购置及运行维护费支出决算4.75万元，占85.74</w:t>
      </w:r>
      <w:r>
        <w:rPr>
          <w:rFonts w:ascii="仿宋" w:eastAsia="仿宋"/>
          <w:color w:val="000000"/>
          <w:sz w:val="32"/>
          <w:szCs w:val="32"/>
        </w:rPr>
        <w:t>%</w:t>
      </w:r>
      <w:r>
        <w:rPr>
          <w:rFonts w:hint="eastAsia" w:ascii="仿宋" w:eastAsia="仿宋"/>
          <w:color w:val="000000"/>
          <w:sz w:val="32"/>
          <w:szCs w:val="32"/>
        </w:rPr>
        <w:t>；公务接待费支出决算0.79万元，占14.25</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196850</wp:posOffset>
            </wp:positionH>
            <wp:positionV relativeFrom="paragraph">
              <wp:posOffset>156210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8"/>
          <w:rFonts w:hint="eastAsia" w:ascii="仿宋" w:eastAsia="仿宋"/>
          <w:b w:val="0"/>
          <w:bCs/>
          <w:color w:val="000000"/>
          <w:sz w:val="32"/>
          <w:szCs w:val="32"/>
        </w:rPr>
        <w:t>完成预算0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公出国（境）支出决算与2019年无变动。</w:t>
      </w: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hAnsi="宋体" w:eastAsia="仿宋_GB2312" w:cs="宋体"/>
          <w:color w:val="333333"/>
          <w:kern w:val="0"/>
          <w:sz w:val="28"/>
          <w:szCs w:val="28"/>
          <w:lang w:val="zh-CN"/>
        </w:rPr>
        <w:t>4.75</w:t>
      </w:r>
      <w:r>
        <w:rPr>
          <w:rFonts w:hint="eastAsia" w:ascii="仿宋_GB2312" w:eastAsia="仿宋_GB2312"/>
          <w:color w:val="000000"/>
          <w:sz w:val="32"/>
          <w:szCs w:val="32"/>
        </w:rPr>
        <w:t>万元,</w:t>
      </w:r>
      <w:r>
        <w:rPr>
          <w:rStyle w:val="18"/>
          <w:rFonts w:hint="eastAsia" w:ascii="仿宋" w:eastAsia="仿宋"/>
          <w:b w:val="0"/>
          <w:bCs/>
          <w:color w:val="000000"/>
          <w:sz w:val="32"/>
          <w:szCs w:val="32"/>
        </w:rPr>
        <w:t>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9年下降</w:t>
      </w:r>
      <w:r>
        <w:rPr>
          <w:rFonts w:hint="eastAsia" w:ascii="仿宋_GB2312" w:hAnsi="宋体" w:eastAsia="仿宋_GB2312" w:cs="宋体"/>
          <w:color w:val="333333"/>
          <w:kern w:val="0"/>
          <w:sz w:val="28"/>
          <w:szCs w:val="28"/>
          <w:lang w:val="zh-CN"/>
        </w:rPr>
        <w:t>0.25</w:t>
      </w:r>
      <w:r>
        <w:rPr>
          <w:rFonts w:hint="eastAsia" w:ascii="仿宋_GB2312" w:eastAsia="仿宋_GB2312"/>
          <w:color w:val="000000"/>
          <w:sz w:val="32"/>
          <w:szCs w:val="32"/>
        </w:rPr>
        <w:t>万元，下降</w:t>
      </w: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增减原原因是厉行节俭。</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日，共有车辆3辆，其中：部级领导干部用车0辆、主要领导干部用车0辆、机要通信用车0辆、应急保障用车3辆、执法执勤用车0辆、特种专业技术用车0辆、离退休干部用车0辆、其他用车0辆。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4.75万元。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643" w:firstLineChars="20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0.79万元，</w:t>
      </w:r>
      <w:r>
        <w:rPr>
          <w:rStyle w:val="18"/>
          <w:rFonts w:hint="eastAsia" w:ascii="仿宋" w:eastAsia="仿宋"/>
          <w:b w:val="0"/>
          <w:bCs/>
          <w:color w:val="000000"/>
          <w:sz w:val="32"/>
          <w:szCs w:val="32"/>
        </w:rPr>
        <w:t>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_GB2312" w:eastAsia="仿宋_GB2312" w:cs="仿宋"/>
          <w:color w:val="000000"/>
          <w:sz w:val="32"/>
          <w:szCs w:val="32"/>
        </w:rPr>
        <w:t>公务接待费0.79万元，较上年减少0.04万元，减少5%，减少原因是严格执行有关规定，实行“先审批，后接待”制度，严格控制接待标准和陪餐人数，降低接待费用。</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主要用于执行公务、开展业务活动开支的交通费、住宿费、用餐费等。国内公务接待15批次，70人次，共计支出0.79万元。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7" w:name="_Toc15396610"/>
      <w:bookmarkStart w:id="48" w:name="_Toc15377218"/>
    </w:p>
    <w:p>
      <w:pPr>
        <w:spacing w:line="600" w:lineRule="exact"/>
        <w:ind w:firstLine="640"/>
        <w:outlineLvl w:val="1"/>
        <w:rPr>
          <w:rStyle w:val="21"/>
          <w:rFonts w:ascii="黑体" w:eastAsia="黑体"/>
        </w:rPr>
      </w:pPr>
      <w:r>
        <w:rPr>
          <w:rFonts w:hint="eastAsia" w:ascii="黑体" w:eastAsia="黑体"/>
          <w:color w:val="000000"/>
          <w:sz w:val="32"/>
          <w:szCs w:val="32"/>
        </w:rPr>
        <w:t>八、</w:t>
      </w:r>
      <w:r>
        <w:rPr>
          <w:rStyle w:val="21"/>
          <w:rFonts w:hint="eastAsia" w:ascii="黑体" w:eastAsia="黑体"/>
          <w:b w:val="0"/>
        </w:rPr>
        <w:t>政府性基金预算支出决算情况说明</w:t>
      </w:r>
      <w:bookmarkEnd w:id="47"/>
      <w:bookmarkEnd w:id="48"/>
    </w:p>
    <w:p>
      <w:pPr>
        <w:spacing w:line="600" w:lineRule="exact"/>
        <w:ind w:firstLine="640"/>
        <w:rPr>
          <w:rFonts w:ascii="仿宋_GB2312" w:hAnsi="仿宋_GB2312" w:eastAsia="仿宋_GB2312" w:cs="仿宋_GB2312"/>
          <w:color w:val="000000"/>
          <w:sz w:val="28"/>
          <w:szCs w:val="28"/>
        </w:rPr>
      </w:pPr>
      <w:bookmarkStart w:id="49" w:name="_Toc15396611"/>
      <w:bookmarkStart w:id="50" w:name="_Toc15377219"/>
      <w:r>
        <w:rPr>
          <w:rFonts w:hint="eastAsia" w:ascii="仿宋_GB2312" w:hAnsi="仿宋_GB2312" w:eastAsia="仿宋_GB2312" w:cs="仿宋_GB2312"/>
          <w:color w:val="000000"/>
          <w:sz w:val="28"/>
          <w:szCs w:val="28"/>
        </w:rPr>
        <w:t>科学技术和农业畜牧局2020年政府性基金预算财政拨款支出664.76万元。</w:t>
      </w:r>
    </w:p>
    <w:p>
      <w:pPr>
        <w:numPr>
          <w:ilvl w:val="0"/>
          <w:numId w:val="3"/>
        </w:numPr>
        <w:spacing w:line="600" w:lineRule="exact"/>
        <w:ind w:firstLine="640"/>
        <w:outlineLvl w:val="1"/>
        <w:rPr>
          <w:rStyle w:val="21"/>
          <w:rFonts w:ascii="黑体" w:eastAsia="黑体"/>
          <w:b w:val="0"/>
        </w:rPr>
      </w:pPr>
      <w:r>
        <w:rPr>
          <w:rStyle w:val="21"/>
          <w:rFonts w:hint="eastAsia" w:asci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6"/>
        <w:numPr>
          <w:ilvl w:val="0"/>
          <w:numId w:val="4"/>
        </w:numPr>
        <w:spacing w:line="580" w:lineRule="exact"/>
        <w:ind w:firstLineChars="0"/>
        <w:rPr>
          <w:rStyle w:val="21"/>
          <w:rFonts w:ascii="黑体" w:eastAsia="黑体"/>
          <w:b w:val="0"/>
        </w:rPr>
      </w:pPr>
      <w:r>
        <w:rPr>
          <w:rStyle w:val="21"/>
          <w:rFonts w:hint="eastAsia" w:ascii="黑体" w:eastAsia="黑体"/>
          <w:b w:val="0"/>
        </w:rPr>
        <w:t>预算绩效情况说明</w:t>
      </w:r>
    </w:p>
    <w:p>
      <w:pPr>
        <w:snapToGrid w:val="0"/>
        <w:spacing w:line="520" w:lineRule="exact"/>
        <w:ind w:firstLine="700" w:firstLineChars="250"/>
        <w:rPr>
          <w:rFonts w:ascii="仿宋_GB2312" w:hAnsi="宋体" w:eastAsia="仿宋_GB2312" w:cs="宋体"/>
          <w:color w:val="333333"/>
          <w:kern w:val="0"/>
          <w:sz w:val="28"/>
          <w:szCs w:val="28"/>
          <w:lang w:val="zh-CN"/>
        </w:rPr>
      </w:pPr>
      <w:r>
        <w:rPr>
          <w:rFonts w:hint="eastAsia" w:ascii="仿宋_GB2312" w:hAnsi="宋体" w:eastAsia="仿宋_GB2312" w:cs="宋体"/>
          <w:color w:val="333333"/>
          <w:kern w:val="0"/>
          <w:sz w:val="28"/>
          <w:szCs w:val="28"/>
          <w:lang w:val="zh-CN"/>
        </w:rPr>
        <w:t>1.按照预算绩效管理要求，本部门对2020年一般公共预算项目支出开展了绩效目标管理，</w:t>
      </w:r>
      <w:r>
        <w:rPr>
          <w:rFonts w:hint="eastAsia" w:ascii="仿宋_GB2312" w:hAnsi="宋体" w:eastAsia="仿宋_GB2312" w:cs="宋体"/>
          <w:color w:val="333333"/>
          <w:kern w:val="0"/>
          <w:sz w:val="28"/>
          <w:szCs w:val="28"/>
        </w:rPr>
        <w:t>正常完成</w:t>
      </w:r>
      <w:r>
        <w:rPr>
          <w:rFonts w:hint="eastAsia" w:ascii="仿宋_GB2312" w:hAnsi="宋体" w:eastAsia="仿宋_GB2312" w:cs="宋体"/>
          <w:color w:val="333333"/>
          <w:kern w:val="0"/>
          <w:sz w:val="28"/>
          <w:szCs w:val="28"/>
          <w:lang w:val="zh-CN"/>
        </w:rPr>
        <w:t>绩效目标。</w:t>
      </w:r>
    </w:p>
    <w:p>
      <w:pPr>
        <w:snapToGrid w:val="0"/>
        <w:spacing w:line="520" w:lineRule="exact"/>
        <w:ind w:firstLine="700" w:firstLineChars="250"/>
        <w:rPr>
          <w:rFonts w:ascii="仿宋_GB2312" w:hAnsi="宋体" w:eastAsia="仿宋_GB2312" w:cs="宋体"/>
          <w:color w:val="333333"/>
          <w:kern w:val="0"/>
          <w:sz w:val="28"/>
          <w:szCs w:val="28"/>
          <w:lang w:val="zh-CN"/>
        </w:rPr>
      </w:pPr>
      <w:r>
        <w:rPr>
          <w:rFonts w:hint="eastAsia" w:ascii="仿宋_GB2312" w:hAnsi="宋体" w:eastAsia="仿宋_GB2312" w:cs="宋体"/>
          <w:color w:val="333333"/>
          <w:kern w:val="0"/>
          <w:sz w:val="28"/>
          <w:szCs w:val="28"/>
          <w:lang w:val="zh-CN"/>
        </w:rPr>
        <w:t>2.部门整体支出绩效自评开展情况。</w:t>
      </w:r>
    </w:p>
    <w:p>
      <w:pPr>
        <w:spacing w:line="520" w:lineRule="exact"/>
        <w:ind w:firstLine="560" w:firstLineChars="200"/>
        <w:rPr>
          <w:rFonts w:ascii="仿宋_GB2312" w:hAnsi="宋体" w:eastAsia="仿宋_GB2312" w:cs="宋体"/>
          <w:color w:val="333333"/>
          <w:kern w:val="0"/>
          <w:sz w:val="28"/>
          <w:szCs w:val="28"/>
          <w:lang w:val="zh-CN"/>
        </w:rPr>
      </w:pPr>
      <w:r>
        <w:rPr>
          <w:rFonts w:hint="eastAsia" w:ascii="仿宋_GB2312" w:hAnsi="宋体" w:eastAsia="仿宋_GB2312" w:cs="宋体"/>
          <w:color w:val="333333"/>
          <w:kern w:val="0"/>
          <w:sz w:val="28"/>
          <w:szCs w:val="28"/>
          <w:lang w:val="zh-CN"/>
        </w:rPr>
        <w:t>按照预算绩效管理要求，本部门对2020年整体支出开展绩效自评，自评得分88分。存在的问题：一是预算经费支出进度缓；二是部门预算、决算上报效率有待提高；</w:t>
      </w:r>
      <w:r>
        <w:rPr>
          <w:rFonts w:hint="eastAsia" w:ascii="仿宋_GB2312" w:hAnsi="宋体" w:eastAsia="仿宋_GB2312" w:cs="宋体"/>
          <w:color w:val="333333"/>
          <w:kern w:val="0"/>
          <w:sz w:val="28"/>
          <w:szCs w:val="28"/>
        </w:rPr>
        <w:t>三是</w:t>
      </w:r>
      <w:r>
        <w:rPr>
          <w:rFonts w:hint="eastAsia" w:ascii="仿宋_GB2312" w:hAnsi="宋体" w:eastAsia="仿宋_GB2312" w:cs="宋体"/>
          <w:color w:val="333333"/>
          <w:kern w:val="0"/>
          <w:sz w:val="28"/>
          <w:szCs w:val="28"/>
          <w:lang w:val="zh-CN"/>
        </w:rPr>
        <w:t>全面推进预算绩效管理工作贯彻不到位，项目绩效目标编制不完善、细化度</w:t>
      </w:r>
      <w:r>
        <w:rPr>
          <w:rFonts w:hint="eastAsia" w:ascii="仿宋_GB2312" w:hAnsi="宋体" w:eastAsia="仿宋_GB2312" w:cs="宋体"/>
          <w:color w:val="333333"/>
          <w:kern w:val="0"/>
          <w:sz w:val="28"/>
          <w:szCs w:val="28"/>
        </w:rPr>
        <w:t>不够</w:t>
      </w:r>
      <w:r>
        <w:rPr>
          <w:rFonts w:hint="eastAsia" w:ascii="仿宋_GB2312" w:hAnsi="宋体" w:eastAsia="仿宋_GB2312" w:cs="宋体"/>
          <w:color w:val="333333"/>
          <w:kern w:val="0"/>
          <w:sz w:val="28"/>
          <w:szCs w:val="28"/>
          <w:lang w:val="zh-CN"/>
        </w:rPr>
        <w:t>。</w:t>
      </w:r>
    </w:p>
    <w:p>
      <w:pPr>
        <w:pStyle w:val="15"/>
        <w:widowControl/>
        <w:spacing w:line="520" w:lineRule="exact"/>
        <w:ind w:firstLine="560" w:firstLineChars="200"/>
        <w:jc w:val="both"/>
        <w:rPr>
          <w:rFonts w:ascii="仿宋_GB2312" w:hAnsi="宋体" w:eastAsia="仿宋_GB2312" w:cs="宋体"/>
          <w:color w:val="333333"/>
          <w:sz w:val="28"/>
          <w:szCs w:val="28"/>
          <w:lang w:val="zh-CN"/>
        </w:rPr>
      </w:pPr>
      <w:r>
        <w:rPr>
          <w:rFonts w:hint="eastAsia" w:ascii="仿宋_GB2312" w:hAnsi="宋体" w:eastAsia="仿宋_GB2312" w:cs="宋体"/>
          <w:color w:val="333333"/>
          <w:sz w:val="28"/>
          <w:szCs w:val="28"/>
        </w:rPr>
        <w:t>我部门应</w:t>
      </w:r>
      <w:r>
        <w:rPr>
          <w:rFonts w:hint="eastAsia" w:ascii="仿宋_GB2312" w:hAnsi="宋体" w:eastAsia="仿宋_GB2312" w:cs="宋体"/>
          <w:color w:val="333333"/>
          <w:sz w:val="28"/>
          <w:szCs w:val="28"/>
          <w:lang w:val="zh-CN"/>
        </w:rPr>
        <w:t>加强预算绩效管理，提高预算资金的使用效益和政府工作效率，积极推进预算绩效管理工作。下一步改进措施：一是高度重视，加强领导，精心组织，逐步推开，实现编制预算绩效目标全覆盖；</w:t>
      </w:r>
      <w:r>
        <w:rPr>
          <w:rFonts w:hint="eastAsia" w:ascii="仿宋_GB2312" w:hAnsi="宋体" w:eastAsia="仿宋_GB2312" w:cs="宋体"/>
          <w:color w:val="333333"/>
          <w:sz w:val="28"/>
          <w:szCs w:val="28"/>
        </w:rPr>
        <w:t>二</w:t>
      </w:r>
      <w:r>
        <w:rPr>
          <w:rFonts w:hint="eastAsia" w:ascii="仿宋_GB2312" w:hAnsi="宋体" w:eastAsia="仿宋_GB2312" w:cs="宋体"/>
          <w:color w:val="333333"/>
          <w:sz w:val="28"/>
          <w:szCs w:val="28"/>
          <w:lang w:val="zh-CN"/>
        </w:rPr>
        <w:t>是加快完善部门财务规章制度建设，加强会计核算和财务管理能力；三是加强与县财政局相关科室对接工作，提升工作效率；</w:t>
      </w:r>
      <w:r>
        <w:rPr>
          <w:rFonts w:hint="eastAsia" w:ascii="仿宋_GB2312" w:hAnsi="宋体" w:eastAsia="仿宋_GB2312" w:cs="宋体"/>
          <w:color w:val="333333"/>
          <w:sz w:val="28"/>
          <w:szCs w:val="28"/>
        </w:rPr>
        <w:t>四是</w:t>
      </w:r>
      <w:r>
        <w:rPr>
          <w:rFonts w:hint="eastAsia" w:ascii="仿宋_GB2312" w:hAnsi="宋体" w:eastAsia="仿宋_GB2312" w:cs="宋体"/>
          <w:color w:val="333333"/>
          <w:sz w:val="28"/>
          <w:szCs w:val="28"/>
          <w:lang w:val="zh-CN"/>
        </w:rPr>
        <w:t>完善相关制度，推进制度落实。依据相关法律、法规及管理办法，建立分级分类、使用高效、便于操作的实施细则及业务规范，制定绩效问责制度、公开制度等，加快形成“用钱必问效、无效必问责”的机制。</w:t>
      </w:r>
    </w:p>
    <w:p>
      <w:pPr>
        <w:snapToGrid w:val="0"/>
        <w:spacing w:line="520" w:lineRule="exact"/>
        <w:ind w:firstLine="700" w:firstLineChars="250"/>
        <w:rPr>
          <w:rFonts w:ascii="仿宋_GB2312" w:hAnsi="宋体" w:eastAsia="仿宋_GB2312" w:cs="宋体"/>
          <w:color w:val="333333"/>
          <w:kern w:val="0"/>
          <w:sz w:val="28"/>
          <w:szCs w:val="28"/>
          <w:lang w:val="zh-CN"/>
        </w:rPr>
      </w:pPr>
    </w:p>
    <w:p>
      <w:pPr>
        <w:ind w:firstLine="1280" w:firstLineChars="400"/>
        <w:rPr>
          <w:rFonts w:ascii="黑体" w:hAnsi="黑体" w:eastAsia="黑体"/>
          <w:color w:val="000000"/>
          <w:sz w:val="32"/>
          <w:szCs w:val="32"/>
        </w:rPr>
      </w:pPr>
      <w:r>
        <w:rPr>
          <w:rFonts w:hint="eastAsia" w:ascii="黑体" w:hAnsi="黑体" w:eastAsia="黑体"/>
          <w:color w:val="000000"/>
          <w:sz w:val="32"/>
          <w:szCs w:val="32"/>
        </w:rPr>
        <w:t>2020年部门整体支出绩效评价得分表</w:t>
      </w:r>
    </w:p>
    <w:tbl>
      <w:tblPr>
        <w:tblStyle w:val="16"/>
        <w:tblpPr w:leftFromText="180" w:rightFromText="180" w:vertAnchor="text" w:horzAnchor="page" w:tblpX="1262" w:tblpY="774"/>
        <w:tblOverlap w:val="never"/>
        <w:tblW w:w="9958" w:type="dxa"/>
        <w:tblInd w:w="0" w:type="dxa"/>
        <w:tblLayout w:type="fixed"/>
        <w:tblCellMar>
          <w:top w:w="0" w:type="dxa"/>
          <w:left w:w="108" w:type="dxa"/>
          <w:bottom w:w="0" w:type="dxa"/>
          <w:right w:w="108" w:type="dxa"/>
        </w:tblCellMar>
      </w:tblPr>
      <w:tblGrid>
        <w:gridCol w:w="1783"/>
        <w:gridCol w:w="2378"/>
        <w:gridCol w:w="3568"/>
        <w:gridCol w:w="2229"/>
      </w:tblGrid>
      <w:tr>
        <w:tblPrEx>
          <w:tblCellMar>
            <w:top w:w="0" w:type="dxa"/>
            <w:left w:w="108" w:type="dxa"/>
            <w:bottom w:w="0" w:type="dxa"/>
            <w:right w:w="108" w:type="dxa"/>
          </w:tblCellMar>
        </w:tblPrEx>
        <w:trPr>
          <w:trHeight w:val="386" w:hRule="atLeast"/>
        </w:trPr>
        <w:tc>
          <w:tcPr>
            <w:tcW w:w="17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37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5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229"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621" w:hRule="atLeast"/>
        </w:trPr>
        <w:tc>
          <w:tcPr>
            <w:tcW w:w="1783"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37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501" w:hRule="atLeast"/>
        </w:trPr>
        <w:tc>
          <w:tcPr>
            <w:tcW w:w="178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508" w:hRule="atLeast"/>
        </w:trPr>
        <w:tc>
          <w:tcPr>
            <w:tcW w:w="178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572" w:hRule="atLeast"/>
        </w:trPr>
        <w:tc>
          <w:tcPr>
            <w:tcW w:w="1783"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501"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64"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0"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32" w:hRule="atLeast"/>
        </w:trPr>
        <w:tc>
          <w:tcPr>
            <w:tcW w:w="1783"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3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91" w:hRule="atLeast"/>
        </w:trPr>
        <w:tc>
          <w:tcPr>
            <w:tcW w:w="1783"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86" w:hRule="atLeast"/>
        </w:trPr>
        <w:tc>
          <w:tcPr>
            <w:tcW w:w="1783"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386"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740"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740"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68"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522"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81" w:hRule="atLeast"/>
        </w:trPr>
        <w:tc>
          <w:tcPr>
            <w:tcW w:w="1783"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37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530" w:hRule="atLeast"/>
        </w:trPr>
        <w:tc>
          <w:tcPr>
            <w:tcW w:w="178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7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5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229"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bl>
    <w:p>
      <w:pPr>
        <w:jc w:val="center"/>
        <w:rPr>
          <w:rFonts w:ascii="黑体" w:hAnsi="黑体" w:eastAsia="黑体"/>
          <w:color w:val="000000"/>
          <w:sz w:val="32"/>
          <w:szCs w:val="32"/>
        </w:rPr>
      </w:pPr>
    </w:p>
    <w:p>
      <w:pPr>
        <w:jc w:val="center"/>
        <w:rPr>
          <w:rFonts w:ascii="黑体" w:hAnsi="黑体" w:eastAsia="黑体"/>
          <w:color w:val="000000"/>
          <w:sz w:val="32"/>
          <w:szCs w:val="32"/>
        </w:rPr>
      </w:pPr>
      <w:r>
        <w:rPr>
          <w:rFonts w:hint="eastAsia" w:ascii="黑体" w:hAnsi="黑体" w:eastAsia="黑体"/>
          <w:color w:val="000000"/>
          <w:sz w:val="32"/>
          <w:szCs w:val="32"/>
        </w:rPr>
        <w:t>2020年项目支出绩效评价得分表</w:t>
      </w:r>
    </w:p>
    <w:tbl>
      <w:tblPr>
        <w:tblStyle w:val="16"/>
        <w:tblpPr w:leftFromText="180" w:rightFromText="180" w:vertAnchor="text" w:horzAnchor="page" w:tblpX="1488" w:tblpY="558"/>
        <w:tblOverlap w:val="never"/>
        <w:tblW w:w="9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2081"/>
        <w:gridCol w:w="3481"/>
        <w:gridCol w:w="129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593"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146" w:type="dxa"/>
            <w:gridSpan w:val="4"/>
            <w:vAlign w:val="center"/>
          </w:tcPr>
          <w:p>
            <w:pPr>
              <w:widowControl/>
              <w:spacing w:line="260" w:lineRule="exact"/>
              <w:jc w:val="center"/>
              <w:rPr>
                <w:rFonts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593"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081"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481"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290"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294" w:type="dxa"/>
            <w:vAlign w:val="center"/>
          </w:tcPr>
          <w:p>
            <w:pPr>
              <w:widowControl/>
              <w:spacing w:line="2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593"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（20分）</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项目决策</w:t>
            </w:r>
          </w:p>
        </w:tc>
        <w:tc>
          <w:tcPr>
            <w:tcW w:w="2081"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（10分）</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科学决策</w:t>
            </w:r>
          </w:p>
        </w:tc>
        <w:tc>
          <w:tcPr>
            <w:tcW w:w="3481" w:type="dxa"/>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必要性</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（政策依据)</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可行性</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（政策完善）</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（10）</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绩效目标    </w:t>
            </w: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593"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（10分）</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项目管理</w:t>
            </w:r>
          </w:p>
        </w:tc>
        <w:tc>
          <w:tcPr>
            <w:tcW w:w="2081"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（7分）</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资金管理</w:t>
            </w: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textDirection w:val="tbRlV"/>
            <w:vAlign w:val="center"/>
          </w:tcPr>
          <w:p>
            <w:pPr>
              <w:widowControl/>
              <w:spacing w:line="260" w:lineRule="exact"/>
              <w:jc w:val="center"/>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（3分）</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项目执行</w:t>
            </w: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593"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（特性指标70分）</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项目绩效  </w:t>
            </w:r>
          </w:p>
        </w:tc>
        <w:tc>
          <w:tcPr>
            <w:tcW w:w="2081"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（20）</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项目完成</w:t>
            </w: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restart"/>
            <w:textDirection w:val="tbRlV"/>
            <w:vAlign w:val="center"/>
          </w:tcPr>
          <w:p>
            <w:pPr>
              <w:widowControl/>
              <w:spacing w:line="260"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（50分）</w:t>
            </w:r>
          </w:p>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项目效益</w:t>
            </w: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290" w:type="dxa"/>
            <w:vMerge w:val="restart"/>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290" w:type="dxa"/>
            <w:vMerge w:val="continue"/>
            <w:vAlign w:val="center"/>
          </w:tcPr>
          <w:p>
            <w:pPr>
              <w:widowControl/>
              <w:spacing w:line="260" w:lineRule="exact"/>
              <w:jc w:val="left"/>
              <w:rPr>
                <w:rFonts w:ascii="宋体" w:hAnsi="宋体" w:cs="宋体"/>
                <w:color w:val="000000"/>
                <w:kern w:val="0"/>
                <w:sz w:val="20"/>
                <w:szCs w:val="20"/>
              </w:rPr>
            </w:pP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290" w:type="dxa"/>
            <w:vMerge w:val="continue"/>
            <w:vAlign w:val="center"/>
          </w:tcPr>
          <w:p>
            <w:pPr>
              <w:widowControl/>
              <w:spacing w:line="260" w:lineRule="exact"/>
              <w:jc w:val="left"/>
              <w:rPr>
                <w:rFonts w:ascii="宋体" w:hAnsi="宋体" w:cs="宋体"/>
                <w:color w:val="000000"/>
                <w:kern w:val="0"/>
                <w:sz w:val="20"/>
                <w:szCs w:val="20"/>
              </w:rPr>
            </w:pP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290" w:type="dxa"/>
            <w:vMerge w:val="continue"/>
            <w:vAlign w:val="center"/>
          </w:tcPr>
          <w:p>
            <w:pPr>
              <w:widowControl/>
              <w:spacing w:line="260" w:lineRule="exact"/>
              <w:jc w:val="left"/>
              <w:rPr>
                <w:rFonts w:ascii="宋体" w:hAnsi="宋体" w:cs="宋体"/>
                <w:color w:val="000000"/>
                <w:kern w:val="0"/>
                <w:sz w:val="20"/>
                <w:szCs w:val="20"/>
              </w:rPr>
            </w:pP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290" w:type="dxa"/>
            <w:vMerge w:val="continue"/>
            <w:vAlign w:val="center"/>
          </w:tcPr>
          <w:p>
            <w:pPr>
              <w:widowControl/>
              <w:spacing w:line="260" w:lineRule="exact"/>
              <w:jc w:val="left"/>
              <w:rPr>
                <w:rFonts w:ascii="宋体" w:hAnsi="宋体" w:cs="宋体"/>
                <w:color w:val="000000"/>
                <w:kern w:val="0"/>
                <w:sz w:val="20"/>
                <w:szCs w:val="20"/>
              </w:rPr>
            </w:pP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290" w:type="dxa"/>
            <w:vMerge w:val="continue"/>
            <w:vAlign w:val="center"/>
          </w:tcPr>
          <w:p>
            <w:pPr>
              <w:widowControl/>
              <w:spacing w:line="260" w:lineRule="exact"/>
              <w:jc w:val="left"/>
              <w:rPr>
                <w:rFonts w:ascii="宋体" w:hAnsi="宋体" w:cs="宋体"/>
                <w:color w:val="000000"/>
                <w:kern w:val="0"/>
                <w:sz w:val="20"/>
                <w:szCs w:val="20"/>
              </w:rPr>
            </w:pP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593" w:type="dxa"/>
            <w:vMerge w:val="continue"/>
            <w:vAlign w:val="center"/>
          </w:tcPr>
          <w:p>
            <w:pPr>
              <w:widowControl/>
              <w:spacing w:line="260" w:lineRule="exact"/>
              <w:jc w:val="left"/>
              <w:rPr>
                <w:rFonts w:ascii="宋体" w:hAnsi="宋体" w:cs="宋体"/>
                <w:color w:val="000000"/>
                <w:kern w:val="0"/>
                <w:sz w:val="20"/>
                <w:szCs w:val="20"/>
              </w:rPr>
            </w:pPr>
          </w:p>
        </w:tc>
        <w:tc>
          <w:tcPr>
            <w:tcW w:w="2081" w:type="dxa"/>
            <w:vMerge w:val="continue"/>
            <w:vAlign w:val="center"/>
          </w:tcPr>
          <w:p>
            <w:pPr>
              <w:widowControl/>
              <w:spacing w:line="260" w:lineRule="exact"/>
              <w:jc w:val="left"/>
              <w:rPr>
                <w:rFonts w:ascii="宋体" w:hAnsi="宋体" w:cs="宋体"/>
                <w:color w:val="000000"/>
                <w:kern w:val="0"/>
                <w:sz w:val="20"/>
                <w:szCs w:val="20"/>
              </w:rPr>
            </w:pPr>
          </w:p>
        </w:tc>
        <w:tc>
          <w:tcPr>
            <w:tcW w:w="348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290"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94"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93" w:type="dxa"/>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146" w:type="dxa"/>
            <w:gridSpan w:val="4"/>
            <w:vAlign w:val="center"/>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90</w:t>
            </w:r>
          </w:p>
        </w:tc>
      </w:tr>
    </w:tbl>
    <w:p>
      <w:pPr>
        <w:pStyle w:val="15"/>
        <w:widowControl/>
        <w:spacing w:line="520" w:lineRule="exact"/>
        <w:ind w:firstLine="560" w:firstLineChars="200"/>
        <w:jc w:val="both"/>
        <w:rPr>
          <w:rFonts w:ascii="仿宋_GB2312" w:hAnsi="宋体" w:eastAsia="仿宋_GB2312" w:cs="宋体"/>
          <w:color w:val="333333"/>
          <w:sz w:val="28"/>
          <w:szCs w:val="28"/>
          <w:lang w:val="zh-CN"/>
        </w:rPr>
      </w:pPr>
    </w:p>
    <w:p>
      <w:pPr>
        <w:pStyle w:val="15"/>
        <w:widowControl/>
        <w:spacing w:line="520" w:lineRule="exact"/>
        <w:ind w:firstLine="560" w:firstLineChars="200"/>
        <w:jc w:val="both"/>
        <w:rPr>
          <w:rFonts w:ascii="仿宋_GB2312" w:hAnsi="宋体" w:eastAsia="仿宋_GB2312" w:cs="宋体"/>
          <w:color w:val="333333"/>
          <w:sz w:val="28"/>
          <w:szCs w:val="28"/>
          <w:lang w:val="zh-CN"/>
        </w:rPr>
      </w:pPr>
    </w:p>
    <w:p>
      <w:pPr>
        <w:spacing w:line="600" w:lineRule="exact"/>
        <w:outlineLvl w:val="1"/>
        <w:rPr>
          <w:rStyle w:val="21"/>
          <w:rFonts w:ascii="黑体" w:eastAsia="黑体"/>
        </w:rPr>
      </w:pPr>
      <w:bookmarkStart w:id="51" w:name="_Toc15377221"/>
      <w:bookmarkStart w:id="52" w:name="_Toc15396612"/>
      <w:r>
        <w:rPr>
          <w:rFonts w:hint="eastAsia" w:ascii="黑体" w:eastAsia="黑体"/>
          <w:color w:val="000000"/>
          <w:sz w:val="32"/>
          <w:szCs w:val="32"/>
        </w:rPr>
        <w:t>十</w:t>
      </w:r>
      <w:r>
        <w:rPr>
          <w:rStyle w:val="21"/>
          <w:rFonts w:hint="eastAsia" w:ascii="黑体" w:eastAsia="黑体"/>
        </w:rPr>
        <w:t>一、</w:t>
      </w:r>
      <w:r>
        <w:rPr>
          <w:rStyle w:val="21"/>
          <w:rFonts w:hint="eastAsia" w:ascii="黑体" w:eastAsia="黑体"/>
          <w:b w:val="0"/>
        </w:rPr>
        <w:t>其他重要事项的情况说明</w:t>
      </w:r>
      <w:bookmarkEnd w:id="51"/>
      <w:bookmarkEnd w:id="52"/>
    </w:p>
    <w:p>
      <w:pPr>
        <w:spacing w:line="600" w:lineRule="exact"/>
        <w:rPr>
          <w:rFonts w:ascii="仿宋_GB2312" w:hAnsi="仿宋_GB2312" w:eastAsia="仿宋_GB2312" w:cs="仿宋_GB2312"/>
          <w:color w:val="000000"/>
          <w:sz w:val="32"/>
          <w:szCs w:val="32"/>
        </w:rPr>
      </w:pPr>
      <w:bookmarkStart w:id="53" w:name="_Toc15377225"/>
      <w:bookmarkStart w:id="54" w:name="_Toc15396613"/>
      <w:r>
        <w:rPr>
          <w:rFonts w:hint="eastAsia" w:ascii="仿宋_GB2312" w:hAnsi="仿宋_GB2312" w:eastAsia="仿宋_GB2312" w:cs="仿宋_GB2312"/>
          <w:b/>
          <w:color w:val="000000"/>
          <w:sz w:val="32"/>
          <w:szCs w:val="32"/>
        </w:rPr>
        <w:t>（一）机关运行经费支出情况</w:t>
      </w:r>
    </w:p>
    <w:p>
      <w:pPr>
        <w:spacing w:line="60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2020年度，科学技术和农业畜牧局机关运行经费支出</w:t>
      </w:r>
      <w:r>
        <w:rPr>
          <w:rFonts w:hint="eastAsia" w:ascii="仿宋_GB2312" w:hAnsi="宋体" w:eastAsia="仿宋_GB2312" w:cs="宋体"/>
          <w:color w:val="333333"/>
          <w:kern w:val="0"/>
          <w:sz w:val="28"/>
          <w:szCs w:val="28"/>
          <w:lang w:val="zh-CN"/>
        </w:rPr>
        <w:t>25.56</w:t>
      </w:r>
      <w:r>
        <w:rPr>
          <w:rFonts w:hint="eastAsia" w:ascii="仿宋_GB2312" w:hAnsi="仿宋_GB2312" w:eastAsia="仿宋_GB2312" w:cs="仿宋_GB2312"/>
          <w:color w:val="000000"/>
          <w:sz w:val="28"/>
          <w:szCs w:val="28"/>
        </w:rPr>
        <w:t>万元。</w:t>
      </w:r>
    </w:p>
    <w:p>
      <w:pPr>
        <w:autoSpaceDE w:val="0"/>
        <w:autoSpaceDN w:val="0"/>
        <w:adjustRightInd w:val="0"/>
        <w:spacing w:line="600" w:lineRule="exact"/>
        <w:jc w:val="lef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（二）政府采购支出情况</w:t>
      </w:r>
    </w:p>
    <w:p>
      <w:pPr>
        <w:spacing w:line="600" w:lineRule="exact"/>
        <w:ind w:firstLine="56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28"/>
          <w:szCs w:val="28"/>
        </w:rPr>
        <w:t>2020年度，我局采购支出总额2719.42万元，其中：政府采购货物支出742. 28万元，主要用于项目专款采购；工程采购1622.42万元；服务采购354.72万元。</w:t>
      </w:r>
    </w:p>
    <w:p>
      <w:pPr>
        <w:autoSpaceDE w:val="0"/>
        <w:autoSpaceDN w:val="0"/>
        <w:adjustRightInd w:val="0"/>
        <w:spacing w:line="600" w:lineRule="exact"/>
        <w:jc w:val="lef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（三）国有资产占有使用情况</w:t>
      </w:r>
    </w:p>
    <w:p>
      <w:pPr>
        <w:autoSpaceDE w:val="0"/>
        <w:autoSpaceDN w:val="0"/>
        <w:adjustRightInd w:val="0"/>
        <w:spacing w:line="60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截至2020年12月31日，我局有公有车辆8辆，轿车3辆，大中型载客汽车1辆，其他车型4辆；单价50万元以上通用设备1台，单价100万元以上专用设备1台。</w:t>
      </w:r>
    </w:p>
    <w:p>
      <w:pPr>
        <w:numPr>
          <w:ilvl w:val="0"/>
          <w:numId w:val="5"/>
        </w:numPr>
        <w:spacing w:line="600" w:lineRule="exact"/>
        <w:ind w:firstLine="663" w:firstLineChars="150"/>
        <w:jc w:val="center"/>
        <w:outlineLvl w:val="0"/>
        <w:rPr>
          <w:rStyle w:val="20"/>
          <w:rFonts w:ascii="黑体" w:eastAsia="黑体"/>
          <w:b w:val="0"/>
        </w:rPr>
      </w:pPr>
      <w:r>
        <w:rPr>
          <w:rFonts w:hint="eastAsia" w:ascii="黑体" w:eastAsia="黑体"/>
          <w:b/>
          <w:color w:val="000000"/>
          <w:sz w:val="44"/>
          <w:szCs w:val="44"/>
        </w:rPr>
        <w:t>名</w:t>
      </w:r>
      <w:r>
        <w:rPr>
          <w:rStyle w:val="20"/>
          <w:rFonts w:hint="eastAsia" w:ascii="黑体" w:eastAsia="黑体"/>
          <w:b w:val="0"/>
        </w:rPr>
        <w:t>词解释</w:t>
      </w:r>
      <w:bookmarkEnd w:id="53"/>
      <w:bookmarkEnd w:id="54"/>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5"/>
        <w:rPr>
          <w:rFonts w:ascii="宋体"/>
          <w:sz w:val="44"/>
          <w:szCs w:val="44"/>
          <w:shd w:val="clear" w:color="auto" w:fill="FFFFFF"/>
        </w:rPr>
      </w:pPr>
      <w:r>
        <w:rPr>
          <w:rFonts w:hint="eastAsia" w:ascii="宋体"/>
          <w:sz w:val="44"/>
          <w:szCs w:val="44"/>
          <w:shd w:val="clear" w:color="auto" w:fill="FFFFFF"/>
        </w:rPr>
        <w:t xml:space="preserve">     </w:t>
      </w:r>
      <w:bookmarkStart w:id="55" w:name="_Toc15396615"/>
    </w:p>
    <w:p>
      <w:pPr>
        <w:pStyle w:val="5"/>
        <w:rPr>
          <w:rStyle w:val="20"/>
          <w:rFonts w:ascii="仿宋" w:eastAsia="仿宋"/>
          <w:b w:val="0"/>
          <w:bCs w:val="0"/>
          <w:sz w:val="32"/>
          <w:szCs w:val="32"/>
        </w:rPr>
      </w:pPr>
    </w:p>
    <w:p/>
    <w:p>
      <w:pPr>
        <w:pStyle w:val="5"/>
        <w:rPr>
          <w:rStyle w:val="20"/>
          <w:rFonts w:ascii="仿宋" w:eastAsia="仿宋"/>
          <w:b w:val="0"/>
          <w:bCs w:val="0"/>
          <w:sz w:val="32"/>
          <w:szCs w:val="32"/>
        </w:rPr>
      </w:pPr>
      <w:r>
        <w:rPr>
          <w:rStyle w:val="20"/>
          <w:rFonts w:hint="eastAsia" w:ascii="仿宋" w:eastAsia="仿宋"/>
          <w:b w:val="0"/>
          <w:bCs w:val="0"/>
          <w:sz w:val="32"/>
          <w:szCs w:val="32"/>
        </w:rPr>
        <w:t>附件1</w:t>
      </w:r>
      <w:bookmarkEnd w:id="55"/>
    </w:p>
    <w:p>
      <w:pPr>
        <w:numPr>
          <w:ilvl w:val="0"/>
          <w:numId w:val="5"/>
        </w:numPr>
        <w:spacing w:line="600" w:lineRule="exact"/>
        <w:ind w:firstLine="660" w:firstLineChars="150"/>
        <w:jc w:val="center"/>
        <w:outlineLvl w:val="0"/>
        <w:rPr>
          <w:rStyle w:val="20"/>
          <w:rFonts w:ascii="黑体" w:eastAsia="黑体"/>
          <w:b w:val="0"/>
        </w:rPr>
      </w:pPr>
      <w:r>
        <w:rPr>
          <w:rStyle w:val="20"/>
          <w:rFonts w:hint="eastAsia" w:ascii="黑体" w:eastAsia="黑体"/>
          <w:b w:val="0"/>
        </w:rPr>
        <w:t>附件</w:t>
      </w:r>
    </w:p>
    <w:p>
      <w:pPr>
        <w:outlineLvl w:val="0"/>
        <w:rPr>
          <w:rStyle w:val="20"/>
          <w:rFonts w:ascii="黑体" w:eastAsia="黑体"/>
          <w:b w:val="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金川县科学技术和农业畜牧局</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widowControl/>
        <w:spacing w:line="560" w:lineRule="exact"/>
        <w:contextualSpacing/>
        <w:jc w:val="center"/>
        <w:rPr>
          <w:rFonts w:ascii="黑体" w:eastAsia="黑体" w:cs="宋体"/>
          <w:color w:val="000000"/>
          <w:kern w:val="0"/>
          <w:sz w:val="24"/>
          <w:szCs w:val="32"/>
          <w:shd w:val="clear" w:color="auto" w:fill="FFFFFF"/>
        </w:rPr>
      </w:pPr>
    </w:p>
    <w:p>
      <w:pPr>
        <w:spacing w:line="560" w:lineRule="exact"/>
        <w:rPr>
          <w:rFonts w:ascii="方正小标宋简体" w:eastAsia="方正小标宋简体"/>
          <w:sz w:val="44"/>
          <w:szCs w:val="44"/>
          <w:lang w:val="zh-CN"/>
        </w:rPr>
      </w:pPr>
      <w:r>
        <w:rPr>
          <w:rFonts w:hint="eastAsia" w:ascii="方正小标宋简体" w:eastAsia="方正小标宋简体"/>
          <w:sz w:val="44"/>
          <w:szCs w:val="44"/>
          <w:lang w:val="zh-CN"/>
        </w:rPr>
        <w:t>一、部门（单位）概况</w:t>
      </w:r>
    </w:p>
    <w:p>
      <w:pPr>
        <w:spacing w:line="560" w:lineRule="exact"/>
        <w:rPr>
          <w:rFonts w:ascii="方正小标宋简体" w:eastAsia="方正小标宋简体"/>
          <w:sz w:val="44"/>
          <w:szCs w:val="44"/>
          <w:lang w:val="zh-CN"/>
        </w:rPr>
      </w:pPr>
      <w:r>
        <w:rPr>
          <w:rFonts w:hint="eastAsia" w:ascii="方正小标宋简体" w:eastAsia="方正小标宋简体"/>
          <w:sz w:val="44"/>
          <w:szCs w:val="44"/>
          <w:lang w:val="zh-CN"/>
        </w:rPr>
        <w:t>（一）机构组成。</w:t>
      </w:r>
    </w:p>
    <w:p>
      <w:pPr>
        <w:widowControl/>
        <w:adjustRightInd w:val="0"/>
        <w:snapToGrid w:val="0"/>
        <w:spacing w:line="560" w:lineRule="exact"/>
        <w:ind w:firstLine="640" w:firstLineChars="200"/>
        <w:jc w:val="left"/>
        <w:rPr>
          <w:rFonts w:ascii="仿宋_GB2312" w:cs="宋体"/>
          <w:color w:val="000000"/>
          <w:kern w:val="0"/>
          <w:szCs w:val="32"/>
          <w:shd w:val="clear" w:color="auto" w:fill="FFFFFF"/>
          <w:lang w:val="zh-CN"/>
        </w:rPr>
      </w:pPr>
      <w:r>
        <w:rPr>
          <w:rFonts w:hint="eastAsia" w:ascii="仿宋_GB2312" w:hAnsi="宋体" w:eastAsia="仿宋_GB2312" w:cs="宋体"/>
          <w:color w:val="000000"/>
          <w:kern w:val="0"/>
          <w:sz w:val="32"/>
          <w:lang w:val="zh-CN"/>
        </w:rPr>
        <w:t>我单位属独立编制机构，是独立核算的行政单位。</w:t>
      </w:r>
    </w:p>
    <w:p>
      <w:pPr>
        <w:spacing w:line="560" w:lineRule="exact"/>
        <w:rPr>
          <w:rFonts w:ascii="方正小标宋简体" w:eastAsia="方正小标宋简体"/>
          <w:sz w:val="44"/>
          <w:szCs w:val="44"/>
          <w:lang w:val="zh-CN"/>
        </w:rPr>
      </w:pPr>
      <w:r>
        <w:rPr>
          <w:rFonts w:hint="eastAsia" w:ascii="方正小标宋简体" w:eastAsia="方正小标宋简体"/>
          <w:sz w:val="44"/>
          <w:szCs w:val="44"/>
          <w:lang w:val="zh-CN"/>
        </w:rPr>
        <w:t>（</w:t>
      </w:r>
      <w:r>
        <w:rPr>
          <w:rFonts w:hint="eastAsia" w:ascii="方正小标宋简体" w:eastAsia="方正小标宋简体"/>
          <w:sz w:val="44"/>
          <w:szCs w:val="44"/>
        </w:rPr>
        <w:t>二</w:t>
      </w:r>
      <w:r>
        <w:rPr>
          <w:rFonts w:hint="eastAsia" w:ascii="方正小标宋简体" w:eastAsia="方正小标宋简体"/>
          <w:sz w:val="44"/>
          <w:szCs w:val="44"/>
          <w:lang w:val="zh-CN"/>
        </w:rPr>
        <w:t>）机构职能。</w:t>
      </w:r>
    </w:p>
    <w:p>
      <w:pPr>
        <w:pStyle w:val="28"/>
        <w:shd w:val="clear" w:color="auto" w:fill="auto"/>
        <w:tabs>
          <w:tab w:val="left" w:pos="1722"/>
        </w:tabs>
        <w:spacing w:after="0" w:line="560" w:lineRule="exact"/>
        <w:ind w:firstLine="640" w:firstLineChars="200"/>
        <w:jc w:val="left"/>
        <w:rPr>
          <w:rFonts w:ascii="仿宋_GB2312" w:hAnsi="宋体" w:eastAsia="仿宋_GB2312" w:cs="宋体"/>
          <w:color w:val="000000"/>
          <w:spacing w:val="0"/>
          <w:kern w:val="0"/>
          <w:szCs w:val="24"/>
          <w:lang w:val="zh-CN"/>
        </w:rPr>
      </w:pPr>
      <w:r>
        <w:rPr>
          <w:rFonts w:hint="eastAsia" w:ascii="仿宋_GB2312" w:hAnsi="宋体" w:eastAsia="仿宋_GB2312" w:cs="宋体"/>
          <w:color w:val="000000"/>
          <w:spacing w:val="0"/>
          <w:kern w:val="0"/>
          <w:szCs w:val="24"/>
          <w:lang w:val="zh-CN"/>
        </w:rPr>
        <w:t>我单位贯彻落实党中央关于科学技术、农业、畜牧的方针政策和省委、州委、县委的决策部署，在履行职责过程中坚持和加强党对科学技术、农业、畜牧的集中统一领导。主要职责是:</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1.</w:t>
      </w:r>
      <w:r>
        <w:rPr>
          <w:rFonts w:hint="eastAsia" w:ascii="仿宋_GB2312" w:hAnsi="仿宋_GB2312" w:eastAsia="仿宋_GB2312" w:cs="仿宋_GB2312"/>
          <w:spacing w:val="0"/>
          <w:kern w:val="0"/>
        </w:rPr>
        <w:t>统筹研究和组织实施全县“三农”工作的发展战略、中长期规划、重大决策。贯彻执行国家有关种植业、畜牧业</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草原牧业</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、农业机械化、农垦等农业领域工作的法律法规、政策以及省、州、县关于“三农”方面的决策部署。参与涉农的财税、价格、收储、金融保险、进出口等措施制定，提出农业产业保护的政策建议。</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2.</w:t>
      </w:r>
      <w:r>
        <w:rPr>
          <w:rFonts w:hint="eastAsia" w:ascii="仿宋_GB2312" w:hAnsi="仿宋_GB2312" w:eastAsia="仿宋_GB2312" w:cs="仿宋_GB2312"/>
          <w:spacing w:val="0"/>
          <w:kern w:val="0"/>
        </w:rPr>
        <w:t>统筹实施乡村振兴战略、牵头组织改善全县农村人居环境。统筹推进发展农村社会事业，农村公共服务、</w:t>
      </w:r>
      <w:r>
        <w:rPr>
          <w:rFonts w:ascii="仿宋_GB2312" w:hAnsi="仿宋_GB2312" w:eastAsia="仿宋_GB2312" w:cs="仿宋_GB2312"/>
          <w:spacing w:val="0"/>
          <w:kern w:val="0"/>
        </w:rPr>
        <w:t> </w:t>
      </w:r>
      <w:r>
        <w:rPr>
          <w:rFonts w:hint="eastAsia" w:ascii="仿宋_GB2312" w:hAnsi="仿宋_GB2312" w:eastAsia="仿宋_GB2312" w:cs="仿宋_GB2312"/>
          <w:spacing w:val="0"/>
          <w:kern w:val="0"/>
        </w:rPr>
        <w:t>农村文化、农村基础设施和乡村治理。指导农业遗产的保护传承和开发利用。指导农村精神文明和优秀农耕文化建设。</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3.</w:t>
      </w:r>
      <w:r>
        <w:rPr>
          <w:rFonts w:hint="eastAsia" w:ascii="仿宋_GB2312" w:hAnsi="仿宋_GB2312" w:eastAsia="仿宋_GB2312" w:cs="仿宋_GB2312"/>
          <w:spacing w:val="0"/>
          <w:kern w:val="0"/>
        </w:rPr>
        <w:t>拟订深化全县农村经济体制改革和巩固完善农村基本经营制度的措施。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4.</w:t>
      </w:r>
      <w:r>
        <w:rPr>
          <w:rFonts w:hint="eastAsia" w:ascii="仿宋_GB2312" w:hAnsi="仿宋_GB2312" w:eastAsia="仿宋_GB2312" w:cs="仿宋_GB2312"/>
          <w:spacing w:val="0"/>
          <w:kern w:val="0"/>
        </w:rPr>
        <w:t>指导全县特色产业、农产品加工业</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产地初加工</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休闲农业和乡村企业发展工作。指导特色农产品优势区建设和管理工作。组织拟订并实施现代农业园区的规划。负责现代农业园评定工作。提出促进大宗农产品市场体系建设与发展规划。培育、保护和发展农产品牌、组织协调“菜篮子”工程有关工作。负责农业信息体系建设，推动数字农业发展。发布农业农村经济信息，监测分析农业农村经济运行。承担农业统计工作。</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5.</w:t>
      </w:r>
      <w:r>
        <w:rPr>
          <w:rFonts w:hint="eastAsia" w:ascii="仿宋_GB2312" w:hAnsi="仿宋_GB2312" w:eastAsia="仿宋_GB2312" w:cs="仿宋_GB2312"/>
          <w:spacing w:val="0"/>
          <w:kern w:val="0"/>
        </w:rPr>
        <w:t>负责全县种植业、畜牧业（草原林业）、渔业、农垦、农业机械化等农业各产业的监督管理。指导粮食等农产品生产。指导粮食生产功能区和重要农产品生产保护区建设和管理工作。组织构建现代农业产业体系、生产体系、经营体系，指导农业标准化、规模化生产。落实促进粮油、畜禽、水产等主要农产品生产发展的相关政策措施，引导农业产业结构调整和产品品质改善，促进农业绿色发展。</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6.</w:t>
      </w:r>
      <w:r>
        <w:rPr>
          <w:rFonts w:hint="eastAsia" w:ascii="仿宋_GB2312" w:hAnsi="仿宋_GB2312" w:eastAsia="仿宋_GB2312" w:cs="仿宋_GB2312"/>
          <w:spacing w:val="0"/>
          <w:kern w:val="0"/>
        </w:rPr>
        <w:t>负责制定全县农业</w:t>
      </w:r>
      <w:r>
        <w:rPr>
          <w:rFonts w:hint="eastAsia" w:ascii="仿宋_GB2312" w:hAnsi="仿宋_GB2312" w:eastAsia="仿宋_GB2312" w:cs="仿宋_GB2312"/>
          <w:spacing w:val="0"/>
          <w:kern w:val="0"/>
          <w:lang w:eastAsia="zh-CN"/>
        </w:rPr>
        <w:t>安全</w:t>
      </w:r>
      <w:r>
        <w:rPr>
          <w:rFonts w:hint="eastAsia" w:ascii="仿宋_GB2312" w:hAnsi="仿宋_GB2312" w:eastAsia="仿宋_GB2312" w:cs="仿宋_GB2312"/>
          <w:spacing w:val="0"/>
          <w:kern w:val="0"/>
        </w:rPr>
        <w:t>生产机械化、智能化、数字化发展规划并组织实施。组织开展农业机械重大技术攻关和关键技术开发，引进、示范和推广农业机械新技术、新机具，指导设施农业、农机库棚、机电提灌、机耕道等基础设施建设。</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7.</w:t>
      </w:r>
      <w:r>
        <w:rPr>
          <w:rFonts w:hint="eastAsia" w:ascii="仿宋_GB2312" w:hAnsi="仿宋_GB2312" w:eastAsia="仿宋_GB2312" w:cs="仿宋_GB2312"/>
          <w:spacing w:val="0"/>
          <w:kern w:val="0"/>
        </w:rPr>
        <w:t>负责全县农产品质量安全监督管理。组织开展农产品质量安全监测、追溯、风险评估。发布有关农产品质量安全状况信息，提出技术性贸易措施建议。参与制定农产品质量安全地方标准并同有关部门组织实施。指导农业检验监测体系建设。依法组织实施符合安全标准的农产品生产基地认定、产品认证、农产品地理标志登记保护和监督管理。</w:t>
      </w:r>
    </w:p>
    <w:p>
      <w:pPr>
        <w:pStyle w:val="28"/>
        <w:shd w:val="clear" w:color="auto" w:fill="auto"/>
        <w:tabs>
          <w:tab w:val="left" w:pos="1722"/>
        </w:tabs>
        <w:spacing w:after="0" w:line="560" w:lineRule="exact"/>
        <w:ind w:firstLine="643" w:firstLineChars="200"/>
        <w:jc w:val="left"/>
        <w:rPr>
          <w:rFonts w:ascii="仿宋_GB2312" w:hAnsi="仿宋_GB2312" w:eastAsia="仿宋_GB2312" w:cs="仿宋_GB2312"/>
          <w:spacing w:val="0"/>
          <w:kern w:val="0"/>
        </w:rPr>
      </w:pPr>
      <w:r>
        <w:rPr>
          <w:rFonts w:ascii="仿宋_GB2312" w:hAnsi="仿宋_GB2312" w:eastAsia="仿宋_GB2312" w:cs="仿宋_GB2312"/>
          <w:b/>
          <w:bCs/>
          <w:spacing w:val="0"/>
          <w:kern w:val="0"/>
        </w:rPr>
        <w:t>8.</w:t>
      </w:r>
      <w:r>
        <w:rPr>
          <w:rFonts w:hint="eastAsia" w:ascii="仿宋_GB2312" w:hAnsi="仿宋_GB2312" w:eastAsia="仿宋_GB2312" w:cs="仿宋_GB2312"/>
          <w:spacing w:val="0"/>
          <w:kern w:val="0"/>
        </w:rPr>
        <w:t>组织开展全县农业资源区划和资源保护工作。</w:t>
      </w:r>
      <w:r>
        <w:rPr>
          <w:rFonts w:ascii="仿宋_GB2312" w:hAnsi="仿宋_GB2312" w:eastAsia="仿宋_GB2312" w:cs="仿宋_GB2312"/>
          <w:spacing w:val="0"/>
          <w:kern w:val="0"/>
        </w:rPr>
        <w:t> </w:t>
      </w:r>
      <w:r>
        <w:rPr>
          <w:rFonts w:hint="eastAsia" w:ascii="仿宋_GB2312" w:hAnsi="仿宋_GB2312" w:eastAsia="仿宋_GB2312" w:cs="仿宋_GB2312"/>
          <w:spacing w:val="0"/>
          <w:kern w:val="0"/>
        </w:rPr>
        <w:t>指导农牧业用地、渔业水域、宜农宜牧滩涂、宜农宜牧湿地以及农牧业生物物种资源的保护和管理</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负责水生野生动植物保护。耕地及永久基本农田质量保护工作。负责农村能源建设和资源环境工作。指导农产品产地环境管理和农业清洁生产，提出划定农产品禁止生产区域的建议，指导设施农业、生态循环农业、节水农业发展以及农村可再生能源综合开发利用、农业生物质产业发展。依法管理耕地质量，运用工程设施、农艺、农机、生物等措施发展资源节约型环境友好型农业。</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9.</w:t>
      </w:r>
      <w:r>
        <w:rPr>
          <w:rFonts w:hint="eastAsia" w:ascii="仿宋_GB2312" w:hAnsi="仿宋_GB2312" w:eastAsia="仿宋_GB2312" w:cs="仿宋_GB2312"/>
          <w:spacing w:val="0"/>
          <w:kern w:val="0"/>
        </w:rPr>
        <w:t>负责全县有关农业产业资料和农业投入品的监督管理。组织农业生产资料市场体系建设，承担农作物种子</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种苗</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、食用菌种、饲料良种、种畜禽、苗种、农药、兽药</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渔药</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政检药检工作，负责执业普医和畜禽屠宰行业管理。</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10.</w:t>
      </w:r>
      <w:r>
        <w:rPr>
          <w:rFonts w:hint="eastAsia" w:ascii="仿宋_GB2312" w:hAnsi="仿宋_GB2312" w:eastAsia="仿宋_GB2312" w:cs="仿宋_GB2312"/>
          <w:spacing w:val="0"/>
          <w:kern w:val="0"/>
        </w:rPr>
        <w:t>负责全县农业防灾减灾、农作物重大病虫害防治工作。贯彻落实动植物防疫和检疫的地方性法规、规章，会同有关部门制定动植物防疫检疫措施并指导实施。指导动植物防疫检疫体系建设，监督管理县内动植物防疫检疫工作，发布疫情并组织扑灭。组织植物检疫性有害生物普查。牵头管理外来农业物种。监测、核查、发布农业灾情，组织种子、种苗、化肥、兽药</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渔药</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等农业生产救灾物资的储备和调拨，提出生产救灾资金安排建议，指导紧急救灾和灾后生产恢复。</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11.</w:t>
      </w:r>
      <w:r>
        <w:rPr>
          <w:rFonts w:hint="eastAsia" w:ascii="仿宋_GB2312" w:hAnsi="仿宋_GB2312" w:eastAsia="仿宋_GB2312" w:cs="仿宋_GB2312"/>
          <w:spacing w:val="0"/>
          <w:kern w:val="0"/>
        </w:rPr>
        <w:t>负责全县农业投资管理。提出农业投融资体制机制改革建议。编制中央和省级、州级、县级投资安排的农业投资项目建设规划，提出农业投资规模和方向、扶持农业农村发展财政项目的建议，按国务院、省政府、州政府、县政府和省农业农村、州农业农村、州科学技术规定权限审批农业投资项目，负责农业投资项目资金安排和监督管理。</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12.</w:t>
      </w:r>
      <w:r>
        <w:rPr>
          <w:rFonts w:hint="eastAsia" w:ascii="仿宋_GB2312" w:hAnsi="仿宋_GB2312" w:eastAsia="仿宋_GB2312" w:cs="仿宋_GB2312"/>
          <w:spacing w:val="0"/>
          <w:kern w:val="0"/>
        </w:rPr>
        <w:t>负责全县农田建设管理。拟订农田建设发展规划，提出农田建设项目需求建议。负责全县农田建设管理、高标准农田建设和耕地质量管理。编制农业综合开发涉及农田建设项目、农田整治项目、农田水利建设项目计划，并组织实施和管理。</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13.</w:t>
      </w:r>
      <w:r>
        <w:rPr>
          <w:rFonts w:hint="eastAsia" w:ascii="仿宋_GB2312" w:hAnsi="仿宋_GB2312" w:eastAsia="仿宋_GB2312" w:cs="仿宋_GB2312"/>
          <w:spacing w:val="0"/>
          <w:kern w:val="0"/>
        </w:rPr>
        <w:t>制定全县农业科研、农技推广的规划、计划并组织实施，牵头推动农业科技体制改革和农业科技创新体系建设。指导农业产业技术体系和农技推广体系建设，组织农作物、畜禽、水产养殖等新品种育种攻关和农业先进技术引进、试验、转化、示范、推广。负责农业转基因生物安全监督管理和农业植物新品种保护。</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14.</w:t>
      </w:r>
      <w:r>
        <w:rPr>
          <w:rFonts w:hint="eastAsia" w:ascii="仿宋_GB2312" w:hAnsi="仿宋_GB2312" w:eastAsia="仿宋_GB2312" w:cs="仿宋_GB2312"/>
          <w:spacing w:val="0"/>
          <w:kern w:val="0"/>
        </w:rPr>
        <w:t>指导全县农业农村人才工作。制定农业农村人才队伍建设规划并组织实施，指导农业教育和农业职业技能开发，指导新型职业农民培育、农业科技人才培养和农村实用人才培训工作。承担农民科技培训和农村劳动力转移就业培训工作，会同有关部门依法实施农业农村人才专业技术资格和从业资格管理的有关工作。</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15.</w:t>
      </w:r>
      <w:r>
        <w:rPr>
          <w:rFonts w:hint="eastAsia" w:ascii="仿宋_GB2312" w:hAnsi="仿宋_GB2312" w:eastAsia="仿宋_GB2312" w:cs="仿宋_GB2312"/>
          <w:spacing w:val="0"/>
          <w:kern w:val="0"/>
        </w:rPr>
        <w:t>负责开展全县农业对外合作工作。承办政府间农业涉外事务，参与拟订农业对外开发措施和外向型农业发展。组织开展农业贸易促进、有关国际交流合作和农业投资促进活动，推动农业开放合作。协助有关部门组织实施农业援外项目。</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16.</w:t>
      </w:r>
      <w:r>
        <w:rPr>
          <w:rFonts w:hint="eastAsia" w:ascii="仿宋_GB2312" w:hAnsi="仿宋_GB2312" w:eastAsia="仿宋_GB2312" w:cs="仿宋_GB2312"/>
          <w:spacing w:val="0"/>
          <w:kern w:val="0"/>
        </w:rPr>
        <w:t>协调烟草工业、商业做好相关工作。组织实施县级烟草扶持项目。</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17.</w:t>
      </w:r>
      <w:r>
        <w:rPr>
          <w:rFonts w:hint="eastAsia" w:ascii="仿宋_GB2312" w:hAnsi="仿宋_GB2312" w:eastAsia="仿宋_GB2312" w:cs="仿宋_GB2312"/>
          <w:spacing w:val="0"/>
          <w:kern w:val="0"/>
        </w:rPr>
        <w:t>统筹协调和监督指导全县农业综合执法。负责监督指导重大案件查处和跨区域执法的组织协调工作，负责由县本级办理的涉农违法案件。推进农业依法行政。</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18.</w:t>
      </w:r>
      <w:r>
        <w:rPr>
          <w:rFonts w:hint="eastAsia" w:ascii="仿宋_GB2312" w:hAnsi="仿宋_GB2312" w:eastAsia="仿宋_GB2312" w:cs="仿宋_GB2312"/>
          <w:spacing w:val="0"/>
          <w:kern w:val="0"/>
        </w:rPr>
        <w:t>负责全县国有土地的保护、利用和管理，指导国有农场的改革与发展。</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19.</w:t>
      </w:r>
      <w:r>
        <w:rPr>
          <w:rFonts w:hint="eastAsia" w:ascii="仿宋_GB2312" w:hAnsi="仿宋_GB2312" w:eastAsia="仿宋_GB2312" w:cs="仿宋_GB2312"/>
          <w:spacing w:val="0"/>
          <w:kern w:val="0"/>
        </w:rPr>
        <w:t>依法依规负责农业安全生产和职业健康监督管理工作。负责农业机械、农</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兽</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药、饲料、渔业、畜禽屠宰行业安全生产和职业健康监督管理。对农业园区的安全生产和职业健康工作实施行业监督管理。负责制定职责范围内的安全生产年度监督检查计划并组织实施。</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20.</w:t>
      </w:r>
      <w:r>
        <w:rPr>
          <w:rFonts w:hint="eastAsia" w:ascii="仿宋_GB2312" w:hAnsi="仿宋_GB2312" w:eastAsia="仿宋_GB2312" w:cs="仿宋_GB2312"/>
          <w:spacing w:val="0"/>
          <w:kern w:val="0"/>
        </w:rPr>
        <w:t>负责职责范围内的生态环境保护、审批服务便民化等工作。</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21.</w:t>
      </w:r>
      <w:r>
        <w:rPr>
          <w:rFonts w:hint="eastAsia" w:ascii="仿宋_GB2312" w:hAnsi="仿宋_GB2312" w:eastAsia="仿宋_GB2312" w:cs="仿宋_GB2312"/>
          <w:spacing w:val="0"/>
          <w:kern w:val="0"/>
        </w:rPr>
        <w:t>拟订全县创新驱动发展战略以及科技发展、引进国外智力规划和措施并组织实施。负责全县有关科技发展措施并组织实施。</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22.</w:t>
      </w:r>
      <w:r>
        <w:rPr>
          <w:rFonts w:hint="eastAsia" w:ascii="仿宋_GB2312" w:hAnsi="仿宋_GB2312" w:eastAsia="仿宋_GB2312" w:cs="仿宋_GB2312"/>
          <w:spacing w:val="0"/>
          <w:kern w:val="0"/>
        </w:rPr>
        <w:t>统筹推进全县创新体系建设和科技体制改革，会同有关部门健全技术创新激励机制。优化科研体系建设，指导科研机构改革发展，推动企业科技创新能力建设，承担推进科技军民融合发展相关工作，推进全县重大科技决策咨询制度建设。</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23.</w:t>
      </w:r>
      <w:r>
        <w:rPr>
          <w:rFonts w:hint="eastAsia" w:ascii="仿宋_GB2312" w:hAnsi="仿宋_GB2312" w:eastAsia="仿宋_GB2312" w:cs="仿宋_GB2312"/>
          <w:spacing w:val="0"/>
          <w:kern w:val="0"/>
        </w:rPr>
        <w:t>牵头建立统一的全县科技管理平台和科研项目资金协调、实施、评估、监管机制。会同有关部门提出优化配置科技资源的措流建议，推动多元化科技投入体系建设。组织拟订县级对政</w:t>
      </w:r>
      <w:r>
        <w:rPr>
          <w:rFonts w:hint="eastAsia" w:ascii="仿宋_GB2312" w:hAnsi="仿宋_GB2312" w:eastAsia="仿宋_GB2312" w:cs="仿宋_GB2312"/>
          <w:spacing w:val="0"/>
          <w:kern w:val="0"/>
          <w:lang w:eastAsia="zh-CN"/>
        </w:rPr>
        <w:t>科技</w:t>
      </w:r>
      <w:r>
        <w:rPr>
          <w:rFonts w:hint="eastAsia" w:ascii="仿宋_GB2312" w:hAnsi="仿宋_GB2312" w:eastAsia="仿宋_GB2312" w:cs="仿宋_GB2312"/>
          <w:spacing w:val="0"/>
          <w:kern w:val="0"/>
        </w:rPr>
        <w:t>计划</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专项、基合</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并监督和实施</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负责本部门预算中的科技经费预决算及经费使用的监督管理。</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24.</w:t>
      </w:r>
      <w:r>
        <w:rPr>
          <w:rFonts w:hint="eastAsia" w:ascii="仿宋_GB2312" w:hAnsi="仿宋_GB2312" w:eastAsia="仿宋_GB2312" w:cs="仿宋_GB2312"/>
          <w:spacing w:val="0"/>
          <w:kern w:val="0"/>
        </w:rPr>
        <w:t>拟订全县基础研究规划并组织实施，组织协调全县重大基础研究和应用基础研究。拟订科技创新基地建设规划并监督实施，参与科技基础设施建设规划和监督实施。推动科研条件保障建设和科技资源开放共享。</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25.</w:t>
      </w:r>
      <w:r>
        <w:rPr>
          <w:rFonts w:hint="eastAsia" w:ascii="仿宋_GB2312" w:hAnsi="仿宋_GB2312" w:eastAsia="仿宋_GB2312" w:cs="仿宋_GB2312"/>
          <w:spacing w:val="0"/>
          <w:kern w:val="0"/>
        </w:rPr>
        <w:t>组织实施全县重大科技专项，组织参与省、州、县重大科技专项。统筹关键共性技术、前沿引领技术、现代工程技术、颠覆性技术研发和创新，牵头组织重大技术攻关和成果应用示范。</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26.</w:t>
      </w:r>
      <w:r>
        <w:rPr>
          <w:rFonts w:hint="eastAsia" w:ascii="仿宋_GB2312" w:hAnsi="仿宋_GB2312" w:eastAsia="仿宋_GB2312" w:cs="仿宋_GB2312"/>
          <w:spacing w:val="0"/>
          <w:kern w:val="0"/>
        </w:rPr>
        <w:t>组织拟订高新技术发展及产业化、科技促进农业农村和社会发展的规划和措施。组织开展重点领域技术发展需求分析，提出重大任务并组织实施。</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27.</w:t>
      </w:r>
      <w:r>
        <w:rPr>
          <w:rFonts w:hint="eastAsia" w:ascii="仿宋_GB2312" w:hAnsi="仿宋_GB2312" w:eastAsia="仿宋_GB2312" w:cs="仿宋_GB2312"/>
          <w:spacing w:val="0"/>
          <w:kern w:val="0"/>
        </w:rPr>
        <w:t>牵头全县技术转移体系建设，拟订科技成果转移转化和促进产学研结合的相关措施并组织实施。指导科技服务业、技术市场和科技中介组织发展。</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28.</w:t>
      </w:r>
      <w:r>
        <w:rPr>
          <w:rFonts w:hint="eastAsia" w:ascii="仿宋_GB2312" w:hAnsi="仿宋_GB2312" w:eastAsia="仿宋_GB2312" w:cs="仿宋_GB2312"/>
          <w:spacing w:val="0"/>
          <w:kern w:val="0"/>
        </w:rPr>
        <w:t>统筹区域科技创新体系建设，指导区域创新发展、科技资源合理布局和协同创新能力建设，推动科技园区、科技小镇、科技平台建设。</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29.</w:t>
      </w:r>
      <w:r>
        <w:rPr>
          <w:rFonts w:hint="eastAsia" w:ascii="仿宋_GB2312" w:hAnsi="仿宋_GB2312" w:eastAsia="仿宋_GB2312" w:cs="仿宋_GB2312"/>
          <w:spacing w:val="0"/>
          <w:kern w:val="0"/>
        </w:rPr>
        <w:t>负责科技监督评价体系建设和相关科技评估管理，指导科技评价机制改革，统筹科研诚信建设。组织实施全县创新调查和科技报告制度，指导全县科技保密相关工作。</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30.</w:t>
      </w:r>
      <w:r>
        <w:rPr>
          <w:rFonts w:hint="eastAsia" w:ascii="仿宋_GB2312" w:hAnsi="仿宋_GB2312" w:eastAsia="仿宋_GB2312" w:cs="仿宋_GB2312"/>
          <w:spacing w:val="0"/>
          <w:kern w:val="0"/>
        </w:rPr>
        <w:t>拟订科技对外交往与创新能力开放合作的规划和措施，组织开展国际科技合作与科技人才交流。指导相关部门对外科技合作与科技人才交流工作。</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31.</w:t>
      </w:r>
      <w:r>
        <w:rPr>
          <w:rFonts w:hint="eastAsia" w:ascii="仿宋_GB2312" w:hAnsi="仿宋_GB2312" w:eastAsia="仿宋_GB2312" w:cs="仿宋_GB2312"/>
          <w:spacing w:val="0"/>
          <w:kern w:val="0"/>
        </w:rPr>
        <w:t>负责引进国外智力工作。拟订全县重点引进外国专家总体规划、计划并组织实施，建立外国科学家、团队吸引集聚机制和外国专家联系服务机制。拟订出国</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境</w:t>
      </w:r>
      <w:r>
        <w:rPr>
          <w:rFonts w:ascii="仿宋_GB2312" w:hAnsi="仿宋_GB2312" w:eastAsia="仿宋_GB2312" w:cs="仿宋_GB2312"/>
          <w:spacing w:val="0"/>
          <w:kern w:val="0"/>
        </w:rPr>
        <w:t>)</w:t>
      </w:r>
      <w:r>
        <w:rPr>
          <w:rFonts w:hint="eastAsia" w:ascii="仿宋_GB2312" w:hAnsi="仿宋_GB2312" w:eastAsia="仿宋_GB2312" w:cs="仿宋_GB2312"/>
          <w:spacing w:val="0"/>
          <w:kern w:val="0"/>
        </w:rPr>
        <w:t>培训总体规划、政策和年度计划并监督实施。会同有关部门制定外国人来县工作政策、办理相关外国人工作许可。</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32.</w:t>
      </w:r>
      <w:r>
        <w:rPr>
          <w:rFonts w:hint="eastAsia" w:ascii="仿宋_GB2312" w:hAnsi="仿宋_GB2312" w:eastAsia="仿宋_GB2312" w:cs="仿宋_GB2312"/>
          <w:spacing w:val="0"/>
          <w:kern w:val="0"/>
        </w:rPr>
        <w:t>会同有关部门拟订科技人才队伍建设规划，建立健全科技人才评价和激励机制，组织实施科技人才计划，推动高端科技创新人才队伍建设。拟订科学普及和科学传播规划、措施。</w:t>
      </w:r>
    </w:p>
    <w:p>
      <w:pPr>
        <w:pStyle w:val="28"/>
        <w:shd w:val="clear" w:color="auto" w:fill="auto"/>
        <w:tabs>
          <w:tab w:val="left" w:pos="1722"/>
        </w:tabs>
        <w:spacing w:after="0" w:line="560" w:lineRule="exact"/>
        <w:ind w:firstLine="643" w:firstLineChars="200"/>
        <w:jc w:val="both"/>
        <w:rPr>
          <w:rFonts w:ascii="仿宋_GB2312" w:hAnsi="仿宋_GB2312" w:eastAsia="仿宋_GB2312" w:cs="仿宋_GB2312"/>
          <w:spacing w:val="0"/>
          <w:kern w:val="0"/>
        </w:rPr>
      </w:pPr>
      <w:r>
        <w:rPr>
          <w:rFonts w:ascii="仿宋_GB2312" w:hAnsi="仿宋_GB2312" w:eastAsia="仿宋_GB2312" w:cs="仿宋_GB2312"/>
          <w:b/>
          <w:bCs/>
          <w:spacing w:val="0"/>
          <w:kern w:val="0"/>
        </w:rPr>
        <w:t>33.</w:t>
      </w:r>
      <w:r>
        <w:rPr>
          <w:rFonts w:hint="eastAsia" w:ascii="仿宋_GB2312" w:hAnsi="仿宋_GB2312" w:eastAsia="仿宋_GB2312" w:cs="仿宋_GB2312"/>
          <w:spacing w:val="0"/>
          <w:kern w:val="0"/>
        </w:rPr>
        <w:t>负责推荐申报省科学技术奖、天府友谊奖。</w:t>
      </w:r>
    </w:p>
    <w:p>
      <w:pPr>
        <w:widowControl/>
        <w:adjustRightInd w:val="0"/>
        <w:snapToGrid w:val="0"/>
        <w:spacing w:line="560" w:lineRule="exact"/>
        <w:ind w:firstLine="643" w:firstLineChars="200"/>
        <w:jc w:val="left"/>
        <w:rPr>
          <w:lang w:val="zh-CN"/>
        </w:rPr>
      </w:pPr>
      <w:r>
        <w:rPr>
          <w:rFonts w:ascii="仿宋_GB2312" w:hAnsi="仿宋_GB2312" w:eastAsia="仿宋_GB2312" w:cs="仿宋_GB2312"/>
          <w:b/>
          <w:bCs/>
          <w:kern w:val="0"/>
          <w:sz w:val="32"/>
          <w:szCs w:val="32"/>
        </w:rPr>
        <w:t>34.</w:t>
      </w:r>
      <w:r>
        <w:rPr>
          <w:rFonts w:hint="eastAsia" w:ascii="仿宋_GB2312" w:hAnsi="仿宋_GB2312" w:eastAsia="仿宋_GB2312" w:cs="仿宋_GB2312"/>
          <w:kern w:val="0"/>
          <w:sz w:val="32"/>
          <w:szCs w:val="32"/>
        </w:rPr>
        <w:t>负责职责范围内的安全生产和职业健康、生态环境保护、公共机构节能减排，审批服务便民化等工作。</w:t>
      </w:r>
    </w:p>
    <w:p>
      <w:pPr>
        <w:widowControl/>
        <w:adjustRightInd w:val="0"/>
        <w:snapToGrid w:val="0"/>
        <w:spacing w:line="560" w:lineRule="exact"/>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（三）人员概况。</w:t>
      </w:r>
    </w:p>
    <w:p>
      <w:pPr>
        <w:pStyle w:val="28"/>
        <w:shd w:val="clear" w:color="auto" w:fill="auto"/>
        <w:tabs>
          <w:tab w:val="left" w:pos="1722"/>
        </w:tabs>
        <w:spacing w:after="0" w:line="560" w:lineRule="exact"/>
        <w:ind w:firstLine="640" w:firstLineChars="200"/>
        <w:jc w:val="both"/>
        <w:rPr>
          <w:rFonts w:ascii="仿宋_GB2312" w:hAnsi="宋体" w:eastAsia="仿宋_GB2312" w:cs="宋体"/>
          <w:color w:val="000000"/>
          <w:spacing w:val="0"/>
          <w:kern w:val="0"/>
          <w:szCs w:val="24"/>
          <w:lang w:val="zh-CN"/>
        </w:rPr>
      </w:pPr>
      <w:r>
        <w:rPr>
          <w:rFonts w:hint="eastAsia" w:ascii="仿宋_GB2312" w:hAnsi="宋体" w:eastAsia="仿宋_GB2312" w:cs="宋体"/>
          <w:color w:val="000000"/>
          <w:spacing w:val="0"/>
          <w:kern w:val="0"/>
          <w:szCs w:val="24"/>
          <w:lang w:val="zh-CN"/>
        </w:rPr>
        <w:t>金川县科学技术和农业畜牧局行政编制10名，行政工勤1名，事业编制124名，事业工勤1名。</w:t>
      </w:r>
    </w:p>
    <w:p>
      <w:pPr>
        <w:snapToGrid w:val="0"/>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我单位编制一共127名，其中：行政编制10名，参公编制12名，机关工勤编制1名，事业编制104名。截止2020年底在职人员总数124名，其中：行政人员12名，参公人员11名，机关工勤人员2名，事业专技人员96人，事业工勤3人。退休人员</w:t>
      </w:r>
      <w:r>
        <w:rPr>
          <w:rFonts w:hint="eastAsia" w:ascii="仿宋_GB2312" w:hAnsi="宋体" w:eastAsia="仿宋_GB2312" w:cs="宋体"/>
          <w:color w:val="000000"/>
          <w:kern w:val="0"/>
          <w:sz w:val="32"/>
        </w:rPr>
        <w:t>71</w:t>
      </w:r>
      <w:r>
        <w:rPr>
          <w:rFonts w:hint="eastAsia" w:ascii="仿宋_GB2312" w:hAnsi="宋体" w:eastAsia="仿宋_GB2312" w:cs="宋体"/>
          <w:color w:val="000000"/>
          <w:kern w:val="0"/>
          <w:sz w:val="32"/>
          <w:lang w:val="zh-CN"/>
        </w:rPr>
        <w:t>人，遗属人员16人。因机构改革、人员调动、人员死亡等原因，在职人员较上年减少9人，遗属人员较上年增加2人。</w:t>
      </w:r>
    </w:p>
    <w:p>
      <w:pPr>
        <w:widowControl/>
        <w:adjustRightInd w:val="0"/>
        <w:snapToGrid w:val="0"/>
        <w:spacing w:line="560" w:lineRule="exact"/>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二、部门财政资金收支情况</w:t>
      </w:r>
    </w:p>
    <w:p>
      <w:pPr>
        <w:widowControl/>
        <w:adjustRightInd w:val="0"/>
        <w:snapToGrid w:val="0"/>
        <w:spacing w:line="560" w:lineRule="exact"/>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（一）部门财政资金收入情况。</w:t>
      </w:r>
    </w:p>
    <w:p>
      <w:pPr>
        <w:snapToGrid w:val="0"/>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2020年我局总收入共计12954.3万元。其中，政府性基金预算财政拨款646万元。</w:t>
      </w:r>
    </w:p>
    <w:p>
      <w:pPr>
        <w:widowControl/>
        <w:adjustRightInd w:val="0"/>
        <w:snapToGrid w:val="0"/>
        <w:spacing w:line="560" w:lineRule="exact"/>
        <w:ind w:firstLine="643" w:firstLineChars="200"/>
        <w:jc w:val="left"/>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（二）部门财政资金支出情况。</w:t>
      </w:r>
    </w:p>
    <w:p>
      <w:pPr>
        <w:snapToGrid w:val="0"/>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2020年我局支出共计13561.88万元。其中，基本支出2121.26万元，占总支出的15.64%；项目支出11440.62万元，占总支出的84.36%。</w:t>
      </w:r>
    </w:p>
    <w:p>
      <w:pPr>
        <w:snapToGrid w:val="0"/>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三、部门整体预算绩效管理情况（专项预算项目自评报告根据要求另行单独报送）</w:t>
      </w:r>
    </w:p>
    <w:p>
      <w:pPr>
        <w:snapToGrid w:val="0"/>
        <w:spacing w:line="560" w:lineRule="exact"/>
        <w:ind w:firstLine="643" w:firstLineChars="200"/>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lang w:val="zh-CN"/>
        </w:rPr>
        <w:t>（一）部门预算管理。</w:t>
      </w:r>
    </w:p>
    <w:p>
      <w:pPr>
        <w:widowControl/>
        <w:adjustRightInd w:val="0"/>
        <w:snapToGrid w:val="0"/>
        <w:spacing w:line="560" w:lineRule="exact"/>
        <w:ind w:firstLine="720"/>
        <w:jc w:val="left"/>
        <w:rPr>
          <w:lang w:val="zh-CN"/>
        </w:rPr>
      </w:pPr>
      <w:r>
        <w:rPr>
          <w:rFonts w:hint="eastAsia" w:ascii="仿宋_GB2312" w:hAnsi="宋体" w:eastAsia="仿宋_GB2312" w:cs="宋体"/>
          <w:color w:val="000000"/>
          <w:kern w:val="0"/>
          <w:sz w:val="32"/>
          <w:lang w:val="zh-CN"/>
        </w:rPr>
        <w:t>我单位</w:t>
      </w:r>
      <w:r>
        <w:rPr>
          <w:rFonts w:hint="eastAsia" w:ascii="仿宋_GB2312" w:hAnsi="宋体" w:eastAsia="仿宋_GB2312" w:cs="宋体"/>
          <w:color w:val="000000"/>
          <w:kern w:val="0"/>
          <w:sz w:val="32"/>
        </w:rPr>
        <w:t>20</w:t>
      </w:r>
      <w:r>
        <w:rPr>
          <w:rFonts w:hint="eastAsia" w:ascii="仿宋_GB2312" w:hAnsi="宋体" w:cs="宋体"/>
          <w:color w:val="000000"/>
          <w:kern w:val="0"/>
          <w:sz w:val="32"/>
        </w:rPr>
        <w:t>20</w:t>
      </w:r>
      <w:r>
        <w:rPr>
          <w:rFonts w:hint="eastAsia" w:ascii="仿宋_GB2312" w:hAnsi="宋体" w:eastAsia="仿宋_GB2312" w:cs="宋体"/>
          <w:color w:val="000000"/>
          <w:kern w:val="0"/>
          <w:sz w:val="32"/>
        </w:rPr>
        <w:t>年严格</w:t>
      </w:r>
      <w:r>
        <w:rPr>
          <w:rFonts w:hint="eastAsia" w:ascii="仿宋_GB2312" w:hAnsi="宋体" w:eastAsia="仿宋_GB2312" w:cs="宋体"/>
          <w:color w:val="000000"/>
          <w:kern w:val="0"/>
          <w:sz w:val="32"/>
          <w:lang w:val="zh-CN"/>
        </w:rPr>
        <w:t>按照州级部门预算编制通知及有关要求</w:t>
      </w:r>
      <w:r>
        <w:rPr>
          <w:rFonts w:hint="eastAsia" w:ascii="仿宋_GB2312" w:hAnsi="宋体" w:eastAsia="仿宋_GB2312" w:cs="宋体"/>
          <w:color w:val="000000"/>
          <w:kern w:val="0"/>
          <w:sz w:val="32"/>
        </w:rPr>
        <w:t>和部门预算编制口径汇总编报了本部门预算。</w:t>
      </w:r>
    </w:p>
    <w:p>
      <w:pPr>
        <w:snapToGrid w:val="0"/>
        <w:spacing w:line="560" w:lineRule="exact"/>
        <w:ind w:firstLine="643" w:firstLineChars="200"/>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rPr>
        <w:t>1</w:t>
      </w:r>
      <w:r>
        <w:rPr>
          <w:rFonts w:hint="eastAsia" w:ascii="仿宋_GB2312" w:hAnsi="宋体" w:eastAsia="仿宋_GB2312" w:cs="宋体"/>
          <w:b/>
          <w:bCs/>
          <w:color w:val="000000"/>
          <w:kern w:val="0"/>
          <w:sz w:val="32"/>
          <w:lang w:val="zh-CN"/>
        </w:rPr>
        <w:t>、预算编制</w:t>
      </w:r>
    </w:p>
    <w:p>
      <w:pPr>
        <w:snapToGrid w:val="0"/>
        <w:spacing w:line="560" w:lineRule="exact"/>
        <w:ind w:firstLine="643" w:firstLineChars="200"/>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rPr>
        <w:t>（1）</w:t>
      </w:r>
      <w:r>
        <w:rPr>
          <w:rFonts w:hint="eastAsia" w:ascii="仿宋_GB2312" w:hAnsi="宋体" w:eastAsia="仿宋_GB2312" w:cs="宋体"/>
          <w:b/>
          <w:bCs/>
          <w:color w:val="000000"/>
          <w:kern w:val="0"/>
          <w:sz w:val="32"/>
          <w:lang w:val="zh-CN"/>
        </w:rPr>
        <w:t>目标制定</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2020年我单位部门预算资金均较准确编制了当年计划完成工作任务和预期要实现的效果，</w:t>
      </w:r>
      <w:r>
        <w:rPr>
          <w:rFonts w:hint="eastAsia" w:ascii="仿宋_GB2312" w:hAnsi="宋体" w:eastAsia="仿宋_GB2312" w:cs="宋体"/>
          <w:color w:val="000000"/>
          <w:kern w:val="0"/>
          <w:sz w:val="32"/>
          <w:lang w:val="zh-CN"/>
        </w:rPr>
        <w:t>要素完整，做到细化量化，且</w:t>
      </w:r>
      <w:r>
        <w:rPr>
          <w:rFonts w:hint="eastAsia" w:ascii="仿宋_GB2312" w:hAnsi="宋体" w:eastAsia="仿宋_GB2312" w:cs="宋体"/>
          <w:color w:val="000000"/>
          <w:kern w:val="0"/>
          <w:sz w:val="32"/>
        </w:rPr>
        <w:t>对重点项目绩效的编制做到了进一步的明确和量化。</w:t>
      </w:r>
    </w:p>
    <w:p>
      <w:pPr>
        <w:widowControl/>
        <w:adjustRightInd w:val="0"/>
        <w:snapToGrid w:val="0"/>
        <w:spacing w:line="560" w:lineRule="exact"/>
        <w:ind w:firstLine="643" w:firstLineChars="200"/>
        <w:contextualSpacing/>
        <w:jc w:val="left"/>
        <w:rPr>
          <w:rFonts w:ascii="仿宋_GB2312" w:hAnsi="宋体" w:eastAsia="仿宋_GB2312" w:cs="宋体"/>
          <w:b/>
          <w:bCs/>
          <w:color w:val="000000"/>
          <w:kern w:val="0"/>
          <w:sz w:val="32"/>
        </w:rPr>
      </w:pPr>
      <w:r>
        <w:rPr>
          <w:rFonts w:hint="eastAsia" w:ascii="仿宋_GB2312" w:hAnsi="宋体" w:cs="宋体"/>
          <w:b/>
          <w:bCs/>
          <w:color w:val="000000"/>
          <w:kern w:val="0"/>
          <w:sz w:val="32"/>
        </w:rPr>
        <w:t>（2）</w:t>
      </w:r>
      <w:r>
        <w:rPr>
          <w:rFonts w:hint="eastAsia" w:ascii="仿宋_GB2312" w:hAnsi="宋体" w:eastAsia="仿宋_GB2312" w:cs="宋体"/>
          <w:b/>
          <w:bCs/>
          <w:color w:val="000000"/>
          <w:kern w:val="0"/>
          <w:sz w:val="32"/>
        </w:rPr>
        <w:t>目标实现</w:t>
      </w:r>
    </w:p>
    <w:p>
      <w:pPr>
        <w:pStyle w:val="13"/>
        <w:spacing w:line="560" w:lineRule="exact"/>
        <w:ind w:left="0" w:leftChars="0" w:firstLine="640" w:firstLineChars="200"/>
      </w:pPr>
      <w:r>
        <w:rPr>
          <w:rFonts w:hint="eastAsia" w:ascii="仿宋_GB2312" w:hAnsi="宋体" w:cs="宋体"/>
          <w:kern w:val="0"/>
          <w:sz w:val="32"/>
        </w:rPr>
        <w:t>2020年我单位</w:t>
      </w:r>
      <w:r>
        <w:rPr>
          <w:rFonts w:hint="eastAsia" w:ascii="仿宋_GB2312" w:hAnsi="宋体" w:eastAsia="仿宋_GB2312" w:cs="宋体"/>
          <w:kern w:val="0"/>
          <w:sz w:val="32"/>
        </w:rPr>
        <w:t>申报绩效目标数量</w:t>
      </w:r>
      <w:r>
        <w:rPr>
          <w:rFonts w:hint="eastAsia" w:ascii="仿宋_GB2312" w:hAnsi="宋体" w:cs="宋体"/>
          <w:kern w:val="0"/>
          <w:sz w:val="32"/>
        </w:rPr>
        <w:t>72</w:t>
      </w:r>
      <w:r>
        <w:rPr>
          <w:rFonts w:hint="eastAsia" w:ascii="仿宋_GB2312" w:hAnsi="宋体" w:eastAsia="仿宋_GB2312" w:cs="宋体"/>
          <w:kern w:val="0"/>
          <w:sz w:val="32"/>
        </w:rPr>
        <w:t>个，实际实施绩效目标</w:t>
      </w:r>
      <w:r>
        <w:rPr>
          <w:rFonts w:hint="eastAsia" w:ascii="仿宋_GB2312" w:hAnsi="宋体" w:cs="宋体"/>
          <w:kern w:val="0"/>
          <w:sz w:val="32"/>
        </w:rPr>
        <w:t>72</w:t>
      </w:r>
      <w:r>
        <w:rPr>
          <w:rFonts w:hint="eastAsia" w:ascii="仿宋_GB2312" w:hAnsi="宋体" w:eastAsia="仿宋_GB2312" w:cs="宋体"/>
          <w:kern w:val="0"/>
          <w:sz w:val="32"/>
        </w:rPr>
        <w:t>个，评价项目覆盖率为100%。</w:t>
      </w:r>
    </w:p>
    <w:p>
      <w:pPr>
        <w:snapToGrid w:val="0"/>
        <w:spacing w:line="560" w:lineRule="exact"/>
        <w:ind w:firstLine="643" w:firstLineChars="200"/>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（3）编制准确</w:t>
      </w:r>
    </w:p>
    <w:p>
      <w:pPr>
        <w:widowControl/>
        <w:adjustRightInd w:val="0"/>
        <w:snapToGrid w:val="0"/>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我单位按照县财政局</w:t>
      </w:r>
      <w:r>
        <w:rPr>
          <w:rFonts w:hint="eastAsia" w:ascii="仿宋_GB2312" w:hAnsi="宋体" w:eastAsia="仿宋_GB2312" w:cs="宋体"/>
          <w:color w:val="000000"/>
          <w:kern w:val="0"/>
          <w:sz w:val="32"/>
        </w:rPr>
        <w:t>20</w:t>
      </w:r>
      <w:r>
        <w:rPr>
          <w:rFonts w:hint="eastAsia" w:ascii="仿宋_GB2312" w:hAnsi="宋体" w:cs="宋体"/>
          <w:color w:val="000000"/>
          <w:kern w:val="0"/>
          <w:sz w:val="32"/>
        </w:rPr>
        <w:t>20</w:t>
      </w:r>
      <w:r>
        <w:rPr>
          <w:rFonts w:hint="eastAsia" w:ascii="仿宋_GB2312" w:hAnsi="宋体" w:eastAsia="仿宋_GB2312" w:cs="宋体"/>
          <w:color w:val="000000"/>
          <w:kern w:val="0"/>
          <w:sz w:val="32"/>
        </w:rPr>
        <w:t>年</w:t>
      </w:r>
      <w:r>
        <w:rPr>
          <w:rFonts w:hint="eastAsia" w:ascii="仿宋_GB2312" w:hAnsi="宋体" w:eastAsia="仿宋_GB2312" w:cs="宋体"/>
          <w:color w:val="000000"/>
          <w:kern w:val="0"/>
          <w:sz w:val="32"/>
          <w:lang w:val="zh-CN"/>
        </w:rPr>
        <w:t>部门预算编制通知的要求,在编制过程中,认真核实本单位实际财政供养人数和单位实有编制情况,</w:t>
      </w:r>
      <w:r>
        <w:rPr>
          <w:rFonts w:hint="eastAsia" w:ascii="仿宋_GB2312" w:hAnsi="宋体" w:cs="宋体"/>
          <w:color w:val="000000"/>
          <w:kern w:val="0"/>
          <w:sz w:val="32"/>
          <w:lang w:val="zh-CN"/>
        </w:rPr>
        <w:t>科学、</w:t>
      </w:r>
      <w:r>
        <w:rPr>
          <w:rFonts w:hint="eastAsia" w:ascii="仿宋_GB2312" w:hAnsi="宋体" w:eastAsia="仿宋_GB2312" w:cs="宋体"/>
          <w:color w:val="000000"/>
          <w:kern w:val="0"/>
          <w:sz w:val="32"/>
          <w:lang w:val="zh-CN"/>
        </w:rPr>
        <w:t>正确编制人员经费和公用经费,做到细化项目支出</w:t>
      </w:r>
      <w:r>
        <w:rPr>
          <w:rFonts w:hint="eastAsia" w:ascii="仿宋_GB2312" w:hAnsi="宋体" w:cs="宋体"/>
          <w:color w:val="000000"/>
          <w:kern w:val="0"/>
          <w:sz w:val="32"/>
          <w:lang w:val="zh-CN"/>
        </w:rPr>
        <w:t>、</w:t>
      </w:r>
      <w:r>
        <w:rPr>
          <w:rFonts w:hint="eastAsia" w:ascii="仿宋_GB2312" w:hAnsi="宋体" w:eastAsia="仿宋_GB2312" w:cs="宋体"/>
          <w:color w:val="000000"/>
          <w:kern w:val="0"/>
          <w:sz w:val="32"/>
          <w:lang w:val="zh-CN"/>
        </w:rPr>
        <w:t>预算范围和科目。</w:t>
      </w:r>
    </w:p>
    <w:p>
      <w:pPr>
        <w:widowControl/>
        <w:adjustRightInd w:val="0"/>
        <w:snapToGrid w:val="0"/>
        <w:spacing w:line="560" w:lineRule="exact"/>
        <w:ind w:firstLine="72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2、预算执行</w:t>
      </w:r>
    </w:p>
    <w:p>
      <w:pPr>
        <w:widowControl/>
        <w:adjustRightInd w:val="0"/>
        <w:snapToGrid w:val="0"/>
        <w:spacing w:line="560" w:lineRule="exact"/>
        <w:ind w:firstLine="72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（1）支出控制</w:t>
      </w:r>
    </w:p>
    <w:p>
      <w:pPr>
        <w:widowControl/>
        <w:adjustRightInd w:val="0"/>
        <w:snapToGrid w:val="0"/>
        <w:spacing w:line="560" w:lineRule="exact"/>
        <w:ind w:firstLine="1260" w:firstLineChars="600"/>
        <w:contextualSpacing/>
        <w:jc w:val="left"/>
        <w:rPr>
          <w:rFonts w:ascii="仿宋_GB2312" w:cs="宋体"/>
          <w:color w:val="000000"/>
          <w:kern w:val="0"/>
          <w:szCs w:val="32"/>
          <w:shd w:val="clear" w:color="auto" w:fill="FFFFFF"/>
        </w:rPr>
      </w:pPr>
      <w:r>
        <w:rPr>
          <w:rFonts w:hint="eastAsia" w:ascii="仿宋_GB2312" w:cs="宋体"/>
          <w:color w:val="000000"/>
          <w:kern w:val="0"/>
          <w:szCs w:val="32"/>
          <w:shd w:val="clear" w:color="auto" w:fill="FFFFFF"/>
        </w:rPr>
        <w:t xml:space="preserve">部门公用经费及非定额公用支出控制情况    </w:t>
      </w:r>
    </w:p>
    <w:tbl>
      <w:tblPr>
        <w:tblStyle w:val="16"/>
        <w:tblW w:w="6390" w:type="dxa"/>
        <w:jc w:val="center"/>
        <w:tblLayout w:type="autofit"/>
        <w:tblCellMar>
          <w:top w:w="0" w:type="dxa"/>
          <w:left w:w="0" w:type="dxa"/>
          <w:bottom w:w="0" w:type="dxa"/>
          <w:right w:w="0" w:type="dxa"/>
        </w:tblCellMar>
      </w:tblPr>
      <w:tblGrid>
        <w:gridCol w:w="2265"/>
        <w:gridCol w:w="1395"/>
        <w:gridCol w:w="1215"/>
        <w:gridCol w:w="1515"/>
      </w:tblGrid>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公用经费（单位：元）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rPr>
              <w:t>年初预算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rPr>
              <w:t>年末决算</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color w:val="000000"/>
                <w:sz w:val="22"/>
                <w:szCs w:val="22"/>
              </w:rPr>
            </w:pPr>
            <w:r>
              <w:rPr>
                <w:rFonts w:hint="eastAsia" w:ascii="宋体" w:hAnsi="宋体" w:cs="宋体"/>
                <w:color w:val="000000"/>
                <w:kern w:val="0"/>
                <w:sz w:val="22"/>
                <w:szCs w:val="22"/>
              </w:rPr>
              <w:t>偏差值</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办公费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120000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103000.74</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14.17%</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水费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0.00%</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电费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60000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57000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5.00%</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邮电费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60000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56999.27</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5.00%</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维护费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30000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28398</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5.34%</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培训费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40597</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18.81%</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公务接待费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7885</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7870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0.19%</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福利费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51300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51252</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0.09%</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差旅费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421459</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429811.4</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-1.98%</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劳务费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130000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128000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1.54%</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公务用车运行维护费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47500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47500</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0.00%</w:t>
            </w:r>
          </w:p>
        </w:tc>
      </w:tr>
      <w:tr>
        <w:tblPrEx>
          <w:tblCellMar>
            <w:top w:w="0" w:type="dxa"/>
            <w:left w:w="0" w:type="dxa"/>
            <w:bottom w:w="0" w:type="dxa"/>
            <w:right w:w="0" w:type="dxa"/>
          </w:tblCellMar>
        </w:tblPrEx>
        <w:trPr>
          <w:trHeight w:val="42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其他交通费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250000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246961.5</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1.22%</w:t>
            </w:r>
          </w:p>
        </w:tc>
      </w:tr>
      <w:tr>
        <w:tblPrEx>
          <w:tblCellMar>
            <w:top w:w="0" w:type="dxa"/>
            <w:left w:w="0" w:type="dxa"/>
            <w:bottom w:w="0" w:type="dxa"/>
            <w:right w:w="0" w:type="dxa"/>
          </w:tblCellMar>
        </w:tblPrEx>
        <w:trPr>
          <w:trHeight w:val="44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专用材料费</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6136</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560" w:lineRule="exact"/>
              <w:jc w:val="right"/>
              <w:rPr>
                <w:rFonts w:ascii="宋体" w:hAnsi="宋体" w:cs="宋体"/>
                <w:color w:val="000000"/>
                <w:sz w:val="22"/>
                <w:szCs w:val="22"/>
              </w:rPr>
            </w:pPr>
          </w:p>
        </w:tc>
      </w:tr>
      <w:tr>
        <w:tblPrEx>
          <w:tblCellMar>
            <w:top w:w="0" w:type="dxa"/>
            <w:left w:w="0" w:type="dxa"/>
            <w:bottom w:w="0" w:type="dxa"/>
            <w:right w:w="0" w:type="dxa"/>
          </w:tblCellMar>
        </w:tblPrEx>
        <w:trPr>
          <w:trHeight w:val="440" w:hRule="atLeast"/>
          <w:jc w:val="center"/>
        </w:trPr>
        <w:tc>
          <w:tcPr>
            <w:tcW w:w="22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left"/>
              <w:textAlignment w:val="center"/>
              <w:rPr>
                <w:rFonts w:ascii="宋体" w:hAnsi="宋体" w:cs="宋体"/>
                <w:color w:val="000000"/>
                <w:sz w:val="22"/>
                <w:szCs w:val="22"/>
              </w:rPr>
            </w:pPr>
            <w:r>
              <w:rPr>
                <w:rFonts w:hint="eastAsia" w:ascii="宋体" w:hAnsi="宋体" w:cs="宋体"/>
                <w:color w:val="000000"/>
                <w:kern w:val="0"/>
                <w:sz w:val="22"/>
                <w:szCs w:val="22"/>
              </w:rPr>
              <w:t>合计</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1238144</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1213525.91</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right"/>
              <w:textAlignment w:val="center"/>
              <w:rPr>
                <w:rFonts w:ascii="宋体" w:hAnsi="宋体" w:cs="宋体"/>
                <w:color w:val="000000"/>
                <w:sz w:val="22"/>
                <w:szCs w:val="22"/>
              </w:rPr>
            </w:pPr>
            <w:r>
              <w:rPr>
                <w:rFonts w:hint="eastAsia" w:ascii="宋体" w:hAnsi="宋体" w:cs="宋体"/>
                <w:color w:val="000000"/>
                <w:kern w:val="0"/>
                <w:sz w:val="22"/>
                <w:szCs w:val="22"/>
              </w:rPr>
              <w:t>1.99%</w:t>
            </w:r>
          </w:p>
        </w:tc>
      </w:tr>
    </w:tbl>
    <w:p>
      <w:pPr>
        <w:pStyle w:val="2"/>
        <w:spacing w:line="560" w:lineRule="exact"/>
        <w:ind w:left="0" w:leftChars="0" w:firstLine="0" w:firstLineChars="0"/>
      </w:pPr>
    </w:p>
    <w:p>
      <w:pPr>
        <w:pStyle w:val="2"/>
        <w:spacing w:line="560" w:lineRule="exact"/>
        <w:ind w:left="0" w:leftChars="0" w:firstLine="0" w:firstLineChars="0"/>
        <w:rPr>
          <w:rFonts w:ascii="仿宋_GB2312" w:eastAsia="仿宋_GB2312" w:cs="宋体"/>
          <w:color w:val="000000"/>
          <w:kern w:val="0"/>
          <w:sz w:val="32"/>
          <w:szCs w:val="32"/>
          <w:shd w:val="clear" w:color="auto" w:fill="FFFFFF"/>
        </w:rPr>
      </w:pPr>
      <w:r>
        <w:rPr>
          <w:rFonts w:hint="eastAsia"/>
        </w:rPr>
        <w:t xml:space="preserve">   </w:t>
      </w:r>
      <w:r>
        <w:rPr>
          <w:rFonts w:hint="eastAsia" w:ascii="仿宋_GB2312" w:eastAsia="仿宋_GB2312" w:cs="宋体"/>
          <w:color w:val="000000"/>
          <w:kern w:val="0"/>
          <w:sz w:val="32"/>
          <w:szCs w:val="32"/>
          <w:shd w:val="clear" w:color="auto" w:fill="FFFFFF"/>
        </w:rPr>
        <w:t xml:space="preserve"> 部门公用经费及非定额公用支出年初预算1238144.00元，年末决算1213525.91元，偏差值为1.99%。</w:t>
      </w:r>
    </w:p>
    <w:p>
      <w:pPr>
        <w:widowControl/>
        <w:adjustRightInd w:val="0"/>
        <w:snapToGrid w:val="0"/>
        <w:spacing w:line="560" w:lineRule="exact"/>
        <w:ind w:firstLine="643" w:firstLineChars="200"/>
        <w:contextualSpacing/>
        <w:jc w:val="left"/>
        <w:rPr>
          <w:rFonts w:ascii="仿宋_GB2312" w:eastAsia="仿宋_GB2312" w:cs="宋体"/>
          <w:b/>
          <w:bCs/>
          <w:color w:val="000000"/>
          <w:kern w:val="0"/>
          <w:sz w:val="32"/>
          <w:szCs w:val="32"/>
          <w:shd w:val="clear" w:color="auto" w:fill="FFFFFF"/>
        </w:rPr>
      </w:pPr>
      <w:r>
        <w:rPr>
          <w:rFonts w:hint="eastAsia" w:ascii="仿宋_GB2312" w:eastAsia="仿宋_GB2312" w:cs="宋体"/>
          <w:b/>
          <w:bCs/>
          <w:color w:val="000000"/>
          <w:kern w:val="0"/>
          <w:sz w:val="32"/>
          <w:szCs w:val="32"/>
          <w:shd w:val="clear" w:color="auto" w:fill="FFFFFF"/>
        </w:rPr>
        <w:t>（2）动态调整</w:t>
      </w:r>
    </w:p>
    <w:p>
      <w:pPr>
        <w:widowControl/>
        <w:adjustRightInd w:val="0"/>
        <w:snapToGrid w:val="0"/>
        <w:spacing w:line="56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我单位开展绩效运行监控后，将绩效监控结果应用到预算调整。</w:t>
      </w:r>
    </w:p>
    <w:p>
      <w:pPr>
        <w:widowControl/>
        <w:adjustRightInd w:val="0"/>
        <w:snapToGrid w:val="0"/>
        <w:spacing w:line="56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一是强化项目单位对资金绩效实现情况的责任约束，对专项资金偏离预算绩效目标的支出，及时采取有效措施予以纠正，让资金管理人、使用人皆知 “自家的钱怎么花的，花得怎么样，存在什么责任”，进一步规范专项资金使用绩效。</w:t>
      </w:r>
    </w:p>
    <w:p>
      <w:pPr>
        <w:widowControl/>
        <w:adjustRightInd w:val="0"/>
        <w:snapToGrid w:val="0"/>
        <w:spacing w:line="56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二是加强财政资金使用效益跟踪“回头看”，反馈局</w:t>
      </w:r>
      <w:r>
        <w:rPr>
          <w:rFonts w:hint="eastAsia" w:ascii="仿宋_GB2312" w:eastAsia="仿宋_GB2312" w:cs="宋体"/>
          <w:color w:val="000000"/>
          <w:kern w:val="0"/>
          <w:sz w:val="32"/>
          <w:szCs w:val="32"/>
          <w:shd w:val="clear" w:color="auto" w:fill="FFFFFF"/>
        </w:rPr>
        <w:t>股站室</w:t>
      </w:r>
      <w:r>
        <w:rPr>
          <w:rFonts w:ascii="仿宋_GB2312" w:eastAsia="仿宋_GB2312" w:cs="宋体"/>
          <w:color w:val="000000"/>
          <w:kern w:val="0"/>
          <w:sz w:val="32"/>
          <w:szCs w:val="32"/>
          <w:shd w:val="clear" w:color="auto" w:fill="FFFFFF"/>
        </w:rPr>
        <w:t>针对资金绩效运行状况，及时预控、查找资金使用和管理过程中的薄弱环节，提出纠偏措施；对本年度尚未启用的预算资金、沉淀的结余资金给予及时收回，加快资金拨付进度，确保后续绩效目标的有效实现提供有力支撑。</w:t>
      </w:r>
      <w:r>
        <w:rPr>
          <w:rFonts w:hint="eastAsia" w:ascii="仿宋_GB2312" w:eastAsia="仿宋_GB2312" w:cs="宋体"/>
          <w:color w:val="000000"/>
          <w:kern w:val="0"/>
          <w:sz w:val="32"/>
          <w:szCs w:val="32"/>
          <w:shd w:val="clear" w:color="auto" w:fill="FFFFFF"/>
        </w:rPr>
        <w:t xml:space="preserve">                                                            </w:t>
      </w:r>
    </w:p>
    <w:p>
      <w:pPr>
        <w:widowControl/>
        <w:adjustRightInd w:val="0"/>
        <w:snapToGrid w:val="0"/>
        <w:spacing w:line="56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（3）执行进度</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20</w:t>
      </w:r>
      <w:r>
        <w:rPr>
          <w:rFonts w:hint="eastAsia" w:ascii="仿宋_GB2312" w:hAnsi="宋体" w:cs="宋体"/>
          <w:color w:val="000000"/>
          <w:kern w:val="0"/>
          <w:sz w:val="32"/>
        </w:rPr>
        <w:t>20</w:t>
      </w:r>
      <w:r>
        <w:rPr>
          <w:rFonts w:hint="eastAsia" w:ascii="仿宋_GB2312" w:hAnsi="宋体" w:eastAsia="仿宋_GB2312" w:cs="宋体"/>
          <w:color w:val="000000"/>
          <w:kern w:val="0"/>
          <w:sz w:val="32"/>
        </w:rPr>
        <w:t>年6月、9月及12月的预算执行率均实现了不低于40%、67.5%、82.5%的目标。</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3、完成结果</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（1）预算完成</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我单位2020年预算项目12月预算执行进度达到98.01%。</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（2）违规记录</w:t>
      </w:r>
      <w:r>
        <w:rPr>
          <w:rFonts w:ascii="仿宋_GB2312" w:hAnsi="宋体" w:eastAsia="仿宋_GB2312" w:cs="宋体"/>
          <w:b/>
          <w:bCs/>
          <w:color w:val="000000"/>
          <w:kern w:val="0"/>
          <w:sz w:val="32"/>
        </w:rPr>
        <w:t xml:space="preserve"> </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ascii="仿宋_GB2312" w:hAnsi="宋体" w:eastAsia="仿宋_GB2312" w:cs="宋体"/>
          <w:color w:val="000000"/>
          <w:kern w:val="0"/>
          <w:sz w:val="32"/>
        </w:rPr>
        <w:t>根据审计监督、财政检查结果</w:t>
      </w:r>
      <w:r>
        <w:rPr>
          <w:rFonts w:hint="eastAsia" w:ascii="仿宋_GB2312" w:hAnsi="宋体" w:eastAsia="仿宋_GB2312" w:cs="宋体"/>
          <w:color w:val="000000"/>
          <w:kern w:val="0"/>
          <w:sz w:val="32"/>
        </w:rPr>
        <w:t>，我单位2020</w:t>
      </w:r>
      <w:r>
        <w:rPr>
          <w:rFonts w:ascii="仿宋_GB2312" w:hAnsi="宋体" w:eastAsia="仿宋_GB2312" w:cs="宋体"/>
          <w:color w:val="000000"/>
          <w:kern w:val="0"/>
          <w:sz w:val="32"/>
        </w:rPr>
        <w:t>年度部门预算管理合规</w:t>
      </w:r>
      <w:r>
        <w:rPr>
          <w:rFonts w:hint="eastAsia" w:ascii="仿宋_GB2312" w:hAnsi="宋体" w:eastAsia="仿宋_GB2312" w:cs="宋体"/>
          <w:color w:val="000000"/>
          <w:kern w:val="0"/>
          <w:sz w:val="32"/>
        </w:rPr>
        <w:t>，无</w:t>
      </w:r>
      <w:r>
        <w:rPr>
          <w:rFonts w:ascii="仿宋_GB2312" w:hAnsi="宋体" w:eastAsia="仿宋_GB2312" w:cs="宋体"/>
          <w:color w:val="000000"/>
          <w:kern w:val="0"/>
          <w:sz w:val="32"/>
        </w:rPr>
        <w:t>预算管理方面违纪违规问题的</w:t>
      </w:r>
      <w:r>
        <w:rPr>
          <w:rFonts w:hint="eastAsia" w:ascii="仿宋_GB2312" w:hAnsi="宋体" w:eastAsia="仿宋_GB2312" w:cs="宋体"/>
          <w:color w:val="000000"/>
          <w:kern w:val="0"/>
          <w:sz w:val="32"/>
        </w:rPr>
        <w:t>。</w:t>
      </w:r>
      <w:r>
        <w:rPr>
          <w:rFonts w:ascii="仿宋_GB2312" w:hAnsi="宋体" w:eastAsia="仿宋_GB2312" w:cs="宋体"/>
          <w:color w:val="000000"/>
          <w:kern w:val="0"/>
          <w:sz w:val="32"/>
        </w:rPr>
        <w:t xml:space="preserve">  </w:t>
      </w:r>
    </w:p>
    <w:p>
      <w:pPr>
        <w:widowControl/>
        <w:adjustRightInd w:val="0"/>
        <w:snapToGrid w:val="0"/>
        <w:spacing w:line="560" w:lineRule="exact"/>
        <w:ind w:firstLine="643" w:firstLineChars="200"/>
        <w:jc w:val="left"/>
        <w:rPr>
          <w:rFonts w:ascii="仿宋_GB2312" w:hAnsi="宋体" w:eastAsia="仿宋_GB2312" w:cs="宋体"/>
          <w:color w:val="000000"/>
          <w:kern w:val="0"/>
          <w:sz w:val="32"/>
        </w:rPr>
      </w:pPr>
      <w:r>
        <w:rPr>
          <w:rFonts w:hint="eastAsia" w:ascii="仿宋_GB2312" w:hAnsi="宋体" w:eastAsia="仿宋_GB2312" w:cs="宋体"/>
          <w:b/>
          <w:bCs/>
          <w:color w:val="000000"/>
          <w:kern w:val="0"/>
          <w:sz w:val="32"/>
          <w:lang w:val="zh-CN"/>
        </w:rPr>
        <w:t>（二）</w:t>
      </w:r>
      <w:r>
        <w:rPr>
          <w:rFonts w:ascii="仿宋_GB2312" w:hAnsi="宋体" w:eastAsia="仿宋_GB2312" w:cs="宋体"/>
          <w:b/>
          <w:bCs/>
          <w:color w:val="000000"/>
          <w:kern w:val="0"/>
          <w:sz w:val="32"/>
        </w:rPr>
        <w:t xml:space="preserve">专项预算管理 </w:t>
      </w:r>
      <w:r>
        <w:rPr>
          <w:rFonts w:ascii="仿宋_GB2312" w:hAnsi="宋体" w:eastAsia="仿宋_GB2312" w:cs="宋体"/>
          <w:color w:val="000000"/>
          <w:kern w:val="0"/>
          <w:sz w:val="32"/>
        </w:rPr>
        <w:t xml:space="preserve">  </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我单位</w:t>
      </w:r>
      <w:r>
        <w:rPr>
          <w:rFonts w:ascii="仿宋_GB2312" w:hAnsi="宋体" w:eastAsia="仿宋_GB2312" w:cs="宋体"/>
          <w:color w:val="000000"/>
          <w:kern w:val="0"/>
          <w:sz w:val="32"/>
        </w:rPr>
        <w:t>按照专项项目自评工作要求对本部门管理的专项进行自评并打分，形成自评报告，</w:t>
      </w:r>
      <w:r>
        <w:rPr>
          <w:rFonts w:hint="eastAsia" w:ascii="仿宋_GB2312" w:hAnsi="宋体" w:eastAsia="仿宋_GB2312" w:cs="宋体"/>
          <w:color w:val="000000"/>
          <w:kern w:val="0"/>
          <w:sz w:val="32"/>
        </w:rPr>
        <w:t>自评报告另做提交。</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lang w:val="zh-CN"/>
        </w:rPr>
        <w:t>结果应用情况</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rPr>
        <w:t>1.</w:t>
      </w:r>
      <w:r>
        <w:rPr>
          <w:rFonts w:hint="eastAsia" w:ascii="仿宋_GB2312" w:hAnsi="宋体" w:eastAsia="仿宋_GB2312" w:cs="宋体"/>
          <w:b/>
          <w:bCs/>
          <w:color w:val="000000"/>
          <w:kern w:val="0"/>
          <w:sz w:val="32"/>
          <w:lang w:val="zh-CN"/>
        </w:rPr>
        <w:t>信息公开</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2020年1月20日在金川县人民政府网站公开“金川县科学技术和农业畜牧局2020年部门预算公开”。</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rPr>
        <w:t>2.</w:t>
      </w:r>
      <w:r>
        <w:rPr>
          <w:rFonts w:hint="eastAsia" w:ascii="仿宋_GB2312" w:hAnsi="宋体" w:eastAsia="仿宋_GB2312" w:cs="宋体"/>
          <w:b/>
          <w:bCs/>
          <w:color w:val="000000"/>
          <w:kern w:val="0"/>
          <w:sz w:val="32"/>
          <w:lang w:val="zh-CN"/>
        </w:rPr>
        <w:t>整改反馈</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（1）结果整改</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经过2020年审计、巡视、纪检监察等监督检查发现，我单位存在的问题多为：项目进度实施缓慢，资金使用不及时，资金拨付进度慢。该问题整改如下：</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完善政策：理解充分绩效评价，在制定绩效目标时，要将立项依据、项目内容和目标、实施周期、投入总额、本年度预算目标和金额等因素考虑在内。另一方面，推进项目支出标准化体系建设。对可量化支出的项目，核定支出标准，推进预算编制的精细化。</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改进管理:加快项目实施进度，保证项目质量，促进业主和施工方的联系，积极督促乡镇、村及时报账，使资金拨付进度提高。</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跟进预算：重视、熟悉预算绩效管理业务，根据项目进度实施情况，及时作出预算上的调整。</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（2）应用反馈</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我单位按要求在规定时间内，及时向财政部门反馈结果应用情况。</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四、评价结论及建议</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（一）评价结论</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经过认真对照《2021年度县级部门整体支出绩效评价指标体系（适用于专项预算大于1亿的部门）》，我单位各项指标都较好达到了相关要求，自评分为</w:t>
      </w:r>
      <w:r>
        <w:rPr>
          <w:rFonts w:hint="eastAsia" w:ascii="仿宋_GB2312" w:hAnsi="宋体" w:cs="宋体"/>
          <w:color w:val="000000"/>
          <w:kern w:val="0"/>
          <w:sz w:val="32"/>
        </w:rPr>
        <w:t>36.42</w:t>
      </w:r>
      <w:r>
        <w:rPr>
          <w:rFonts w:hint="eastAsia" w:ascii="仿宋_GB2312" w:hAnsi="宋体" w:eastAsia="仿宋_GB2312" w:cs="宋体"/>
          <w:color w:val="000000"/>
          <w:kern w:val="0"/>
          <w:sz w:val="32"/>
        </w:rPr>
        <w:t>分</w:t>
      </w:r>
      <w:r>
        <w:rPr>
          <w:rFonts w:hint="eastAsia" w:ascii="仿宋_GB2312" w:hAnsi="宋体" w:cs="宋体"/>
          <w:color w:val="000000"/>
          <w:kern w:val="0"/>
          <w:sz w:val="32"/>
        </w:rPr>
        <w:t>（总分40分）</w:t>
      </w:r>
      <w:r>
        <w:rPr>
          <w:rFonts w:hint="eastAsia" w:ascii="仿宋_GB2312" w:hAnsi="宋体" w:eastAsia="仿宋_GB2312" w:cs="宋体"/>
          <w:color w:val="000000"/>
          <w:kern w:val="0"/>
          <w:sz w:val="32"/>
        </w:rPr>
        <w:t>。</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（二）存在问题</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一是在填报的度部门预算资金额度较大的专项项目绩效目标时，对中长期绩效目标、年度绩效目标和明细绩效目标的把握还不够准确。</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二是个别专项预算项目资金未能及时分配下达。</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三是单位内控制度不够完善，其有效性有待提高。</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四</w:t>
      </w:r>
      <w:r>
        <w:rPr>
          <w:rFonts w:ascii="仿宋_GB2312" w:hAnsi="宋体" w:eastAsia="仿宋_GB2312" w:cs="宋体"/>
          <w:color w:val="000000"/>
          <w:kern w:val="0"/>
          <w:sz w:val="32"/>
        </w:rPr>
        <w:t>是项目执行部门对绩效评价认识不到位、理解不充分，对预算绩效管理业务不熟悉、不重视，对工作重点把握不到位</w:t>
      </w:r>
      <w:r>
        <w:rPr>
          <w:rFonts w:hint="eastAsia" w:ascii="仿宋_GB2312" w:hAnsi="宋体" w:eastAsia="仿宋_GB2312" w:cs="宋体"/>
          <w:color w:val="000000"/>
          <w:kern w:val="0"/>
          <w:sz w:val="32"/>
        </w:rPr>
        <w:t>。</w:t>
      </w:r>
    </w:p>
    <w:p>
      <w:pPr>
        <w:widowControl/>
        <w:adjustRightInd w:val="0"/>
        <w:snapToGrid w:val="0"/>
        <w:spacing w:line="560" w:lineRule="exact"/>
        <w:ind w:firstLine="643" w:firstLineChars="200"/>
        <w:jc w:val="left"/>
        <w:rPr>
          <w:rFonts w:ascii="仿宋_GB2312" w:hAnsi="宋体" w:eastAsia="仿宋_GB2312" w:cs="宋体"/>
          <w:b/>
          <w:bCs/>
          <w:color w:val="000000"/>
          <w:kern w:val="0"/>
          <w:sz w:val="32"/>
        </w:rPr>
      </w:pPr>
      <w:r>
        <w:rPr>
          <w:rFonts w:hint="eastAsia" w:ascii="仿宋_GB2312" w:hAnsi="宋体" w:eastAsia="仿宋_GB2312" w:cs="宋体"/>
          <w:b/>
          <w:bCs/>
          <w:color w:val="000000"/>
          <w:kern w:val="0"/>
          <w:sz w:val="32"/>
        </w:rPr>
        <w:t>（三）改进建议</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一是高度重视项目绩效目标的填报，要求各业务处室明确提出计划完成任务及要达到的预期效果。</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二是严格执行专项资金</w:t>
      </w:r>
      <w:r>
        <w:rPr>
          <w:rFonts w:hint="eastAsia" w:ascii="仿宋_GB2312" w:hAnsi="宋体" w:eastAsia="仿宋_GB2312" w:cs="宋体"/>
          <w:color w:val="000000"/>
          <w:kern w:val="0"/>
          <w:sz w:val="32"/>
          <w:lang w:eastAsia="zh-CN"/>
        </w:rPr>
        <w:t>的</w:t>
      </w:r>
      <w:r>
        <w:rPr>
          <w:rFonts w:hint="eastAsia" w:ascii="仿宋_GB2312" w:hAnsi="宋体" w:eastAsia="仿宋_GB2312" w:cs="宋体"/>
          <w:color w:val="000000"/>
          <w:kern w:val="0"/>
          <w:sz w:val="32"/>
        </w:rPr>
        <w:t>执行进度，在项目的前期准备工作、执行过程和验收过程中，全程做好监督工作，仔细审查项目材料、报账材料，及时拨款。</w:t>
      </w:r>
    </w:p>
    <w:p>
      <w:pPr>
        <w:widowControl/>
        <w:adjustRightInd w:val="0"/>
        <w:snapToGrid w:val="0"/>
        <w:spacing w:line="560" w:lineRule="exact"/>
        <w:ind w:firstLine="640" w:firstLineChars="20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三是加强内控防范，根据业务流程找出风险防范点，针对各风险点制定完善单位内部控制制度。</w:t>
      </w:r>
      <w:bookmarkStart w:id="68" w:name="_GoBack"/>
      <w:bookmarkEnd w:id="68"/>
    </w:p>
    <w:p>
      <w:pPr>
        <w:pStyle w:val="15"/>
        <w:widowControl/>
        <w:shd w:val="clear" w:color="auto" w:fill="FFFFFF"/>
        <w:spacing w:after="210" w:line="560" w:lineRule="exact"/>
        <w:ind w:firstLine="640" w:firstLineChars="200"/>
        <w:jc w:val="both"/>
        <w:textAlignment w:val="auto"/>
        <w:rPr>
          <w:rFonts w:ascii="仿宋_GB2312" w:hAnsi="仿宋_GB2312" w:eastAsia="仿宋_GB2312" w:cs="仿宋_GB2312"/>
          <w:bCs/>
          <w:color w:val="000000"/>
          <w:kern w:val="2"/>
          <w:sz w:val="32"/>
        </w:rPr>
      </w:pPr>
      <w:r>
        <w:rPr>
          <w:rFonts w:hint="eastAsia" w:ascii="仿宋_GB2312" w:hAnsi="仿宋_GB2312" w:eastAsia="仿宋_GB2312" w:cs="仿宋_GB2312"/>
          <w:bCs/>
          <w:color w:val="000000"/>
          <w:kern w:val="2"/>
          <w:sz w:val="32"/>
        </w:rPr>
        <w:t>四是</w:t>
      </w:r>
      <w:r>
        <w:rPr>
          <w:rFonts w:ascii="仿宋_GB2312" w:hAnsi="仿宋_GB2312" w:eastAsia="仿宋_GB2312" w:cs="仿宋_GB2312"/>
          <w:bCs/>
          <w:color w:val="000000"/>
          <w:kern w:val="2"/>
          <w:sz w:val="32"/>
        </w:rPr>
        <w:t>加强对下级部门的业务培训和指导。采取集中学习、讲座、专题会议等方式，加大对绩效评价人员培训力度，进一步统一认识，充实业务知识。</w:t>
      </w:r>
    </w:p>
    <w:p>
      <w:pPr>
        <w:pStyle w:val="15"/>
        <w:widowControl/>
        <w:shd w:val="clear" w:color="auto" w:fill="FFFFFF"/>
        <w:spacing w:after="210" w:line="560" w:lineRule="exact"/>
        <w:ind w:firstLine="640" w:firstLineChars="200"/>
        <w:jc w:val="both"/>
        <w:textAlignment w:val="auto"/>
        <w:rPr>
          <w:rFonts w:ascii="仿宋_GB2312" w:hAnsi="仿宋_GB2312" w:eastAsia="仿宋_GB2312" w:cs="仿宋_GB2312"/>
          <w:bCs/>
          <w:color w:val="000000"/>
          <w:kern w:val="2"/>
          <w:sz w:val="32"/>
        </w:rPr>
      </w:pPr>
    </w:p>
    <w:p>
      <w:pPr>
        <w:pStyle w:val="15"/>
        <w:widowControl/>
        <w:shd w:val="clear" w:color="auto" w:fill="FFFFFF"/>
        <w:spacing w:after="210" w:line="560" w:lineRule="exact"/>
        <w:ind w:firstLine="640" w:firstLineChars="200"/>
        <w:jc w:val="both"/>
        <w:textAlignment w:val="auto"/>
        <w:rPr>
          <w:rFonts w:ascii="仿宋_GB2312" w:hAnsi="仿宋_GB2312" w:eastAsia="仿宋_GB2312" w:cs="仿宋_GB2312"/>
          <w:bCs/>
          <w:color w:val="000000"/>
          <w:kern w:val="2"/>
          <w:sz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0"/>
          <w:rFonts w:ascii="黑体" w:eastAsia="黑体"/>
          <w:b w:val="0"/>
        </w:rPr>
      </w:pPr>
      <w:r>
        <w:rPr>
          <w:rFonts w:hint="eastAsia" w:ascii="黑体" w:eastAsia="黑体"/>
          <w:color w:val="000000"/>
          <w:sz w:val="44"/>
          <w:szCs w:val="44"/>
        </w:rPr>
        <w:t>第</w:t>
      </w:r>
      <w:r>
        <w:rPr>
          <w:rStyle w:val="20"/>
          <w:rFonts w:hint="eastAsia" w:ascii="黑体" w:eastAsia="黑体"/>
          <w:b w:val="0"/>
        </w:rPr>
        <w:t>五部分 附表</w:t>
      </w:r>
    </w:p>
    <w:p>
      <w:pPr>
        <w:pStyle w:val="5"/>
        <w:rPr>
          <w:rFonts w:ascii="仿宋" w:eastAsia="仿宋"/>
          <w:color w:val="000000"/>
        </w:rPr>
      </w:pPr>
      <w:r>
        <w:rPr>
          <w:rFonts w:hint="eastAsia" w:ascii="仿宋" w:eastAsia="仿宋"/>
          <w:b w:val="0"/>
          <w:color w:val="000000"/>
        </w:rPr>
        <w:t>一、收</w:t>
      </w:r>
      <w:r>
        <w:rPr>
          <w:rStyle w:val="21"/>
          <w:rFonts w:hint="eastAsia" w:ascii="仿宋" w:eastAsia="仿宋"/>
          <w:b w:val="0"/>
          <w:bCs w:val="0"/>
        </w:rPr>
        <w:t>入支出决算总表</w:t>
      </w:r>
    </w:p>
    <w:p>
      <w:pPr>
        <w:pStyle w:val="5"/>
        <w:rPr>
          <w:rFonts w:ascii="仿宋" w:eastAsia="仿宋"/>
          <w:color w:val="000000"/>
        </w:rPr>
      </w:pPr>
      <w:bookmarkStart w:id="56" w:name="_Toc15396620"/>
      <w:r>
        <w:rPr>
          <w:rFonts w:hint="eastAsia" w:ascii="仿宋" w:eastAsia="仿宋"/>
          <w:b w:val="0"/>
          <w:color w:val="000000"/>
        </w:rPr>
        <w:t>二、收</w:t>
      </w:r>
      <w:r>
        <w:rPr>
          <w:rStyle w:val="21"/>
          <w:rFonts w:hint="eastAsia" w:ascii="仿宋" w:eastAsia="仿宋"/>
          <w:b w:val="0"/>
          <w:bCs w:val="0"/>
        </w:rPr>
        <w:t>入总表</w:t>
      </w:r>
      <w:bookmarkEnd w:id="56"/>
    </w:p>
    <w:p>
      <w:pPr>
        <w:pStyle w:val="5"/>
        <w:rPr>
          <w:rFonts w:ascii="仿宋" w:eastAsia="仿宋"/>
          <w:color w:val="000000"/>
        </w:rPr>
      </w:pPr>
      <w:bookmarkStart w:id="57" w:name="_Toc15396621"/>
      <w:r>
        <w:rPr>
          <w:rStyle w:val="21"/>
          <w:rFonts w:hint="eastAsia" w:ascii="仿宋" w:eastAsia="仿宋"/>
          <w:b w:val="0"/>
          <w:bCs w:val="0"/>
        </w:rPr>
        <w:t>三、</w:t>
      </w:r>
      <w:r>
        <w:rPr>
          <w:rFonts w:hint="eastAsia" w:ascii="仿宋" w:eastAsia="仿宋"/>
          <w:b w:val="0"/>
          <w:color w:val="000000"/>
        </w:rPr>
        <w:t>支</w:t>
      </w:r>
      <w:r>
        <w:rPr>
          <w:rStyle w:val="21"/>
          <w:rFonts w:hint="eastAsia" w:ascii="仿宋" w:eastAsia="仿宋"/>
          <w:b w:val="0"/>
          <w:bCs w:val="0"/>
        </w:rPr>
        <w:t>出总表</w:t>
      </w:r>
      <w:bookmarkEnd w:id="57"/>
    </w:p>
    <w:p>
      <w:pPr>
        <w:pStyle w:val="5"/>
        <w:rPr>
          <w:rFonts w:ascii="仿宋" w:eastAsia="仿宋"/>
          <w:b w:val="0"/>
          <w:color w:val="000000"/>
        </w:rPr>
      </w:pPr>
      <w:bookmarkStart w:id="58" w:name="_Toc15396622"/>
      <w:r>
        <w:rPr>
          <w:rStyle w:val="21"/>
          <w:rFonts w:hint="eastAsia" w:ascii="仿宋" w:eastAsia="仿宋"/>
          <w:b w:val="0"/>
          <w:bCs w:val="0"/>
        </w:rPr>
        <w:t>四、</w:t>
      </w:r>
      <w:r>
        <w:rPr>
          <w:rFonts w:hint="eastAsia" w:ascii="仿宋" w:eastAsia="仿宋"/>
          <w:b w:val="0"/>
          <w:color w:val="000000"/>
        </w:rPr>
        <w:t>财</w:t>
      </w:r>
      <w:r>
        <w:rPr>
          <w:rStyle w:val="21"/>
          <w:rFonts w:hint="eastAsia" w:ascii="仿宋" w:eastAsia="仿宋"/>
          <w:b w:val="0"/>
          <w:bCs w:val="0"/>
        </w:rPr>
        <w:t>政拨款收入支出决算总表</w:t>
      </w:r>
      <w:bookmarkEnd w:id="58"/>
    </w:p>
    <w:p>
      <w:pPr>
        <w:pStyle w:val="5"/>
        <w:rPr>
          <w:rFonts w:ascii="仿宋" w:eastAsia="仿宋"/>
          <w:color w:val="000000"/>
        </w:rPr>
      </w:pPr>
      <w:bookmarkStart w:id="59" w:name="_Toc15396623"/>
      <w:r>
        <w:rPr>
          <w:rStyle w:val="21"/>
          <w:rFonts w:hint="eastAsia" w:ascii="仿宋" w:eastAsia="仿宋"/>
          <w:b w:val="0"/>
          <w:bCs w:val="0"/>
        </w:rPr>
        <w:t>五、</w:t>
      </w:r>
      <w:r>
        <w:rPr>
          <w:rFonts w:hint="eastAsia" w:ascii="仿宋" w:eastAsia="仿宋"/>
          <w:b w:val="0"/>
          <w:color w:val="000000"/>
        </w:rPr>
        <w:t>财</w:t>
      </w:r>
      <w:r>
        <w:rPr>
          <w:rStyle w:val="21"/>
          <w:rFonts w:hint="eastAsia" w:ascii="仿宋" w:eastAsia="仿宋"/>
          <w:b w:val="0"/>
          <w:bCs w:val="0"/>
        </w:rPr>
        <w:t>政拨款支出决算明细表（政府经济分类科目）</w:t>
      </w:r>
      <w:bookmarkEnd w:id="59"/>
    </w:p>
    <w:p>
      <w:pPr>
        <w:pStyle w:val="5"/>
        <w:rPr>
          <w:rFonts w:ascii="仿宋" w:eastAsia="仿宋"/>
          <w:color w:val="000000"/>
        </w:rPr>
      </w:pPr>
      <w:bookmarkStart w:id="60" w:name="_Toc15396624"/>
      <w:r>
        <w:rPr>
          <w:rStyle w:val="21"/>
          <w:rFonts w:hint="eastAsia" w:ascii="仿宋" w:eastAsia="仿宋"/>
          <w:b w:val="0"/>
          <w:bCs w:val="0"/>
        </w:rPr>
        <w:t>六、</w:t>
      </w:r>
      <w:r>
        <w:rPr>
          <w:rFonts w:hint="eastAsia" w:ascii="仿宋" w:eastAsia="仿宋"/>
          <w:b w:val="0"/>
          <w:color w:val="000000"/>
        </w:rPr>
        <w:t>一</w:t>
      </w:r>
      <w:r>
        <w:rPr>
          <w:rStyle w:val="21"/>
          <w:rFonts w:hint="eastAsia" w:ascii="仿宋" w:eastAsia="仿宋"/>
          <w:b w:val="0"/>
          <w:bCs w:val="0"/>
        </w:rPr>
        <w:t>般公共预算财政拨款支出决算表</w:t>
      </w:r>
      <w:bookmarkEnd w:id="60"/>
    </w:p>
    <w:p>
      <w:pPr>
        <w:pStyle w:val="5"/>
        <w:rPr>
          <w:rFonts w:ascii="仿宋" w:eastAsia="仿宋"/>
          <w:color w:val="000000"/>
        </w:rPr>
      </w:pPr>
      <w:bookmarkStart w:id="61" w:name="_Toc15396625"/>
      <w:r>
        <w:rPr>
          <w:rStyle w:val="21"/>
          <w:rFonts w:hint="eastAsia" w:ascii="仿宋" w:eastAsia="仿宋"/>
          <w:b w:val="0"/>
          <w:bCs w:val="0"/>
        </w:rPr>
        <w:t>七、</w:t>
      </w:r>
      <w:r>
        <w:rPr>
          <w:rFonts w:hint="eastAsia" w:ascii="仿宋" w:eastAsia="仿宋"/>
          <w:b w:val="0"/>
          <w:color w:val="000000"/>
        </w:rPr>
        <w:t>一</w:t>
      </w:r>
      <w:r>
        <w:rPr>
          <w:rStyle w:val="21"/>
          <w:rFonts w:hint="eastAsia" w:ascii="仿宋" w:eastAsia="仿宋"/>
          <w:b w:val="0"/>
          <w:bCs w:val="0"/>
        </w:rPr>
        <w:t>般公共预算财政拨款支出决算明细表</w:t>
      </w:r>
      <w:bookmarkEnd w:id="61"/>
    </w:p>
    <w:p>
      <w:pPr>
        <w:pStyle w:val="5"/>
        <w:rPr>
          <w:rFonts w:ascii="仿宋" w:eastAsia="仿宋"/>
          <w:color w:val="000000"/>
        </w:rPr>
      </w:pPr>
      <w:bookmarkStart w:id="62" w:name="_Toc15396626"/>
      <w:r>
        <w:rPr>
          <w:rStyle w:val="21"/>
          <w:rFonts w:hint="eastAsia" w:ascii="仿宋" w:eastAsia="仿宋"/>
          <w:b w:val="0"/>
          <w:bCs w:val="0"/>
        </w:rPr>
        <w:t>八、</w:t>
      </w:r>
      <w:r>
        <w:rPr>
          <w:rFonts w:hint="eastAsia" w:ascii="仿宋" w:eastAsia="仿宋"/>
          <w:b w:val="0"/>
          <w:color w:val="000000"/>
        </w:rPr>
        <w:t>一</w:t>
      </w:r>
      <w:r>
        <w:rPr>
          <w:rStyle w:val="21"/>
          <w:rFonts w:hint="eastAsia" w:ascii="仿宋" w:eastAsia="仿宋"/>
          <w:b w:val="0"/>
          <w:bCs w:val="0"/>
        </w:rPr>
        <w:t>般公共预算财政拨款基本支出决算表</w:t>
      </w:r>
      <w:bookmarkEnd w:id="62"/>
    </w:p>
    <w:p>
      <w:pPr>
        <w:pStyle w:val="5"/>
        <w:rPr>
          <w:rFonts w:ascii="仿宋" w:eastAsia="仿宋"/>
          <w:color w:val="000000"/>
        </w:rPr>
      </w:pPr>
      <w:bookmarkStart w:id="63" w:name="_Toc15396627"/>
      <w:r>
        <w:rPr>
          <w:rStyle w:val="21"/>
          <w:rFonts w:hint="eastAsia" w:ascii="仿宋" w:eastAsia="仿宋"/>
          <w:b w:val="0"/>
          <w:bCs w:val="0"/>
        </w:rPr>
        <w:t>九、</w:t>
      </w:r>
      <w:r>
        <w:rPr>
          <w:rFonts w:hint="eastAsia" w:ascii="仿宋" w:eastAsia="仿宋"/>
          <w:b w:val="0"/>
          <w:color w:val="000000"/>
        </w:rPr>
        <w:t>一</w:t>
      </w:r>
      <w:r>
        <w:rPr>
          <w:rStyle w:val="21"/>
          <w:rFonts w:hint="eastAsia" w:ascii="仿宋" w:eastAsia="仿宋"/>
          <w:b w:val="0"/>
          <w:bCs w:val="0"/>
        </w:rPr>
        <w:t>般公共预算财政拨款项目支出决算表</w:t>
      </w:r>
      <w:bookmarkEnd w:id="63"/>
    </w:p>
    <w:p>
      <w:pPr>
        <w:pStyle w:val="5"/>
        <w:rPr>
          <w:rFonts w:ascii="仿宋" w:eastAsia="仿宋"/>
          <w:color w:val="000000"/>
        </w:rPr>
      </w:pPr>
      <w:bookmarkStart w:id="64" w:name="_Toc15396628"/>
      <w:r>
        <w:rPr>
          <w:rStyle w:val="21"/>
          <w:rFonts w:hint="eastAsia" w:ascii="仿宋" w:eastAsia="仿宋"/>
          <w:b w:val="0"/>
          <w:bCs w:val="0"/>
        </w:rPr>
        <w:t>十、</w:t>
      </w:r>
      <w:r>
        <w:rPr>
          <w:rFonts w:hint="eastAsia" w:ascii="仿宋" w:eastAsia="仿宋"/>
          <w:b w:val="0"/>
          <w:color w:val="000000"/>
        </w:rPr>
        <w:t>一</w:t>
      </w:r>
      <w:r>
        <w:rPr>
          <w:rStyle w:val="21"/>
          <w:rFonts w:hint="eastAsia" w:ascii="仿宋" w:eastAsia="仿宋"/>
          <w:b w:val="0"/>
          <w:bCs w:val="0"/>
        </w:rPr>
        <w:t>般公共预算财政拨款“三公”经费支出决算表</w:t>
      </w:r>
      <w:bookmarkEnd w:id="64"/>
    </w:p>
    <w:p>
      <w:pPr>
        <w:pStyle w:val="5"/>
        <w:rPr>
          <w:rFonts w:ascii="仿宋" w:eastAsia="仿宋"/>
          <w:color w:val="000000"/>
        </w:rPr>
      </w:pPr>
      <w:bookmarkStart w:id="65" w:name="_Toc15396629"/>
      <w:r>
        <w:rPr>
          <w:rStyle w:val="21"/>
          <w:rFonts w:hint="eastAsia" w:ascii="仿宋" w:eastAsia="仿宋"/>
          <w:b w:val="0"/>
          <w:bCs w:val="0"/>
        </w:rPr>
        <w:t>十一、</w:t>
      </w:r>
      <w:r>
        <w:rPr>
          <w:rFonts w:hint="eastAsia" w:ascii="仿宋" w:eastAsia="仿宋"/>
          <w:b w:val="0"/>
          <w:color w:val="000000"/>
        </w:rPr>
        <w:t>政</w:t>
      </w:r>
      <w:r>
        <w:rPr>
          <w:rStyle w:val="21"/>
          <w:rFonts w:hint="eastAsia" w:ascii="仿宋" w:eastAsia="仿宋"/>
          <w:b w:val="0"/>
          <w:bCs w:val="0"/>
        </w:rPr>
        <w:t>府性基金预算财政拨款收入支出决算表</w:t>
      </w:r>
      <w:bookmarkEnd w:id="65"/>
    </w:p>
    <w:p>
      <w:pPr>
        <w:pStyle w:val="5"/>
        <w:rPr>
          <w:rFonts w:ascii="仿宋" w:eastAsia="仿宋"/>
          <w:color w:val="000000"/>
        </w:rPr>
      </w:pPr>
      <w:bookmarkStart w:id="66" w:name="_Toc15396630"/>
      <w:r>
        <w:rPr>
          <w:rStyle w:val="21"/>
          <w:rFonts w:hint="eastAsia" w:ascii="仿宋" w:eastAsia="仿宋"/>
          <w:b w:val="0"/>
          <w:bCs w:val="0"/>
        </w:rPr>
        <w:t>十二、</w:t>
      </w:r>
      <w:r>
        <w:rPr>
          <w:rFonts w:hint="eastAsia" w:ascii="仿宋" w:eastAsia="仿宋"/>
          <w:b w:val="0"/>
          <w:color w:val="000000"/>
        </w:rPr>
        <w:t>政</w:t>
      </w:r>
      <w:r>
        <w:rPr>
          <w:rStyle w:val="21"/>
          <w:rFonts w:hint="eastAsia" w:ascii="仿宋" w:eastAsia="仿宋"/>
          <w:b w:val="0"/>
          <w:bCs w:val="0"/>
        </w:rPr>
        <w:t>府性基金预算财政拨款“三公”经费支出决算表</w:t>
      </w:r>
      <w:bookmarkEnd w:id="66"/>
    </w:p>
    <w:p>
      <w:pPr>
        <w:pStyle w:val="5"/>
        <w:rPr>
          <w:rFonts w:ascii="仿宋" w:eastAsia="仿宋"/>
          <w:color w:val="000000"/>
        </w:rPr>
      </w:pPr>
      <w:bookmarkStart w:id="67" w:name="_Toc15396631"/>
      <w:r>
        <w:rPr>
          <w:rStyle w:val="21"/>
          <w:rFonts w:hint="eastAsia" w:ascii="仿宋" w:eastAsia="仿宋"/>
          <w:b w:val="0"/>
          <w:bCs w:val="0"/>
        </w:rPr>
        <w:t>十三、</w:t>
      </w:r>
      <w:r>
        <w:rPr>
          <w:rFonts w:hint="eastAsia" w:ascii="仿宋" w:eastAsia="仿宋"/>
          <w:b w:val="0"/>
          <w:color w:val="000000"/>
        </w:rPr>
        <w:t>国</w:t>
      </w:r>
      <w:r>
        <w:rPr>
          <w:rStyle w:val="21"/>
          <w:rFonts w:hint="eastAsia" w:ascii="仿宋" w:eastAsia="仿宋"/>
          <w:b w:val="0"/>
          <w:bCs w:val="0"/>
        </w:rPr>
        <w:t>有资本经营预算支出决算表</w:t>
      </w:r>
      <w:bookmarkEnd w:id="67"/>
    </w:p>
    <w:p>
      <w:pPr>
        <w:pStyle w:val="15"/>
        <w:widowControl/>
        <w:shd w:val="clear" w:color="auto" w:fill="FFFFFF"/>
        <w:spacing w:after="210" w:line="560" w:lineRule="exact"/>
        <w:ind w:firstLine="640" w:firstLineChars="200"/>
        <w:jc w:val="both"/>
        <w:textAlignment w:val="auto"/>
        <w:rPr>
          <w:rFonts w:ascii="仿宋_GB2312" w:hAnsi="仿宋_GB2312" w:eastAsia="仿宋_GB2312" w:cs="仿宋_GB2312"/>
          <w:bCs/>
          <w:color w:val="000000"/>
          <w:kern w:val="2"/>
          <w:sz w:val="32"/>
        </w:rPr>
      </w:pPr>
    </w:p>
    <w:p>
      <w:pPr>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黑体"/>
    <w:panose1 w:val="00000000000000000000"/>
    <w:charset w:val="86"/>
    <w:family w:val="script"/>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10"/>
          <w:jc w:val="center"/>
        </w:pPr>
        <w:r>
          <w:fldChar w:fldCharType="begin"/>
        </w:r>
        <w:r>
          <w:instrText xml:space="preserve">PAGE   \* MERGEFORMAT</w:instrText>
        </w:r>
        <w:r>
          <w:fldChar w:fldCharType="separate"/>
        </w:r>
        <w:r>
          <w:rPr>
            <w:lang w:val="zh-CN"/>
          </w:rPr>
          <w:t>18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FEBE3B62"/>
    <w:multiLevelType w:val="singleLevel"/>
    <w:tmpl w:val="FEBE3B62"/>
    <w:lvl w:ilvl="0" w:tentative="0">
      <w:start w:val="1"/>
      <w:numFmt w:val="decimal"/>
      <w:suff w:val="nothing"/>
      <w:lvlText w:val="%1、"/>
      <w:lvlJc w:val="left"/>
      <w:pPr>
        <w:ind w:left="-352"/>
      </w:pPr>
      <w:rPr>
        <w:rFonts w:hint="default" w:ascii="黑体" w:hAnsi="黑体" w:eastAsia="黑体" w:cs="黑体"/>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F308A8"/>
    <w:rsid w:val="00672FCE"/>
    <w:rsid w:val="009800ED"/>
    <w:rsid w:val="00E86107"/>
    <w:rsid w:val="00F308A8"/>
    <w:rsid w:val="02FC6D65"/>
    <w:rsid w:val="068373FB"/>
    <w:rsid w:val="08FD3965"/>
    <w:rsid w:val="0C932D42"/>
    <w:rsid w:val="0CCC1A6A"/>
    <w:rsid w:val="0F512629"/>
    <w:rsid w:val="0F566A8B"/>
    <w:rsid w:val="14960A65"/>
    <w:rsid w:val="17C267C9"/>
    <w:rsid w:val="202E0EB5"/>
    <w:rsid w:val="22B00AE8"/>
    <w:rsid w:val="23B90510"/>
    <w:rsid w:val="2CAC7CD2"/>
    <w:rsid w:val="2FD542C7"/>
    <w:rsid w:val="34665509"/>
    <w:rsid w:val="36302CDC"/>
    <w:rsid w:val="3AFA7631"/>
    <w:rsid w:val="3CA21BB3"/>
    <w:rsid w:val="3D482A34"/>
    <w:rsid w:val="41000067"/>
    <w:rsid w:val="420D4E5B"/>
    <w:rsid w:val="43363626"/>
    <w:rsid w:val="451775D3"/>
    <w:rsid w:val="458A0729"/>
    <w:rsid w:val="49A377D0"/>
    <w:rsid w:val="4A523F88"/>
    <w:rsid w:val="4B731DC2"/>
    <w:rsid w:val="50FB6ED1"/>
    <w:rsid w:val="5C0A4038"/>
    <w:rsid w:val="5CDC02C9"/>
    <w:rsid w:val="632640DE"/>
    <w:rsid w:val="68AE03E2"/>
    <w:rsid w:val="68F544EE"/>
    <w:rsid w:val="7286484C"/>
    <w:rsid w:val="73016846"/>
    <w:rsid w:val="79784DEC"/>
    <w:rsid w:val="7DDA3868"/>
    <w:rsid w:val="7EBA20BC"/>
    <w:rsid w:val="7F2E3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7">
    <w:name w:val="Body Text"/>
    <w:basedOn w:val="1"/>
    <w:qFormat/>
    <w:uiPriority w:val="0"/>
    <w:pPr>
      <w:spacing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jc w:val="left"/>
      <w:textAlignment w:val="baseline"/>
    </w:pPr>
    <w:rPr>
      <w:kern w:val="0"/>
      <w:sz w:val="24"/>
    </w:rPr>
  </w:style>
  <w:style w:type="character" w:styleId="18">
    <w:name w:val="Strong"/>
    <w:basedOn w:val="17"/>
    <w:qFormat/>
    <w:uiPriority w:val="0"/>
    <w:rPr>
      <w:b/>
    </w:rPr>
  </w:style>
  <w:style w:type="character" w:styleId="19">
    <w:name w:val="Hyperlink"/>
    <w:basedOn w:val="17"/>
    <w:uiPriority w:val="0"/>
    <w:rPr>
      <w:color w:val="0000FF"/>
      <w:u w:val="single"/>
    </w:rPr>
  </w:style>
  <w:style w:type="character" w:customStyle="1" w:styleId="20">
    <w:name w:val="标题 1 Char"/>
    <w:basedOn w:val="17"/>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5"/>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Body text|22"/>
    <w:basedOn w:val="1"/>
    <w:qFormat/>
    <w:uiPriority w:val="0"/>
    <w:pPr>
      <w:shd w:val="clear" w:color="auto" w:fill="FFFFFF"/>
      <w:spacing w:after="420" w:line="320" w:lineRule="exact"/>
      <w:jc w:val="distribute"/>
    </w:pPr>
    <w:rPr>
      <w:rFonts w:ascii="PMingLiU" w:hAnsi="PMingLiU" w:eastAsia="PMingLiU" w:cs="PMingLiU"/>
      <w:spacing w:val="4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AppData\Local\Temp\wps.zJJEyG\Workbook6.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AppData\Local\Temp\wps.rjSCZi\Workbook2.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416111111111111"/>
          <c:y val="0.0277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工作表.xlsx]Sheet1'!$A$14:$A$15</c:f>
              <c:strCache>
                <c:ptCount val="2"/>
                <c:pt idx="0">
                  <c:v>一般公共预算财政拨款收入</c:v>
                </c:pt>
                <c:pt idx="1">
                  <c:v>政府性基金预算财政拨款收入</c:v>
                </c:pt>
              </c:strCache>
            </c:strRef>
          </c:cat>
          <c:val>
            <c:numRef>
              <c:f>'[新建 XLSX 工作表.xlsx]Sheet1'!$B$14:$B$15</c:f>
              <c:numCache>
                <c:formatCode>General</c:formatCode>
                <c:ptCount val="2"/>
                <c:pt idx="0">
                  <c:v>12308.3</c:v>
                </c:pt>
                <c:pt idx="1">
                  <c:v>646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支出决算结构表</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[1.xlsx]Sheet2!$A$308:$A$309</c:f>
              <c:strCache>
                <c:ptCount val="2"/>
                <c:pt idx="0">
                  <c:v>基本支出</c:v>
                </c:pt>
                <c:pt idx="1">
                  <c:v>项目支出</c:v>
                </c:pt>
              </c:strCache>
            </c:strRef>
          </c:cat>
          <c:val>
            <c:numRef>
              <c:f>[1.xlsx]Sheet2!$B$308:$B$309</c:f>
              <c:numCache>
                <c:formatCode>General</c:formatCode>
                <c:ptCount val="2"/>
                <c:pt idx="0">
                  <c:v>2121.25</c:v>
                </c:pt>
                <c:pt idx="1">
                  <c:v>11440.63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19125"/>
          <c:y val="0.00694444444444444"/>
        </c:manualLayout>
      </c:layout>
      <c:overlay val="0"/>
      <c:spPr>
        <a:noFill/>
        <a:ln>
          <a:noFill/>
        </a:ln>
        <a:effectLst/>
      </c:spPr>
    </c:title>
    <c:autoTitleDeleted val="0"/>
    <c:plotArea>
      <c:layout/>
      <c:barChart>
        <c:barDir val="col"/>
        <c:grouping val="clustered"/>
        <c:varyColors val="0"/>
        <c:ser>
          <c:idx val="0"/>
          <c:order val="0"/>
          <c:tx>
            <c:strRef>
              <c:f>'[Workbook6.xlsx]Sheet1 (4)'!$A$2</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'[Workbook6.xlsx]Sheet1 (4)'!$B$1:$C$1</c:f>
              <c:strCache>
                <c:ptCount val="2"/>
                <c:pt idx="0">
                  <c:v>一般公共预算财政拨款收入</c:v>
                </c:pt>
                <c:pt idx="1">
                  <c:v>一般公共预算财政拨款支出</c:v>
                </c:pt>
              </c:strCache>
            </c:strRef>
          </c:cat>
          <c:val>
            <c:numRef>
              <c:f>'[Workbook6.xlsx]Sheet1 (4)'!$B$2:$C$2</c:f>
              <c:numCache>
                <c:formatCode>General</c:formatCode>
                <c:ptCount val="2"/>
                <c:pt idx="0">
                  <c:v>13895.92</c:v>
                </c:pt>
                <c:pt idx="1">
                  <c:v>10236.45</c:v>
                </c:pt>
              </c:numCache>
            </c:numRef>
          </c:val>
        </c:ser>
        <c:ser>
          <c:idx val="1"/>
          <c:order val="1"/>
          <c:tx>
            <c:strRef>
              <c:f>'[Workbook6.xlsx]Sheet1 (4)'!$A$3</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'[Workbook6.xlsx]Sheet1 (4)'!$B$1:$C$1</c:f>
              <c:strCache>
                <c:ptCount val="2"/>
                <c:pt idx="0">
                  <c:v>一般公共预算财政拨款收入</c:v>
                </c:pt>
                <c:pt idx="1">
                  <c:v>一般公共预算财政拨款支出</c:v>
                </c:pt>
              </c:strCache>
            </c:strRef>
          </c:cat>
          <c:val>
            <c:numRef>
              <c:f>'[Workbook6.xlsx]Sheet1 (4)'!$B$3:$C$3</c:f>
              <c:numCache>
                <c:formatCode>General</c:formatCode>
                <c:ptCount val="2"/>
                <c:pt idx="0">
                  <c:v>12954.3</c:v>
                </c:pt>
                <c:pt idx="1">
                  <c:v>13561.88</c:v>
                </c:pt>
              </c:numCache>
            </c:numRef>
          </c:val>
        </c:ser>
        <c:dLbls>
          <c:showLegendKey val="0"/>
          <c:showVal val="1"/>
          <c:showCatName val="0"/>
          <c:showSerName val="0"/>
          <c:showPercent val="0"/>
          <c:showBubbleSize val="0"/>
        </c:dLbls>
        <c:gapWidth val="219"/>
        <c:overlap val="-27"/>
        <c:axId val="109213184"/>
        <c:axId val="109214720"/>
      </c:barChart>
      <c:catAx>
        <c:axId val="1092131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9214720"/>
        <c:crosses val="autoZero"/>
        <c:auto val="1"/>
        <c:lblAlgn val="ctr"/>
        <c:lblOffset val="100"/>
        <c:noMultiLvlLbl val="0"/>
      </c:catAx>
      <c:valAx>
        <c:axId val="10921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92131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7543859649123"/>
          <c:y val="0.0466744457409568"/>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'[Workbook2.xlsx]Sheet1 (5)'!$B$1</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'[Workbook2.xlsx]Sheet1 (5)'!$A$2:$A$3</c:f>
              <c:strCache>
                <c:ptCount val="2"/>
                <c:pt idx="0">
                  <c:v>2019年</c:v>
                </c:pt>
                <c:pt idx="1">
                  <c:v>2020年</c:v>
                </c:pt>
              </c:strCache>
            </c:strRef>
          </c:cat>
          <c:val>
            <c:numRef>
              <c:f>'[Workbook2.xlsx]Sheet1 (5)'!$B$2:$B$3</c:f>
              <c:numCache>
                <c:formatCode>General</c:formatCode>
                <c:ptCount val="2"/>
                <c:pt idx="0">
                  <c:v>9998.15</c:v>
                </c:pt>
                <c:pt idx="1">
                  <c:v>12897.13</c:v>
                </c:pt>
              </c:numCache>
            </c:numRef>
          </c:val>
        </c:ser>
        <c:dLbls>
          <c:showLegendKey val="0"/>
          <c:showVal val="1"/>
          <c:showCatName val="0"/>
          <c:showSerName val="0"/>
          <c:showPercent val="0"/>
          <c:showBubbleSize val="0"/>
        </c:dLbls>
        <c:gapWidth val="219"/>
        <c:overlap val="-27"/>
        <c:axId val="122498048"/>
        <c:axId val="122499840"/>
      </c:barChart>
      <c:catAx>
        <c:axId val="1224980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499840"/>
        <c:crosses val="autoZero"/>
        <c:auto val="1"/>
        <c:lblAlgn val="ctr"/>
        <c:lblOffset val="100"/>
        <c:noMultiLvlLbl val="0"/>
      </c:catAx>
      <c:valAx>
        <c:axId val="122499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49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工资福利支出</c:v>
                </c:pt>
                <c:pt idx="1">
                  <c:v>商品和服务支出</c:v>
                </c:pt>
                <c:pt idx="2">
                  <c:v>对个人和家庭的补助支出</c:v>
                </c:pt>
                <c:pt idx="3">
                  <c:v>资本性支出</c:v>
                </c:pt>
              </c:strCache>
            </c:strRef>
          </c:cat>
          <c:val>
            <c:numRef>
              <c:f>'Sheet1 (6)'!$B$2:$B$5</c:f>
              <c:numCache>
                <c:formatCode>General</c:formatCode>
                <c:ptCount val="4"/>
                <c:pt idx="0">
                  <c:v>1733.28</c:v>
                </c:pt>
                <c:pt idx="1">
                  <c:v>576.57</c:v>
                </c:pt>
                <c:pt idx="2">
                  <c:v>1662.12</c:v>
                </c:pt>
                <c:pt idx="3">
                  <c:v>8925.16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4.75</c:v>
                </c:pt>
                <c:pt idx="2">
                  <c:v>0.79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2797</Words>
  <Characters>15944</Characters>
  <Lines>132</Lines>
  <Paragraphs>37</Paragraphs>
  <TotalTime>1</TotalTime>
  <ScaleCrop>false</ScaleCrop>
  <LinksUpToDate>false</LinksUpToDate>
  <CharactersWithSpaces>18704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2021-09-22T09:03:00Z</dcterms:created>
  <dc:creator>张彬茜</dc:creator>
  <cp:lastModifiedBy>平淡无奇</cp:lastModifiedBy>
  <cp:lastPrinted>2021-09-22T02:53:00Z</cp:lastPrinted>
  <dcterms:modified xsi:type="dcterms:W3CDTF">2021-09-27T03:35:35Z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94098AFE5B6647178E092417B96FB9D5</vt:lpwstr>
  </property>
</Properties>
</file>