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5BEE2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eastAsia="zh-CN"/>
        </w:rPr>
        <w:t>交通局2025</w:t>
      </w:r>
      <w:r>
        <w:rPr>
          <w:rFonts w:hint="eastAsia" w:ascii="方正小标宋_GBK" w:eastAsia="方正小标宋_GBK" w:cs="方正小标宋_GBK"/>
          <w:sz w:val="44"/>
          <w:szCs w:val="44"/>
        </w:rPr>
        <w:t>年预算绩效目标</w:t>
      </w:r>
    </w:p>
    <w:p w14:paraId="619E1EC8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情况说明</w:t>
      </w:r>
    </w:p>
    <w:p w14:paraId="4184FEE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2025年，我单位部门预算945.01万元 ，均严格按绩效管理要求实现项目绩效目标管理，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其中重点项目预算1个，现将情况说明如下：</w:t>
      </w:r>
    </w:p>
    <w:p w14:paraId="04454CB8"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3863C44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完成了2025年本级部门预算整体绩效目标申报1个重点项目预算绩效目标申报，并编报1个重点项目预算事前绩效评估报告。</w:t>
      </w:r>
    </w:p>
    <w:p w14:paraId="50EC4B6F"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 w14:paraId="73E408C9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抓好收支预算执行。编好收支预算，依法组织收入，加强支出管理。二是促进经济稳定增长。推进供给侧结构性改革，推进全面创新改革试验，加大重点基础设施投入，促进产业转型升级，推进新型城镇化。三是大力推进脱贫攻坚。四是强化财政管理监督。加快法治财政建设，强化财政基础管理，严肃财经纪律。九是推进从严管党治党。加强干部队伍建设，加强党风廉政建设，加强系统党的建设。</w:t>
      </w:r>
    </w:p>
    <w:p w14:paraId="2B5BFE4F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 w14:paraId="39065D6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重点项目1：2024年超长期特别国债支出预算的通知交通领域设备更新</w:t>
      </w:r>
    </w:p>
    <w:p w14:paraId="1F1BF07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项目年度绩效目标：报废更新国三及以下老旧运货车40辆。</w:t>
      </w:r>
    </w:p>
    <w:p w14:paraId="0DCC8C2C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绩效指标设置情况：细化指标7个，包括产出指标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个、成本指标1个、效益指标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个和满意度指标1个。</w:t>
      </w:r>
    </w:p>
    <w:p w14:paraId="3E2BF5F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0070A"/>
    <w:rsid w:val="11232FC8"/>
    <w:rsid w:val="175C0B3C"/>
    <w:rsid w:val="211B45B5"/>
    <w:rsid w:val="2CF26F88"/>
    <w:rsid w:val="36F0070A"/>
    <w:rsid w:val="3AD31AF7"/>
    <w:rsid w:val="61F42BD0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445</Words>
  <Characters>463</Characters>
  <Lines>0</Lines>
  <Paragraphs>0</Paragraphs>
  <TotalTime>0</TotalTime>
  <ScaleCrop>false</ScaleCrop>
  <LinksUpToDate>false</LinksUpToDate>
  <CharactersWithSpaces>465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2025-03-04T07:58:20Z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eyJoZGlkIjoiOTE2ZDllODRiODE2ZDJhYjhiNzIxNGU1Mjk2ZDY5YmQiLCJ1c2VySWQiOiI0NDY1MjUyNDgifQ==</vt:lpwstr>
  </property>
  <property fmtid="{D5CDD505-2E9C-101B-9397-08002B2CF9AE}" pid="4" name="ICV">
    <vt:lpwstr>940CBDBB3B5142468D15BD1E2C1D1AF2_12</vt:lpwstr>
  </property>
</Properties>
</file>