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800" w:lineRule="exact"/>
        <w:jc w:val="center"/>
        <w:rPr>
          <w:rFonts w:ascii="方正小标宋简体" w:eastAsia="方正小标宋简体"/>
          <w:sz w:val="72"/>
          <w:szCs w:val="72"/>
        </w:rPr>
      </w:pPr>
      <w:bookmarkStart w:id="1" w:name="_Toc15396597"/>
      <w:bookmarkStart w:id="2" w:name="_Toc15377425"/>
      <w:bookmarkStart w:id="3" w:name="_Toc15378441"/>
      <w:bookmarkStart w:id="4" w:name="_Toc15396475"/>
      <w:bookmarkStart w:id="5" w:name="_Toc15377193"/>
      <w:r>
        <w:rPr>
          <w:rFonts w:ascii="方正小标宋简体" w:eastAsia="方正小标宋简体" w:hint="eastAsia"/>
          <w:sz w:val="72"/>
          <w:szCs w:val="72"/>
        </w:rPr>
        <w:t>2022年度</w:t>
      </w:r>
      <w:bookmarkEnd w:id="1"/>
      <w:bookmarkEnd w:id="2"/>
      <w:bookmarkEnd w:id="3"/>
      <w:bookmarkEnd w:id="4"/>
      <w:bookmarkEnd w:id="5"/>
    </w:p>
    <w:p>
      <w:pPr>
        <w:spacing w:line="800" w:lineRule="exact"/>
        <w:jc w:val="center"/>
        <w:rPr>
          <w:rFonts w:ascii="方正小标宋简体" w:eastAsia="方正小标宋简体"/>
          <w:sz w:val="72"/>
          <w:szCs w:val="72"/>
        </w:rPr>
      </w:pPr>
      <w:bookmarkStart w:id="6" w:name="_Toc15377194"/>
      <w:bookmarkStart w:id="7" w:name="_Toc15396476"/>
      <w:bookmarkStart w:id="8" w:name="_Toc15378442"/>
      <w:bookmarkStart w:id="9" w:name="_Toc15377426"/>
      <w:bookmarkStart w:id="10" w:name="_Toc15306268"/>
      <w:bookmarkStart w:id="11" w:name="_Toc15396598"/>
      <w:bookmarkEnd w:id="0"/>
      <w:r>
        <w:rPr>
          <w:rFonts w:ascii="方正小标宋简体" w:eastAsia="方正小标宋简体" w:hint="eastAsia"/>
          <w:sz w:val="72"/>
          <w:szCs w:val="72"/>
        </w:rPr>
        <w:t>金川县交通局部门决算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widowControl/>
        <w:jc w:val="center"/>
        <w:rPr>
          <w:rFonts w:ascii="黑体" w:eastAsia="黑体"/>
          <w:color w:val="000000"/>
          <w:sz w:val="48"/>
          <w:szCs w:val="48"/>
        </w:rPr>
      </w:pPr>
      <w:r>
        <w:rPr>
          <w:rFonts w:ascii="方正小标宋简体" w:eastAsia="方正小标宋简体" w:hint="eastAsia"/>
          <w:sz w:val="36"/>
          <w:szCs w:val="36"/>
        </w:rPr>
        <w:br w:type="page"/>
      </w:r>
      <w:r>
        <w:rPr>
          <w:rFonts w:ascii="黑体" w:eastAsia="黑体" w:hint="eastAsia"/>
          <w:color w:val="000000"/>
          <w:sz w:val="48"/>
          <w:szCs w:val="48"/>
        </w:rPr>
        <w:t>目录</w:t>
      </w:r>
    </w:p>
    <w:p>
      <w:pPr>
        <w:pStyle w:val="16"/>
        <w:tabs>
          <w:tab w:val="right" w:leader="dot" w:pos="8296"/>
        </w:tabs>
        <w:rPr>
          <w:rFonts w:eastAsia="宋体" w:cs="Arial"/>
          <w:b w:val="0"/>
          <w:bCs w:val="0"/>
          <w:sz w:val="21"/>
          <w:szCs w:val="22"/>
        </w:rPr>
      </w:pPr>
      <w:r>
        <w:rPr>
          <w:b w:val="0"/>
          <w:bCs w:val="0"/>
        </w:rPr>
        <w:fldChar w:fldCharType="begin"/>
      </w:r>
      <w:r>
        <w:rPr>
          <w:b w:val="0"/>
          <w:bCs w:val="0"/>
        </w:rPr>
        <w:instrText xml:space="preserve"> TOC \o \u </w:instrText>
      </w:r>
      <w:r>
        <w:rPr>
          <w:b w:val="0"/>
          <w:bCs w:val="0"/>
        </w:rPr>
        <w:fldChar w:fldCharType="separate"/>
      </w:r>
      <w:r>
        <w:rPr>
          <w:rFonts w:ascii="黑体" w:eastAsia="黑体" w:hint="eastAsia"/>
          <w:b w:val="0"/>
        </w:rPr>
        <w:t xml:space="preserve">第一部分 </w:t>
      </w:r>
      <w:r>
        <w:rPr>
          <w:rFonts w:ascii="黑体" w:eastAsia="黑体" w:hint="eastAsia"/>
          <w:b w:val="0"/>
          <w:bCs w:val="0"/>
        </w:rPr>
        <w:t>部门概况</w:t>
      </w:r>
      <w:r>
        <w:tab/>
      </w:r>
      <w:r>
        <w:fldChar w:fldCharType="begin"/>
      </w:r>
      <w:r>
        <w:instrText xml:space="preserve"> PAGEREF _Toc79163851 \h </w:instrText>
      </w:r>
      <w:r>
        <w:fldChar w:fldCharType="separate"/>
      </w:r>
      <w:r>
        <w:t>- 4 -</w:t>
      </w:r>
      <w:r>
        <w:fldChar w:fldCharType="end"/>
      </w:r>
    </w:p>
    <w:p>
      <w:pPr>
        <w:pStyle w:val="23"/>
        <w:tabs>
          <w:tab w:val="right" w:leader="dot" w:pos="8296"/>
        </w:tabs>
        <w:rPr>
          <w:rFonts w:eastAsia="宋体" w:cs="Arial"/>
          <w:sz w:val="21"/>
          <w:szCs w:val="22"/>
        </w:rPr>
      </w:pPr>
      <w:r>
        <w:rPr>
          <w:rFonts w:ascii="黑体" w:eastAsia="黑体" w:hint="eastAsia"/>
          <w:color w:val="000000"/>
        </w:rPr>
        <w:t>一、基</w:t>
      </w:r>
      <w:r>
        <w:rPr>
          <w:rFonts w:ascii="黑体" w:eastAsia="黑体" w:hint="eastAsia"/>
        </w:rPr>
        <w:t>本职能及主要工作</w:t>
      </w:r>
      <w:r>
        <w:tab/>
      </w:r>
      <w:r>
        <w:fldChar w:fldCharType="begin"/>
      </w:r>
      <w:r>
        <w:instrText xml:space="preserve"> PAGEREF _Toc79163852 \h </w:instrText>
      </w:r>
      <w:r>
        <w:fldChar w:fldCharType="separate"/>
      </w:r>
      <w:r>
        <w:t>- 4 -</w:t>
      </w:r>
      <w:r>
        <w:fldChar w:fldCharType="end"/>
      </w:r>
    </w:p>
    <w:p>
      <w:pPr>
        <w:pStyle w:val="18"/>
        <w:tabs>
          <w:tab w:val="right" w:leader="dot" w:pos="8296"/>
        </w:tabs>
        <w:rPr>
          <w:rFonts w:eastAsia="宋体" w:cs="Arial"/>
          <w:i w:val="0"/>
          <w:iCs w:val="0"/>
          <w:sz w:val="21"/>
          <w:szCs w:val="22"/>
        </w:rPr>
      </w:pPr>
      <w:r>
        <w:rPr>
          <w:rFonts w:ascii="仿宋" w:eastAsia="仿宋" w:hint="eastAsia"/>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- 4 -</w:t>
      </w:r>
      <w:r>
        <w:rPr>
          <w:i w:val="0"/>
          <w:iCs w:val="0"/>
        </w:rPr>
        <w:fldChar w:fldCharType="end"/>
      </w:r>
    </w:p>
    <w:p>
      <w:pPr>
        <w:pStyle w:val="18"/>
        <w:tabs>
          <w:tab w:val="right" w:leader="dot" w:pos="8296"/>
        </w:tabs>
        <w:rPr>
          <w:rFonts w:eastAsia="宋体" w:cs="Arial"/>
          <w:i w:val="0"/>
          <w:iCs w:val="0"/>
          <w:sz w:val="21"/>
          <w:szCs w:val="22"/>
        </w:rPr>
      </w:pPr>
      <w:r>
        <w:rPr>
          <w:rFonts w:ascii="仿宋" w:eastAsia="仿宋" w:hint="eastAsia"/>
          <w:bCs/>
          <w:i w:val="0"/>
          <w:iCs w:val="0"/>
          <w:color w:val="000000"/>
        </w:rPr>
        <w:t>（二）2021年重点工作完成情况。</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i w:val="0"/>
          <w:iCs w:val="0"/>
        </w:rPr>
        <w:t>- 4 -</w:t>
      </w:r>
      <w:r>
        <w:rPr>
          <w:i w:val="0"/>
          <w:iCs w:val="0"/>
        </w:rPr>
        <w:fldChar w:fldCharType="end"/>
      </w:r>
    </w:p>
    <w:p>
      <w:pPr>
        <w:pStyle w:val="23"/>
        <w:tabs>
          <w:tab w:val="right" w:leader="dot" w:pos="8296"/>
        </w:tabs>
        <w:rPr>
          <w:rFonts w:eastAsia="宋体" w:cs="Arial"/>
          <w:sz w:val="21"/>
          <w:szCs w:val="22"/>
        </w:rPr>
      </w:pPr>
      <w:r>
        <w:rPr>
          <w:rFonts w:ascii="黑体" w:eastAsia="黑体" w:hint="eastAsia"/>
          <w:color w:val="000000"/>
        </w:rPr>
        <w:t>二、机</w:t>
      </w:r>
      <w:r>
        <w:rPr>
          <w:rFonts w:ascii="黑体" w:eastAsia="黑体" w:hint="eastAsia"/>
        </w:rPr>
        <w:t>构设置</w:t>
      </w:r>
      <w:r>
        <w:tab/>
      </w:r>
      <w:r>
        <w:fldChar w:fldCharType="begin"/>
      </w:r>
      <w:r>
        <w:instrText xml:space="preserve"> PAGEREF _Toc79163855 \h </w:instrText>
      </w:r>
      <w:r>
        <w:fldChar w:fldCharType="separate"/>
      </w:r>
      <w:r>
        <w:t>- 5 -</w:t>
      </w:r>
      <w:r>
        <w:fldChar w:fldCharType="end"/>
      </w:r>
    </w:p>
    <w:p>
      <w:pPr>
        <w:pStyle w:val="16"/>
        <w:tabs>
          <w:tab w:val="right" w:leader="dot" w:pos="8296"/>
        </w:tabs>
        <w:rPr>
          <w:rFonts w:eastAsia="宋体" w:cs="Arial"/>
          <w:b w:val="0"/>
          <w:bCs w:val="0"/>
          <w:sz w:val="21"/>
          <w:szCs w:val="22"/>
        </w:rPr>
      </w:pPr>
      <w:r>
        <w:rPr>
          <w:rFonts w:ascii="黑体" w:eastAsia="黑体" w:hint="eastAsia"/>
          <w:b w:val="0"/>
          <w:color w:val="000000"/>
        </w:rPr>
        <w:t>第二部分</w:t>
      </w:r>
      <w:r>
        <w:rPr>
          <w:rFonts w:ascii="黑体" w:eastAsia="黑体" w:hint="eastAsia"/>
          <w:color w:val="000000"/>
        </w:rPr>
        <w:t xml:space="preserve"> </w:t>
      </w:r>
      <w:r>
        <w:rPr>
          <w:rFonts w:ascii="黑体" w:eastAsia="黑体" w:hint="eastAsia"/>
          <w:b w:val="0"/>
          <w:bCs w:val="0"/>
        </w:rPr>
        <w:t>2021年度部门决算情况说明</w:t>
      </w:r>
      <w:r>
        <w:rPr>
          <w:b w:val="0"/>
          <w:bCs w:val="0"/>
        </w:rPr>
        <w:tab/>
      </w:r>
      <w:r>
        <w:fldChar w:fldCharType="begin"/>
      </w:r>
      <w:r>
        <w:instrText xml:space="preserve"> PAGEREF _Toc79163859 \h </w:instrText>
      </w:r>
      <w:r>
        <w:fldChar w:fldCharType="separate"/>
      </w:r>
      <w:r>
        <w:t>- 6 -</w:t>
      </w:r>
      <w:r>
        <w:fldChar w:fldCharType="end"/>
      </w:r>
    </w:p>
    <w:p>
      <w:pPr>
        <w:pStyle w:val="23"/>
        <w:tabs>
          <w:tab w:val="left" w:pos="840"/>
          <w:tab w:val="right" w:leader="dot" w:pos="8296"/>
        </w:tabs>
        <w:rPr>
          <w:rFonts w:eastAsia="宋体" w:cs="Arial"/>
          <w:sz w:val="21"/>
          <w:szCs w:val="22"/>
        </w:rPr>
      </w:pPr>
      <w:r>
        <w:rPr>
          <w:rFonts w:ascii="黑体" w:eastAsia="黑体" w:hint="eastAsia"/>
          <w:bCs/>
        </w:rPr>
        <w:t>一、</w:t>
      </w:r>
      <w:r>
        <w:rPr>
          <w:rFonts w:eastAsia="宋体" w:cs="Arial"/>
          <w:sz w:val="21"/>
          <w:szCs w:val="22"/>
        </w:rPr>
        <w:tab/>
      </w:r>
      <w:r>
        <w:rPr>
          <w:rFonts w:ascii="黑体" w:eastAsia="黑体" w:hint="eastAsia"/>
          <w:color w:val="000000"/>
        </w:rPr>
        <w:t>收</w:t>
      </w:r>
      <w:r>
        <w:rPr>
          <w:rFonts w:ascii="黑体" w:eastAsia="黑体" w:hint="eastAsia"/>
          <w:bCs/>
        </w:rPr>
        <w:t>入支出决算总体情况说明</w:t>
      </w:r>
      <w:r>
        <w:tab/>
      </w:r>
      <w:r>
        <w:fldChar w:fldCharType="begin"/>
      </w:r>
      <w:r>
        <w:instrText xml:space="preserve"> PAGEREF _Toc79163860 \h </w:instrText>
      </w:r>
      <w:r>
        <w:fldChar w:fldCharType="separate"/>
      </w:r>
      <w:r>
        <w:t>- 6 -</w:t>
      </w:r>
      <w:r>
        <w:fldChar w:fldCharType="end"/>
      </w:r>
    </w:p>
    <w:p>
      <w:pPr>
        <w:pStyle w:val="23"/>
        <w:tabs>
          <w:tab w:val="left" w:pos="840"/>
          <w:tab w:val="right" w:leader="dot" w:pos="8296"/>
        </w:tabs>
        <w:rPr>
          <w:rFonts w:eastAsia="宋体" w:cs="Arial"/>
          <w:sz w:val="21"/>
          <w:szCs w:val="22"/>
        </w:rPr>
      </w:pPr>
      <w:r>
        <w:rPr>
          <w:rFonts w:ascii="黑体" w:eastAsia="黑体" w:hint="eastAsia"/>
          <w:bCs/>
        </w:rPr>
        <w:t>二、</w:t>
      </w:r>
      <w:r>
        <w:rPr>
          <w:rFonts w:eastAsia="宋体" w:cs="Arial"/>
          <w:sz w:val="21"/>
          <w:szCs w:val="22"/>
        </w:rPr>
        <w:tab/>
      </w:r>
      <w:r>
        <w:rPr>
          <w:rFonts w:ascii="黑体" w:eastAsia="黑体" w:hint="eastAsia"/>
          <w:color w:val="000000"/>
        </w:rPr>
        <w:t>收</w:t>
      </w:r>
      <w:r>
        <w:rPr>
          <w:rFonts w:ascii="黑体" w:eastAsia="黑体" w:hint="eastAsia"/>
          <w:bCs/>
        </w:rPr>
        <w:t>入决算情况说明</w:t>
      </w:r>
      <w:r>
        <w:tab/>
      </w:r>
      <w:r>
        <w:fldChar w:fldCharType="begin"/>
      </w:r>
      <w:r>
        <w:instrText xml:space="preserve"> PAGEREF _Toc79163861 \h </w:instrText>
      </w:r>
      <w:r>
        <w:fldChar w:fldCharType="separate"/>
      </w:r>
      <w:r>
        <w:t>- 7 -</w:t>
      </w:r>
      <w:r>
        <w:fldChar w:fldCharType="end"/>
      </w:r>
    </w:p>
    <w:p>
      <w:pPr>
        <w:pStyle w:val="23"/>
        <w:tabs>
          <w:tab w:val="left" w:pos="840"/>
          <w:tab w:val="right" w:leader="dot" w:pos="8296"/>
        </w:tabs>
        <w:rPr>
          <w:rFonts w:eastAsia="宋体" w:cs="Arial"/>
          <w:sz w:val="21"/>
          <w:szCs w:val="22"/>
        </w:rPr>
      </w:pPr>
      <w:r>
        <w:rPr>
          <w:rFonts w:ascii="黑体" w:eastAsia="黑体" w:hint="eastAsia"/>
          <w:bCs/>
        </w:rPr>
        <w:t>三、</w:t>
      </w:r>
      <w:r>
        <w:rPr>
          <w:rFonts w:eastAsia="宋体" w:cs="Arial"/>
          <w:sz w:val="21"/>
          <w:szCs w:val="22"/>
        </w:rPr>
        <w:tab/>
      </w:r>
      <w:r>
        <w:rPr>
          <w:rFonts w:ascii="黑体" w:eastAsia="黑体" w:hint="eastAsia"/>
          <w:color w:val="000000"/>
        </w:rPr>
        <w:t>支</w:t>
      </w:r>
      <w:r>
        <w:rPr>
          <w:rFonts w:ascii="黑体" w:eastAsia="黑体" w:hint="eastAsia"/>
          <w:bCs/>
        </w:rPr>
        <w:t>出决算情况说明</w:t>
      </w:r>
      <w:r>
        <w:tab/>
      </w:r>
      <w:r>
        <w:fldChar w:fldCharType="begin"/>
      </w:r>
      <w:r>
        <w:instrText xml:space="preserve"> PAGEREF _Toc79163862 \h </w:instrText>
      </w:r>
      <w:r>
        <w:fldChar w:fldCharType="separate"/>
      </w:r>
      <w:r>
        <w:t>- 7 -</w:t>
      </w:r>
      <w:r>
        <w:fldChar w:fldCharType="end"/>
      </w:r>
    </w:p>
    <w:p>
      <w:pPr>
        <w:pStyle w:val="23"/>
        <w:tabs>
          <w:tab w:val="right" w:leader="dot" w:pos="8296"/>
        </w:tabs>
        <w:rPr>
          <w:rFonts w:eastAsia="宋体" w:cs="Arial"/>
          <w:sz w:val="21"/>
          <w:szCs w:val="22"/>
        </w:rPr>
      </w:pPr>
      <w:r>
        <w:rPr>
          <w:rFonts w:ascii="黑体" w:eastAsia="黑体" w:hint="eastAsia"/>
          <w:color w:val="000000"/>
        </w:rPr>
        <w:t>四、财</w:t>
      </w:r>
      <w:r>
        <w:rPr>
          <w:rFonts w:ascii="黑体" w:eastAsia="黑体" w:hint="eastAsia"/>
          <w:bCs/>
        </w:rPr>
        <w:t>政拨款收入支出决算总体情况说明</w:t>
      </w:r>
      <w:r>
        <w:tab/>
      </w:r>
      <w:r>
        <w:fldChar w:fldCharType="begin"/>
      </w:r>
      <w:r>
        <w:instrText xml:space="preserve"> PAGEREF _Toc79163863 \h </w:instrText>
      </w:r>
      <w:r>
        <w:fldChar w:fldCharType="separate"/>
      </w:r>
      <w:r>
        <w:t>- 7 -</w:t>
      </w:r>
      <w:r>
        <w:fldChar w:fldCharType="end"/>
      </w:r>
    </w:p>
    <w:p>
      <w:pPr>
        <w:pStyle w:val="23"/>
        <w:tabs>
          <w:tab w:val="right" w:leader="dot" w:pos="8296"/>
        </w:tabs>
        <w:rPr>
          <w:rFonts w:eastAsia="宋体" w:cs="Arial"/>
          <w:sz w:val="21"/>
          <w:szCs w:val="22"/>
        </w:rPr>
      </w:pPr>
      <w:r>
        <w:rPr>
          <w:rFonts w:ascii="黑体" w:eastAsia="黑体" w:hint="eastAsia"/>
          <w:color w:val="000000"/>
        </w:rPr>
        <w:t>五、</w:t>
      </w:r>
      <w:r>
        <w:rPr>
          <w:rFonts w:ascii="黑体" w:eastAsia="黑体" w:hint="eastAsia"/>
          <w:b/>
          <w:color w:val="000000"/>
        </w:rPr>
        <w:t>一</w:t>
      </w:r>
      <w:r>
        <w:rPr>
          <w:rFonts w:ascii="黑体" w:eastAsia="黑体" w:hint="eastAsia"/>
          <w:bCs/>
        </w:rPr>
        <w:t>般公共预算财政拨款支出决算情况说明</w:t>
      </w:r>
      <w:r>
        <w:tab/>
      </w:r>
      <w:r>
        <w:fldChar w:fldCharType="begin"/>
      </w:r>
      <w:r>
        <w:instrText xml:space="preserve"> PAGEREF _Toc79163864 \h </w:instrText>
      </w:r>
      <w:r>
        <w:fldChar w:fldCharType="separate"/>
      </w:r>
      <w:r>
        <w:t>- 7 -</w:t>
      </w:r>
      <w: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_Toc79163865 \h </w:instrText>
      </w:r>
      <w:r>
        <w:rPr>
          <w:i w:val="0"/>
          <w:iCs w:val="0"/>
        </w:rPr>
        <w:fldChar w:fldCharType="separate"/>
      </w:r>
      <w:r>
        <w:rPr>
          <w:i w:val="0"/>
          <w:iCs w:val="0"/>
        </w:rPr>
        <w:t>- 8 -</w:t>
      </w:r>
      <w:r>
        <w:rPr>
          <w:i w:val="0"/>
          <w:iCs w:val="0"/>
        </w:rP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_Toc79163866 \h </w:instrText>
      </w:r>
      <w:r>
        <w:rPr>
          <w:i w:val="0"/>
          <w:iCs w:val="0"/>
        </w:rPr>
        <w:fldChar w:fldCharType="separate"/>
      </w:r>
      <w:r>
        <w:rPr>
          <w:i w:val="0"/>
          <w:iCs w:val="0"/>
        </w:rPr>
        <w:t>- 8 -</w:t>
      </w:r>
      <w:r>
        <w:rPr>
          <w:i w:val="0"/>
          <w:iCs w:val="0"/>
        </w:rP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（三）一般公共预算财政拨款支出决算具体情况</w:t>
      </w:r>
      <w:r>
        <w:rPr>
          <w:i w:val="0"/>
          <w:iCs w:val="0"/>
        </w:rPr>
        <w:tab/>
      </w:r>
      <w:r>
        <w:rPr>
          <w:i w:val="0"/>
          <w:iCs w:val="0"/>
        </w:rPr>
        <w:fldChar w:fldCharType="begin"/>
      </w:r>
      <w:r>
        <w:rPr>
          <w:i w:val="0"/>
          <w:iCs w:val="0"/>
        </w:rPr>
        <w:instrText xml:space="preserve"> PAGEREF _Toc79163867 \h </w:instrText>
      </w:r>
      <w:r>
        <w:rPr>
          <w:i w:val="0"/>
          <w:iCs w:val="0"/>
        </w:rPr>
        <w:fldChar w:fldCharType="separate"/>
      </w:r>
      <w:r>
        <w:rPr>
          <w:i w:val="0"/>
          <w:iCs w:val="0"/>
        </w:rPr>
        <w:t>- 9 -</w:t>
      </w:r>
      <w:r>
        <w:rPr>
          <w:i w:val="0"/>
          <w:iCs w:val="0"/>
        </w:rPr>
        <w:fldChar w:fldCharType="end"/>
      </w:r>
    </w:p>
    <w:p>
      <w:pPr>
        <w:pStyle w:val="23"/>
        <w:tabs>
          <w:tab w:val="right" w:leader="dot" w:pos="8296"/>
        </w:tabs>
        <w:rPr>
          <w:rFonts w:eastAsia="宋体" w:cs="Arial"/>
          <w:sz w:val="21"/>
          <w:szCs w:val="22"/>
        </w:rPr>
      </w:pPr>
      <w:r>
        <w:rPr>
          <w:rFonts w:ascii="黑体" w:eastAsia="黑体" w:hint="eastAsia"/>
          <w:color w:val="000000"/>
        </w:rPr>
        <w:t>六</w:t>
      </w:r>
      <w:r>
        <w:rPr>
          <w:rFonts w:ascii="黑体" w:eastAsia="黑体" w:hint="eastAsia"/>
          <w:b/>
          <w:color w:val="000000"/>
        </w:rPr>
        <w:t>、一</w:t>
      </w:r>
      <w:r>
        <w:rPr>
          <w:rFonts w:ascii="黑体" w:eastAsia="黑体" w:hint="eastAsia"/>
          <w:bCs/>
        </w:rPr>
        <w:t>般公共预算财政拨款基本支出决算情况说明</w:t>
      </w:r>
      <w:r>
        <w:tab/>
      </w:r>
      <w:r>
        <w:fldChar w:fldCharType="begin"/>
      </w:r>
      <w:r>
        <w:instrText xml:space="preserve"> PAGEREF _Toc79163868 \h </w:instrText>
      </w:r>
      <w:r>
        <w:fldChar w:fldCharType="separate"/>
      </w:r>
      <w:r>
        <w:t>- 9 -</w:t>
      </w:r>
      <w:r>
        <w:fldChar w:fldCharType="end"/>
      </w:r>
    </w:p>
    <w:p>
      <w:pPr>
        <w:pStyle w:val="23"/>
        <w:tabs>
          <w:tab w:val="right" w:leader="dot" w:pos="8296"/>
        </w:tabs>
        <w:rPr>
          <w:rFonts w:eastAsia="宋体" w:cs="Arial"/>
          <w:sz w:val="21"/>
          <w:szCs w:val="22"/>
        </w:rPr>
      </w:pPr>
      <w:r>
        <w:rPr>
          <w:rFonts w:ascii="黑体" w:eastAsia="黑体" w:hint="eastAsia"/>
          <w:color w:val="000000"/>
        </w:rPr>
        <w:t>七、</w:t>
      </w:r>
      <w:r>
        <w:rPr>
          <w:rFonts w:ascii="黑体" w:eastAsia="黑体" w:hint="eastAsia"/>
          <w:b/>
          <w:bCs/>
        </w:rPr>
        <w:t>“</w:t>
      </w:r>
      <w:r>
        <w:rPr>
          <w:rFonts w:ascii="黑体" w:eastAsia="黑体" w:hint="eastAsia"/>
          <w:bCs/>
        </w:rPr>
        <w:t>三公”经费财政拨款支出决算情况说明</w:t>
      </w:r>
      <w:r>
        <w:tab/>
      </w:r>
      <w:r>
        <w:fldChar w:fldCharType="begin"/>
      </w:r>
      <w:r>
        <w:instrText xml:space="preserve"> PAGEREF _Toc79163869 \h </w:instrText>
      </w:r>
      <w:r>
        <w:fldChar w:fldCharType="separate"/>
      </w:r>
      <w:r>
        <w:t>- 10 -</w:t>
      </w:r>
      <w: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_Toc79163870 \h </w:instrText>
      </w:r>
      <w:r>
        <w:rPr>
          <w:i w:val="0"/>
          <w:iCs w:val="0"/>
        </w:rPr>
        <w:fldChar w:fldCharType="separate"/>
      </w:r>
      <w:r>
        <w:rPr>
          <w:i w:val="0"/>
          <w:iCs w:val="0"/>
        </w:rPr>
        <w:t>- 10 -</w:t>
      </w:r>
      <w:r>
        <w:rPr>
          <w:i w:val="0"/>
          <w:iCs w:val="0"/>
        </w:rP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（二）“三公”经费财政拨款支出决算具体情况说明</w:t>
      </w:r>
      <w:r>
        <w:rPr>
          <w:i w:val="0"/>
          <w:iCs w:val="0"/>
        </w:rPr>
        <w:tab/>
      </w:r>
      <w:r>
        <w:rPr>
          <w:i w:val="0"/>
          <w:iCs w:val="0"/>
        </w:rPr>
        <w:fldChar w:fldCharType="begin"/>
      </w:r>
      <w:r>
        <w:rPr>
          <w:i w:val="0"/>
          <w:iCs w:val="0"/>
        </w:rPr>
        <w:instrText xml:space="preserve"> PAGEREF _Toc79163871 \h </w:instrText>
      </w:r>
      <w:r>
        <w:rPr>
          <w:i w:val="0"/>
          <w:iCs w:val="0"/>
        </w:rPr>
        <w:fldChar w:fldCharType="separate"/>
      </w:r>
      <w:r>
        <w:rPr>
          <w:i w:val="0"/>
          <w:iCs w:val="0"/>
        </w:rPr>
        <w:t>- 10 -</w:t>
      </w:r>
      <w:r>
        <w:rPr>
          <w:i w:val="0"/>
          <w:iCs w:val="0"/>
        </w:rPr>
        <w:fldChar w:fldCharType="end"/>
      </w:r>
    </w:p>
    <w:p>
      <w:pPr>
        <w:pStyle w:val="23"/>
        <w:tabs>
          <w:tab w:val="right" w:leader="dot" w:pos="8296"/>
        </w:tabs>
        <w:rPr>
          <w:rFonts w:eastAsia="宋体" w:cs="Arial"/>
          <w:sz w:val="21"/>
          <w:szCs w:val="22"/>
        </w:rPr>
      </w:pPr>
      <w:r>
        <w:rPr>
          <w:rFonts w:ascii="黑体" w:eastAsia="黑体" w:hint="eastAsia"/>
          <w:color w:val="000000"/>
        </w:rPr>
        <w:t>八、</w:t>
      </w:r>
      <w:r>
        <w:rPr>
          <w:rFonts w:ascii="黑体" w:eastAsia="黑体" w:hint="eastAsia"/>
          <w:bCs/>
        </w:rPr>
        <w:t>政府性基金预算支出决算情况说明</w:t>
      </w:r>
      <w:r>
        <w:tab/>
      </w:r>
      <w:r>
        <w:fldChar w:fldCharType="begin"/>
      </w:r>
      <w:r>
        <w:instrText xml:space="preserve"> PAGEREF _Toc79163872 \h </w:instrText>
      </w:r>
      <w:r>
        <w:fldChar w:fldCharType="separate"/>
      </w:r>
      <w:r>
        <w:t>- 11 -</w:t>
      </w:r>
      <w:r>
        <w:fldChar w:fldCharType="end"/>
      </w:r>
    </w:p>
    <w:p>
      <w:pPr>
        <w:pStyle w:val="23"/>
        <w:tabs>
          <w:tab w:val="right" w:leader="dot" w:pos="8296"/>
        </w:tabs>
        <w:rPr>
          <w:rFonts w:eastAsia="宋体" w:cs="Arial"/>
          <w:sz w:val="21"/>
          <w:szCs w:val="22"/>
        </w:rPr>
      </w:pPr>
      <w:r>
        <w:rPr>
          <w:rFonts w:ascii="黑体" w:eastAsia="黑体" w:hint="eastAsia"/>
          <w:bCs/>
        </w:rPr>
        <w:t>九、 国有资本经营预算支出决算情况说明</w:t>
      </w:r>
      <w:r>
        <w:tab/>
      </w:r>
      <w:r>
        <w:fldChar w:fldCharType="begin"/>
      </w:r>
      <w:r>
        <w:instrText xml:space="preserve"> PAGEREF _Toc79163873 \h </w:instrText>
      </w:r>
      <w:r>
        <w:fldChar w:fldCharType="separate"/>
      </w:r>
      <w:r>
        <w:t>- 11 -</w:t>
      </w:r>
      <w:r>
        <w:fldChar w:fldCharType="end"/>
      </w:r>
    </w:p>
    <w:p>
      <w:pPr>
        <w:pStyle w:val="23"/>
        <w:tabs>
          <w:tab w:val="right" w:leader="dot" w:pos="8296"/>
        </w:tabs>
        <w:rPr>
          <w:rFonts w:eastAsia="宋体" w:cs="Arial"/>
          <w:sz w:val="21"/>
          <w:szCs w:val="22"/>
        </w:rPr>
      </w:pPr>
      <w:r>
        <w:rPr>
          <w:rFonts w:ascii="黑体" w:eastAsia="黑体" w:hint="eastAsia"/>
          <w:color w:val="000000"/>
        </w:rPr>
        <w:t>十</w:t>
      </w:r>
      <w:r>
        <w:rPr>
          <w:rFonts w:ascii="黑体" w:eastAsia="黑体" w:hint="eastAsia"/>
          <w:b/>
          <w:bCs/>
        </w:rPr>
        <w:t>、</w:t>
      </w:r>
      <w:r>
        <w:rPr>
          <w:rFonts w:ascii="黑体" w:eastAsia="黑体" w:hint="eastAsia"/>
          <w:bCs/>
        </w:rPr>
        <w:t>其他重要事项的情况说明</w:t>
      </w:r>
      <w:r>
        <w:tab/>
      </w:r>
      <w:r>
        <w:fldChar w:fldCharType="begin"/>
      </w:r>
      <w:r>
        <w:instrText xml:space="preserve"> PAGEREF _Toc79163874 \h </w:instrText>
      </w:r>
      <w:r>
        <w:fldChar w:fldCharType="separate"/>
      </w:r>
      <w:r>
        <w:t>- 11 -</w:t>
      </w:r>
      <w:r>
        <w:fldChar w:fldCharType="end"/>
      </w:r>
    </w:p>
    <w:p>
      <w:pPr>
        <w:pStyle w:val="18"/>
        <w:tabs>
          <w:tab w:val="right" w:leader="dot" w:pos="8296"/>
        </w:tabs>
        <w:rPr>
          <w:rFonts w:ascii="仿宋" w:eastAsia="仿宋"/>
          <w:bCs/>
          <w:i w:val="0"/>
          <w:iCs w:val="0"/>
          <w:color w:val="000000"/>
        </w:rPr>
      </w:pPr>
      <w:r>
        <w:rPr>
          <w:rFonts w:ascii="仿宋" w:eastAsia="仿宋" w:hint="eastAsia"/>
          <w:b/>
          <w:i w:val="0"/>
          <w:iCs w:val="0"/>
          <w:color w:val="000000"/>
        </w:rPr>
        <w:t>（一）机关运行经费支出情况</w:t>
      </w:r>
      <w:r>
        <w:rPr>
          <w:rFonts w:ascii="仿宋" w:eastAsia="仿宋" w:hint="eastAsia"/>
          <w:bCs/>
          <w:i w:val="0"/>
          <w:iCs w:val="0"/>
          <w:color w:val="000000"/>
        </w:rPr>
        <w:tab/>
      </w:r>
      <w:r>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_Toc79163876 \h </w:instrText>
      </w:r>
      <w:r>
        <w:rPr>
          <w:rFonts w:ascii="仿宋" w:eastAsia="仿宋" w:hint="eastAsia"/>
          <w:bCs/>
          <w:i w:val="0"/>
          <w:iCs w:val="0"/>
          <w:color w:val="000000"/>
        </w:rPr>
        <w:fldChar w:fldCharType="separate"/>
      </w:r>
      <w:r>
        <w:rPr>
          <w:rFonts w:ascii="仿宋" w:eastAsia="仿宋" w:hint="eastAsia"/>
          <w:bCs/>
          <w:i w:val="0"/>
          <w:iCs w:val="0"/>
          <w:color w:val="000000"/>
        </w:rPr>
        <w:t>- 11 -</w:t>
      </w:r>
      <w:r>
        <w:rPr>
          <w:rFonts w:ascii="仿宋" w:eastAsia="仿宋" w:hint="eastAsia"/>
          <w:bCs/>
          <w:i w:val="0"/>
          <w:iCs w:val="0"/>
          <w:color w:val="000000"/>
        </w:rPr>
        <w:fldChar w:fldCharType="end"/>
      </w:r>
    </w:p>
    <w:p>
      <w:pPr>
        <w:pStyle w:val="18"/>
        <w:tabs>
          <w:tab w:val="right" w:leader="dot" w:pos="8296"/>
        </w:tabs>
        <w:rPr>
          <w:rFonts w:ascii="仿宋" w:eastAsia="仿宋"/>
          <w:b/>
          <w:i w:val="0"/>
          <w:iCs w:val="0"/>
          <w:color w:val="000000"/>
        </w:rPr>
      </w:pPr>
      <w:r>
        <w:rPr>
          <w:rFonts w:ascii="仿宋" w:eastAsia="仿宋" w:hint="eastAsia"/>
          <w:b/>
          <w:i w:val="0"/>
          <w:iCs w:val="0"/>
          <w:color w:val="000000"/>
        </w:rPr>
        <w:t xml:space="preserve">（二）政府采购支出情况  </w:t>
      </w:r>
      <w:r>
        <w:rPr>
          <w:rFonts w:hint="eastAsia"/>
          <w:b/>
          <w:bCs/>
          <w:caps/>
          <w:smallCaps w:val="0"/>
        </w:rPr>
        <w:t>..................................................................................................</w:t>
      </w:r>
      <w:r>
        <w:rPr>
          <w:rFonts w:ascii="仿宋" w:eastAsia="仿宋" w:hint="eastAsia"/>
          <w:bCs/>
          <w:i w:val="0"/>
          <w:iCs w:val="0"/>
          <w:color w:val="000000"/>
        </w:rPr>
        <w:t>12</w:t>
      </w:r>
    </w:p>
    <w:p>
      <w:pPr>
        <w:pStyle w:val="18"/>
        <w:tabs>
          <w:tab w:val="right" w:leader="dot" w:pos="8296"/>
        </w:tabs>
        <w:rPr>
          <w:rFonts w:ascii="仿宋" w:eastAsia="仿宋"/>
          <w:b/>
          <w:i w:val="0"/>
          <w:iCs w:val="0"/>
          <w:color w:val="000000"/>
        </w:rPr>
      </w:pPr>
      <w:r>
        <w:rPr>
          <w:rFonts w:ascii="仿宋" w:eastAsia="仿宋" w:hint="eastAsia"/>
          <w:b/>
          <w:i w:val="0"/>
          <w:iCs w:val="0"/>
          <w:color w:val="000000"/>
        </w:rPr>
        <w:t>（三）国有资产占有使用情况</w:t>
      </w:r>
      <w:r>
        <w:rPr>
          <w:rFonts w:ascii="仿宋" w:eastAsia="仿宋" w:hint="eastAsia"/>
          <w:bCs/>
          <w:i w:val="0"/>
          <w:iCs w:val="0"/>
          <w:color w:val="000000"/>
        </w:rPr>
        <w:tab/>
      </w:r>
      <w:r>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_Toc79163877 \h </w:instrText>
      </w:r>
      <w:r>
        <w:rPr>
          <w:rFonts w:ascii="仿宋" w:eastAsia="仿宋" w:hint="eastAsia"/>
          <w:bCs/>
          <w:i w:val="0"/>
          <w:iCs w:val="0"/>
          <w:color w:val="000000"/>
        </w:rPr>
        <w:fldChar w:fldCharType="separate"/>
      </w:r>
      <w:r>
        <w:rPr>
          <w:rFonts w:ascii="仿宋" w:eastAsia="仿宋" w:hint="eastAsia"/>
          <w:bCs/>
          <w:i w:val="0"/>
          <w:iCs w:val="0"/>
          <w:color w:val="000000"/>
        </w:rPr>
        <w:t>- 11 -</w:t>
      </w:r>
      <w:r>
        <w:rPr>
          <w:rFonts w:ascii="仿宋" w:eastAsia="仿宋" w:hint="eastAsia"/>
          <w:bCs/>
          <w:i w:val="0"/>
          <w:iCs w:val="0"/>
          <w:color w:val="000000"/>
        </w:rPr>
        <w:fldChar w:fldCharType="end"/>
      </w:r>
    </w:p>
    <w:p>
      <w:pPr>
        <w:pStyle w:val="18"/>
        <w:tabs>
          <w:tab w:val="right" w:leader="dot" w:pos="8296"/>
        </w:tabs>
        <w:rPr>
          <w:rFonts w:eastAsia="宋体" w:cs="Arial"/>
          <w:i w:val="0"/>
          <w:iCs w:val="0"/>
          <w:sz w:val="21"/>
          <w:szCs w:val="22"/>
        </w:rPr>
      </w:pPr>
      <w:r>
        <w:rPr>
          <w:rFonts w:ascii="仿宋" w:eastAsia="仿宋" w:hint="eastAsia"/>
          <w:b/>
          <w:i w:val="0"/>
          <w:iCs w:val="0"/>
          <w:color w:val="000000"/>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- 11 -</w:t>
      </w:r>
      <w:r>
        <w:rPr>
          <w:i w:val="0"/>
          <w:iCs w:val="0"/>
        </w:rPr>
        <w:fldChar w:fldCharType="end"/>
      </w:r>
    </w:p>
    <w:p>
      <w:pPr>
        <w:pStyle w:val="16"/>
        <w:tabs>
          <w:tab w:val="right" w:leader="dot" w:pos="8296"/>
        </w:tabs>
        <w:rPr>
          <w:b w:val="0"/>
          <w:bCs w:val="0"/>
        </w:rPr>
      </w:pPr>
      <w:r>
        <w:rPr>
          <w:rFonts w:ascii="黑体" w:eastAsia="黑体" w:hint="eastAsia"/>
          <w:b w:val="0"/>
          <w:bCs w:val="0"/>
          <w:kern w:val="44"/>
        </w:rPr>
        <w:t>第三部分</w:t>
      </w:r>
      <w:r>
        <w:rPr>
          <w:rFonts w:ascii="黑体" w:eastAsia="黑体" w:hint="eastAsia"/>
          <w:b w:val="0"/>
          <w:bCs w:val="0"/>
          <w:color w:val="000000"/>
        </w:rPr>
        <w:t xml:space="preserve"> 名</w:t>
      </w:r>
      <w:r>
        <w:rPr>
          <w:rFonts w:ascii="黑体" w:eastAsia="黑体" w:hint="eastAsia"/>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- 13 -</w:t>
      </w:r>
      <w:r>
        <w:rPr>
          <w:b w:val="0"/>
          <w:bCs w:val="0"/>
        </w:rPr>
        <w:fldChar w:fldCharType="end"/>
      </w:r>
    </w:p>
    <w:p>
      <w:pPr>
        <w:pStyle w:val="16"/>
        <w:tabs>
          <w:tab w:val="right" w:leader="dot" w:pos="8296"/>
        </w:tabs>
        <w:rPr>
          <w:rFonts w:ascii="Times New Roman" w:hAnsi="Times New Roman"/>
          <w:sz w:val="24"/>
        </w:rPr>
      </w:pPr>
      <w:r>
        <w:rPr>
          <w:rFonts w:ascii="Calibri" w:eastAsia="Calibri" w:hAnsi="Calibri"/>
          <w:b/>
          <w:bCs/>
          <w:caps/>
          <w:smallCaps w:val="0"/>
          <w:sz w:val="20"/>
          <w:szCs w:val="20"/>
        </w:rPr>
        <w:fldChar w:fldCharType="end"/>
      </w:r>
      <w:r>
        <w:rPr>
          <w:rFonts w:ascii="Times New Roman" w:hAnsi="Times New Roman"/>
        </w:rPr>
        <w:fldChar w:fldCharType="begin"/>
      </w:r>
      <w:r>
        <w:rPr>
          <w:rFonts w:ascii="Times New Roman" w:hAnsi="Times New Roman"/>
        </w:rPr>
        <w:instrText xml:space="preserve"> TOC \o "1-2" \h \u </w:instrText>
      </w:r>
      <w:r>
        <w:rPr>
          <w:rFonts w:ascii="Times New Roman" w:hAnsi="Times New Roman"/>
        </w:rPr>
        <w:fldChar w:fldCharType="separate"/>
      </w:r>
      <w:r>
        <w:fldChar w:fldCharType="begin"/>
      </w:r>
      <w:r>
        <w:instrText xml:space="preserve"> HYPERLINK \l "_Toc26843623" </w:instrText>
      </w:r>
      <w:r>
        <w:fldChar w:fldCharType="separate"/>
      </w:r>
      <w:r>
        <w:rPr>
          <w:rFonts w:ascii="Times New Roman" w:hAnsi="Times New Roman"/>
          <w:sz w:val="24"/>
        </w:rPr>
        <w:t>第</w:t>
      </w:r>
      <w:r>
        <w:rPr>
          <w:rFonts w:ascii="Times New Roman" w:hAnsi="Times New Roman"/>
          <w:bCs/>
          <w:sz w:val="24"/>
        </w:rPr>
        <w:t>四部分 附件</w:t>
      </w:r>
      <w:r>
        <w:rPr>
          <w:rFonts w:ascii="Times New Roman" w:hAnsi="Times New Roman"/>
          <w:sz w:val="24"/>
        </w:rPr>
        <w:tab/>
      </w:r>
      <w:r>
        <w:rPr>
          <w:rFonts w:ascii="Times New Roman" w:hAnsi="Times New Roman" w:hint="eastAsia"/>
          <w:sz w:val="24"/>
        </w:rPr>
        <w:t>1</w:t>
      </w:r>
      <w:r>
        <w:rPr>
          <w:rFonts w:ascii="Times New Roman" w:eastAsia="宋体" w:hAnsi="Times New Roman" w:hint="eastAsia"/>
          <w:sz w:val="24"/>
          <w:lang w:val="en-US" w:eastAsia="zh-CN"/>
        </w:rPr>
        <w:t>5</w:t>
      </w:r>
      <w:r>
        <w:rPr>
          <w:rFonts w:ascii="Times New Roman" w:hAnsi="Times New Roman" w:hint="eastAsia"/>
          <w:sz w:val="24"/>
        </w:rPr>
        <w:fldChar w:fldCharType="end"/>
      </w:r>
    </w:p>
    <w:p>
      <w:pPr>
        <w:pStyle w:val="16"/>
        <w:tabs>
          <w:tab w:val="right" w:leader="dot" w:pos="8296"/>
        </w:tabs>
        <w:adjustRightInd w:val="0"/>
        <w:snapToGrid w:val="0"/>
        <w:spacing w:before="0" w:line="440" w:lineRule="exact"/>
        <w:jc w:val="left"/>
        <w:rPr>
          <w:rFonts w:ascii="Times New Roman" w:hAnsi="Times New Roman"/>
          <w:sz w:val="24"/>
        </w:rPr>
      </w:pPr>
      <w:r>
        <w:fldChar w:fldCharType="begin"/>
      </w:r>
      <w:r>
        <w:instrText xml:space="preserve"> HYPERLINK \l "_Toc26843625" </w:instrText>
      </w:r>
      <w:r>
        <w:fldChar w:fldCharType="separate"/>
      </w:r>
      <w:r>
        <w:rPr>
          <w:rFonts w:ascii="Times New Roman" w:hAnsi="Times New Roman"/>
          <w:sz w:val="24"/>
        </w:rPr>
        <w:t>第</w:t>
      </w:r>
      <w:r>
        <w:rPr>
          <w:rFonts w:ascii="Times New Roman" w:hAnsi="Times New Roman"/>
          <w:bCs/>
          <w:sz w:val="24"/>
        </w:rPr>
        <w:t>五部分 附表</w:t>
      </w:r>
      <w:r>
        <w:rPr>
          <w:rFonts w:ascii="Times New Roman" w:hAnsi="Times New Roman"/>
          <w:sz w:val="24"/>
        </w:rPr>
        <w:tab/>
      </w:r>
      <w:r>
        <w:rPr>
          <w:rFonts w:ascii="Times New Roman" w:hAnsi="Times New Roman" w:hint="eastAsia"/>
          <w:sz w:val="24"/>
        </w:rPr>
        <w:t>20</w:t>
      </w:r>
      <w:r>
        <w:rPr>
          <w:rFonts w:ascii="Times New Roman" w:hAnsi="Times New Roman"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"_Toc26843626" </w:instrText>
      </w:r>
      <w:r>
        <w:fldChar w:fldCharType="separate"/>
      </w:r>
      <w:r>
        <w:rPr>
          <w:sz w:val="24"/>
        </w:rPr>
        <w:t>一、收</w:t>
      </w:r>
      <w:r>
        <w:rPr>
          <w:bCs/>
          <w:sz w:val="24"/>
        </w:rPr>
        <w:t>入支出决算总表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"_Toc26843627" </w:instrText>
      </w:r>
      <w:r>
        <w:fldChar w:fldCharType="separate"/>
      </w:r>
      <w:r>
        <w:rPr>
          <w:sz w:val="24"/>
        </w:rPr>
        <w:t>二、收</w:t>
      </w:r>
      <w:r>
        <w:rPr>
          <w:bCs/>
          <w:sz w:val="24"/>
        </w:rPr>
        <w:t>入决算表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"_Toc26843628" </w:instrText>
      </w:r>
      <w:r>
        <w:fldChar w:fldCharType="separate"/>
      </w:r>
      <w:r>
        <w:rPr>
          <w:bCs/>
          <w:sz w:val="24"/>
        </w:rPr>
        <w:t>三、</w:t>
      </w:r>
      <w:r>
        <w:rPr>
          <w:sz w:val="24"/>
        </w:rPr>
        <w:t>支</w:t>
      </w:r>
      <w:r>
        <w:rPr>
          <w:bCs/>
          <w:sz w:val="24"/>
        </w:rPr>
        <w:t>出决算表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"_Toc26843629" </w:instrText>
      </w:r>
      <w:r>
        <w:fldChar w:fldCharType="separate"/>
      </w:r>
      <w:r>
        <w:rPr>
          <w:bCs/>
          <w:sz w:val="24"/>
        </w:rPr>
        <w:t>四、</w:t>
      </w:r>
      <w:r>
        <w:rPr>
          <w:sz w:val="24"/>
        </w:rPr>
        <w:t>财</w:t>
      </w:r>
      <w:r>
        <w:rPr>
          <w:bCs/>
          <w:sz w:val="24"/>
        </w:rPr>
        <w:t>政拨款收入支出决算总表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"_Toc26843630" </w:instrText>
      </w:r>
      <w:r>
        <w:fldChar w:fldCharType="separate"/>
      </w:r>
      <w:r>
        <w:rPr>
          <w:bCs/>
          <w:sz w:val="24"/>
        </w:rPr>
        <w:t>五、</w:t>
      </w:r>
      <w:r>
        <w:rPr>
          <w:sz w:val="24"/>
        </w:rPr>
        <w:t>财</w:t>
      </w:r>
      <w:r>
        <w:rPr>
          <w:bCs/>
          <w:sz w:val="24"/>
        </w:rPr>
        <w:t>政拨款支出决算明细表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"_Toc26843631" </w:instrText>
      </w:r>
      <w:r>
        <w:fldChar w:fldCharType="separate"/>
      </w:r>
      <w:r>
        <w:rPr>
          <w:bCs/>
          <w:sz w:val="24"/>
        </w:rPr>
        <w:t>六、</w:t>
      </w:r>
      <w:r>
        <w:rPr>
          <w:sz w:val="24"/>
        </w:rPr>
        <w:t>一</w:t>
      </w:r>
      <w:r>
        <w:rPr>
          <w:bCs/>
          <w:sz w:val="24"/>
        </w:rPr>
        <w:t>般公共预算财政拨款支出决算表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"_Toc26843632" </w:instrText>
      </w:r>
      <w:r>
        <w:fldChar w:fldCharType="separate"/>
      </w:r>
      <w:r>
        <w:rPr>
          <w:bCs/>
          <w:sz w:val="24"/>
        </w:rPr>
        <w:t>七、</w:t>
      </w:r>
      <w:r>
        <w:rPr>
          <w:sz w:val="24"/>
        </w:rPr>
        <w:t>一</w:t>
      </w:r>
      <w:r>
        <w:rPr>
          <w:bCs/>
          <w:sz w:val="24"/>
        </w:rPr>
        <w:t>般公共预算财政拨款支出决算明细表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"_Toc26843633" </w:instrText>
      </w:r>
      <w:r>
        <w:fldChar w:fldCharType="separate"/>
      </w:r>
      <w:r>
        <w:rPr>
          <w:bCs/>
          <w:sz w:val="24"/>
        </w:rPr>
        <w:t>八、</w:t>
      </w:r>
      <w:r>
        <w:rPr>
          <w:sz w:val="24"/>
        </w:rPr>
        <w:t>一</w:t>
      </w:r>
      <w:r>
        <w:rPr>
          <w:bCs/>
          <w:sz w:val="24"/>
        </w:rPr>
        <w:t>般公共预算财政拨款基本支出决算表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"_Toc26843634" </w:instrText>
      </w:r>
      <w:r>
        <w:fldChar w:fldCharType="separate"/>
      </w:r>
      <w:r>
        <w:rPr>
          <w:bCs/>
          <w:sz w:val="24"/>
        </w:rPr>
        <w:t>九、</w:t>
      </w:r>
      <w:r>
        <w:rPr>
          <w:sz w:val="24"/>
        </w:rPr>
        <w:t>一</w:t>
      </w:r>
      <w:r>
        <w:rPr>
          <w:bCs/>
          <w:sz w:val="24"/>
        </w:rPr>
        <w:t>般公共预算财政拨款项目支出决算表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"_Toc26843635" </w:instrText>
      </w:r>
      <w:r>
        <w:fldChar w:fldCharType="separate"/>
      </w:r>
      <w:r>
        <w:rPr>
          <w:bCs/>
          <w:sz w:val="24"/>
        </w:rPr>
        <w:t>十、</w:t>
      </w:r>
      <w:r>
        <w:rPr>
          <w:sz w:val="24"/>
        </w:rPr>
        <w:t>一</w:t>
      </w:r>
      <w:r>
        <w:rPr>
          <w:bCs/>
          <w:sz w:val="24"/>
        </w:rPr>
        <w:t>般公共预算财政拨款“三公”经费支出决算表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rPr>
          <w:sz w:val="24"/>
        </w:rPr>
      </w:pPr>
      <w:r>
        <w:fldChar w:fldCharType="begin"/>
      </w:r>
      <w:r>
        <w:instrText xml:space="preserve"> HYPERLINK \l "_Toc26843636" </w:instrText>
      </w:r>
      <w:r>
        <w:fldChar w:fldCharType="separate"/>
      </w:r>
      <w:r>
        <w:rPr>
          <w:bCs/>
          <w:sz w:val="24"/>
        </w:rPr>
        <w:t>十一、</w:t>
      </w:r>
      <w:r>
        <w:rPr>
          <w:sz w:val="24"/>
        </w:rPr>
        <w:t>政</w:t>
      </w:r>
      <w:r>
        <w:rPr>
          <w:bCs/>
          <w:sz w:val="24"/>
        </w:rPr>
        <w:t>府性基金预算财政拨款收入支出决算表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firstLineChars="100" w:firstLine="210"/>
        <w:jc w:val="left"/>
        <w:rPr>
          <w:sz w:val="24"/>
        </w:rPr>
      </w:pPr>
      <w:r>
        <w:fldChar w:fldCharType="begin"/>
      </w:r>
      <w:r>
        <w:instrText xml:space="preserve"> HYPERLINK \l "_Toc26843638" </w:instrText>
      </w:r>
      <w:r>
        <w:fldChar w:fldCharType="separate"/>
      </w:r>
      <w:r>
        <w:rPr>
          <w:bCs/>
          <w:sz w:val="24"/>
        </w:rPr>
        <w:t>十</w:t>
      </w:r>
      <w:r>
        <w:rPr>
          <w:rFonts w:eastAsia="宋体" w:hint="eastAsia"/>
          <w:bCs/>
          <w:sz w:val="24"/>
          <w:lang w:eastAsia="zh-CN"/>
        </w:rPr>
        <w:t>二</w:t>
      </w:r>
      <w:r>
        <w:rPr>
          <w:bCs/>
          <w:sz w:val="24"/>
        </w:rPr>
        <w:t>、</w:t>
      </w:r>
      <w:r>
        <w:rPr>
          <w:sz w:val="24"/>
        </w:rPr>
        <w:t>国</w:t>
      </w:r>
      <w:r>
        <w:rPr>
          <w:bCs/>
          <w:sz w:val="24"/>
        </w:rPr>
        <w:t>有资本经营预算财政拨款收入支出决算表</w:t>
      </w:r>
      <w:r>
        <w:rPr>
          <w:sz w:val="24"/>
        </w:rPr>
        <w:tab/>
      </w:r>
      <w:r>
        <w:rPr>
          <w:rFonts w:hint="eastAsia"/>
          <w:sz w:val="24"/>
        </w:rPr>
        <w:t>20</w:t>
      </w:r>
      <w:r>
        <w:rPr>
          <w:rFonts w:hint="eastAsia"/>
          <w:sz w:val="24"/>
        </w:rPr>
        <w:fldChar w:fldCharType="end"/>
      </w:r>
    </w:p>
    <w:p>
      <w:pPr>
        <w:pStyle w:val="23"/>
        <w:tabs>
          <w:tab w:val="right" w:leader="dot" w:pos="8296"/>
        </w:tabs>
        <w:adjustRightInd w:val="0"/>
        <w:snapToGrid w:val="0"/>
        <w:spacing w:line="440" w:lineRule="exact"/>
        <w:ind w:left="420"/>
        <w:jc w:val="left"/>
      </w:pPr>
      <w:r>
        <w:rPr>
          <w:sz w:val="24"/>
        </w:rPr>
        <w:t>十</w:t>
      </w:r>
      <w:r>
        <w:rPr>
          <w:rFonts w:eastAsia="宋体" w:hint="eastAsia"/>
          <w:sz w:val="24"/>
          <w:lang w:eastAsia="zh-CN"/>
        </w:rPr>
        <w:t>三</w:t>
      </w:r>
      <w:r>
        <w:rPr>
          <w:sz w:val="24"/>
        </w:rPr>
        <w:t>、国有资本经营预算财政拨款支出决算表</w:t>
      </w:r>
      <w:r>
        <w:fldChar w:fldCharType="end"/>
      </w:r>
      <w:r>
        <w:t>……………………………………</w:t>
      </w:r>
      <w:r>
        <w:rPr>
          <w:rFonts w:hint="eastAsia"/>
          <w:sz w:val="24"/>
        </w:rPr>
        <w:t>20</w:t>
      </w:r>
    </w:p>
    <w:p>
      <w:pPr>
        <w:widowControl/>
        <w:adjustRightInd w:val="0"/>
        <w:snapToGrid w:val="0"/>
        <w:spacing w:line="440" w:lineRule="exact"/>
        <w:ind w:firstLineChars="550" w:firstLine="1320"/>
        <w:jc w:val="left"/>
        <w:rPr>
          <w:rFonts w:ascii="仿宋" w:eastAsia="仿宋"/>
          <w:color w:val="FF0000"/>
          <w:sz w:val="24"/>
        </w:rPr>
      </w:pPr>
    </w:p>
    <w:p>
      <w:pPr>
        <w:widowControl/>
        <w:spacing w:line="440" w:lineRule="exact"/>
        <w:jc w:val="left"/>
        <w:rPr>
          <w:rFonts w:ascii="仿宋" w:eastAsia="仿宋"/>
          <w:bCs/>
          <w:kern w:val="44"/>
          <w:sz w:val="24"/>
        </w:rPr>
      </w:pPr>
      <w:bookmarkStart w:id="12" w:name="_Toc15396599"/>
      <w:bookmarkStart w:id="13" w:name="_Toc15377196"/>
      <w:r>
        <w:rPr>
          <w:rFonts w:ascii="仿宋" w:eastAsia="仿宋" w:hint="eastAsia"/>
          <w:b/>
          <w:sz w:val="24"/>
        </w:rPr>
        <w:br w:type="page"/>
      </w:r>
    </w:p>
    <w:p>
      <w:pPr>
        <w:pStyle w:val="1"/>
        <w:adjustRightInd w:val="0"/>
        <w:snapToGrid w:val="0"/>
        <w:spacing w:before="0" w:after="0" w:line="560" w:lineRule="exact"/>
        <w:jc w:val="center"/>
        <w:rPr>
          <w:rStyle w:val="1Char"/>
          <w:rFonts w:ascii="方正小标宋简体" w:eastAsia="方正小标宋简体"/>
          <w:b/>
          <w:bCs/>
        </w:rPr>
      </w:pPr>
      <w:bookmarkStart w:id="14" w:name="_Toc79163601"/>
      <w:bookmarkStart w:id="15" w:name="_Toc79163851"/>
      <w:r>
        <w:rPr>
          <w:rFonts w:ascii="方正小标宋简体" w:eastAsia="方正小标宋简体" w:hint="eastAsia"/>
          <w:b w:val="0"/>
        </w:rPr>
        <w:t xml:space="preserve">第一部分 </w:t>
      </w:r>
      <w:r>
        <w:rPr>
          <w:rStyle w:val="1Char"/>
          <w:rFonts w:ascii="方正小标宋简体" w:eastAsia="方正小标宋简体" w:hint="eastAsia"/>
          <w:b/>
          <w:bCs/>
        </w:rPr>
        <w:t>部门概况</w:t>
      </w:r>
      <w:bookmarkEnd w:id="12"/>
      <w:bookmarkEnd w:id="13"/>
      <w:bookmarkEnd w:id="14"/>
      <w:bookmarkEnd w:id="15"/>
    </w:p>
    <w:p>
      <w:pPr>
        <w:widowControl/>
        <w:adjustRightInd w:val="0"/>
        <w:snapToGrid w:val="0"/>
        <w:spacing w:line="560" w:lineRule="exact"/>
        <w:jc w:val="left"/>
        <w:rPr>
          <w:rFonts w:ascii="黑体" w:eastAsia="黑体"/>
          <w:color w:val="000000"/>
          <w:sz w:val="32"/>
          <w:szCs w:val="32"/>
        </w:rPr>
      </w:pPr>
    </w:p>
    <w:p>
      <w:pPr>
        <w:pStyle w:val="2"/>
        <w:adjustRightInd w:val="0"/>
        <w:snapToGrid w:val="0"/>
        <w:spacing w:before="0" w:after="0" w:line="560" w:lineRule="exact"/>
        <w:ind w:firstLineChars="200" w:firstLine="640"/>
        <w:rPr>
          <w:rStyle w:val="2Char"/>
          <w:rFonts w:ascii="仿宋" w:eastAsia="仿宋"/>
          <w:b/>
          <w:bCs/>
        </w:rPr>
      </w:pPr>
      <w:bookmarkStart w:id="16" w:name="_Toc15396600"/>
      <w:bookmarkStart w:id="17" w:name="_Toc79163852"/>
      <w:bookmarkStart w:id="18" w:name="_Toc79163602"/>
      <w:bookmarkStart w:id="19" w:name="_Toc15377197"/>
      <w:r>
        <w:rPr>
          <w:rFonts w:ascii="黑体" w:eastAsia="黑体" w:hint="eastAsia"/>
          <w:b w:val="0"/>
          <w:color w:val="000000"/>
        </w:rPr>
        <w:t>一、基</w:t>
      </w:r>
      <w:r>
        <w:rPr>
          <w:rStyle w:val="2Char"/>
          <w:rFonts w:ascii="黑体" w:eastAsia="黑体" w:hint="eastAsia"/>
          <w:b/>
          <w:bCs/>
        </w:rPr>
        <w:t>本职能及主要工作</w:t>
      </w:r>
      <w:bookmarkEnd w:id="16"/>
      <w:bookmarkEnd w:id="17"/>
      <w:bookmarkEnd w:id="18"/>
      <w:bookmarkEnd w:id="19"/>
    </w:p>
    <w:p>
      <w:pPr>
        <w:pStyle w:val="15"/>
        <w:adjustRightInd w:val="0"/>
        <w:snapToGrid w:val="0"/>
        <w:spacing w:beforeLines="0" w:before="30" w:line="560" w:lineRule="exact"/>
        <w:ind w:firstLineChars="208" w:firstLine="666"/>
        <w:outlineLvl w:val="2"/>
        <w:rPr>
          <w:rFonts w:ascii="仿宋" w:eastAsia="仿宋"/>
          <w:b/>
          <w:bCs/>
          <w:color w:val="000000"/>
          <w:sz w:val="32"/>
          <w:szCs w:val="32"/>
        </w:rPr>
      </w:pPr>
      <w:bookmarkStart w:id="20" w:name="_Toc79163853"/>
      <w:bookmarkStart w:id="21" w:name="_Toc79163603"/>
      <w:bookmarkStart w:id="22" w:name="_Toc15377198"/>
      <w:bookmarkStart w:id="23" w:name="_Toc15378445"/>
      <w:r>
        <w:rPr>
          <w:rFonts w:ascii="仿宋" w:eastAsia="仿宋" w:hint="eastAsia"/>
          <w:b/>
          <w:bCs/>
          <w:color w:val="000000"/>
          <w:sz w:val="32"/>
          <w:szCs w:val="32"/>
        </w:rPr>
        <w:t>（一）主要职能。</w:t>
      </w:r>
      <w:bookmarkEnd w:id="20"/>
      <w:bookmarkEnd w:id="21"/>
    </w:p>
    <w:p>
      <w:pPr>
        <w:widowControl/>
        <w:spacing w:line="540" w:lineRule="atLeast"/>
        <w:ind w:firstLineChars="200" w:firstLine="600"/>
        <w:jc w:val="left"/>
        <w:rPr>
          <w:rFonts w:ascii="仿宋" w:eastAsia="仿宋" w:cs="宋体"/>
          <w:kern w:val="0"/>
          <w:sz w:val="32"/>
          <w:szCs w:val="32"/>
        </w:rPr>
      </w:pPr>
      <w:bookmarkStart w:id="24" w:name="_Toc79163604"/>
      <w:bookmarkStart w:id="25" w:name="_Toc15378446"/>
      <w:bookmarkStart w:id="26" w:name="_Toc79163854"/>
      <w:bookmarkStart w:id="27" w:name="_Toc15377199"/>
      <w:bookmarkEnd w:id="22"/>
      <w:bookmarkEnd w:id="23"/>
      <w:r>
        <w:rPr>
          <w:rFonts w:ascii="仿宋_GB2312" w:eastAsia="仿宋_GB2312" w:hint="eastAsia"/>
          <w:bCs/>
          <w:sz w:val="30"/>
          <w:szCs w:val="30"/>
        </w:rPr>
        <w:t xml:space="preserve">  1</w:t>
      </w:r>
      <w:r>
        <w:rPr>
          <w:rFonts w:ascii="仿宋" w:eastAsia="仿宋" w:cs="宋体" w:hint="eastAsia"/>
          <w:kern w:val="0"/>
          <w:sz w:val="32"/>
          <w:szCs w:val="32"/>
        </w:rPr>
        <w:t>、办公室承担机关日常事务管理工作，协调机关各股室工作关系，组织重要会议；负责会议报告和综合性文稿的起草。负责文秘、宣传报道、政务信息、信访、调研、督查、督办、档案、保密和目标管理考核等工作。负责局机关和所属事业单位的机构编制和人事管理及教育培训等工作。承办局领导交办的其他事宜。</w:t>
      </w:r>
    </w:p>
    <w:p>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2、计划财务股：负责全县交通运输行业财务管理和预算资金的管理工作，承办公路、水路行业投融资办法以订工作，负责财政、税收、信贷等协调工作；负责局机关预算的编制、国有资产管理工作，负责内部审计工作，负责局机关物资采购工作；承办级领导交办的其他事宜。</w:t>
      </w:r>
    </w:p>
    <w:p>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3、安全运输管理股：承办交通运输法律、法规和规章的宣传贯彻；承担相关行政执法、执法监督、行政复议、行政诉讼工作；承担全县综合运输市场体系建设和监督管理工作；组织客货运输市场调查，镇分析、预测交通宏观经济运行情况。</w:t>
      </w:r>
    </w:p>
    <w:p>
      <w:pPr>
        <w:widowControl/>
        <w:spacing w:line="540" w:lineRule="atLeast"/>
        <w:ind w:firstLineChars="200" w:firstLine="640"/>
        <w:jc w:val="left"/>
        <w:rPr>
          <w:rFonts w:ascii="仿宋" w:eastAsia="仿宋" w:cs="宋体"/>
          <w:kern w:val="0"/>
          <w:sz w:val="32"/>
          <w:szCs w:val="32"/>
        </w:rPr>
      </w:pPr>
      <w:r>
        <w:rPr>
          <w:rFonts w:ascii="仿宋" w:eastAsia="仿宋" w:cs="宋体" w:hint="eastAsia"/>
          <w:kern w:val="0"/>
          <w:sz w:val="32"/>
          <w:szCs w:val="32"/>
        </w:rPr>
        <w:t>4、农村公路公路办公室：负责全县农村公路养护公路工作，制定农村公路养护公路规章制度、技术政策和技术规范要求，负责监督指导农村公路养护公路工作，对全县农村公路养护公路情况进行检查考核，负责管理使用各种养护机具车辆。</w:t>
      </w:r>
    </w:p>
    <w:p>
      <w:pPr>
        <w:widowControl/>
        <w:spacing w:line="540" w:lineRule="atLeast"/>
        <w:ind w:firstLineChars="200" w:firstLine="640"/>
        <w:jc w:val="left"/>
        <w:rPr>
          <w:rFonts w:ascii="仿宋_GB2312" w:eastAsia="仿宋_GB2312"/>
          <w:sz w:val="32"/>
          <w:szCs w:val="32"/>
        </w:rPr>
      </w:pPr>
      <w:r>
        <w:rPr>
          <w:rFonts w:ascii="仿宋" w:eastAsia="仿宋" w:cs="宋体" w:hint="eastAsia"/>
          <w:kern w:val="0"/>
          <w:sz w:val="32"/>
          <w:szCs w:val="32"/>
        </w:rPr>
        <w:t>5、道桥工程管理站：按照州有关行业务要求，组织实施全县公路建设养护以及大中修工程和水毁恢复工程的管理工作，确保我县公路建设、养护工作健康有序发展，负责贯彻公路行业宣传和管理，维护我县公路路产路权；负责办理全县公路建设、养护以及大中修工程和水毁恢复工程的结算，指导管理全州重点项目的工程结算，确保我州公路建设资金发挥应有的作用。</w:t>
      </w:r>
    </w:p>
    <w:p>
      <w:pPr>
        <w:pStyle w:val="15"/>
        <w:adjustRightInd w:val="0"/>
        <w:snapToGrid w:val="0"/>
        <w:spacing w:beforeLines="0" w:before="30" w:line="560" w:lineRule="exact"/>
        <w:ind w:firstLineChars="208" w:firstLine="666"/>
        <w:outlineLvl w:val="2"/>
        <w:rPr>
          <w:rFonts w:ascii="仿宋" w:eastAsia="仿宋"/>
          <w:b/>
          <w:bCs/>
          <w:color w:val="000000"/>
          <w:sz w:val="32"/>
          <w:szCs w:val="32"/>
        </w:rPr>
      </w:pPr>
      <w:r>
        <w:rPr>
          <w:rFonts w:ascii="仿宋" w:eastAsia="仿宋" w:hint="eastAsia"/>
          <w:b/>
          <w:bCs/>
          <w:color w:val="000000"/>
          <w:sz w:val="32"/>
          <w:szCs w:val="32"/>
        </w:rPr>
        <w:t>（二）202</w:t>
      </w:r>
      <w:r>
        <w:rPr>
          <w:rFonts w:ascii="仿宋" w:eastAsia="仿宋" w:hint="eastAsia"/>
          <w:b/>
          <w:bCs/>
          <w:color w:val="000000"/>
          <w:sz w:val="32"/>
          <w:szCs w:val="32"/>
          <w:lang w:val="en-US"/>
        </w:rPr>
        <w:t>2</w:t>
      </w:r>
      <w:r>
        <w:rPr>
          <w:rFonts w:ascii="仿宋" w:eastAsia="仿宋" w:hint="eastAsia"/>
          <w:b/>
          <w:bCs/>
          <w:color w:val="000000"/>
          <w:sz w:val="32"/>
          <w:szCs w:val="32"/>
        </w:rPr>
        <w:t>年重点工作完成情况。</w:t>
      </w:r>
      <w:bookmarkEnd w:id="24"/>
      <w:bookmarkEnd w:id="25"/>
      <w:bookmarkEnd w:id="26"/>
      <w:bookmarkEnd w:id="27"/>
    </w:p>
    <w:p>
      <w:pPr>
        <w:spacing w:line="600" w:lineRule="exact"/>
        <w:ind w:firstLineChars="200" w:firstLine="600"/>
        <w:rPr>
          <w:rFonts w:ascii="仿宋_GB2312" w:eastAsia="仿宋_GB2312"/>
          <w:bCs/>
          <w:sz w:val="30"/>
          <w:szCs w:val="30"/>
        </w:rPr>
      </w:pPr>
      <w:bookmarkStart w:id="28" w:name="_Toc15377200"/>
      <w:bookmarkStart w:id="29" w:name="_Toc79163605"/>
      <w:bookmarkStart w:id="30" w:name="_Toc15396601"/>
      <w:bookmarkStart w:id="31" w:name="_Toc79163855"/>
      <w:r>
        <w:rPr>
          <w:rFonts w:ascii="仿宋_GB2312" w:eastAsia="仿宋_GB2312" w:hint="eastAsia"/>
          <w:sz w:val="30"/>
          <w:szCs w:val="30"/>
        </w:rPr>
        <w:t>　</w:t>
      </w:r>
      <w:r>
        <w:rPr>
          <w:rFonts w:ascii="仿宋_GB2312" w:eastAsia="仿宋_GB2312" w:cs="仿宋_GB2312" w:hint="eastAsia"/>
          <w:sz w:val="32"/>
          <w:szCs w:val="32"/>
        </w:rPr>
        <w:t>一是抓好收支预算执行。编好收支预算，依法组织收入，加强支出管理。二是促进经济稳定增长。推进供给侧结构性改革，推进全面创新改革试验，加大重点基础设施投入，促进产业转型升级，推进新型城镇化。三是大力推进脱贫攻坚。做好脱贫攻坚资金保障，继续推进涉农资金整合试点，推进“四项基金”有效运行，拓宽贫困人口增收渠道。四是促进民生社会事业发展。持续加大民生投入，足额筹措十项民生工程，支持教育、养老、医药卫生等方面社会事业发展。五是推进绿色发展。加大污染防治支持力度，支持加强生态建设，支持发展绿色低碳循环经济。六是深化财税体制改革。继续深化税制改革，加快财政管理体制改革，深化预算管理制度改革，加快转变财政支持发展方式。七是加强政府债务管理。全面编制政府债务收支预算，强化债务风险防控，推进融资平台公司规范转型，加快推进存量债务置换，做好政府债券发行管理工作。八是强化财政管理监督。加快法治财政建设，强化财政基础管理，严肃财经纪律。九是推进从严管党治党。加强干部队伍建设，加强党风廉政建设，加强系统党的建设。</w:t>
      </w:r>
    </w:p>
    <w:p>
      <w:pPr>
        <w:numPr>
          <w:ilvl w:val="0"/>
          <w:numId w:val="1"/>
        </w:numPr>
        <w:adjustRightInd w:val="0"/>
        <w:snapToGrid w:val="0"/>
        <w:spacing w:line="560" w:lineRule="exact"/>
        <w:textAlignment w:val="baseline"/>
        <w:rPr>
          <w:rStyle w:val="2Char"/>
          <w:rFonts w:ascii="黑体" w:eastAsia="黑体"/>
          <w:b w:val="0"/>
          <w:bCs w:val="0"/>
        </w:rPr>
      </w:pPr>
      <w:r>
        <w:rPr>
          <w:rFonts w:ascii="黑体" w:eastAsia="黑体" w:hint="eastAsia"/>
          <w:color w:val="000000"/>
          <w:sz w:val="32"/>
          <w:szCs w:val="32"/>
        </w:rPr>
        <w:t>机</w:t>
      </w:r>
      <w:r>
        <w:rPr>
          <w:rStyle w:val="2Char"/>
          <w:rFonts w:ascii="黑体" w:eastAsia="黑体" w:hint="eastAsia"/>
          <w:b w:val="0"/>
          <w:bCs w:val="0"/>
        </w:rPr>
        <w:t>构设置</w:t>
      </w:r>
      <w:bookmarkStart w:id="32" w:name="_Toc15377204"/>
      <w:bookmarkStart w:id="33" w:name="_Toc79163859"/>
      <w:bookmarkStart w:id="34" w:name="_Toc79163609"/>
      <w:bookmarkStart w:id="35" w:name="_Toc15396602"/>
      <w:bookmarkEnd w:id="28"/>
      <w:bookmarkEnd w:id="29"/>
      <w:bookmarkEnd w:id="30"/>
      <w:bookmarkEnd w:id="31"/>
    </w:p>
    <w:p>
      <w:pPr>
        <w:adjustRightInd w:val="0"/>
        <w:snapToGrid w:val="0"/>
        <w:spacing w:line="560" w:lineRule="exact"/>
        <w:ind w:firstLineChars="200" w:firstLine="640"/>
        <w:textAlignment w:val="baseline"/>
        <w:rPr>
          <w:rFonts w:ascii="仿宋_GB2312" w:eastAsia="仿宋_GB2312"/>
          <w:sz w:val="32"/>
          <w:szCs w:val="32"/>
        </w:rPr>
      </w:pPr>
      <w:r>
        <w:rPr>
          <w:rFonts w:ascii="仿宋_GB2312" w:eastAsia="仿宋_GB2312" w:hint="eastAsia"/>
          <w:sz w:val="32"/>
          <w:szCs w:val="32"/>
        </w:rPr>
        <w:t>1．机构情况：</w:t>
      </w:r>
      <w:r>
        <w:rPr>
          <w:rFonts w:ascii="仿宋_GB2312" w:eastAsia="仿宋_GB2312" w:hint="eastAsia"/>
          <w:sz w:val="32"/>
        </w:rPr>
        <w:t>我局2022年有1个机构，无增减变动。</w:t>
      </w:r>
    </w:p>
    <w:p>
      <w:pPr>
        <w:snapToGrid w:val="0"/>
        <w:spacing w:line="540" w:lineRule="atLeast"/>
        <w:ind w:firstLineChars="200" w:firstLine="640"/>
        <w:rPr>
          <w:rFonts w:ascii="仿宋" w:eastAsia="仿宋" w:cs="仿宋"/>
          <w:kern w:val="0"/>
          <w:sz w:val="32"/>
          <w:szCs w:val="32"/>
        </w:rPr>
      </w:pPr>
      <w:r>
        <w:rPr>
          <w:rFonts w:ascii="仿宋_GB2312" w:eastAsia="仿宋_GB2312" w:hint="eastAsia"/>
          <w:sz w:val="32"/>
          <w:szCs w:val="32"/>
        </w:rPr>
        <w:t>2．人员情况：</w:t>
      </w:r>
      <w:r>
        <w:rPr>
          <w:rFonts w:ascii="仿宋" w:eastAsia="仿宋" w:cs="仿宋" w:hint="eastAsia"/>
          <w:kern w:val="0"/>
          <w:sz w:val="32"/>
          <w:szCs w:val="32"/>
        </w:rPr>
        <w:t>总编制</w:t>
      </w:r>
      <w:r>
        <w:rPr>
          <w:rFonts w:ascii="仿宋" w:eastAsia="仿宋" w:cs="仿宋" w:hint="eastAsia"/>
          <w:kern w:val="0"/>
          <w:sz w:val="32"/>
          <w:szCs w:val="32"/>
          <w:u w:val="single"/>
        </w:rPr>
        <w:t xml:space="preserve"> 31</w:t>
      </w:r>
      <w:r>
        <w:rPr>
          <w:rFonts w:ascii="仿宋" w:eastAsia="仿宋" w:cs="仿宋" w:hint="eastAsia"/>
          <w:kern w:val="0"/>
          <w:sz w:val="32"/>
          <w:szCs w:val="32"/>
        </w:rPr>
        <w:t>名,其中:行政编制</w:t>
      </w:r>
      <w:r>
        <w:rPr>
          <w:rFonts w:ascii="仿宋" w:eastAsia="仿宋" w:cs="仿宋" w:hint="eastAsia"/>
          <w:kern w:val="0"/>
          <w:sz w:val="32"/>
          <w:szCs w:val="32"/>
          <w:u w:val="single"/>
        </w:rPr>
        <w:t xml:space="preserve"> 8</w:t>
      </w:r>
      <w:r>
        <w:rPr>
          <w:rFonts w:ascii="仿宋" w:eastAsia="仿宋" w:cs="仿宋" w:hint="eastAsia"/>
          <w:kern w:val="0"/>
          <w:sz w:val="32"/>
          <w:szCs w:val="32"/>
        </w:rPr>
        <w:t>名,事业编制</w:t>
      </w:r>
      <w:r>
        <w:rPr>
          <w:rFonts w:ascii="仿宋" w:eastAsia="仿宋" w:cs="仿宋" w:hint="eastAsia"/>
          <w:kern w:val="0"/>
          <w:sz w:val="32"/>
          <w:szCs w:val="32"/>
          <w:u w:val="single"/>
        </w:rPr>
        <w:t xml:space="preserve"> 21</w:t>
      </w:r>
      <w:r>
        <w:rPr>
          <w:rFonts w:ascii="仿宋" w:eastAsia="仿宋" w:cs="仿宋" w:hint="eastAsia"/>
          <w:kern w:val="0"/>
          <w:sz w:val="32"/>
          <w:szCs w:val="32"/>
        </w:rPr>
        <w:t>名，机关工勤</w:t>
      </w:r>
      <w:r>
        <w:rPr>
          <w:rFonts w:ascii="仿宋" w:eastAsia="仿宋" w:cs="仿宋" w:hint="eastAsia"/>
          <w:kern w:val="0"/>
          <w:sz w:val="32"/>
          <w:szCs w:val="32"/>
          <w:u w:val="single"/>
        </w:rPr>
        <w:t>1</w:t>
      </w:r>
      <w:r>
        <w:rPr>
          <w:rFonts w:ascii="仿宋" w:eastAsia="仿宋" w:cs="仿宋" w:hint="eastAsia"/>
          <w:kern w:val="0"/>
          <w:sz w:val="32"/>
          <w:szCs w:val="32"/>
        </w:rPr>
        <w:t>名，事业工勤</w:t>
      </w:r>
      <w:r>
        <w:rPr>
          <w:rFonts w:ascii="仿宋" w:eastAsia="仿宋" w:cs="仿宋" w:hint="eastAsia"/>
          <w:kern w:val="0"/>
          <w:sz w:val="32"/>
          <w:szCs w:val="32"/>
          <w:u w:val="single"/>
        </w:rPr>
        <w:t xml:space="preserve"> 1</w:t>
      </w:r>
      <w:r>
        <w:rPr>
          <w:rFonts w:ascii="仿宋" w:eastAsia="仿宋" w:cs="仿宋" w:hint="eastAsia"/>
          <w:kern w:val="0"/>
          <w:sz w:val="32"/>
          <w:szCs w:val="32"/>
        </w:rPr>
        <w:t>名，在职人员总数</w:t>
      </w:r>
      <w:r>
        <w:rPr>
          <w:rFonts w:ascii="仿宋" w:eastAsia="仿宋" w:cs="仿宋" w:hint="eastAsia"/>
          <w:kern w:val="0"/>
          <w:sz w:val="32"/>
          <w:szCs w:val="32"/>
          <w:u w:val="single"/>
        </w:rPr>
        <w:t xml:space="preserve"> ,31</w:t>
      </w:r>
      <w:r>
        <w:rPr>
          <w:rFonts w:ascii="仿宋" w:eastAsia="仿宋" w:cs="仿宋" w:hint="eastAsia"/>
          <w:kern w:val="0"/>
          <w:sz w:val="32"/>
          <w:szCs w:val="32"/>
        </w:rPr>
        <w:t>名。</w:t>
      </w:r>
    </w:p>
    <w:p>
      <w:pPr>
        <w:snapToGrid w:val="0"/>
        <w:spacing w:line="540" w:lineRule="atLeast"/>
        <w:ind w:firstLineChars="200" w:firstLine="640"/>
        <w:rPr>
          <w:rFonts w:ascii="仿宋" w:eastAsia="仿宋" w:cs="仿宋"/>
          <w:kern w:val="0"/>
          <w:sz w:val="32"/>
          <w:szCs w:val="32"/>
        </w:rPr>
      </w:pPr>
    </w:p>
    <w:p>
      <w:pPr>
        <w:pStyle w:val="1"/>
        <w:spacing w:before="0" w:after="0" w:line="560" w:lineRule="exact"/>
        <w:jc w:val="center"/>
        <w:rPr>
          <w:rFonts w:ascii="方正小标宋简体" w:eastAsia="方正小标宋简体"/>
        </w:rPr>
      </w:pPr>
      <w:r>
        <w:rPr>
          <w:rFonts w:ascii="方正小标宋简体" w:eastAsia="方正小标宋简体" w:hint="eastAsia"/>
          <w:b w:val="0"/>
          <w:color w:val="000000"/>
        </w:rPr>
        <w:t>第二部分</w:t>
      </w:r>
      <w:r>
        <w:rPr>
          <w:rFonts w:ascii="方正小标宋简体" w:eastAsia="方正小标宋简体" w:hint="eastAsia"/>
          <w:color w:val="000000"/>
        </w:rPr>
        <w:t xml:space="preserve"> </w:t>
      </w:r>
      <w:r>
        <w:rPr>
          <w:rStyle w:val="1Char"/>
          <w:rFonts w:ascii="方正小标宋简体" w:eastAsia="方正小标宋简体" w:hint="eastAsia"/>
          <w:b/>
          <w:bCs/>
        </w:rPr>
        <w:t>2022年度部门决算情况说明</w:t>
      </w:r>
      <w:bookmarkEnd w:id="32"/>
      <w:bookmarkEnd w:id="33"/>
      <w:bookmarkEnd w:id="34"/>
      <w:bookmarkEnd w:id="35"/>
    </w:p>
    <w:p>
      <w:pPr>
        <w:pStyle w:val="27"/>
        <w:spacing w:line="560" w:lineRule="exact"/>
        <w:outlineLvl w:val="1"/>
        <w:rPr>
          <w:rFonts w:ascii="黑体" w:eastAsia="黑体"/>
          <w:color w:val="000000"/>
          <w:sz w:val="32"/>
          <w:szCs w:val="32"/>
        </w:rPr>
      </w:pPr>
      <w:bookmarkStart w:id="36" w:name="_Toc15396603"/>
      <w:bookmarkStart w:id="37" w:name="_Toc79163860"/>
      <w:bookmarkStart w:id="38" w:name="_Toc79163610"/>
      <w:bookmarkStart w:id="39" w:name="_Toc15377205"/>
    </w:p>
    <w:p>
      <w:pPr>
        <w:pStyle w:val="27"/>
        <w:spacing w:line="560" w:lineRule="exact"/>
        <w:outlineLvl w:val="1"/>
        <w:rPr>
          <w:rStyle w:val="2Char"/>
          <w:rFonts w:ascii="黑体" w:eastAsia="黑体"/>
          <w:b w:val="0"/>
        </w:rPr>
      </w:pPr>
      <w:r>
        <w:rPr>
          <w:rFonts w:ascii="黑体" w:eastAsia="黑体" w:hint="eastAsia"/>
          <w:color w:val="000000"/>
          <w:sz w:val="32"/>
          <w:szCs w:val="32"/>
        </w:rPr>
        <w:t>一、收</w:t>
      </w:r>
      <w:r>
        <w:rPr>
          <w:rStyle w:val="2Char"/>
          <w:rFonts w:ascii="黑体" w:eastAsia="黑体" w:hint="eastAsia"/>
          <w:b w:val="0"/>
        </w:rPr>
        <w:t>入支出决算总体情况说明</w:t>
      </w:r>
      <w:bookmarkEnd w:id="36"/>
      <w:bookmarkEnd w:id="37"/>
      <w:bookmarkEnd w:id="38"/>
      <w:bookmarkEnd w:id="39"/>
    </w:p>
    <w:p>
      <w:pPr>
        <w:spacing w:line="600" w:lineRule="exact"/>
        <w:ind w:firstLineChars="200" w:firstLine="420"/>
        <w:rPr>
          <w:rFonts w:ascii="仿宋_GB2312" w:eastAsia="仿宋_GB2312"/>
          <w:color w:val="000000"/>
          <w:sz w:val="32"/>
          <w:szCs w:val="32"/>
        </w:rPr>
      </w:pPr>
      <w:r>
        <w:rPr>
          <w:rFonts w:hint="eastAsia"/>
        </w:rPr>
        <w:t xml:space="preserve"> </w:t>
      </w:r>
      <w:r>
        <w:rPr>
          <w:rFonts w:ascii="仿宋_GB2312" w:eastAsia="仿宋_GB2312" w:hint="eastAsia"/>
          <w:color w:val="000000"/>
          <w:sz w:val="32"/>
          <w:szCs w:val="32"/>
        </w:rPr>
        <w:t>2022年度财政拨款收入总决算</w:t>
      </w:r>
      <w:r>
        <w:rPr>
          <w:rFonts w:ascii="仿宋_GB2312" w:eastAsia="仿宋_GB2312" w:hint="eastAsia"/>
          <w:sz w:val="32"/>
          <w:szCs w:val="32"/>
        </w:rPr>
        <w:t>9276.09</w:t>
      </w:r>
      <w:r>
        <w:rPr>
          <w:rFonts w:ascii="仿宋_GB2312" w:eastAsia="仿宋_GB2312" w:hint="eastAsia"/>
          <w:color w:val="000000"/>
          <w:sz w:val="32"/>
          <w:szCs w:val="32"/>
        </w:rPr>
        <w:t>万元与2021年财政拨款收入总决算</w:t>
      </w:r>
      <w:r>
        <w:rPr>
          <w:rFonts w:ascii="仿宋_GB2312" w:eastAsia="仿宋_GB2312" w:hint="eastAsia"/>
          <w:sz w:val="32"/>
          <w:szCs w:val="32"/>
        </w:rPr>
        <w:t>8197.15</w:t>
      </w:r>
      <w:r>
        <w:rPr>
          <w:rFonts w:ascii="仿宋_GB2312" w:eastAsia="仿宋_GB2312" w:hint="eastAsia"/>
          <w:color w:val="000000"/>
          <w:sz w:val="32"/>
          <w:szCs w:val="32"/>
        </w:rPr>
        <w:t>万元相比增加1078.94万元。</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2022年度财政拨款支出总决算</w:t>
      </w:r>
      <w:r>
        <w:rPr>
          <w:rFonts w:ascii="仿宋_GB2312" w:eastAsia="仿宋_GB2312" w:hint="eastAsia"/>
          <w:sz w:val="32"/>
          <w:szCs w:val="32"/>
        </w:rPr>
        <w:t>9276.09</w:t>
      </w:r>
      <w:r>
        <w:rPr>
          <w:rFonts w:ascii="仿宋_GB2312" w:eastAsia="仿宋_GB2312" w:hint="eastAsia"/>
          <w:color w:val="000000"/>
          <w:sz w:val="32"/>
          <w:szCs w:val="32"/>
        </w:rPr>
        <w:t>万元与2021年财政拨款收入总决算</w:t>
      </w:r>
      <w:r>
        <w:rPr>
          <w:rFonts w:ascii="仿宋_GB2312" w:eastAsia="仿宋_GB2312" w:hint="eastAsia"/>
          <w:sz w:val="32"/>
          <w:szCs w:val="32"/>
        </w:rPr>
        <w:t>8197.15</w:t>
      </w:r>
      <w:r>
        <w:rPr>
          <w:rFonts w:ascii="仿宋_GB2312" w:eastAsia="仿宋_GB2312" w:hint="eastAsia"/>
          <w:color w:val="000000"/>
          <w:sz w:val="32"/>
          <w:szCs w:val="32"/>
        </w:rPr>
        <w:t>万元相比增加1078.94万元。</w:t>
      </w:r>
    </w:p>
    <w:p>
      <w:pPr>
        <w:spacing w:line="560" w:lineRule="exact"/>
        <w:ind w:firstLineChars="200" w:firstLine="420"/>
        <w:rPr>
          <w:rFonts w:ascii="仿宋" w:eastAsia="仿宋"/>
          <w:color w:val="000000"/>
          <w:sz w:val="32"/>
          <w:szCs w:val="32"/>
        </w:rPr>
      </w:pPr>
      <w:r>
        <w:drawing>
          <wp:anchor distT="0" distB="0" distL="114300" distR="114300" simplePos="0" relativeHeight="2" behindDoc="1" locked="0" layoutInCell="1" hidden="0" allowOverlap="1">
            <wp:simplePos x="0" y="0"/>
            <wp:positionH relativeFrom="column">
              <wp:posOffset>709294</wp:posOffset>
            </wp:positionH>
            <wp:positionV relativeFrom="paragraph">
              <wp:posOffset>114300</wp:posOffset>
            </wp:positionV>
            <wp:extent cx="4571999" cy="2743200"/>
            <wp:effectExtent l="0" t="0" r="0" b="0"/>
            <wp:wrapNone/>
            <wp:docPr id="1" name="图表 5"/>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rPr>
          <w:rFonts w:ascii="黑体" w:eastAsia="黑体"/>
          <w:color w:val="000000"/>
          <w:sz w:val="32"/>
          <w:szCs w:val="32"/>
        </w:rPr>
      </w:pPr>
      <w:bookmarkStart w:id="40" w:name="_Toc15377206"/>
      <w:bookmarkStart w:id="41" w:name="_Toc15396604"/>
      <w:bookmarkStart w:id="42" w:name="_Toc79163611"/>
      <w:bookmarkStart w:id="43" w:name="_Toc79163861"/>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560" w:lineRule="exact"/>
        <w:ind w:firstLineChars="200" w:firstLine="640"/>
        <w:rPr>
          <w:rFonts w:ascii="仿宋" w:eastAsia="仿宋"/>
          <w:color w:val="000000"/>
          <w:sz w:val="32"/>
          <w:szCs w:val="32"/>
        </w:rPr>
      </w:pPr>
      <w:r>
        <w:rPr>
          <w:rFonts w:ascii="黑体" w:eastAsia="黑体" w:hint="eastAsia"/>
          <w:color w:val="000000"/>
          <w:sz w:val="32"/>
          <w:szCs w:val="32"/>
        </w:rPr>
        <w:t>二、收入决算情况说明</w:t>
      </w:r>
      <w:bookmarkEnd w:id="40"/>
      <w:bookmarkEnd w:id="41"/>
      <w:bookmarkEnd w:id="42"/>
      <w:bookmarkEnd w:id="43"/>
    </w:p>
    <w:p>
      <w:pPr>
        <w:spacing w:line="600" w:lineRule="exact"/>
        <w:ind w:firstLineChars="200" w:firstLine="640"/>
        <w:rPr>
          <w:rFonts w:ascii="仿宋_GB2312" w:eastAsia="仿宋_GB2312"/>
          <w:color w:val="000000"/>
          <w:sz w:val="32"/>
          <w:szCs w:val="32"/>
        </w:rPr>
      </w:pPr>
      <w:bookmarkStart w:id="44" w:name="_Toc79163862"/>
      <w:bookmarkStart w:id="45" w:name="_Toc79163612"/>
      <w:bookmarkStart w:id="46" w:name="_Toc15396605"/>
      <w:bookmarkStart w:id="47" w:name="_Toc15377207"/>
      <w:r>
        <w:rPr>
          <w:rFonts w:ascii="楷体_GB2312" w:eastAsia="楷体_GB2312" w:hint="eastAsia"/>
          <w:b/>
          <w:sz w:val="32"/>
          <w:szCs w:val="32"/>
        </w:rPr>
        <w:t>2022年度财政拨款收入</w:t>
      </w:r>
      <w:r>
        <w:rPr>
          <w:rFonts w:ascii="仿宋_GB2312" w:eastAsia="仿宋_GB2312" w:hint="eastAsia"/>
          <w:sz w:val="32"/>
          <w:szCs w:val="32"/>
        </w:rPr>
        <w:t>9276.09</w:t>
      </w:r>
      <w:r>
        <w:rPr>
          <w:rFonts w:ascii="楷体_GB2312" w:eastAsia="楷体_GB2312" w:hint="eastAsia"/>
          <w:b/>
          <w:sz w:val="32"/>
          <w:szCs w:val="32"/>
        </w:rPr>
        <w:t>万元，</w:t>
      </w:r>
      <w:r>
        <w:rPr>
          <w:rFonts w:ascii="仿宋_GB2312" w:eastAsia="仿宋_GB2312" w:hint="eastAsia"/>
          <w:color w:val="000000"/>
          <w:sz w:val="32"/>
          <w:szCs w:val="32"/>
        </w:rPr>
        <w:t>其中：一般公共预算财政拨款收入9276.09万元,</w:t>
      </w:r>
      <w:r>
        <w:rPr>
          <w:rFonts w:ascii="仿宋_GB2312" w:eastAsia="仿宋_GB2312" w:cs="仿宋_GB2312" w:hint="eastAsia"/>
          <w:sz w:val="32"/>
          <w:szCs w:val="32"/>
        </w:rPr>
        <w:t>比2021年收支预算总数</w:t>
      </w:r>
      <w:r>
        <w:rPr>
          <w:rFonts w:ascii="仿宋_GB2312" w:eastAsia="仿宋_GB2312" w:hint="eastAsia"/>
          <w:color w:val="000000"/>
          <w:sz w:val="32"/>
          <w:szCs w:val="32"/>
        </w:rPr>
        <w:t>增加1078.94万元</w:t>
      </w:r>
      <w:r>
        <w:rPr>
          <w:rFonts w:ascii="仿宋_GB2312" w:eastAsia="仿宋_GB2312" w:cs="仿宋_GB2312" w:hint="eastAsia"/>
          <w:sz w:val="32"/>
          <w:szCs w:val="32"/>
        </w:rPr>
        <w:t>，主要原因是2022年调资经费项目增加等。其中：</w:t>
      </w:r>
      <w:r>
        <w:rPr>
          <w:rFonts w:ascii="仿宋_GB2312" w:eastAsia="仿宋_GB2312" w:hint="eastAsia"/>
          <w:color w:val="000000"/>
          <w:sz w:val="32"/>
          <w:szCs w:val="32"/>
        </w:rPr>
        <w:t>社会保障和就业财政拨款收入</w:t>
      </w:r>
      <w:r>
        <w:rPr>
          <w:rFonts w:ascii="仿宋_GB2312" w:eastAsia="仿宋_GB2312" w:cs="仿宋_GB2312" w:hint="eastAsia"/>
          <w:sz w:val="32"/>
          <w:szCs w:val="32"/>
        </w:rPr>
        <w:t>79.34</w:t>
      </w:r>
      <w:r>
        <w:rPr>
          <w:rFonts w:ascii="仿宋_GB2312" w:eastAsia="仿宋_GB2312" w:hint="eastAsia"/>
          <w:color w:val="000000"/>
          <w:sz w:val="32"/>
          <w:szCs w:val="32"/>
        </w:rPr>
        <w:t>万元，医疗卫生财政拨款收入</w:t>
      </w:r>
      <w:r>
        <w:rPr>
          <w:rFonts w:ascii="仿宋_GB2312" w:eastAsia="仿宋_GB2312" w:cs="仿宋_GB2312" w:hint="eastAsia"/>
          <w:sz w:val="32"/>
          <w:szCs w:val="32"/>
        </w:rPr>
        <w:t>32.16</w:t>
      </w:r>
      <w:r>
        <w:rPr>
          <w:rFonts w:ascii="仿宋_GB2312" w:eastAsia="仿宋_GB2312" w:hint="eastAsia"/>
          <w:color w:val="000000"/>
          <w:sz w:val="32"/>
          <w:szCs w:val="32"/>
        </w:rPr>
        <w:t>万元，住房保障财政拨款收入</w:t>
      </w:r>
      <w:r>
        <w:rPr>
          <w:rFonts w:ascii="仿宋_GB2312" w:eastAsia="仿宋_GB2312" w:cs="仿宋_GB2312" w:hint="eastAsia"/>
          <w:sz w:val="32"/>
          <w:szCs w:val="32"/>
        </w:rPr>
        <w:t>45.85</w:t>
      </w:r>
      <w:r>
        <w:rPr>
          <w:rFonts w:ascii="仿宋_GB2312" w:eastAsia="仿宋_GB2312" w:hint="eastAsia"/>
          <w:color w:val="000000"/>
          <w:sz w:val="32"/>
          <w:szCs w:val="32"/>
        </w:rPr>
        <w:t>万元，通运输支出2576.74万元，农林水支出6542万元。</w:t>
      </w:r>
    </w:p>
    <w:p>
      <w:pPr>
        <w:pStyle w:val="27"/>
        <w:spacing w:line="560" w:lineRule="exact"/>
        <w:outlineLvl w:val="1"/>
        <w:rPr>
          <w:rStyle w:val="2Char"/>
          <w:rFonts w:ascii="黑体" w:eastAsia="黑体"/>
          <w:b w:val="0"/>
        </w:rPr>
      </w:pPr>
      <w:r>
        <w:rPr>
          <w:rFonts w:ascii="黑体" w:eastAsia="黑体" w:hint="eastAsia"/>
          <w:color w:val="000000"/>
          <w:sz w:val="32"/>
          <w:szCs w:val="32"/>
        </w:rPr>
        <w:t>三、支</w:t>
      </w:r>
      <w:r>
        <w:rPr>
          <w:rStyle w:val="2Char"/>
          <w:rFonts w:ascii="黑体" w:eastAsia="黑体" w:hint="eastAsia"/>
          <w:b w:val="0"/>
        </w:rPr>
        <w:t>出决算情况说明</w:t>
      </w:r>
      <w:bookmarkEnd w:id="44"/>
      <w:bookmarkEnd w:id="45"/>
      <w:bookmarkEnd w:id="46"/>
      <w:bookmarkEnd w:id="47"/>
    </w:p>
    <w:p>
      <w:pPr>
        <w:spacing w:line="600" w:lineRule="exact"/>
        <w:ind w:firstLineChars="200" w:firstLine="640"/>
        <w:rPr>
          <w:rFonts w:ascii="仿宋_GB2312" w:eastAsia="仿宋_GB2312"/>
          <w:color w:val="FF0000"/>
          <w:sz w:val="32"/>
          <w:szCs w:val="32"/>
        </w:rPr>
      </w:pPr>
      <w:r>
        <w:rPr>
          <w:rFonts w:ascii="仿宋_GB2312" w:eastAsia="仿宋_GB2312" w:hint="eastAsia"/>
          <w:color w:val="000000"/>
          <w:sz w:val="32"/>
          <w:szCs w:val="32"/>
        </w:rPr>
        <w:t>2022年度财政拨款支出总决算</w:t>
      </w:r>
      <w:r>
        <w:rPr>
          <w:rFonts w:ascii="仿宋_GB2312" w:eastAsia="仿宋_GB2312" w:hint="eastAsia"/>
          <w:sz w:val="32"/>
          <w:szCs w:val="32"/>
        </w:rPr>
        <w:t>9276.09</w:t>
      </w:r>
      <w:r>
        <w:rPr>
          <w:rFonts w:ascii="仿宋_GB2312" w:eastAsia="仿宋_GB2312" w:hint="eastAsia"/>
          <w:color w:val="000000"/>
          <w:sz w:val="32"/>
          <w:szCs w:val="32"/>
        </w:rPr>
        <w:t>万元与2021年财政拨款支出总决算</w:t>
      </w:r>
      <w:r>
        <w:rPr>
          <w:rFonts w:ascii="仿宋_GB2312" w:eastAsia="仿宋_GB2312" w:hint="eastAsia"/>
          <w:sz w:val="32"/>
          <w:szCs w:val="32"/>
        </w:rPr>
        <w:t>8197.15</w:t>
      </w:r>
      <w:r>
        <w:rPr>
          <w:rFonts w:ascii="仿宋_GB2312" w:eastAsia="仿宋_GB2312" w:hint="eastAsia"/>
          <w:color w:val="000000"/>
          <w:sz w:val="32"/>
          <w:szCs w:val="32"/>
        </w:rPr>
        <w:t>万元相比相比增加增加1078.94万元。</w:t>
      </w:r>
    </w:p>
    <w:p>
      <w:pPr>
        <w:spacing w:line="560" w:lineRule="exact"/>
        <w:ind w:firstLineChars="200" w:firstLine="640"/>
        <w:outlineLvl w:val="1"/>
        <w:rPr>
          <w:rStyle w:val="2Char"/>
          <w:rFonts w:ascii="黑体" w:eastAsia="黑体"/>
          <w:b w:val="0"/>
        </w:rPr>
      </w:pPr>
      <w:bookmarkStart w:id="48" w:name="_Toc15377208"/>
      <w:bookmarkStart w:id="49" w:name="_Toc15396606"/>
      <w:bookmarkStart w:id="50" w:name="_Toc79163863"/>
      <w:bookmarkStart w:id="51" w:name="_Toc7916361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8"/>
      <w:bookmarkEnd w:id="49"/>
      <w:bookmarkEnd w:id="50"/>
      <w:bookmarkEnd w:id="51"/>
    </w:p>
    <w:p>
      <w:pPr>
        <w:spacing w:line="600" w:lineRule="exact"/>
        <w:ind w:firstLineChars="200" w:firstLine="640"/>
        <w:rPr>
          <w:rFonts w:ascii="仿宋_GB2312" w:eastAsia="仿宋_GB2312" w:hint="eastAsia"/>
          <w:color w:val="000000"/>
          <w:sz w:val="32"/>
          <w:szCs w:val="32"/>
        </w:rPr>
      </w:pPr>
      <w:bookmarkStart w:id="52" w:name="_Toc79163864"/>
      <w:bookmarkStart w:id="53" w:name="_Toc79163614"/>
      <w:bookmarkStart w:id="54" w:name="_Toc15396607"/>
      <w:bookmarkStart w:id="55" w:name="_Toc15377209"/>
      <w:r>
        <w:rPr>
          <w:rFonts w:ascii="楷体_GB2312" w:eastAsia="楷体_GB2312" w:hint="eastAsia"/>
          <w:b/>
          <w:sz w:val="32"/>
          <w:szCs w:val="32"/>
        </w:rPr>
        <w:t>2022年度财政拨款收入9276.09万元，</w:t>
      </w:r>
      <w:r>
        <w:rPr>
          <w:rFonts w:ascii="仿宋_GB2312" w:eastAsia="仿宋_GB2312" w:hint="eastAsia"/>
          <w:color w:val="000000"/>
          <w:sz w:val="32"/>
          <w:szCs w:val="32"/>
        </w:rPr>
        <w:t>其中：一般公共预算财政拨款收入9276.09万元,</w:t>
      </w:r>
      <w:r>
        <w:rPr>
          <w:rFonts w:ascii="仿宋_GB2312" w:eastAsia="仿宋_GB2312" w:cs="仿宋_GB2312" w:hint="eastAsia"/>
          <w:sz w:val="32"/>
          <w:szCs w:val="32"/>
        </w:rPr>
        <w:t>比2021年收支预算总数</w:t>
      </w:r>
      <w:r>
        <w:rPr>
          <w:rFonts w:ascii="仿宋_GB2312" w:eastAsia="仿宋_GB2312" w:hint="eastAsia"/>
          <w:color w:val="000000"/>
          <w:sz w:val="32"/>
          <w:szCs w:val="32"/>
        </w:rPr>
        <w:t>增加1078.94</w:t>
      </w:r>
      <w:r>
        <w:rPr>
          <w:rFonts w:ascii="仿宋_GB2312" w:eastAsia="仿宋_GB2312" w:cs="仿宋_GB2312" w:hint="eastAsia"/>
          <w:sz w:val="32"/>
          <w:szCs w:val="32"/>
        </w:rPr>
        <w:t>万元，主要原因是2022年调资经费增加项目增加</w:t>
      </w:r>
      <w:r>
        <w:rPr>
          <w:rFonts w:ascii="仿宋_GB2312" w:eastAsia="仿宋_GB2312" w:hint="eastAsia"/>
          <w:color w:val="000000"/>
          <w:sz w:val="32"/>
          <w:szCs w:val="32"/>
        </w:rPr>
        <w:t>；社会保障和就业财政拨款收入</w:t>
      </w:r>
      <w:r>
        <w:rPr>
          <w:rFonts w:ascii="仿宋_GB2312" w:eastAsia="仿宋_GB2312" w:cs="仿宋_GB2312" w:hint="eastAsia"/>
          <w:sz w:val="32"/>
          <w:szCs w:val="32"/>
        </w:rPr>
        <w:t>79.34</w:t>
      </w:r>
      <w:r>
        <w:rPr>
          <w:rFonts w:ascii="仿宋_GB2312" w:eastAsia="仿宋_GB2312" w:hint="eastAsia"/>
          <w:color w:val="000000"/>
          <w:sz w:val="32"/>
          <w:szCs w:val="32"/>
        </w:rPr>
        <w:t>万元，医疗卫生财政拨款收入</w:t>
      </w:r>
      <w:r>
        <w:rPr>
          <w:rFonts w:ascii="仿宋_GB2312" w:eastAsia="仿宋_GB2312" w:cs="仿宋_GB2312" w:hint="eastAsia"/>
          <w:sz w:val="32"/>
          <w:szCs w:val="32"/>
        </w:rPr>
        <w:t>32.16</w:t>
      </w:r>
      <w:r>
        <w:rPr>
          <w:rFonts w:ascii="仿宋_GB2312" w:eastAsia="仿宋_GB2312" w:hint="eastAsia"/>
          <w:color w:val="000000"/>
          <w:sz w:val="32"/>
          <w:szCs w:val="32"/>
        </w:rPr>
        <w:t>万元，住房保障财政拨款收入</w:t>
      </w:r>
      <w:r>
        <w:rPr>
          <w:rFonts w:ascii="仿宋_GB2312" w:eastAsia="仿宋_GB2312" w:cs="仿宋_GB2312" w:hint="eastAsia"/>
          <w:sz w:val="32"/>
          <w:szCs w:val="32"/>
        </w:rPr>
        <w:t>45.85</w:t>
      </w:r>
      <w:r>
        <w:rPr>
          <w:rFonts w:ascii="仿宋_GB2312" w:eastAsia="仿宋_GB2312" w:hint="eastAsia"/>
          <w:color w:val="000000"/>
          <w:sz w:val="32"/>
          <w:szCs w:val="32"/>
        </w:rPr>
        <w:t>万元，通运输支出2576.74万元，农林水支出6542万元。</w:t>
      </w: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420"/>
        <w:rPr>
          <w:rFonts w:ascii="仿宋_GB2312" w:eastAsia="仿宋_GB2312" w:hint="eastAsia"/>
          <w:color w:val="000000"/>
          <w:sz w:val="32"/>
          <w:szCs w:val="32"/>
        </w:rPr>
      </w:pPr>
      <w:r>
        <w:drawing>
          <wp:anchor distT="0" distB="0" distL="114300" distR="114300" simplePos="0" relativeHeight="4" behindDoc="1" locked="0" layoutInCell="1" hidden="0" allowOverlap="1">
            <wp:simplePos x="0" y="0"/>
            <wp:positionH relativeFrom="column">
              <wp:posOffset>528320</wp:posOffset>
            </wp:positionH>
            <wp:positionV relativeFrom="paragraph">
              <wp:posOffset>-14604</wp:posOffset>
            </wp:positionV>
            <wp:extent cx="4572000" cy="2743200"/>
            <wp:effectExtent l="0" t="0" r="0" b="0"/>
            <wp:wrapNone/>
            <wp:docPr id="2"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2"/>
      <w:bookmarkEnd w:id="53"/>
      <w:bookmarkEnd w:id="54"/>
      <w:bookmarkEnd w:id="55"/>
    </w:p>
    <w:p>
      <w:pPr>
        <w:spacing w:line="560" w:lineRule="exact"/>
        <w:ind w:firstLineChars="200" w:firstLine="640"/>
        <w:outlineLvl w:val="2"/>
        <w:rPr>
          <w:rFonts w:ascii="仿宋" w:eastAsia="仿宋"/>
          <w:b/>
          <w:color w:val="000000"/>
          <w:sz w:val="32"/>
          <w:szCs w:val="32"/>
        </w:rPr>
      </w:pPr>
      <w:bookmarkStart w:id="56" w:name="_Toc79163865"/>
      <w:bookmarkStart w:id="57" w:name="_Toc15377210"/>
      <w:bookmarkStart w:id="58" w:name="_Toc79163615"/>
      <w:r>
        <w:rPr>
          <w:rFonts w:ascii="仿宋" w:eastAsia="仿宋" w:hint="eastAsia"/>
          <w:b/>
          <w:color w:val="000000"/>
          <w:sz w:val="32"/>
          <w:szCs w:val="32"/>
        </w:rPr>
        <w:t>（一）一般公共预算财政拨款支出决算总体情况</w:t>
      </w:r>
      <w:bookmarkEnd w:id="56"/>
      <w:bookmarkEnd w:id="57"/>
      <w:bookmarkEnd w:id="58"/>
    </w:p>
    <w:p>
      <w:pPr>
        <w:spacing w:line="600" w:lineRule="exact"/>
        <w:ind w:firstLineChars="200" w:firstLine="640"/>
        <w:rPr>
          <w:rFonts w:ascii="仿宋_GB2312" w:eastAsia="仿宋_GB2312"/>
          <w:color w:val="000000"/>
          <w:sz w:val="32"/>
          <w:szCs w:val="32"/>
        </w:rPr>
      </w:pPr>
      <w:bookmarkStart w:id="59" w:name="_Toc15377211"/>
      <w:bookmarkStart w:id="60" w:name="_Toc79163866"/>
      <w:bookmarkStart w:id="61" w:name="_Toc79163616"/>
      <w:r>
        <w:rPr>
          <w:rFonts w:ascii="仿宋" w:eastAsia="仿宋"/>
          <w:color w:val="000000"/>
          <w:sz w:val="32"/>
          <w:szCs w:val="32"/>
        </w:rPr>
        <w:t>20</w:t>
      </w:r>
      <w:r>
        <w:rPr>
          <w:rFonts w:ascii="仿宋" w:eastAsia="仿宋" w:hint="eastAsia"/>
          <w:color w:val="000000"/>
          <w:sz w:val="32"/>
          <w:szCs w:val="32"/>
        </w:rPr>
        <w:t>22年</w:t>
      </w:r>
      <w:r>
        <w:rPr>
          <w:rFonts w:ascii="仿宋_GB2312" w:eastAsia="仿宋_GB2312" w:hint="eastAsia"/>
          <w:spacing w:val="-2"/>
          <w:sz w:val="32"/>
          <w:szCs w:val="32"/>
        </w:rPr>
        <w:t>一般公共预算财政拨款支出9276.09万元，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21年相比，一般公共预算财政拨款</w:t>
      </w:r>
      <w:r>
        <w:rPr>
          <w:rFonts w:ascii="仿宋_GB2312" w:eastAsia="仿宋_GB2312" w:hint="eastAsia"/>
          <w:spacing w:val="-2"/>
          <w:sz w:val="32"/>
          <w:szCs w:val="32"/>
        </w:rPr>
        <w:t>支出增加</w:t>
      </w:r>
      <w:r>
        <w:rPr>
          <w:rFonts w:ascii="仿宋_GB2312" w:eastAsia="仿宋_GB2312" w:hint="eastAsia"/>
          <w:color w:val="000000"/>
          <w:sz w:val="32"/>
          <w:szCs w:val="32"/>
        </w:rPr>
        <w:t>1078.94万元。</w:t>
      </w:r>
      <w:r>
        <w:rPr>
          <w:rFonts w:ascii="仿宋_GB2312" w:eastAsia="仿宋_GB2312" w:hint="eastAsia"/>
          <w:spacing w:val="-2"/>
          <w:sz w:val="32"/>
          <w:szCs w:val="32"/>
        </w:rPr>
        <w:t>增加13.16%。主要原因是当年拨付的项目资金增加。</w:t>
      </w:r>
    </w:p>
    <w:p>
      <w:pPr>
        <w:spacing w:line="56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59"/>
      <w:bookmarkEnd w:id="60"/>
      <w:bookmarkEnd w:id="61"/>
    </w:p>
    <w:p>
      <w:pPr>
        <w:spacing w:line="560" w:lineRule="exact"/>
        <w:ind w:firstLine="640"/>
        <w:rPr>
          <w:rFonts w:ascii="仿宋" w:eastAsia="仿宋"/>
          <w:color w:val="000000"/>
          <w:sz w:val="32"/>
          <w:szCs w:val="32"/>
        </w:rPr>
      </w:pPr>
      <w:r>
        <w:rPr>
          <w:rFonts w:ascii="仿宋" w:eastAsia="仿宋" w:hint="eastAsia"/>
          <w:color w:val="000000"/>
          <w:sz w:val="32"/>
          <w:szCs w:val="32"/>
        </w:rPr>
        <w:t>2022年一般公共预算财政拨款支出</w:t>
      </w:r>
      <w:r>
        <w:rPr>
          <w:rFonts w:ascii="仿宋_GB2312" w:eastAsia="仿宋_GB2312" w:hint="eastAsia"/>
          <w:spacing w:val="-2"/>
          <w:sz w:val="32"/>
          <w:szCs w:val="32"/>
        </w:rPr>
        <w:t>9276.09</w:t>
      </w:r>
      <w:r>
        <w:rPr>
          <w:rFonts w:ascii="仿宋" w:eastAsia="仿宋" w:hint="eastAsia"/>
          <w:color w:val="000000"/>
          <w:sz w:val="32"/>
          <w:szCs w:val="32"/>
        </w:rPr>
        <w:t>万元，主要用于以下方面:农林水支出（类）6542万元，占70.53%；灾害防治及应急管理支出（类）0万元，占0%；其他支出（类）0万元，占0%；</w:t>
      </w:r>
      <w:r>
        <w:rPr>
          <w:rFonts w:ascii="仿宋" w:eastAsia="仿宋" w:hint="eastAsia"/>
          <w:b/>
          <w:color w:val="000000"/>
          <w:sz w:val="32"/>
          <w:szCs w:val="32"/>
        </w:rPr>
        <w:t>交通运输</w:t>
      </w:r>
      <w:r>
        <w:rPr>
          <w:rFonts w:ascii="仿宋" w:eastAsia="仿宋" w:hint="eastAsia"/>
          <w:b/>
          <w:bCs/>
          <w:color w:val="000000"/>
          <w:sz w:val="32"/>
          <w:szCs w:val="32"/>
        </w:rPr>
        <w:t>支出（</w:t>
      </w:r>
      <w:r>
        <w:rPr>
          <w:rFonts w:ascii="仿宋" w:eastAsia="仿宋" w:hint="eastAsia"/>
          <w:b/>
          <w:color w:val="000000"/>
          <w:sz w:val="32"/>
          <w:szCs w:val="32"/>
        </w:rPr>
        <w:t>类）</w:t>
      </w:r>
      <w:r>
        <w:rPr>
          <w:rFonts w:ascii="仿宋" w:eastAsia="仿宋" w:hint="eastAsia"/>
          <w:color w:val="000000"/>
          <w:sz w:val="32"/>
          <w:szCs w:val="32"/>
        </w:rPr>
        <w:t>2576.74万元，占27.78%；</w:t>
      </w:r>
      <w:r>
        <w:rPr>
          <w:rFonts w:ascii="仿宋" w:eastAsia="仿宋" w:hint="eastAsia"/>
          <w:b/>
          <w:color w:val="000000"/>
          <w:sz w:val="32"/>
          <w:szCs w:val="32"/>
        </w:rPr>
        <w:t>社会保障和就业支出（类）</w:t>
      </w:r>
      <w:r>
        <w:rPr>
          <w:rFonts w:ascii="仿宋" w:eastAsia="仿宋" w:hint="eastAsia"/>
          <w:color w:val="000000"/>
          <w:sz w:val="32"/>
          <w:szCs w:val="32"/>
        </w:rPr>
        <w:t>79.34万元，占0.86%；</w:t>
      </w:r>
      <w:r>
        <w:rPr>
          <w:rFonts w:ascii="仿宋" w:eastAsia="仿宋" w:hint="eastAsia"/>
          <w:b/>
          <w:bCs/>
          <w:color w:val="000000"/>
          <w:sz w:val="32"/>
          <w:szCs w:val="32"/>
        </w:rPr>
        <w:t>卫生健康支出</w:t>
      </w:r>
      <w:r>
        <w:rPr>
          <w:rFonts w:ascii="仿宋" w:eastAsia="仿宋" w:hint="eastAsia"/>
          <w:b/>
          <w:color w:val="000000"/>
          <w:sz w:val="32"/>
          <w:szCs w:val="32"/>
        </w:rPr>
        <w:t>（类）</w:t>
      </w:r>
      <w:r>
        <w:rPr>
          <w:rFonts w:ascii="仿宋" w:eastAsia="仿宋" w:hint="eastAsia"/>
          <w:color w:val="000000"/>
          <w:sz w:val="32"/>
          <w:szCs w:val="32"/>
        </w:rPr>
        <w:t>32.16万元，占0.35%；</w:t>
      </w:r>
      <w:r>
        <w:rPr>
          <w:rFonts w:ascii="仿宋" w:eastAsia="仿宋" w:hint="eastAsia"/>
          <w:b/>
          <w:bCs/>
          <w:color w:val="000000"/>
          <w:sz w:val="32"/>
          <w:szCs w:val="32"/>
        </w:rPr>
        <w:t>住房保障支出</w:t>
      </w:r>
      <w:r>
        <w:rPr>
          <w:rFonts w:ascii="仿宋" w:eastAsia="仿宋" w:hint="eastAsia"/>
          <w:b/>
          <w:color w:val="000000"/>
          <w:sz w:val="32"/>
          <w:szCs w:val="32"/>
        </w:rPr>
        <w:t>（类）</w:t>
      </w:r>
      <w:r>
        <w:rPr>
          <w:rFonts w:ascii="仿宋" w:eastAsia="仿宋" w:hint="eastAsia"/>
          <w:color w:val="000000"/>
          <w:sz w:val="32"/>
          <w:szCs w:val="32"/>
        </w:rPr>
        <w:t>45.85万元，占0.48%。</w:t>
      </w:r>
    </w:p>
    <w:p>
      <w:pPr>
        <w:spacing w:line="600" w:lineRule="exact"/>
        <w:ind w:firstLineChars="200" w:firstLine="420"/>
        <w:rPr>
          <w:rFonts w:ascii="仿宋" w:eastAsia="仿宋"/>
          <w:color w:val="000000"/>
          <w:sz w:val="32"/>
          <w:szCs w:val="32"/>
        </w:rPr>
      </w:pPr>
      <w:r>
        <w:drawing>
          <wp:anchor distT="0" distB="0" distL="114300" distR="114300" simplePos="0" relativeHeight="6" behindDoc="1" locked="0" layoutInCell="1" hidden="0" allowOverlap="1">
            <wp:simplePos x="0" y="0"/>
            <wp:positionH relativeFrom="column">
              <wp:posOffset>518795</wp:posOffset>
            </wp:positionH>
            <wp:positionV relativeFrom="paragraph">
              <wp:posOffset>-490855</wp:posOffset>
            </wp:positionV>
            <wp:extent cx="4571999" cy="2743200"/>
            <wp:effectExtent l="0" t="0" r="0" b="0"/>
            <wp:wrapNone/>
            <wp:docPr id="3" name="图表 7"/>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600" w:lineRule="exact"/>
        <w:ind w:firstLineChars="200" w:firstLine="640"/>
        <w:rPr>
          <w:rFonts w:ascii="仿宋" w:eastAsia="仿宋"/>
          <w:color w:val="000000"/>
          <w:sz w:val="32"/>
          <w:szCs w:val="32"/>
        </w:rPr>
      </w:pPr>
    </w:p>
    <w:p>
      <w:pPr>
        <w:spacing w:line="560" w:lineRule="exact"/>
        <w:ind w:firstLineChars="200" w:firstLine="640"/>
        <w:outlineLvl w:val="2"/>
        <w:rPr>
          <w:rFonts w:ascii="仿宋" w:eastAsia="仿宋"/>
          <w:b/>
          <w:color w:val="000000"/>
          <w:sz w:val="32"/>
          <w:szCs w:val="32"/>
        </w:rPr>
      </w:pPr>
      <w:bookmarkStart w:id="62" w:name="_Toc79163867"/>
      <w:bookmarkStart w:id="63" w:name="_Toc79163617"/>
      <w:bookmarkStart w:id="64" w:name="_Toc15377212"/>
      <w:r>
        <w:rPr>
          <w:rFonts w:ascii="仿宋" w:eastAsia="仿宋" w:hint="eastAsia"/>
          <w:b/>
          <w:color w:val="000000"/>
          <w:sz w:val="32"/>
          <w:szCs w:val="32"/>
        </w:rPr>
        <w:t>（三）一般公共预算财政拨款支出决算具体情况</w:t>
      </w:r>
      <w:bookmarkEnd w:id="62"/>
      <w:bookmarkEnd w:id="63"/>
      <w:bookmarkEnd w:id="64"/>
    </w:p>
    <w:p>
      <w:pPr>
        <w:spacing w:line="560" w:lineRule="exact"/>
        <w:ind w:firstLineChars="200" w:firstLine="640"/>
        <w:rPr>
          <w:rFonts w:ascii="仿宋_GB2312" w:eastAsia="仿宋_GB2312"/>
          <w:b/>
          <w:bCs/>
          <w:sz w:val="32"/>
          <w:szCs w:val="32"/>
        </w:rPr>
      </w:pPr>
      <w:bookmarkStart w:id="65" w:name="_Toc15377444"/>
      <w:bookmarkStart w:id="66" w:name="_Toc15377213"/>
      <w:bookmarkStart w:id="67" w:name="_Toc15378460"/>
      <w:r>
        <w:rPr>
          <w:rFonts w:ascii="仿宋_GB2312" w:eastAsia="仿宋_GB2312" w:hint="eastAsia"/>
          <w:b/>
          <w:bCs/>
          <w:sz w:val="32"/>
          <w:szCs w:val="32"/>
        </w:rPr>
        <w:t>2022年一般公共预算支出决算数为9276.09万元，完成预算100%。其中：</w:t>
      </w:r>
      <w:bookmarkEnd w:id="65"/>
      <w:bookmarkEnd w:id="66"/>
      <w:bookmarkEnd w:id="67"/>
    </w:p>
    <w:p>
      <w:pPr>
        <w:spacing w:line="56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1.</w:t>
      </w:r>
      <w:r>
        <w:rPr>
          <w:rFonts w:ascii="仿宋" w:eastAsia="仿宋" w:hint="eastAsia"/>
          <w:b/>
          <w:color w:val="000000"/>
          <w:sz w:val="32"/>
          <w:szCs w:val="32"/>
        </w:rPr>
        <w:t xml:space="preserve"> 交通运输</w:t>
      </w:r>
      <w:r>
        <w:rPr>
          <w:rFonts w:ascii="仿宋" w:eastAsia="仿宋" w:hint="eastAsia"/>
          <w:b/>
          <w:bCs/>
          <w:color w:val="000000"/>
          <w:sz w:val="32"/>
          <w:szCs w:val="32"/>
        </w:rPr>
        <w:t>支出（</w:t>
      </w:r>
      <w:r>
        <w:rPr>
          <w:rFonts w:ascii="仿宋" w:eastAsia="仿宋" w:hint="eastAsia"/>
          <w:b/>
          <w:color w:val="000000"/>
          <w:sz w:val="32"/>
          <w:szCs w:val="32"/>
        </w:rPr>
        <w:t>类）：支出决算数为</w:t>
      </w:r>
      <w:r>
        <w:rPr>
          <w:rFonts w:ascii="仿宋" w:eastAsia="仿宋" w:hint="eastAsia"/>
          <w:color w:val="000000"/>
          <w:sz w:val="32"/>
          <w:szCs w:val="32"/>
        </w:rPr>
        <w:t>2576.74万元，</w:t>
      </w:r>
      <w:r>
        <w:rPr>
          <w:rStyle w:val="25"/>
          <w:rFonts w:ascii="仿宋" w:eastAsia="仿宋" w:hint="eastAsia"/>
          <w:b w:val="0"/>
          <w:bCs/>
          <w:color w:val="000000"/>
          <w:sz w:val="32"/>
          <w:szCs w:val="32"/>
        </w:rPr>
        <w:t>完成预算100%。</w:t>
      </w:r>
    </w:p>
    <w:p>
      <w:pPr>
        <w:spacing w:line="56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2.</w:t>
      </w:r>
      <w:r>
        <w:rPr>
          <w:rFonts w:ascii="仿宋" w:eastAsia="仿宋" w:hint="eastAsia"/>
          <w:color w:val="000000"/>
          <w:sz w:val="32"/>
          <w:szCs w:val="32"/>
        </w:rPr>
        <w:t xml:space="preserve"> </w:t>
      </w:r>
      <w:r>
        <w:rPr>
          <w:rFonts w:ascii="仿宋" w:eastAsia="仿宋" w:hint="eastAsia"/>
          <w:b/>
          <w:color w:val="000000"/>
          <w:sz w:val="32"/>
          <w:szCs w:val="32"/>
        </w:rPr>
        <w:t>农林水支出（类）：支出决算数为</w:t>
      </w:r>
      <w:r>
        <w:rPr>
          <w:rFonts w:ascii="仿宋" w:eastAsia="仿宋" w:hint="eastAsia"/>
          <w:color w:val="000000"/>
          <w:sz w:val="32"/>
          <w:szCs w:val="32"/>
        </w:rPr>
        <w:t>6542万元，</w:t>
      </w:r>
      <w:r>
        <w:rPr>
          <w:rStyle w:val="25"/>
          <w:rFonts w:ascii="仿宋" w:eastAsia="仿宋" w:hint="eastAsia"/>
          <w:b w:val="0"/>
          <w:bCs/>
          <w:color w:val="000000"/>
          <w:sz w:val="32"/>
          <w:szCs w:val="32"/>
        </w:rPr>
        <w:t>完成预算100%。</w:t>
      </w:r>
    </w:p>
    <w:p>
      <w:pPr>
        <w:spacing w:line="600" w:lineRule="exact"/>
        <w:ind w:firstLineChars="200" w:firstLine="640"/>
        <w:rPr>
          <w:rFonts w:ascii="仿宋" w:eastAsia="仿宋"/>
          <w:b/>
          <w:color w:val="000000"/>
          <w:sz w:val="32"/>
          <w:szCs w:val="32"/>
        </w:rPr>
      </w:pPr>
      <w:bookmarkStart w:id="68" w:name="_Toc79163868"/>
      <w:bookmarkStart w:id="69" w:name="_Toc79163618"/>
      <w:bookmarkStart w:id="70" w:name="_Toc15377214"/>
      <w:bookmarkStart w:id="71" w:name="_Toc15396608"/>
      <w:r>
        <w:rPr>
          <w:rStyle w:val="25"/>
          <w:rFonts w:ascii="仿宋" w:eastAsia="仿宋" w:hint="eastAsia"/>
          <w:bCs/>
          <w:color w:val="000000"/>
          <w:sz w:val="32"/>
          <w:szCs w:val="32"/>
        </w:rPr>
        <w:t>3</w:t>
      </w:r>
      <w:r>
        <w:rPr>
          <w:rStyle w:val="25"/>
          <w:rFonts w:ascii="仿宋" w:eastAsia="仿宋"/>
          <w:bCs/>
          <w:color w:val="000000"/>
          <w:sz w:val="32"/>
          <w:szCs w:val="32"/>
        </w:rPr>
        <w:t xml:space="preserve">. </w:t>
      </w:r>
      <w:r>
        <w:rPr>
          <w:rFonts w:ascii="仿宋" w:eastAsia="仿宋" w:hint="eastAsia"/>
          <w:b/>
          <w:color w:val="000000"/>
          <w:sz w:val="32"/>
          <w:szCs w:val="32"/>
        </w:rPr>
        <w:t>社会保障和就业（类）</w:t>
      </w:r>
      <w:r>
        <w:rPr>
          <w:rStyle w:val="25"/>
          <w:rFonts w:ascii="仿宋" w:eastAsia="仿宋"/>
          <w:bCs/>
          <w:color w:val="000000"/>
          <w:sz w:val="32"/>
          <w:szCs w:val="32"/>
        </w:rPr>
        <w:t xml:space="preserve">: </w:t>
      </w:r>
      <w:r>
        <w:rPr>
          <w:rStyle w:val="25"/>
          <w:rFonts w:ascii="仿宋" w:eastAsia="仿宋" w:hint="eastAsia"/>
          <w:bCs/>
          <w:color w:val="000000"/>
          <w:sz w:val="32"/>
          <w:szCs w:val="32"/>
        </w:rPr>
        <w:t>支出决算为</w:t>
      </w:r>
      <w:r>
        <w:rPr>
          <w:rFonts w:ascii="仿宋" w:eastAsia="仿宋" w:hint="eastAsia"/>
          <w:color w:val="000000"/>
          <w:sz w:val="32"/>
          <w:szCs w:val="32"/>
        </w:rPr>
        <w:t>79.34</w:t>
      </w:r>
      <w:r>
        <w:rPr>
          <w:rStyle w:val="25"/>
          <w:rFonts w:ascii="仿宋" w:eastAsia="仿宋" w:hint="eastAsia"/>
          <w:bCs/>
          <w:color w:val="000000"/>
          <w:sz w:val="32"/>
          <w:szCs w:val="32"/>
        </w:rPr>
        <w:t>万元，完成预算100</w:t>
      </w:r>
      <w:r>
        <w:rPr>
          <w:rStyle w:val="25"/>
          <w:rFonts w:ascii="仿宋" w:eastAsia="仿宋"/>
          <w:bCs/>
          <w:color w:val="000000"/>
          <w:sz w:val="32"/>
          <w:szCs w:val="32"/>
        </w:rPr>
        <w:t>%</w:t>
      </w:r>
      <w:r>
        <w:rPr>
          <w:rStyle w:val="25"/>
          <w:rFonts w:ascii="仿宋" w:eastAsia="仿宋" w:hint="eastAsia"/>
          <w:bCs/>
          <w:color w:val="000000"/>
          <w:sz w:val="32"/>
          <w:szCs w:val="32"/>
        </w:rPr>
        <w:t>。</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4.</w:t>
      </w:r>
      <w:r>
        <w:rPr>
          <w:rFonts w:ascii="仿宋" w:eastAsia="仿宋" w:hint="eastAsia"/>
          <w:b/>
          <w:bCs/>
          <w:color w:val="000000"/>
          <w:sz w:val="32"/>
          <w:szCs w:val="32"/>
        </w:rPr>
        <w:t xml:space="preserve"> 卫生健康支出</w:t>
      </w:r>
      <w:r>
        <w:rPr>
          <w:rStyle w:val="25"/>
          <w:rFonts w:ascii="仿宋" w:eastAsia="仿宋"/>
          <w:bCs/>
          <w:color w:val="000000"/>
          <w:sz w:val="32"/>
          <w:szCs w:val="32"/>
        </w:rPr>
        <w:t>:</w:t>
      </w:r>
      <w:r>
        <w:rPr>
          <w:rStyle w:val="25"/>
          <w:rFonts w:ascii="仿宋" w:eastAsia="仿宋" w:hint="eastAsia"/>
          <w:bCs/>
          <w:color w:val="000000"/>
          <w:sz w:val="32"/>
          <w:szCs w:val="32"/>
        </w:rPr>
        <w:t>支出决算为</w:t>
      </w:r>
      <w:r>
        <w:rPr>
          <w:rFonts w:ascii="仿宋" w:eastAsia="仿宋" w:hint="eastAsia"/>
          <w:color w:val="000000"/>
          <w:sz w:val="32"/>
          <w:szCs w:val="32"/>
        </w:rPr>
        <w:t>32.16</w:t>
      </w:r>
      <w:r>
        <w:rPr>
          <w:rStyle w:val="25"/>
          <w:rFonts w:ascii="仿宋" w:eastAsia="仿宋" w:hint="eastAsia"/>
          <w:bCs/>
          <w:color w:val="000000"/>
          <w:sz w:val="32"/>
          <w:szCs w:val="32"/>
        </w:rPr>
        <w:t>万元，完成预算100</w:t>
      </w:r>
      <w:r>
        <w:rPr>
          <w:rStyle w:val="25"/>
          <w:rFonts w:ascii="仿宋" w:eastAsia="仿宋"/>
          <w:bCs/>
          <w:color w:val="000000"/>
          <w:sz w:val="32"/>
          <w:szCs w:val="32"/>
        </w:rPr>
        <w:t>%</w:t>
      </w:r>
      <w:r>
        <w:rPr>
          <w:rStyle w:val="25"/>
          <w:rFonts w:ascii="仿宋" w:eastAsia="仿宋" w:hint="eastAsia"/>
          <w:bCs/>
          <w:color w:val="000000"/>
          <w:sz w:val="32"/>
          <w:szCs w:val="32"/>
        </w:rPr>
        <w:t>。</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rPr>
        <w:t>5.住房保障（类）：支出决算为</w:t>
      </w:r>
      <w:r>
        <w:rPr>
          <w:rFonts w:ascii="仿宋" w:eastAsia="仿宋" w:hint="eastAsia"/>
          <w:color w:val="000000"/>
          <w:sz w:val="32"/>
          <w:szCs w:val="32"/>
        </w:rPr>
        <w:t>45.85</w:t>
      </w:r>
      <w:r>
        <w:rPr>
          <w:rStyle w:val="25"/>
          <w:rFonts w:ascii="仿宋" w:eastAsia="仿宋" w:hint="eastAsia"/>
          <w:bCs/>
          <w:color w:val="000000"/>
          <w:sz w:val="32"/>
          <w:szCs w:val="32"/>
        </w:rPr>
        <w:t>万元，完成预算100</w:t>
      </w:r>
      <w:r>
        <w:rPr>
          <w:rStyle w:val="25"/>
          <w:rFonts w:ascii="仿宋" w:eastAsia="仿宋"/>
          <w:bCs/>
          <w:color w:val="000000"/>
          <w:sz w:val="32"/>
          <w:szCs w:val="32"/>
        </w:rPr>
        <w:t>%</w:t>
      </w:r>
      <w:r>
        <w:rPr>
          <w:rStyle w:val="25"/>
          <w:rFonts w:ascii="仿宋" w:eastAsia="仿宋" w:hint="eastAsia"/>
          <w:bCs/>
          <w:color w:val="000000"/>
          <w:sz w:val="32"/>
          <w:szCs w:val="32"/>
        </w:rPr>
        <w:t>。</w:t>
      </w:r>
    </w:p>
    <w:p>
      <w:pPr>
        <w:tabs>
          <w:tab w:val="right" w:pos="8306"/>
        </w:tabs>
        <w:spacing w:line="560" w:lineRule="exact"/>
        <w:ind w:firstLineChars="200" w:firstLine="640"/>
        <w:outlineLvl w:val="1"/>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8"/>
      <w:bookmarkEnd w:id="69"/>
      <w:bookmarkEnd w:id="70"/>
      <w:bookmarkEnd w:id="71"/>
      <w:r>
        <w:rPr>
          <w:rStyle w:val="2Char"/>
          <w:rFonts w:ascii="黑体" w:eastAsia="黑体" w:hint="eastAsia"/>
          <w:b w:val="0"/>
        </w:rPr>
        <w:tab/>
      </w:r>
    </w:p>
    <w:p>
      <w:pPr>
        <w:spacing w:line="560" w:lineRule="exact"/>
        <w:ind w:firstLine="645"/>
        <w:rPr>
          <w:rFonts w:ascii="仿宋" w:eastAsia="仿宋"/>
          <w:color w:val="000000"/>
          <w:sz w:val="32"/>
          <w:szCs w:val="32"/>
        </w:rPr>
      </w:pPr>
      <w:r>
        <w:rPr>
          <w:rFonts w:ascii="仿宋" w:eastAsia="仿宋" w:hint="eastAsia"/>
          <w:color w:val="000000"/>
          <w:sz w:val="32"/>
          <w:szCs w:val="32"/>
        </w:rPr>
        <w:t>2022年一般公共预算财政拨款基本支出</w:t>
      </w:r>
      <w:r>
        <w:rPr>
          <w:rFonts w:ascii="仿宋" w:eastAsia="仿宋"/>
          <w:color w:val="000000"/>
          <w:sz w:val="32"/>
          <w:szCs w:val="32"/>
        </w:rPr>
        <w:t>759.97</w:t>
      </w:r>
      <w:r>
        <w:rPr>
          <w:rFonts w:ascii="仿宋" w:eastAsia="仿宋" w:hint="eastAsia"/>
          <w:color w:val="000000"/>
          <w:sz w:val="32"/>
          <w:szCs w:val="32"/>
        </w:rPr>
        <w:t>万元，其中：</w:t>
      </w:r>
    </w:p>
    <w:p>
      <w:pPr>
        <w:spacing w:line="560" w:lineRule="exact"/>
        <w:ind w:firstLine="645"/>
        <w:rPr>
          <w:rFonts w:ascii="仿宋" w:eastAsia="仿宋"/>
          <w:b/>
          <w:color w:val="FF0000"/>
          <w:sz w:val="32"/>
          <w:szCs w:val="32"/>
        </w:rPr>
      </w:pPr>
      <w:r>
        <w:rPr>
          <w:rFonts w:ascii="仿宋" w:eastAsia="仿宋" w:hint="eastAsia"/>
          <w:color w:val="000000"/>
          <w:sz w:val="32"/>
          <w:szCs w:val="32"/>
        </w:rPr>
        <w:t>人员经费734.91万元，主要包括：基本工资132.35万元、津贴补贴94.28万元、奖金122.29万元、绩效工资70.05万元、机关事业单位基本养老保险缴费53.06万元、职业年金缴费26.27万元、其他社会保障缴费10.92万元、职工基本医疗保险缴费23.68万元、公务员医疗补助缴费3.82万元、住房公积金45.85万元、生活补助17.37万元、抚恤金56.58万元、奖励金78.37万元。</w:t>
        <w:br/>
        <w:t>　　日常公用经费25.05万元，主要包括：办公费3.95万元、印刷费0.12万元、手续费0万元、水费0.17万元、电费2万元、邮电费2.5万元、差旅费11.35万元、公务用车运行维护费4.96万元。</w:t>
      </w:r>
    </w:p>
    <w:p>
      <w:pPr>
        <w:spacing w:line="560" w:lineRule="exact"/>
        <w:ind w:firstLine="640"/>
        <w:outlineLvl w:val="1"/>
        <w:rPr>
          <w:rStyle w:val="2Char"/>
          <w:rFonts w:ascii="黑体" w:eastAsia="黑体"/>
          <w:b w:val="0"/>
        </w:rPr>
      </w:pPr>
      <w:bookmarkStart w:id="72" w:name="_Toc79163869"/>
      <w:bookmarkStart w:id="73" w:name="_Toc15396609"/>
      <w:bookmarkStart w:id="74" w:name="_Toc79163619"/>
      <w:bookmarkStart w:id="75"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2"/>
      <w:bookmarkEnd w:id="73"/>
      <w:bookmarkEnd w:id="74"/>
      <w:bookmarkEnd w:id="75"/>
    </w:p>
    <w:p>
      <w:pPr>
        <w:spacing w:line="560" w:lineRule="exact"/>
        <w:ind w:firstLine="640"/>
        <w:outlineLvl w:val="2"/>
        <w:rPr>
          <w:rFonts w:ascii="仿宋" w:eastAsia="仿宋"/>
          <w:b/>
          <w:color w:val="000000"/>
          <w:sz w:val="32"/>
          <w:szCs w:val="32"/>
        </w:rPr>
      </w:pPr>
      <w:bookmarkStart w:id="76" w:name="_Toc79163870"/>
      <w:bookmarkStart w:id="77" w:name="_Toc79163620"/>
      <w:bookmarkStart w:id="78" w:name="_Toc15377216"/>
      <w:r>
        <w:rPr>
          <w:rFonts w:ascii="仿宋" w:eastAsia="仿宋" w:hint="eastAsia"/>
          <w:b/>
          <w:color w:val="000000"/>
          <w:sz w:val="32"/>
          <w:szCs w:val="32"/>
        </w:rPr>
        <w:t>（一）“三公”经费财政拨款支出决算总体情况说明</w:t>
      </w:r>
      <w:bookmarkEnd w:id="76"/>
      <w:bookmarkEnd w:id="77"/>
      <w:bookmarkEnd w:id="78"/>
    </w:p>
    <w:p>
      <w:pPr>
        <w:spacing w:line="560" w:lineRule="exact"/>
        <w:ind w:firstLine="640"/>
        <w:rPr>
          <w:rFonts w:ascii="仿宋" w:eastAsia="仿宋"/>
          <w:color w:val="000000"/>
          <w:sz w:val="32"/>
          <w:szCs w:val="32"/>
        </w:rPr>
      </w:pPr>
      <w:r>
        <w:rPr>
          <w:rFonts w:ascii="仿宋" w:eastAsia="仿宋" w:hint="eastAsia"/>
          <w:color w:val="000000"/>
          <w:sz w:val="32"/>
          <w:szCs w:val="32"/>
        </w:rPr>
        <w:t>2022年“三公”经费财政拨款支出决算为4.96万元，完成预算100%。</w:t>
      </w:r>
      <w:r>
        <w:rPr>
          <w:rFonts w:ascii="仿宋" w:eastAsia="仿宋"/>
          <w:color w:val="000000"/>
          <w:sz w:val="32"/>
          <w:szCs w:val="32"/>
        </w:rPr>
        <w:t xml:space="preserve">预算数 </w:t>
      </w:r>
      <w:r>
        <w:rPr>
          <w:rFonts w:ascii="仿宋" w:eastAsia="仿宋" w:hint="eastAsia"/>
          <w:color w:val="000000"/>
          <w:sz w:val="32"/>
          <w:szCs w:val="32"/>
        </w:rPr>
        <w:t>4.96</w:t>
      </w:r>
      <w:r>
        <w:rPr>
          <w:rFonts w:ascii="仿宋" w:eastAsia="仿宋"/>
          <w:color w:val="000000"/>
          <w:sz w:val="32"/>
          <w:szCs w:val="32"/>
        </w:rPr>
        <w:t xml:space="preserve">万元，决算 </w:t>
      </w:r>
      <w:r>
        <w:rPr>
          <w:rFonts w:ascii="仿宋" w:eastAsia="仿宋" w:hint="eastAsia"/>
          <w:color w:val="000000"/>
          <w:sz w:val="32"/>
          <w:szCs w:val="32"/>
        </w:rPr>
        <w:t>4.96</w:t>
      </w:r>
      <w:r>
        <w:rPr>
          <w:rFonts w:ascii="仿宋" w:eastAsia="仿宋"/>
          <w:color w:val="000000"/>
          <w:sz w:val="32"/>
          <w:szCs w:val="32"/>
        </w:rPr>
        <w:t xml:space="preserve">万元 </w:t>
      </w:r>
      <w:r>
        <w:rPr>
          <w:rFonts w:ascii="仿宋" w:eastAsia="仿宋" w:hint="eastAsia"/>
          <w:color w:val="000000"/>
          <w:sz w:val="32"/>
          <w:szCs w:val="32"/>
        </w:rPr>
        <w:t>。</w:t>
      </w:r>
    </w:p>
    <w:p>
      <w:pPr>
        <w:spacing w:line="560" w:lineRule="exact"/>
        <w:ind w:firstLine="640"/>
        <w:outlineLvl w:val="2"/>
        <w:rPr>
          <w:rFonts w:ascii="仿宋" w:eastAsia="仿宋"/>
          <w:b/>
          <w:color w:val="000000"/>
          <w:sz w:val="32"/>
          <w:szCs w:val="32"/>
        </w:rPr>
      </w:pPr>
      <w:bookmarkStart w:id="79" w:name="_Toc79163871"/>
      <w:bookmarkStart w:id="80" w:name="_Toc79163621"/>
      <w:bookmarkStart w:id="81" w:name="_Toc15377217"/>
      <w:r>
        <w:rPr>
          <w:rFonts w:ascii="仿宋" w:eastAsia="仿宋" w:hint="eastAsia"/>
          <w:b/>
          <w:color w:val="000000"/>
          <w:sz w:val="32"/>
          <w:szCs w:val="32"/>
        </w:rPr>
        <w:t>（二）“三公”经费财政拨款支出决算具体情况说明</w:t>
      </w:r>
      <w:bookmarkEnd w:id="79"/>
      <w:bookmarkEnd w:id="80"/>
      <w:bookmarkEnd w:id="81"/>
    </w:p>
    <w:p>
      <w:pPr>
        <w:spacing w:line="560" w:lineRule="exact"/>
        <w:ind w:firstLine="640"/>
        <w:rPr>
          <w:rFonts w:ascii="仿宋" w:eastAsia="仿宋"/>
          <w:color w:val="000000"/>
          <w:sz w:val="32"/>
          <w:szCs w:val="32"/>
        </w:rPr>
      </w:pPr>
      <w:r>
        <w:rPr>
          <w:rFonts w:ascii="仿宋" w:eastAsia="仿宋" w:hint="eastAsia"/>
          <w:color w:val="000000"/>
          <w:sz w:val="32"/>
          <w:szCs w:val="32"/>
        </w:rPr>
        <w:t>2022年“三公”经费财政拨款支出决算中，因公出国（境）费支出决算0万元，占0%；公务用车购置及运行维护费支出决算4.96万元，占100%；公务接待费支出决算0万元，占0%。具体情况如下：</w:t>
      </w:r>
    </w:p>
    <w:p>
      <w:pPr>
        <w:spacing w:line="560" w:lineRule="exact"/>
        <w:ind w:firstLine="640"/>
        <w:rPr>
          <w:rFonts w:ascii="仿宋_GB2312" w:eastAsia="仿宋_GB2312"/>
          <w:b/>
          <w:color w:val="000000"/>
          <w:sz w:val="32"/>
          <w:szCs w:val="32"/>
        </w:rPr>
      </w:pPr>
      <w:r>
        <w:rPr>
          <w:rFonts w:ascii="仿宋_GB2312" w:eastAsia="仿宋_GB2312" w:hint="eastAsia"/>
          <w:b/>
          <w:color w:val="000000"/>
          <w:sz w:val="32"/>
          <w:szCs w:val="32"/>
        </w:rPr>
        <w:t>1.公务用车购置及运行维护费支出</w:t>
      </w:r>
      <w:r>
        <w:rPr>
          <w:rFonts w:ascii="仿宋_GB2312" w:eastAsia="仿宋_GB2312" w:hint="eastAsia"/>
          <w:color w:val="000000"/>
          <w:sz w:val="32"/>
          <w:szCs w:val="32"/>
        </w:rPr>
        <w:t>4.96万元,</w:t>
      </w:r>
      <w:r>
        <w:rPr>
          <w:rStyle w:val="25"/>
          <w:rFonts w:ascii="仿宋" w:eastAsia="仿宋" w:hint="eastAsia"/>
          <w:b w:val="0"/>
          <w:bCs/>
          <w:color w:val="000000"/>
          <w:sz w:val="32"/>
          <w:szCs w:val="32"/>
        </w:rPr>
        <w:t>完成预算100%。</w:t>
      </w:r>
      <w:r>
        <w:rPr>
          <w:rFonts w:ascii="仿宋_GB2312" w:eastAsia="仿宋_GB2312" w:hint="eastAsia"/>
          <w:color w:val="000000"/>
          <w:sz w:val="32"/>
          <w:szCs w:val="32"/>
        </w:rPr>
        <w:t>公务用车购置及运行维护费支出决算比2021年减少0.04万元，下降0.08%。主要原因是受疫情影响，公务出差次数减少，同时公务用车运行费下降。</w:t>
      </w:r>
    </w:p>
    <w:p>
      <w:pPr>
        <w:spacing w:line="560" w:lineRule="exact"/>
        <w:ind w:firstLine="640"/>
        <w:rPr>
          <w:rFonts w:ascii="仿宋_GB2312" w:eastAsia="仿宋_GB2312"/>
          <w:color w:val="000000"/>
          <w:sz w:val="32"/>
          <w:szCs w:val="32"/>
        </w:rPr>
      </w:pPr>
      <w:r>
        <w:rPr>
          <w:rFonts w:ascii="仿宋_GB2312" w:eastAsia="仿宋_GB2312" w:hint="eastAsia"/>
          <w:b/>
          <w:color w:val="000000"/>
          <w:sz w:val="32"/>
          <w:szCs w:val="32"/>
        </w:rPr>
        <w:t>2.公务接待费支出</w:t>
      </w:r>
      <w:r>
        <w:rPr>
          <w:rFonts w:ascii="仿宋_GB2312" w:eastAsia="仿宋_GB2312" w:hint="eastAsia"/>
          <w:color w:val="000000"/>
          <w:sz w:val="32"/>
          <w:szCs w:val="32"/>
        </w:rPr>
        <w:t>0万元，</w:t>
      </w:r>
      <w:r>
        <w:rPr>
          <w:rStyle w:val="25"/>
          <w:rFonts w:ascii="仿宋" w:eastAsia="仿宋" w:hint="eastAsia"/>
          <w:b w:val="0"/>
          <w:bCs/>
          <w:color w:val="000000"/>
          <w:sz w:val="32"/>
          <w:szCs w:val="32"/>
        </w:rPr>
        <w:t>完成预算100%。</w:t>
      </w:r>
      <w:r>
        <w:rPr>
          <w:rFonts w:ascii="仿宋_GB2312" w:eastAsia="仿宋_GB2312" w:hint="eastAsia"/>
          <w:color w:val="000000"/>
          <w:sz w:val="32"/>
          <w:szCs w:val="32"/>
        </w:rPr>
        <w:t>公务接待费支出决算比2021年减少0万元，下降0%。主要原因是</w:t>
      </w:r>
      <w:r>
        <w:rPr>
          <w:rFonts w:ascii="仿宋_GB2312" w:eastAsia="仿宋_GB2312" w:cs="仿宋" w:hint="eastAsia"/>
          <w:color w:val="000000"/>
          <w:sz w:val="32"/>
          <w:szCs w:val="32"/>
        </w:rPr>
        <w:t>无公务接待费。</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b/>
          <w:bCs/>
          <w:color w:val="000000"/>
          <w:sz w:val="32"/>
          <w:szCs w:val="32"/>
        </w:rPr>
        <w:t>3.因公出国（境）费支出0万元。</w:t>
      </w:r>
    </w:p>
    <w:p>
      <w:pPr>
        <w:spacing w:line="560" w:lineRule="exact"/>
        <w:ind w:firstLine="640"/>
        <w:outlineLvl w:val="1"/>
        <w:rPr>
          <w:rStyle w:val="2Char"/>
          <w:rFonts w:ascii="黑体" w:eastAsia="黑体"/>
        </w:rPr>
      </w:pPr>
      <w:bookmarkStart w:id="82" w:name="_Toc15377218"/>
      <w:bookmarkStart w:id="83" w:name="_Toc15396610"/>
      <w:bookmarkStart w:id="84" w:name="_Toc79163622"/>
      <w:bookmarkStart w:id="85"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2"/>
      <w:bookmarkEnd w:id="83"/>
      <w:bookmarkEnd w:id="84"/>
      <w:bookmarkEnd w:id="85"/>
    </w:p>
    <w:p>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2022年政府性基金预算拨款支出0万元。</w:t>
      </w:r>
    </w:p>
    <w:p>
      <w:pPr>
        <w:numPr>
          <w:ilvl w:val="0"/>
          <w:numId w:val="2"/>
        </w:numPr>
        <w:spacing w:line="560" w:lineRule="exact"/>
        <w:ind w:left="0" w:firstLine="640"/>
        <w:outlineLvl w:val="1"/>
        <w:rPr>
          <w:rStyle w:val="2Char"/>
          <w:rFonts w:ascii="黑体" w:eastAsia="黑体"/>
          <w:b w:val="0"/>
        </w:rPr>
      </w:pPr>
      <w:bookmarkStart w:id="86" w:name="_Toc15396611"/>
      <w:bookmarkStart w:id="87" w:name="_Toc79163623"/>
      <w:bookmarkStart w:id="88" w:name="_Toc79163873"/>
      <w:bookmarkStart w:id="89" w:name="_Toc15377219"/>
      <w:r>
        <w:rPr>
          <w:rStyle w:val="2Char"/>
          <w:rFonts w:ascii="黑体" w:eastAsia="黑体" w:hint="eastAsia"/>
          <w:b w:val="0"/>
        </w:rPr>
        <w:t>国有资本经营预算支出决算情况说明</w:t>
      </w:r>
      <w:bookmarkEnd w:id="86"/>
      <w:bookmarkEnd w:id="87"/>
      <w:bookmarkEnd w:id="88"/>
      <w:bookmarkEnd w:id="89"/>
    </w:p>
    <w:p>
      <w:pPr>
        <w:spacing w:line="560" w:lineRule="exact"/>
        <w:ind w:firstLine="640"/>
        <w:rPr>
          <w:rFonts w:ascii="方正小标宋简体" w:eastAsia="方正小标宋简体" w:cs="方正小标宋简体"/>
          <w:sz w:val="44"/>
          <w:szCs w:val="44"/>
        </w:rPr>
      </w:pPr>
      <w:r>
        <w:rPr>
          <w:rFonts w:ascii="仿宋_GB2312" w:eastAsia="仿宋_GB2312" w:hint="eastAsia"/>
          <w:color w:val="000000"/>
          <w:sz w:val="32"/>
          <w:szCs w:val="32"/>
        </w:rPr>
        <w:t>2022年国有资本经营预算拨款支出0万元。</w:t>
      </w:r>
    </w:p>
    <w:p>
      <w:pPr>
        <w:spacing w:line="560" w:lineRule="exact"/>
        <w:ind w:firstLineChars="250" w:firstLine="800"/>
        <w:outlineLvl w:val="1"/>
        <w:rPr>
          <w:rStyle w:val="2Char"/>
          <w:rFonts w:ascii="黑体" w:eastAsia="黑体"/>
        </w:rPr>
      </w:pPr>
      <w:bookmarkStart w:id="90" w:name="_Toc15377221"/>
      <w:bookmarkStart w:id="91" w:name="_Toc15396612"/>
      <w:bookmarkStart w:id="92" w:name="_Toc79163874"/>
      <w:bookmarkStart w:id="93" w:name="_Toc7916362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0"/>
      <w:bookmarkEnd w:id="91"/>
      <w:bookmarkEnd w:id="92"/>
      <w:bookmarkEnd w:id="93"/>
    </w:p>
    <w:p>
      <w:pPr>
        <w:spacing w:line="560" w:lineRule="exact"/>
        <w:ind w:firstLineChars="200" w:firstLine="640"/>
        <w:outlineLvl w:val="2"/>
        <w:rPr>
          <w:rFonts w:ascii="仿宋" w:eastAsia="仿宋"/>
          <w:color w:val="000000"/>
          <w:sz w:val="32"/>
          <w:szCs w:val="32"/>
        </w:rPr>
      </w:pPr>
      <w:bookmarkStart w:id="94" w:name="_Toc79163875"/>
      <w:bookmarkStart w:id="95" w:name="_Toc79163625"/>
      <w:bookmarkStart w:id="96" w:name="_Toc15377222"/>
      <w:r>
        <w:rPr>
          <w:rFonts w:ascii="仿宋" w:eastAsia="仿宋" w:hint="eastAsia"/>
          <w:b/>
          <w:color w:val="000000"/>
          <w:sz w:val="32"/>
          <w:szCs w:val="32"/>
        </w:rPr>
        <w:t>（一）机关运行经费支出情况</w:t>
      </w:r>
      <w:bookmarkEnd w:id="94"/>
      <w:bookmarkEnd w:id="95"/>
      <w:bookmarkEnd w:id="96"/>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2022年，机关运行经费支出</w:t>
      </w:r>
      <w:r>
        <w:rPr>
          <w:rFonts w:ascii="仿宋_GB2312" w:eastAsia="仿宋_GB2312"/>
          <w:color w:val="000000"/>
          <w:sz w:val="32"/>
          <w:szCs w:val="32"/>
        </w:rPr>
        <w:t>9.07</w:t>
      </w:r>
      <w:r>
        <w:rPr>
          <w:rFonts w:ascii="仿宋_GB2312" w:eastAsia="仿宋_GB2312" w:hint="eastAsia"/>
          <w:color w:val="000000"/>
          <w:sz w:val="32"/>
          <w:szCs w:val="32"/>
        </w:rPr>
        <w:t>万元，比2021年减少</w:t>
      </w:r>
      <w:r>
        <w:rPr>
          <w:rFonts w:ascii="仿宋_GB2312" w:eastAsia="仿宋_GB2312"/>
          <w:color w:val="000000"/>
          <w:sz w:val="32"/>
          <w:szCs w:val="32"/>
        </w:rPr>
        <w:t>22.68</w:t>
      </w:r>
      <w:r>
        <w:rPr>
          <w:rFonts w:ascii="仿宋_GB2312" w:eastAsia="仿宋_GB2312" w:hint="eastAsia"/>
          <w:color w:val="000000"/>
          <w:sz w:val="32"/>
          <w:szCs w:val="32"/>
        </w:rPr>
        <w:t>万元，减少</w:t>
      </w:r>
      <w:r>
        <w:rPr>
          <w:rFonts w:ascii="仿宋_GB2312" w:eastAsia="仿宋_GB2312"/>
          <w:color w:val="000000"/>
          <w:sz w:val="32"/>
          <w:szCs w:val="32"/>
        </w:rPr>
        <w:t>71.43</w:t>
      </w:r>
      <w:r>
        <w:rPr>
          <w:rFonts w:ascii="仿宋_GB2312" w:eastAsia="仿宋_GB2312" w:hint="eastAsia"/>
          <w:color w:val="000000"/>
          <w:sz w:val="32"/>
          <w:szCs w:val="32"/>
        </w:rPr>
        <w:t>%。主要原因是2022年人员变动</w:t>
      </w:r>
    </w:p>
    <w:p>
      <w:pPr>
        <w:autoSpaceDE w:val="0"/>
        <w:autoSpaceDN w:val="0"/>
        <w:adjustRightInd w:val="0"/>
        <w:spacing w:line="560" w:lineRule="exact"/>
        <w:ind w:firstLineChars="200" w:firstLine="640"/>
        <w:jc w:val="left"/>
        <w:outlineLvl w:val="2"/>
        <w:rPr>
          <w:rFonts w:ascii="仿宋" w:eastAsia="仿宋"/>
          <w:b/>
          <w:color w:val="000000"/>
          <w:sz w:val="32"/>
          <w:szCs w:val="32"/>
        </w:rPr>
      </w:pPr>
      <w:bookmarkStart w:id="97" w:name="_Toc79163626"/>
      <w:bookmarkStart w:id="98" w:name="_Toc15377223"/>
      <w:bookmarkStart w:id="99" w:name="_Toc79163876"/>
      <w:r>
        <w:rPr>
          <w:rFonts w:ascii="仿宋" w:eastAsia="仿宋" w:hint="eastAsia"/>
          <w:b/>
          <w:color w:val="000000"/>
          <w:sz w:val="32"/>
          <w:szCs w:val="32"/>
        </w:rPr>
        <w:t>（二）政府采购支出情况</w:t>
      </w:r>
      <w:bookmarkEnd w:id="97"/>
      <w:bookmarkEnd w:id="98"/>
      <w:bookmarkEnd w:id="99"/>
    </w:p>
    <w:p>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年，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autoSpaceDE w:val="0"/>
        <w:autoSpaceDN w:val="0"/>
        <w:adjustRightInd w:val="0"/>
        <w:spacing w:line="560" w:lineRule="exact"/>
        <w:ind w:firstLineChars="200" w:firstLine="640"/>
        <w:jc w:val="left"/>
        <w:outlineLvl w:val="2"/>
        <w:rPr>
          <w:rFonts w:ascii="仿宋" w:eastAsia="仿宋"/>
          <w:b/>
          <w:color w:val="000000"/>
          <w:sz w:val="32"/>
          <w:szCs w:val="32"/>
        </w:rPr>
      </w:pPr>
      <w:bookmarkStart w:id="100" w:name="_Toc15377224"/>
      <w:bookmarkStart w:id="101" w:name="_Toc79163877"/>
      <w:bookmarkStart w:id="102" w:name="_Toc79163627"/>
      <w:r>
        <w:rPr>
          <w:rFonts w:ascii="仿宋" w:eastAsia="仿宋" w:hint="eastAsia"/>
          <w:b/>
          <w:color w:val="000000"/>
          <w:sz w:val="32"/>
          <w:szCs w:val="32"/>
        </w:rPr>
        <w:t>（三）国有资产占有使用情况</w:t>
      </w:r>
      <w:bookmarkEnd w:id="100"/>
      <w:bookmarkEnd w:id="101"/>
      <w:bookmarkEnd w:id="102"/>
    </w:p>
    <w:p>
      <w:pPr>
        <w:autoSpaceDE w:val="0"/>
        <w:autoSpaceDN w:val="0"/>
        <w:adjustRightInd w:val="0"/>
        <w:spacing w:line="600" w:lineRule="exact"/>
        <w:ind w:firstLineChars="200" w:firstLine="600"/>
        <w:jc w:val="left"/>
        <w:rPr>
          <w:rFonts w:ascii="仿宋_GB2312" w:eastAsia="仿宋_GB2312"/>
          <w:color w:val="000000"/>
          <w:sz w:val="30"/>
          <w:szCs w:val="30"/>
        </w:rPr>
      </w:pPr>
      <w:bookmarkStart w:id="103" w:name="_Toc79163628"/>
      <w:bookmarkStart w:id="104" w:name="_Toc79163878"/>
      <w:r>
        <w:rPr>
          <w:rFonts w:ascii="仿宋_GB2312" w:eastAsia="仿宋_GB2312" w:hint="eastAsia"/>
          <w:color w:val="000000"/>
          <w:sz w:val="30"/>
          <w:szCs w:val="30"/>
        </w:rPr>
        <w:t>截至2022年12月31日，我办有公务用车辆</w:t>
      </w:r>
      <w:r>
        <w:rPr>
          <w:rFonts w:ascii="仿宋_GB2312" w:eastAsia="仿宋_GB2312"/>
          <w:color w:val="000000"/>
          <w:sz w:val="30"/>
          <w:szCs w:val="30"/>
        </w:rPr>
        <w:t>11</w:t>
      </w:r>
      <w:bookmarkStart w:id="105" w:name="_GoBack"/>
      <w:bookmarkEnd w:id="105"/>
      <w:r>
        <w:rPr>
          <w:rFonts w:ascii="仿宋_GB2312" w:eastAsia="仿宋_GB2312" w:hint="eastAsia"/>
          <w:color w:val="000000"/>
          <w:sz w:val="30"/>
          <w:szCs w:val="30"/>
        </w:rPr>
        <w:t>辆，均为一般公务用车；无单价50万元以上通用设备，无单价100万元以上专用设备。</w:t>
      </w:r>
    </w:p>
    <w:p>
      <w:pPr>
        <w:autoSpaceDE w:val="0"/>
        <w:autoSpaceDN w:val="0"/>
        <w:adjustRightInd w:val="0"/>
        <w:spacing w:line="56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（四）预算绩效管理情况。</w:t>
      </w:r>
      <w:bookmarkEnd w:id="103"/>
      <w:bookmarkEnd w:id="104"/>
    </w:p>
    <w:p>
      <w:pPr>
        <w:snapToGrid w:val="0"/>
        <w:spacing w:line="520" w:lineRule="exact"/>
        <w:ind w:firstLineChars="200" w:firstLine="640"/>
        <w:rPr>
          <w:rFonts w:ascii="仿宋_GB2312" w:eastAsia="仿宋_GB2312"/>
          <w:sz w:val="32"/>
          <w:szCs w:val="32"/>
        </w:rPr>
      </w:pPr>
      <w:bookmarkStart w:id="106" w:name="_Toc13295"/>
      <w:r>
        <w:rPr>
          <w:rFonts w:ascii="仿宋_GB2312" w:eastAsia="仿宋_GB2312" w:hint="eastAsia"/>
          <w:sz w:val="32"/>
          <w:szCs w:val="32"/>
        </w:rPr>
        <w:t>1.概述项目绩效目标完成情况。</w:t>
      </w:r>
    </w:p>
    <w:p>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按照预算绩效管理要求，本部门对2022年一般公共预算项目支出开展了绩效目标管理，共编制绩效目标4个，涉及财政资金9276.09万元，覆盖率达到95%。</w:t>
      </w:r>
    </w:p>
    <w:p>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2.部门整体支出绩效自评开展情况。</w:t>
      </w:r>
    </w:p>
    <w:p>
      <w:pPr>
        <w:spacing w:line="600" w:lineRule="atLeast"/>
        <w:ind w:firstLineChars="200" w:firstLine="640"/>
        <w:rPr>
          <w:rFonts w:ascii="仿宋_GB2312" w:eastAsia="仿宋_GB2312" w:cs="仿宋_GB2312"/>
          <w:sz w:val="32"/>
          <w:szCs w:val="32"/>
        </w:rPr>
      </w:pPr>
      <w:r>
        <w:rPr>
          <w:rFonts w:ascii="仿宋_GB2312" w:eastAsia="仿宋_GB2312" w:hint="eastAsia"/>
          <w:color w:val="000000"/>
          <w:sz w:val="32"/>
          <w:szCs w:val="32"/>
        </w:rPr>
        <w:t>按照预算绩效管理要求，本部门对2022年整体支出开展绩效自评，自评得分90分，存在问题：</w:t>
      </w:r>
      <w:r>
        <w:rPr>
          <w:rFonts w:ascii="仿宋_GB2312" w:eastAsia="仿宋_GB2312" w:cs="仿宋_GB2312" w:hint="eastAsia"/>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spacing w:line="600" w:lineRule="atLeast"/>
        <w:ind w:firstLineChars="200" w:firstLine="600"/>
        <w:outlineLvl w:val="2"/>
        <w:rPr>
          <w:rFonts w:ascii="楷体" w:eastAsia="楷体" w:cs="楷体"/>
          <w:b/>
          <w:bCs/>
          <w:sz w:val="30"/>
          <w:szCs w:val="30"/>
        </w:rPr>
      </w:pPr>
      <w:r>
        <w:rPr>
          <w:rFonts w:ascii="楷体" w:eastAsia="楷体" w:cs="楷体" w:hint="eastAsia"/>
          <w:b/>
          <w:bCs/>
          <w:sz w:val="30"/>
          <w:szCs w:val="30"/>
        </w:rPr>
        <w:t>1、评价结论</w:t>
      </w:r>
      <w:bookmarkEnd w:id="106"/>
    </w:p>
    <w:p>
      <w:pPr>
        <w:spacing w:line="600" w:lineRule="atLeast"/>
        <w:ind w:firstLineChars="200" w:firstLine="600"/>
        <w:rPr>
          <w:rFonts w:ascii="仿宋_GB2312" w:eastAsia="仿宋_GB2312"/>
          <w:sz w:val="30"/>
          <w:szCs w:val="30"/>
        </w:rPr>
      </w:pPr>
      <w:r>
        <w:rPr>
          <w:rFonts w:ascii="仿宋_GB2312" w:eastAsia="仿宋_GB2312" w:hint="eastAsia"/>
          <w:sz w:val="30"/>
          <w:szCs w:val="30"/>
        </w:rPr>
        <w:t>部门预算执行情况良好，无不良记录及违规违纪行为，预算支出和决算支出基本情况相符。</w:t>
      </w:r>
    </w:p>
    <w:p>
      <w:pPr>
        <w:spacing w:line="600" w:lineRule="atLeast"/>
        <w:ind w:firstLineChars="200" w:firstLine="600"/>
        <w:outlineLvl w:val="2"/>
        <w:rPr>
          <w:rFonts w:ascii="楷体" w:eastAsia="楷体" w:cs="楷体"/>
          <w:b/>
          <w:bCs/>
          <w:sz w:val="30"/>
          <w:szCs w:val="30"/>
        </w:rPr>
      </w:pPr>
      <w:bookmarkStart w:id="107" w:name="_Toc21013"/>
      <w:r>
        <w:rPr>
          <w:rFonts w:ascii="楷体" w:eastAsia="楷体" w:cs="楷体" w:hint="eastAsia"/>
          <w:b/>
          <w:bCs/>
          <w:sz w:val="30"/>
          <w:szCs w:val="30"/>
        </w:rPr>
        <w:t>2、存在问题</w:t>
      </w:r>
      <w:bookmarkEnd w:id="107"/>
    </w:p>
    <w:p>
      <w:pPr>
        <w:spacing w:line="600" w:lineRule="atLeast"/>
        <w:ind w:firstLineChars="200" w:firstLine="600"/>
        <w:rPr>
          <w:rFonts w:ascii="仿宋_GB2312" w:eastAsia="仿宋_GB2312"/>
          <w:sz w:val="30"/>
          <w:szCs w:val="30"/>
        </w:rPr>
      </w:pPr>
      <w:r>
        <w:rPr>
          <w:rFonts w:ascii="仿宋_GB2312" w:eastAsia="仿宋_GB2312" w:hint="eastAsia"/>
          <w:sz w:val="30"/>
          <w:szCs w:val="30"/>
        </w:rPr>
        <w:t>一是预算经费支出进度较快；二是部门决算上报处理效率还需继续提升。</w:t>
      </w:r>
    </w:p>
    <w:p>
      <w:pPr>
        <w:spacing w:line="600" w:lineRule="atLeast"/>
        <w:ind w:firstLineChars="200" w:firstLine="600"/>
        <w:outlineLvl w:val="2"/>
        <w:rPr>
          <w:rFonts w:ascii="楷体" w:eastAsia="楷体" w:cs="楷体"/>
          <w:b/>
          <w:bCs/>
          <w:sz w:val="30"/>
          <w:szCs w:val="30"/>
        </w:rPr>
      </w:pPr>
      <w:bookmarkStart w:id="108" w:name="_Toc29651"/>
      <w:r>
        <w:rPr>
          <w:rFonts w:ascii="楷体" w:eastAsia="楷体" w:cs="楷体" w:hint="eastAsia"/>
          <w:b/>
          <w:bCs/>
          <w:sz w:val="30"/>
          <w:szCs w:val="30"/>
        </w:rPr>
        <w:t>3、改进建议</w:t>
      </w:r>
      <w:bookmarkEnd w:id="108"/>
    </w:p>
    <w:p>
      <w:pPr>
        <w:spacing w:line="600" w:lineRule="atLeast"/>
        <w:ind w:firstLineChars="200" w:firstLine="600"/>
        <w:rPr>
          <w:rFonts w:ascii="仿宋_GB2312" w:eastAsia="仿宋_GB2312"/>
          <w:sz w:val="30"/>
          <w:szCs w:val="30"/>
        </w:rPr>
      </w:pPr>
      <w:r>
        <w:rPr>
          <w:rFonts w:ascii="仿宋_GB2312" w:eastAsia="仿宋_GB2312" w:hint="eastAsia"/>
          <w:sz w:val="30"/>
          <w:szCs w:val="30"/>
        </w:rPr>
        <w:t>加快完成机关财务管理规章制度建设、加强会计核算和财务管理能力，及时与财政局相关科室对接工作，提升工作效率。</w:t>
      </w:r>
    </w:p>
    <w:p>
      <w:pPr>
        <w:spacing w:line="560" w:lineRule="exact"/>
        <w:jc w:val="center"/>
        <w:outlineLvl w:val="0"/>
        <w:rPr>
          <w:rFonts w:ascii="方正小标宋简体" w:eastAsia="方正小标宋简体" w:hint="eastAsia"/>
          <w:color w:val="000000"/>
          <w:sz w:val="44"/>
          <w:szCs w:val="44"/>
        </w:rPr>
      </w:pPr>
      <w:bookmarkStart w:id="109" w:name="_Toc15377225"/>
      <w:bookmarkStart w:id="110" w:name="_Toc79163879"/>
      <w:bookmarkStart w:id="111" w:name="_Toc15396613"/>
      <w:bookmarkStart w:id="112" w:name="_Toc79163629"/>
    </w:p>
    <w:p>
      <w:pPr>
        <w:spacing w:line="560" w:lineRule="exact"/>
        <w:jc w:val="center"/>
        <w:outlineLvl w:val="0"/>
        <w:rPr>
          <w:rStyle w:val="1Char"/>
          <w:rFonts w:ascii="方正小标宋简体" w:eastAsia="方正小标宋简体"/>
          <w:b w:val="0"/>
        </w:rPr>
      </w:pPr>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bookmarkEnd w:id="109"/>
      <w:bookmarkEnd w:id="110"/>
      <w:bookmarkEnd w:id="111"/>
      <w:bookmarkEnd w:id="112"/>
    </w:p>
    <w:p>
      <w:pPr>
        <w:spacing w:line="560" w:lineRule="exact"/>
        <w:jc w:val="left"/>
        <w:rPr>
          <w:rFonts w:ascii="宋体"/>
          <w:b/>
          <w:color w:val="000000"/>
          <w:sz w:val="44"/>
          <w:szCs w:val="44"/>
        </w:rPr>
      </w:pPr>
    </w:p>
    <w:p>
      <w:pPr>
        <w:pStyle w:val="29"/>
        <w:spacing w:line="560" w:lineRule="exact"/>
        <w:ind w:firstLineChars="200" w:firstLine="600"/>
        <w:rPr>
          <w:rFonts w:ascii="仿宋_GB2312" w:eastAsia="仿宋_GB2312"/>
          <w:sz w:val="30"/>
          <w:szCs w:val="30"/>
        </w:rPr>
      </w:pPr>
      <w:bookmarkStart w:id="113" w:name="_Toc15377226"/>
      <w:r>
        <w:rPr>
          <w:rFonts w:ascii="仿宋_GB2312" w:eastAsia="仿宋_GB2312" w:hint="eastAsia"/>
          <w:sz w:val="30"/>
          <w:szCs w:val="30"/>
        </w:rPr>
        <w:t xml:space="preserve">1.财政拨款收入：指县级财政当年拨付的资金。 </w:t>
      </w:r>
    </w:p>
    <w:p>
      <w:pPr>
        <w:pStyle w:val="29"/>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2.年初结转和结余：指以前年度尚未完成、结转到本年按有关规定继续使用的资金。 </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3. 一般公共服务201（类）党委办公厅（室）及相关机构事务31（款）行政运行01（项）：指反映行政人员的基本支出。</w:t>
      </w:r>
    </w:p>
    <w:p>
      <w:pPr>
        <w:ind w:firstLineChars="200" w:firstLine="600"/>
        <w:rPr>
          <w:rFonts w:ascii="仿宋_GB2312" w:eastAsia="仿宋_GB2312"/>
          <w:color w:val="000000"/>
          <w:w w:val="90"/>
          <w:sz w:val="30"/>
          <w:szCs w:val="30"/>
        </w:rPr>
      </w:pPr>
      <w:r>
        <w:rPr>
          <w:rFonts w:ascii="仿宋_GB2312" w:eastAsia="仿宋_GB2312" w:hint="eastAsia"/>
          <w:color w:val="000000"/>
          <w:sz w:val="30"/>
          <w:szCs w:val="30"/>
        </w:rPr>
        <w:t>4.一般公共服务201（类）其他一般公共服务99（款）其他</w:t>
      </w:r>
      <w:r>
        <w:rPr>
          <w:rFonts w:ascii="仿宋_GB2312" w:eastAsia="仿宋_GB2312" w:hint="eastAsia"/>
          <w:color w:val="000000"/>
          <w:w w:val="90"/>
          <w:sz w:val="30"/>
          <w:szCs w:val="30"/>
        </w:rPr>
        <w:t>一般公共服务99（项）</w:t>
      </w:r>
      <w:r>
        <w:rPr>
          <w:rFonts w:ascii="仿宋_GB2312" w:eastAsia="仿宋_GB2312" w:hint="eastAsia"/>
          <w:w w:val="90"/>
          <w:sz w:val="30"/>
          <w:szCs w:val="30"/>
        </w:rPr>
        <w:t>：</w:t>
      </w:r>
      <w:r>
        <w:rPr>
          <w:rFonts w:ascii="仿宋_GB2312" w:eastAsia="仿宋_GB2312" w:hint="eastAsia"/>
          <w:color w:val="000000"/>
          <w:w w:val="90"/>
          <w:sz w:val="30"/>
          <w:szCs w:val="30"/>
        </w:rPr>
        <w:t>指反映县级领导全州绩效考核后的目标奖。</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5.社会保障和就业208行政事业单位离退休05机关事业单位基本养老保险缴费支出05：指机关事业单位实施养老保险制度由单位缴纳的基本养老保险费支出。</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6.社会保障和就业208行政事业单位离退休05机关事业单位职业年金缴费支出06：指机关事业单位实施养老保险制度由单位缴纳的职业年金支出。</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7.医疗卫生与计划生育支出210医疗保障05行政单位医疗01：指行政单位基本医疗保险缴费。</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8.住房保障支出221住房改革支出02住房公积金01：指反映行政事业单位按人力资源和社会保障部、财政部规定的基本工资和津贴补贴以及规定比例为职工缴纳的住房公积金。</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9.其他支出229其他支出99其他支出01：指其他不能划分到具体功能科目中的支出项目。</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10.年末结转和结余：指本年度或以前年度预算安排、因客观条件发生变化无法按原计划实施，需延迟到以后年度按有关规定继续使用的资金。</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11.基本支出：指为保障机构正常运转、完成日常工作任务而发生的人员支出和公用支出。</w:t>
      </w:r>
    </w:p>
    <w:p>
      <w:pPr>
        <w:ind w:firstLineChars="200" w:firstLine="600"/>
        <w:rPr>
          <w:rFonts w:ascii="仿宋_GB2312" w:eastAsia="仿宋_GB2312"/>
          <w:color w:val="000000"/>
          <w:sz w:val="30"/>
          <w:szCs w:val="30"/>
        </w:rPr>
      </w:pPr>
      <w:r>
        <w:rPr>
          <w:rFonts w:ascii="仿宋_GB2312" w:eastAsia="仿宋_GB2312" w:hint="eastAsia"/>
          <w:color w:val="000000"/>
          <w:sz w:val="30"/>
          <w:szCs w:val="30"/>
        </w:rPr>
        <w:t xml:space="preserve">12.项目支出：指在基本支出之外为完成特定行政任务和事业发展目标所发生的支出。 </w:t>
      </w:r>
    </w:p>
    <w:p>
      <w:pPr>
        <w:pStyle w:val="29"/>
        <w:spacing w:line="560" w:lineRule="exact"/>
        <w:ind w:firstLineChars="200" w:firstLine="600"/>
        <w:rPr>
          <w:rFonts w:ascii="仿宋_GB2312" w:eastAsia="仿宋_GB2312"/>
          <w:sz w:val="30"/>
          <w:szCs w:val="30"/>
        </w:rPr>
      </w:pPr>
      <w:r>
        <w:rPr>
          <w:rFonts w:ascii="仿宋_GB2312" w:eastAsia="仿宋_GB2312" w:hint="eastAsia"/>
          <w:sz w:val="30"/>
          <w:szCs w:val="30"/>
        </w:rPr>
        <w:t>13.“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9"/>
        <w:spacing w:line="560" w:lineRule="exact"/>
        <w:ind w:firstLineChars="200" w:firstLine="600"/>
        <w:rPr>
          <w:rFonts w:ascii="仿宋_GB2312" w:eastAsia="仿宋_GB2312"/>
          <w:sz w:val="30"/>
          <w:szCs w:val="30"/>
        </w:rPr>
      </w:pPr>
      <w:r>
        <w:rPr>
          <w:rFonts w:ascii="仿宋_GB2312" w:eastAsia="仿宋_GB2312" w:hint="eastAsia"/>
          <w:sz w:val="30"/>
          <w:szCs w:val="30"/>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pPr>
      <w:r>
        <w:rPr>
          <w:rFonts w:ascii="宋体" w:hint="eastAsia"/>
          <w:b/>
          <w:color w:val="000000"/>
          <w:sz w:val="44"/>
          <w:szCs w:val="44"/>
        </w:rPr>
        <w:br w:type="page"/>
      </w:r>
      <w:bookmarkEnd w:id="113"/>
      <w:r>
        <w:t xml:space="preserve"> </w:t>
      </w:r>
    </w:p>
    <w:p>
      <w:pPr>
        <w:spacing w:line="576" w:lineRule="exact"/>
        <w:jc w:val="center"/>
        <w:outlineLvl w:val="0"/>
        <w:rPr>
          <w:rStyle w:val="1Char"/>
          <w:rFonts w:eastAsia="黑体"/>
          <w:b w:val="0"/>
        </w:rPr>
      </w:pPr>
      <w:bookmarkStart w:id="114" w:name="_Toc26843623"/>
      <w:bookmarkStart w:id="115" w:name="_Toc15396614"/>
      <w:r>
        <w:rPr>
          <w:rFonts w:eastAsia="黑体"/>
          <w:sz w:val="44"/>
          <w:szCs w:val="44"/>
        </w:rPr>
        <w:t>第</w:t>
      </w:r>
      <w:r>
        <w:rPr>
          <w:rStyle w:val="1Char"/>
          <w:rFonts w:eastAsia="黑体"/>
        </w:rPr>
        <w:t>四部分 附件</w:t>
      </w:r>
      <w:bookmarkEnd w:id="114"/>
      <w:bookmarkEnd w:id="115"/>
    </w:p>
    <w:p>
      <w:pPr>
        <w:spacing w:line="576" w:lineRule="exact"/>
        <w:jc w:val="left"/>
        <w:outlineLvl w:val="0"/>
        <w:rPr>
          <w:rFonts w:eastAsia="方正小标宋简体"/>
          <w:sz w:val="44"/>
          <w:szCs w:val="44"/>
        </w:rPr>
      </w:pPr>
      <w:bookmarkStart w:id="116" w:name="_Toc26843624"/>
      <w:r>
        <w:rPr>
          <w:rFonts w:eastAsia="黑体"/>
          <w:sz w:val="32"/>
          <w:szCs w:val="32"/>
        </w:rPr>
        <w:t>附件</w:t>
      </w:r>
      <w:bookmarkEnd w:id="116"/>
    </w:p>
    <w:p>
      <w:pPr>
        <w:widowControl/>
        <w:spacing w:line="580" w:lineRule="exact"/>
        <w:contextualSpacing/>
        <w:jc w:val="center"/>
        <w:rPr>
          <w:rFonts w:ascii="宋体" w:eastAsia="宋体" w:hint="eastAsia"/>
          <w:b/>
          <w:sz w:val="44"/>
          <w:szCs w:val="44"/>
          <w:shd w:val="clear" w:color="auto" w:fill="FFFFFF"/>
        </w:rPr>
      </w:pPr>
      <w:r>
        <w:rPr>
          <w:rFonts w:ascii="宋体" w:eastAsia="宋体" w:hint="eastAsia"/>
          <w:b/>
          <w:sz w:val="44"/>
          <w:szCs w:val="44"/>
          <w:shd w:val="clear" w:color="auto" w:fill="FFFFFF"/>
        </w:rPr>
        <w:t>20</w:t>
      </w:r>
      <w:r>
        <w:rPr>
          <w:rFonts w:ascii="宋体" w:eastAsia="宋体" w:hint="eastAsia"/>
          <w:b/>
          <w:sz w:val="44"/>
          <w:szCs w:val="44"/>
          <w:shd w:val="clear" w:color="auto" w:fill="FFFFFF"/>
          <w:lang w:val="en-US" w:eastAsia="zh-CN"/>
        </w:rPr>
        <w:t>22</w:t>
      </w:r>
      <w:r>
        <w:rPr>
          <w:rFonts w:ascii="宋体" w:eastAsia="宋体" w:hint="eastAsia"/>
          <w:b/>
          <w:sz w:val="44"/>
          <w:szCs w:val="44"/>
          <w:shd w:val="clear" w:color="auto" w:fill="FFFFFF"/>
        </w:rPr>
        <w:t>年</w:t>
      </w:r>
      <w:r>
        <w:rPr>
          <w:rFonts w:ascii="宋体" w:eastAsia="宋体" w:hint="eastAsia"/>
          <w:b/>
          <w:sz w:val="44"/>
          <w:szCs w:val="44"/>
          <w:shd w:val="clear" w:color="auto" w:fill="FFFFFF"/>
          <w:lang w:eastAsia="zh-CN"/>
        </w:rPr>
        <w:t>金川县交通局</w:t>
      </w:r>
      <w:r>
        <w:rPr>
          <w:rFonts w:ascii="宋体" w:eastAsia="宋体" w:hint="eastAsia"/>
          <w:b/>
          <w:sz w:val="44"/>
          <w:szCs w:val="44"/>
          <w:shd w:val="clear" w:color="auto" w:fill="FFFFFF"/>
        </w:rPr>
        <w:t>整体支出</w:t>
      </w:r>
    </w:p>
    <w:p>
      <w:pPr>
        <w:widowControl/>
        <w:spacing w:line="580" w:lineRule="exact"/>
        <w:contextualSpacing/>
        <w:jc w:val="center"/>
        <w:rPr>
          <w:rFonts w:ascii="宋体" w:eastAsia="宋体"/>
          <w:b/>
          <w:sz w:val="44"/>
          <w:szCs w:val="44"/>
          <w:shd w:val="clear" w:color="auto" w:fill="FFFFFF"/>
        </w:rPr>
      </w:pPr>
      <w:r>
        <w:rPr>
          <w:rFonts w:ascii="宋体" w:eastAsia="宋体" w:hint="eastAsia"/>
          <w:b/>
          <w:sz w:val="44"/>
          <w:szCs w:val="44"/>
          <w:shd w:val="clear" w:color="auto" w:fill="FFFFFF"/>
        </w:rPr>
        <w:t>绩效评价报告</w:t>
      </w:r>
    </w:p>
    <w:p>
      <w:pPr>
        <w:widowControl/>
        <w:spacing w:line="580" w:lineRule="exact"/>
        <w:contextualSpacing/>
        <w:jc w:val="center"/>
        <w:rPr>
          <w:rFonts w:ascii="仿宋_GB2312" w:hAnsi="仿宋_GB2312"/>
          <w:szCs w:val="32"/>
          <w:shd w:val="clear" w:color="auto" w:fill="FFFFFF"/>
        </w:rPr>
      </w:pPr>
      <w:r>
        <w:rPr>
          <w:rFonts w:ascii="仿宋_GB2312" w:hAnsi="仿宋_GB2312" w:hint="eastAsia"/>
          <w:szCs w:val="32"/>
          <w:shd w:val="clear" w:color="auto" w:fill="FFFFFF"/>
        </w:rPr>
        <w:t>（报告范围包括机关和下属单位）</w:t>
      </w:r>
    </w:p>
    <w:p>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Chars="200" w:firstLine="640"/>
        <w:contextualSpacing/>
        <w:jc w:val="left"/>
        <w:rPr>
          <w:rFonts w:ascii="仿宋" w:eastAsia="仿宋" w:cs="仿宋" w:hint="eastAsia"/>
          <w:b/>
          <w:bCs/>
          <w:color w:val="000000"/>
          <w:kern w:val="0"/>
          <w:sz w:val="32"/>
          <w:szCs w:val="32"/>
          <w:shd w:val="clear" w:color="auto" w:fill="FFFFFF"/>
          <w:lang w:val="zh-CN"/>
        </w:rPr>
      </w:pPr>
      <w:r>
        <w:rPr>
          <w:rFonts w:ascii="仿宋" w:eastAsia="仿宋" w:cs="仿宋" w:hint="eastAsia"/>
          <w:b/>
          <w:bCs/>
          <w:color w:val="000000"/>
          <w:kern w:val="0"/>
          <w:sz w:val="32"/>
          <w:szCs w:val="32"/>
          <w:shd w:val="clear" w:color="auto" w:fill="FFFFFF"/>
        </w:rPr>
        <w:t>一、</w:t>
      </w:r>
      <w:r>
        <w:rPr>
          <w:rFonts w:ascii="仿宋" w:eastAsia="仿宋" w:cs="仿宋" w:hint="eastAsia"/>
          <w:b/>
          <w:bCs/>
          <w:color w:val="000000"/>
          <w:kern w:val="0"/>
          <w:sz w:val="32"/>
          <w:szCs w:val="32"/>
          <w:shd w:val="clear" w:color="auto" w:fill="FFFFFF"/>
          <w:lang w:val="zh-CN"/>
        </w:rPr>
        <w:t>部门（单位）概况</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（一）</w:t>
      </w:r>
      <w:r>
        <w:rPr>
          <w:rFonts w:ascii="仿宋" w:eastAsia="仿宋" w:cs="仿宋" w:hint="eastAsia"/>
          <w:sz w:val="32"/>
          <w:szCs w:val="32"/>
        </w:rPr>
        <w:t>20</w:t>
      </w:r>
      <w:r>
        <w:rPr>
          <w:rFonts w:ascii="仿宋" w:eastAsia="仿宋" w:cs="仿宋" w:hint="eastAsia"/>
          <w:sz w:val="32"/>
          <w:szCs w:val="32"/>
          <w:lang w:val="en-US" w:eastAsia="zh-CN"/>
        </w:rPr>
        <w:t>21</w:t>
      </w:r>
      <w:r>
        <w:rPr>
          <w:rFonts w:ascii="仿宋" w:eastAsia="仿宋" w:cs="仿宋" w:hint="eastAsia"/>
          <w:sz w:val="32"/>
          <w:szCs w:val="32"/>
        </w:rPr>
        <w:t>年独立编制单位机构数为 1个</w:t>
      </w:r>
    </w:p>
    <w:p>
      <w:pPr>
        <w:widowControl/>
        <w:spacing w:line="540" w:lineRule="atLeast"/>
        <w:ind w:firstLineChars="200" w:firstLine="64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（二）</w:t>
      </w:r>
      <w:r>
        <w:rPr>
          <w:rFonts w:ascii="仿宋" w:eastAsia="仿宋" w:cs="仿宋" w:hint="eastAsia"/>
          <w:sz w:val="32"/>
          <w:szCs w:val="32"/>
        </w:rPr>
        <w:t>1．主要职能</w:t>
      </w:r>
      <w:r>
        <w:rPr>
          <w:rFonts w:ascii="仿宋" w:eastAsia="仿宋" w:cs="仿宋" w:hint="eastAsia"/>
          <w:kern w:val="0"/>
          <w:sz w:val="32"/>
          <w:szCs w:val="32"/>
        </w:rPr>
        <w:t>：1、办公室承担机关日常事务管理工作，协调机关各股室工作关系，组织重要会议；负责会议报告和综合性文稿的起草。负责文秘、宣传报道、政务信息、信访、调研、督查、督办、档案、保密和目标管理考核等工作。负责局机关和所属事业单位的机构编制和人事管理及教育培训等工作。承办局领导交办的其他事宜。2、计划财务股：负责全县交通运输行业财务管理和预算资金的管理工作，承办公路、水路行业投融资办法以订工作，负责财政、税收、信贷等协调工作；负责局机关预算的编制、国有资产管理工作，负责内部审计工作，负责局机关物资采购工作；承办级领导交办的其他事宜。3、安全运输管理股：承办交通运输法律、法规和规章的宣传贯彻；承担相关行政执法、执法监督、行政复议、行政诉讼工作；承担全县综合运输市场体系建设和监督管理工作；组织客货运输市场调查，镇分析、预测交通宏观经济运行情况。4、农村公路</w:t>
      </w:r>
      <w:r>
        <w:rPr>
          <w:rFonts w:ascii="仿宋" w:eastAsia="仿宋" w:cs="仿宋" w:hint="eastAsia"/>
          <w:kern w:val="0"/>
          <w:sz w:val="32"/>
          <w:szCs w:val="32"/>
          <w:lang w:eastAsia="zh-CN"/>
        </w:rPr>
        <w:t>工作中心</w:t>
      </w:r>
      <w:r>
        <w:rPr>
          <w:rFonts w:ascii="仿宋" w:eastAsia="仿宋" w:cs="仿宋" w:hint="eastAsia"/>
          <w:kern w:val="0"/>
          <w:sz w:val="32"/>
          <w:szCs w:val="32"/>
        </w:rPr>
        <w:t>：负责全县农村公路养护公路工作，制定农村公路养护公路规章制度、技术政策和技术规范要求，负责监督指导农村公路养护公路工作，对全县农村公路养护公路情况进行检查考核，负责管理使用各种养护机具车辆。5、</w:t>
      </w:r>
      <w:r>
        <w:rPr>
          <w:rFonts w:ascii="仿宋" w:eastAsia="仿宋" w:cs="仿宋" w:hint="eastAsia"/>
          <w:kern w:val="0"/>
          <w:sz w:val="32"/>
          <w:szCs w:val="32"/>
          <w:lang w:eastAsia="zh-CN"/>
        </w:rPr>
        <w:t>公路工程质量监督</w:t>
      </w:r>
      <w:r>
        <w:rPr>
          <w:rFonts w:ascii="仿宋" w:eastAsia="仿宋" w:cs="仿宋" w:hint="eastAsia"/>
          <w:kern w:val="0"/>
          <w:sz w:val="32"/>
          <w:szCs w:val="32"/>
        </w:rPr>
        <w:t>站：按照州有关行业务要求，组织实施全县公路建设养护以及大中修工程和水毁恢复工程的管理工作，确保我县公路建设、养护工作健康有序发展，负责贯彻公路行业宣传和管理，维护我县公路路产路权；负责办理全县公路建设、养护以及大中修工程和水毁恢复工程的结算，指导管理全州重点项目的工程结算，确保我州公路建设资金发挥应有的作用。</w:t>
      </w:r>
    </w:p>
    <w:p>
      <w:pPr>
        <w:snapToGrid w:val="0"/>
        <w:spacing w:line="540" w:lineRule="atLeast"/>
        <w:ind w:firstLineChars="200" w:firstLine="640"/>
        <w:rPr>
          <w:rFonts w:ascii="仿宋" w:eastAsia="仿宋" w:cs="仿宋" w:hint="eastAsia"/>
          <w:bCs/>
          <w:sz w:val="32"/>
          <w:szCs w:val="32"/>
        </w:rPr>
      </w:pPr>
      <w:r>
        <w:rPr>
          <w:rFonts w:ascii="仿宋" w:eastAsia="仿宋" w:cs="仿宋" w:hint="eastAsia"/>
          <w:color w:val="000000"/>
          <w:kern w:val="0"/>
          <w:sz w:val="32"/>
          <w:szCs w:val="32"/>
          <w:lang w:val="zh-CN"/>
        </w:rPr>
        <w:t>（三）人员概况：</w:t>
      </w:r>
      <w:r>
        <w:rPr>
          <w:rFonts w:ascii="仿宋" w:eastAsia="仿宋" w:cs="仿宋" w:hint="eastAsia"/>
          <w:sz w:val="32"/>
          <w:szCs w:val="32"/>
        </w:rPr>
        <w:t>编制数3</w:t>
      </w:r>
      <w:r>
        <w:rPr>
          <w:rFonts w:ascii="仿宋" w:eastAsia="仿宋" w:cs="仿宋" w:hint="eastAsia"/>
          <w:sz w:val="32"/>
          <w:szCs w:val="32"/>
          <w:lang w:val="en-US" w:eastAsia="zh-CN"/>
        </w:rPr>
        <w:t>1</w:t>
      </w:r>
      <w:r>
        <w:rPr>
          <w:rFonts w:ascii="仿宋" w:eastAsia="仿宋" w:cs="仿宋" w:hint="eastAsia"/>
          <w:sz w:val="32"/>
          <w:szCs w:val="32"/>
        </w:rPr>
        <w:t>人，</w:t>
      </w:r>
      <w:r>
        <w:rPr>
          <w:rFonts w:ascii="仿宋" w:eastAsia="仿宋" w:cs="仿宋" w:hint="eastAsia"/>
          <w:bCs/>
          <w:sz w:val="32"/>
          <w:szCs w:val="32"/>
        </w:rPr>
        <w:t> 20</w:t>
      </w:r>
      <w:r>
        <w:rPr>
          <w:rFonts w:ascii="仿宋" w:eastAsia="仿宋" w:cs="仿宋" w:hint="eastAsia"/>
          <w:bCs/>
          <w:sz w:val="32"/>
          <w:szCs w:val="32"/>
          <w:lang w:val="en-US" w:eastAsia="zh-CN"/>
        </w:rPr>
        <w:t>21</w:t>
      </w:r>
      <w:r>
        <w:rPr>
          <w:rFonts w:ascii="仿宋" w:eastAsia="仿宋" w:cs="仿宋" w:hint="eastAsia"/>
          <w:bCs/>
          <w:sz w:val="32"/>
          <w:szCs w:val="32"/>
        </w:rPr>
        <w:t>年年初在职</w:t>
      </w:r>
      <w:r>
        <w:rPr>
          <w:rFonts w:ascii="仿宋" w:eastAsia="仿宋" w:cs="仿宋" w:hint="eastAsia"/>
          <w:bCs/>
          <w:sz w:val="32"/>
          <w:szCs w:val="32"/>
          <w:lang w:val="en-US" w:eastAsia="zh-CN"/>
        </w:rPr>
        <w:t>32</w:t>
      </w:r>
      <w:r>
        <w:rPr>
          <w:rFonts w:ascii="仿宋" w:eastAsia="仿宋" w:cs="仿宋" w:hint="eastAsia"/>
          <w:bCs/>
          <w:sz w:val="32"/>
          <w:szCs w:val="32"/>
        </w:rPr>
        <w:t>人（行政人员</w:t>
      </w:r>
      <w:r>
        <w:rPr>
          <w:rFonts w:ascii="仿宋" w:eastAsia="仿宋" w:cs="仿宋" w:hint="eastAsia"/>
          <w:bCs/>
          <w:sz w:val="32"/>
          <w:szCs w:val="32"/>
          <w:lang w:val="en-US" w:eastAsia="zh-CN"/>
        </w:rPr>
        <w:t>7</w:t>
      </w:r>
      <w:r>
        <w:rPr>
          <w:rFonts w:ascii="仿宋" w:eastAsia="仿宋" w:cs="仿宋" w:hint="eastAsia"/>
          <w:bCs/>
          <w:sz w:val="32"/>
          <w:szCs w:val="32"/>
        </w:rPr>
        <w:t>人，行政工勤2人，事业专技</w:t>
      </w:r>
      <w:r>
        <w:rPr>
          <w:rFonts w:ascii="仿宋" w:eastAsia="仿宋" w:cs="仿宋" w:hint="eastAsia"/>
          <w:bCs/>
          <w:sz w:val="32"/>
          <w:szCs w:val="32"/>
          <w:lang w:val="en-US" w:eastAsia="zh-CN"/>
        </w:rPr>
        <w:t>20</w:t>
      </w:r>
      <w:r>
        <w:rPr>
          <w:rFonts w:ascii="仿宋" w:eastAsia="仿宋" w:cs="仿宋" w:hint="eastAsia"/>
          <w:bCs/>
          <w:sz w:val="32"/>
          <w:szCs w:val="32"/>
        </w:rPr>
        <w:t>人，管理</w:t>
      </w:r>
      <w:r>
        <w:rPr>
          <w:rFonts w:ascii="仿宋" w:eastAsia="仿宋" w:cs="仿宋" w:hint="eastAsia"/>
          <w:bCs/>
          <w:sz w:val="32"/>
          <w:szCs w:val="32"/>
          <w:lang w:val="en-US" w:eastAsia="zh-CN"/>
        </w:rPr>
        <w:t>2</w:t>
      </w:r>
      <w:r>
        <w:rPr>
          <w:rFonts w:ascii="仿宋" w:eastAsia="仿宋" w:cs="仿宋" w:hint="eastAsia"/>
          <w:bCs/>
          <w:sz w:val="32"/>
          <w:szCs w:val="32"/>
        </w:rPr>
        <w:t>人），退休、退职人员纳入社保。</w:t>
      </w:r>
    </w:p>
    <w:p>
      <w:pPr>
        <w:widowControl/>
        <w:adjustRightInd w:val="0"/>
        <w:snapToGrid w:val="0"/>
        <w:spacing w:line="580" w:lineRule="exact"/>
        <w:ind w:firstLineChars="200" w:firstLine="640"/>
        <w:contextualSpacing/>
        <w:jc w:val="left"/>
        <w:rPr>
          <w:rFonts w:ascii="仿宋" w:eastAsia="仿宋" w:cs="仿宋" w:hint="eastAsia"/>
          <w:b/>
          <w:bCs/>
          <w:color w:val="000000"/>
          <w:kern w:val="0"/>
          <w:sz w:val="32"/>
          <w:szCs w:val="32"/>
          <w:shd w:val="clear" w:color="auto" w:fill="FFFFFF"/>
        </w:rPr>
      </w:pPr>
      <w:r>
        <w:rPr>
          <w:rFonts w:ascii="仿宋" w:eastAsia="仿宋" w:cs="仿宋" w:hint="eastAsia"/>
          <w:b/>
          <w:bCs/>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 w:eastAsia="仿宋" w:cs="仿宋" w:hint="eastAsia"/>
          <w:color w:val="000000"/>
          <w:kern w:val="0"/>
          <w:sz w:val="32"/>
          <w:szCs w:val="32"/>
          <w:shd w:val="clear" w:color="auto" w:fill="FFFFFF"/>
          <w:lang w:val="zh-CN"/>
        </w:rPr>
      </w:pPr>
      <w:r>
        <w:rPr>
          <w:rFonts w:ascii="仿宋" w:eastAsia="仿宋" w:cs="仿宋" w:hint="eastAsia"/>
          <w:color w:val="000000"/>
          <w:kern w:val="0"/>
          <w:sz w:val="32"/>
          <w:szCs w:val="32"/>
          <w:shd w:val="clear" w:color="auto" w:fill="FFFFFF"/>
          <w:lang w:val="zh-CN"/>
        </w:rPr>
        <w:t>（一）部门财政资金收入</w:t>
      </w:r>
      <w:r>
        <w:rPr>
          <w:rFonts w:ascii="仿宋" w:eastAsia="仿宋" w:cs="仿宋" w:hint="eastAsia"/>
          <w:color w:val="000000"/>
          <w:kern w:val="0"/>
          <w:sz w:val="32"/>
          <w:szCs w:val="32"/>
          <w:shd w:val="clear" w:color="auto" w:fill="FFFFFF"/>
          <w:lang w:val="en-US" w:eastAsia="zh-CN"/>
        </w:rPr>
        <w:t>15127.82万元</w:t>
      </w:r>
      <w:r>
        <w:rPr>
          <w:rFonts w:ascii="仿宋" w:eastAsia="仿宋" w:cs="仿宋" w:hint="eastAsia"/>
          <w:color w:val="000000"/>
          <w:kern w:val="0"/>
          <w:sz w:val="32"/>
          <w:szCs w:val="32"/>
          <w:shd w:val="clear" w:color="auto" w:fill="FFFFFF"/>
          <w:lang w:val="zh-CN"/>
        </w:rPr>
        <w:t>。</w:t>
      </w:r>
    </w:p>
    <w:p>
      <w:pPr>
        <w:widowControl/>
        <w:adjustRightInd w:val="0"/>
        <w:snapToGrid w:val="0"/>
        <w:spacing w:line="580" w:lineRule="exact"/>
        <w:ind w:firstLineChars="200" w:firstLine="640"/>
        <w:contextualSpacing/>
        <w:jc w:val="left"/>
        <w:rPr>
          <w:rFonts w:ascii="仿宋" w:eastAsia="仿宋" w:cs="仿宋" w:hint="eastAsia"/>
          <w:color w:val="000000"/>
          <w:kern w:val="0"/>
          <w:sz w:val="32"/>
          <w:szCs w:val="32"/>
          <w:shd w:val="clear" w:color="auto" w:fill="FFFFFF"/>
          <w:lang w:val="zh-CN"/>
        </w:rPr>
      </w:pPr>
      <w:r>
        <w:rPr>
          <w:rFonts w:ascii="仿宋" w:eastAsia="仿宋" w:cs="仿宋" w:hint="eastAsia"/>
          <w:color w:val="000000"/>
          <w:kern w:val="0"/>
          <w:sz w:val="32"/>
          <w:szCs w:val="32"/>
          <w:shd w:val="clear" w:color="auto" w:fill="FFFFFF"/>
          <w:lang w:val="zh-CN"/>
        </w:rPr>
        <w:t>（二）部门财政资金支出</w:t>
      </w:r>
      <w:r>
        <w:rPr>
          <w:rFonts w:ascii="仿宋" w:eastAsia="仿宋" w:cs="仿宋" w:hint="eastAsia"/>
          <w:color w:val="000000"/>
          <w:kern w:val="0"/>
          <w:sz w:val="32"/>
          <w:szCs w:val="32"/>
          <w:shd w:val="clear" w:color="auto" w:fill="FFFFFF"/>
          <w:lang w:val="en-US" w:eastAsia="zh-CN"/>
        </w:rPr>
        <w:t>10103.15万元</w:t>
      </w:r>
      <w:r>
        <w:rPr>
          <w:rFonts w:ascii="仿宋" w:eastAsia="仿宋" w:cs="仿宋" w:hint="eastAsia"/>
          <w:color w:val="000000"/>
          <w:kern w:val="0"/>
          <w:sz w:val="32"/>
          <w:szCs w:val="32"/>
          <w:shd w:val="clear" w:color="auto" w:fill="FFFFFF"/>
          <w:lang w:val="zh-CN"/>
        </w:rPr>
        <w:t>。</w:t>
      </w:r>
    </w:p>
    <w:p>
      <w:pPr>
        <w:widowControl/>
        <w:adjustRightInd w:val="0"/>
        <w:snapToGrid w:val="0"/>
        <w:spacing w:line="580" w:lineRule="exact"/>
        <w:ind w:firstLineChars="200" w:firstLine="640"/>
        <w:contextualSpacing/>
        <w:jc w:val="left"/>
        <w:rPr>
          <w:rFonts w:ascii="仿宋" w:eastAsia="仿宋" w:cs="仿宋" w:hint="eastAsia"/>
          <w:color w:val="000000"/>
          <w:kern w:val="0"/>
          <w:sz w:val="32"/>
          <w:szCs w:val="32"/>
          <w:shd w:val="clear" w:color="auto" w:fill="FFFFFF"/>
        </w:rPr>
      </w:pPr>
      <w:r>
        <w:rPr>
          <w:rFonts w:ascii="仿宋" w:eastAsia="仿宋" w:cs="仿宋" w:hint="eastAsia"/>
          <w:b/>
          <w:bCs/>
          <w:color w:val="000000"/>
          <w:kern w:val="0"/>
          <w:sz w:val="32"/>
          <w:szCs w:val="32"/>
          <w:shd w:val="clear" w:color="auto" w:fill="FFFFFF"/>
        </w:rPr>
        <w:t>三、部门整体预算绩效管理情况</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（一）预算编制情况。</w:t>
      </w:r>
    </w:p>
    <w:p>
      <w:pPr>
        <w:widowControl/>
        <w:adjustRightInd w:val="0"/>
        <w:snapToGrid w:val="0"/>
        <w:spacing w:line="54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20</w:t>
      </w:r>
      <w:r>
        <w:rPr>
          <w:rFonts w:ascii="仿宋" w:eastAsia="仿宋" w:cs="仿宋" w:hint="eastAsia"/>
          <w:color w:val="000000"/>
          <w:kern w:val="0"/>
          <w:sz w:val="32"/>
          <w:szCs w:val="32"/>
          <w:lang w:val="en-US" w:eastAsia="zh-CN"/>
        </w:rPr>
        <w:t>22</w:t>
      </w:r>
      <w:r>
        <w:rPr>
          <w:rFonts w:ascii="仿宋" w:eastAsia="仿宋" w:cs="仿宋" w:hint="eastAsia"/>
          <w:color w:val="000000"/>
          <w:kern w:val="0"/>
          <w:sz w:val="32"/>
          <w:szCs w:val="32"/>
          <w:lang w:val="zh-CN"/>
        </w:rPr>
        <w:t>年预算编制严格按照县级部门预算编制通知和有关要求，遵守国家编制的原则，按时完成20</w:t>
      </w:r>
      <w:r>
        <w:rPr>
          <w:rFonts w:ascii="仿宋" w:eastAsia="仿宋" w:cs="仿宋" w:hint="eastAsia"/>
          <w:color w:val="000000"/>
          <w:kern w:val="0"/>
          <w:sz w:val="32"/>
          <w:szCs w:val="32"/>
          <w:lang w:val="en-US" w:eastAsia="zh-CN"/>
        </w:rPr>
        <w:t>22</w:t>
      </w:r>
      <w:r>
        <w:rPr>
          <w:rFonts w:ascii="仿宋" w:eastAsia="仿宋" w:cs="仿宋" w:hint="eastAsia"/>
          <w:color w:val="000000"/>
          <w:kern w:val="0"/>
          <w:sz w:val="32"/>
          <w:szCs w:val="32"/>
          <w:lang w:val="zh-CN"/>
        </w:rPr>
        <w:t>年预算编制工作，并按时提交部门预算报告，预算编制全面、科学。</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（二）执行管理情况。</w:t>
        <w:tab/>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20</w:t>
      </w:r>
      <w:r>
        <w:rPr>
          <w:rFonts w:ascii="仿宋" w:eastAsia="仿宋" w:cs="仿宋" w:hint="eastAsia"/>
          <w:color w:val="000000"/>
          <w:kern w:val="0"/>
          <w:sz w:val="32"/>
          <w:szCs w:val="32"/>
          <w:lang w:val="en-US" w:eastAsia="zh-CN"/>
        </w:rPr>
        <w:t>22</w:t>
      </w:r>
      <w:r>
        <w:rPr>
          <w:rFonts w:ascii="仿宋" w:eastAsia="仿宋" w:cs="仿宋" w:hint="eastAsia"/>
          <w:color w:val="000000"/>
          <w:kern w:val="0"/>
          <w:sz w:val="32"/>
          <w:szCs w:val="32"/>
          <w:lang w:val="zh-CN"/>
        </w:rPr>
        <w:t>年公务接待费与20</w:t>
      </w:r>
      <w:r>
        <w:rPr>
          <w:rFonts w:ascii="仿宋" w:eastAsia="仿宋" w:cs="仿宋" w:hint="eastAsia"/>
          <w:color w:val="000000"/>
          <w:kern w:val="0"/>
          <w:sz w:val="32"/>
          <w:szCs w:val="32"/>
          <w:lang w:val="en-US" w:eastAsia="zh-CN"/>
        </w:rPr>
        <w:t>21</w:t>
      </w:r>
      <w:r>
        <w:rPr>
          <w:rFonts w:ascii="仿宋" w:eastAsia="仿宋" w:cs="仿宋" w:hint="eastAsia"/>
          <w:color w:val="000000"/>
          <w:kern w:val="0"/>
          <w:sz w:val="32"/>
          <w:szCs w:val="32"/>
          <w:lang w:val="zh-CN"/>
        </w:rPr>
        <w:t>年公务接待费无增减</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20</w:t>
      </w:r>
      <w:r>
        <w:rPr>
          <w:rFonts w:ascii="仿宋" w:eastAsia="仿宋" w:cs="仿宋" w:hint="eastAsia"/>
          <w:color w:val="000000"/>
          <w:kern w:val="0"/>
          <w:sz w:val="32"/>
          <w:szCs w:val="32"/>
          <w:lang w:val="en-US" w:eastAsia="zh-CN"/>
        </w:rPr>
        <w:t>21</w:t>
      </w:r>
      <w:r>
        <w:rPr>
          <w:rFonts w:ascii="仿宋" w:eastAsia="仿宋" w:cs="仿宋" w:hint="eastAsia"/>
          <w:color w:val="000000"/>
          <w:kern w:val="0"/>
          <w:sz w:val="32"/>
          <w:szCs w:val="32"/>
          <w:lang w:val="zh-CN"/>
        </w:rPr>
        <w:t>年因公出国（境）费用为0元</w:t>
      </w:r>
    </w:p>
    <w:p>
      <w:pPr>
        <w:snapToGrid w:val="0"/>
        <w:spacing w:line="520" w:lineRule="exact"/>
        <w:ind w:firstLineChars="200" w:firstLine="640"/>
        <w:rPr>
          <w:rFonts w:ascii="仿宋" w:eastAsia="仿宋" w:cs="仿宋" w:hint="eastAsia"/>
          <w:sz w:val="32"/>
          <w:szCs w:val="32"/>
        </w:rPr>
      </w:pPr>
      <w:r>
        <w:rPr>
          <w:rFonts w:ascii="仿宋" w:eastAsia="仿宋" w:cs="仿宋" w:hint="eastAsia"/>
          <w:sz w:val="32"/>
          <w:szCs w:val="32"/>
        </w:rPr>
        <w:t>“三公”经费支出情况：20</w:t>
      </w:r>
      <w:r>
        <w:rPr>
          <w:rFonts w:ascii="仿宋" w:eastAsia="仿宋" w:cs="仿宋" w:hint="eastAsia"/>
          <w:sz w:val="32"/>
          <w:szCs w:val="32"/>
          <w:lang w:val="en-US" w:eastAsia="zh-CN"/>
        </w:rPr>
        <w:t>21</w:t>
      </w:r>
      <w:r>
        <w:rPr>
          <w:rFonts w:ascii="仿宋" w:eastAsia="仿宋" w:cs="仿宋" w:hint="eastAsia"/>
          <w:sz w:val="32"/>
          <w:szCs w:val="32"/>
        </w:rPr>
        <w:t>年三公经费支出</w:t>
      </w:r>
      <w:r>
        <w:rPr>
          <w:rFonts w:ascii="仿宋" w:eastAsia="仿宋" w:cs="仿宋" w:hint="eastAsia"/>
          <w:sz w:val="32"/>
          <w:szCs w:val="32"/>
          <w:lang w:val="en-US" w:eastAsia="zh-CN"/>
        </w:rPr>
        <w:t>5</w:t>
      </w:r>
      <w:r>
        <w:rPr>
          <w:rFonts w:ascii="仿宋" w:eastAsia="仿宋" w:cs="仿宋" w:hint="eastAsia"/>
          <w:sz w:val="32"/>
          <w:szCs w:val="32"/>
        </w:rPr>
        <w:t>万元比20</w:t>
      </w:r>
      <w:r>
        <w:rPr>
          <w:rFonts w:ascii="仿宋" w:eastAsia="仿宋" w:cs="仿宋" w:hint="eastAsia"/>
          <w:sz w:val="32"/>
          <w:szCs w:val="32"/>
          <w:lang w:val="en-US" w:eastAsia="zh-CN"/>
        </w:rPr>
        <w:t>20</w:t>
      </w:r>
      <w:r>
        <w:rPr>
          <w:rFonts w:ascii="仿宋" w:eastAsia="仿宋" w:cs="仿宋" w:hint="eastAsia"/>
          <w:sz w:val="32"/>
          <w:szCs w:val="32"/>
        </w:rPr>
        <w:t>三公经费</w:t>
      </w:r>
      <w:r>
        <w:rPr>
          <w:rFonts w:ascii="仿宋" w:eastAsia="仿宋" w:cs="仿宋" w:hint="eastAsia"/>
          <w:sz w:val="32"/>
          <w:szCs w:val="32"/>
          <w:lang w:val="en-US" w:eastAsia="zh-CN"/>
        </w:rPr>
        <w:t>5.72</w:t>
      </w:r>
      <w:r>
        <w:rPr>
          <w:rFonts w:ascii="仿宋" w:eastAsia="仿宋" w:cs="仿宋" w:hint="eastAsia"/>
          <w:sz w:val="32"/>
          <w:szCs w:val="32"/>
        </w:rPr>
        <w:t>万元</w:t>
      </w:r>
      <w:r>
        <w:rPr>
          <w:rFonts w:ascii="仿宋" w:eastAsia="仿宋" w:cs="仿宋" w:hint="eastAsia"/>
          <w:sz w:val="32"/>
          <w:szCs w:val="32"/>
          <w:lang w:eastAsia="zh-CN"/>
        </w:rPr>
        <w:t>增加</w:t>
      </w:r>
      <w:r>
        <w:rPr>
          <w:rFonts w:ascii="仿宋" w:eastAsia="仿宋" w:cs="仿宋" w:hint="eastAsia"/>
          <w:sz w:val="32"/>
          <w:szCs w:val="32"/>
          <w:lang w:val="en-US" w:eastAsia="zh-CN"/>
        </w:rPr>
        <w:t>0.72</w:t>
      </w:r>
      <w:r>
        <w:rPr>
          <w:rFonts w:ascii="仿宋" w:eastAsia="仿宋" w:cs="仿宋" w:hint="eastAsia"/>
          <w:sz w:val="32"/>
          <w:szCs w:val="32"/>
        </w:rPr>
        <w:t>万元</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（三）综合管理情况。</w:t>
      </w:r>
    </w:p>
    <w:p>
      <w:pPr>
        <w:pStyle w:val="24"/>
        <w:shd w:val="clear" w:color="auto" w:fill="FFFFFF"/>
        <w:spacing w:before="0" w:beforeAutospacing="0" w:after="0" w:afterAutospacing="0" w:line="351" w:lineRule="atLeast"/>
        <w:ind w:firstLine="538"/>
        <w:rPr>
          <w:rFonts w:ascii="仿宋" w:eastAsia="仿宋" w:cs="仿宋" w:hint="eastAsia"/>
          <w:color w:val="000000"/>
          <w:sz w:val="32"/>
          <w:szCs w:val="32"/>
          <w:lang w:val="zh-CN"/>
        </w:rPr>
      </w:pPr>
      <w:r>
        <w:rPr>
          <w:rFonts w:ascii="仿宋" w:eastAsia="仿宋" w:cs="仿宋" w:hint="eastAsia"/>
          <w:color w:val="000000"/>
          <w:sz w:val="32"/>
          <w:szCs w:val="32"/>
          <w:lang w:val="zh-CN"/>
        </w:rPr>
        <w:t>1.政府性债务管理：20</w:t>
      </w:r>
      <w:r>
        <w:rPr>
          <w:rFonts w:ascii="仿宋" w:eastAsia="仿宋" w:cs="仿宋" w:hint="eastAsia"/>
          <w:color w:val="000000"/>
          <w:sz w:val="32"/>
          <w:szCs w:val="32"/>
          <w:lang w:val="en-US" w:eastAsia="zh-CN"/>
        </w:rPr>
        <w:t>21</w:t>
      </w:r>
      <w:r>
        <w:rPr>
          <w:rFonts w:ascii="仿宋" w:eastAsia="仿宋" w:cs="仿宋" w:hint="eastAsia"/>
          <w:color w:val="000000"/>
          <w:sz w:val="32"/>
          <w:szCs w:val="32"/>
          <w:lang w:val="zh-CN"/>
        </w:rPr>
        <w:t>年无政府性债务。</w:t>
      </w:r>
    </w:p>
    <w:p>
      <w:pPr>
        <w:pStyle w:val="24"/>
        <w:shd w:val="clear" w:color="auto" w:fill="FFFFFF"/>
        <w:spacing w:before="0" w:beforeAutospacing="0" w:after="0" w:afterAutospacing="0" w:line="351" w:lineRule="atLeast"/>
        <w:ind w:firstLine="538"/>
        <w:rPr>
          <w:rFonts w:ascii="仿宋" w:eastAsia="仿宋" w:cs="仿宋" w:hint="eastAsia"/>
          <w:color w:val="000000"/>
          <w:sz w:val="32"/>
          <w:szCs w:val="32"/>
          <w:lang w:val="zh-CN"/>
        </w:rPr>
      </w:pPr>
      <w:r>
        <w:rPr>
          <w:rFonts w:ascii="仿宋" w:eastAsia="仿宋" w:cs="仿宋" w:hint="eastAsia"/>
          <w:color w:val="000000"/>
          <w:sz w:val="32"/>
          <w:szCs w:val="32"/>
          <w:lang w:val="zh-CN"/>
        </w:rPr>
        <w:t>2.非税收入执收：20</w:t>
      </w:r>
      <w:r>
        <w:rPr>
          <w:rFonts w:ascii="仿宋" w:eastAsia="仿宋" w:cs="仿宋" w:hint="eastAsia"/>
          <w:color w:val="000000"/>
          <w:sz w:val="32"/>
          <w:szCs w:val="32"/>
          <w:lang w:val="en-US" w:eastAsia="zh-CN"/>
        </w:rPr>
        <w:t>21</w:t>
      </w:r>
      <w:r>
        <w:rPr>
          <w:rFonts w:ascii="仿宋" w:eastAsia="仿宋" w:cs="仿宋" w:hint="eastAsia"/>
          <w:color w:val="000000"/>
          <w:sz w:val="32"/>
          <w:szCs w:val="32"/>
          <w:lang w:val="zh-CN"/>
        </w:rPr>
        <w:t>年无非税收入。</w:t>
      </w:r>
    </w:p>
    <w:p>
      <w:pPr>
        <w:pStyle w:val="24"/>
        <w:shd w:val="clear" w:color="auto" w:fill="FFFFFF"/>
        <w:spacing w:before="0" w:beforeAutospacing="0" w:after="0" w:afterAutospacing="0" w:line="351" w:lineRule="atLeast"/>
        <w:ind w:firstLine="538"/>
        <w:rPr>
          <w:rFonts w:ascii="仿宋" w:eastAsia="仿宋" w:cs="仿宋" w:hint="eastAsia"/>
          <w:color w:val="000000"/>
          <w:sz w:val="32"/>
          <w:szCs w:val="32"/>
          <w:lang w:val="zh-CN"/>
        </w:rPr>
      </w:pPr>
      <w:r>
        <w:rPr>
          <w:rFonts w:ascii="仿宋" w:eastAsia="仿宋" w:cs="仿宋" w:hint="eastAsia"/>
          <w:color w:val="000000"/>
          <w:sz w:val="32"/>
          <w:szCs w:val="32"/>
          <w:lang w:val="zh-CN"/>
        </w:rPr>
        <w:t>3.政策采购实施计划：按照政府采购标准规定执行。</w:t>
      </w:r>
    </w:p>
    <w:p>
      <w:pPr>
        <w:pStyle w:val="24"/>
        <w:shd w:val="clear" w:color="auto" w:fill="FFFFFF"/>
        <w:spacing w:before="0" w:beforeAutospacing="0" w:after="0" w:afterAutospacing="0" w:line="351" w:lineRule="atLeast"/>
        <w:ind w:firstLine="538"/>
        <w:rPr>
          <w:rFonts w:ascii="仿宋" w:eastAsia="仿宋" w:cs="仿宋" w:hint="eastAsia"/>
          <w:color w:val="000000"/>
          <w:sz w:val="32"/>
          <w:szCs w:val="32"/>
          <w:lang w:val="zh-CN"/>
        </w:rPr>
      </w:pPr>
      <w:r>
        <w:rPr>
          <w:rFonts w:ascii="仿宋" w:eastAsia="仿宋" w:cs="仿宋" w:hint="eastAsia"/>
          <w:color w:val="000000"/>
          <w:sz w:val="32"/>
          <w:szCs w:val="32"/>
          <w:lang w:val="zh-CN"/>
        </w:rPr>
        <w:t>4.资产管理：截止</w:t>
      </w:r>
      <w:r>
        <w:rPr>
          <w:rFonts w:ascii="仿宋" w:eastAsia="仿宋" w:cs="仿宋" w:hint="eastAsia"/>
          <w:color w:val="000000"/>
          <w:sz w:val="32"/>
          <w:szCs w:val="32"/>
          <w:lang w:val="en-US" w:eastAsia="zh-CN"/>
        </w:rPr>
        <w:t>2021</w:t>
      </w:r>
      <w:r>
        <w:rPr>
          <w:rFonts w:ascii="仿宋" w:eastAsia="仿宋" w:cs="仿宋" w:hint="eastAsia"/>
          <w:color w:val="000000"/>
          <w:sz w:val="32"/>
          <w:szCs w:val="32"/>
          <w:lang w:val="zh-CN"/>
        </w:rPr>
        <w:t>年底，固定资产总额</w:t>
      </w:r>
      <w:r>
        <w:rPr>
          <w:rFonts w:ascii="仿宋" w:eastAsia="仿宋" w:cs="仿宋" w:hint="eastAsia"/>
          <w:color w:val="000000"/>
          <w:sz w:val="32"/>
          <w:szCs w:val="32"/>
          <w:lang w:val="en-US" w:eastAsia="zh-CN"/>
        </w:rPr>
        <w:t>661.042996</w:t>
      </w:r>
      <w:r>
        <w:rPr>
          <w:rFonts w:ascii="仿宋" w:eastAsia="仿宋" w:cs="仿宋" w:hint="eastAsia"/>
          <w:color w:val="000000"/>
          <w:sz w:val="32"/>
          <w:szCs w:val="32"/>
          <w:lang w:val="zh-CN"/>
        </w:rPr>
        <w:t>万元。主要由办公设备、家具等组成，保障单位工作正常开展。本年度无利用国有资产对外投资、出租出借或处置国有资产取得收益。根据财政部门的要求，将全部固定资产纳入了国有资产管理系统，及时、准确、全面开展资产清查工作，并按时按质按量完成了国有资产月报表、年报表，做到了数据无错漏。</w:t>
      </w:r>
    </w:p>
    <w:p>
      <w:pPr>
        <w:pStyle w:val="24"/>
        <w:shd w:val="clear" w:color="auto" w:fill="FFFFFF"/>
        <w:spacing w:before="0" w:beforeAutospacing="0" w:after="0" w:afterAutospacing="0" w:line="351" w:lineRule="atLeast"/>
        <w:ind w:firstLine="538"/>
        <w:rPr>
          <w:rFonts w:ascii="仿宋" w:eastAsia="仿宋" w:cs="仿宋" w:hint="eastAsia"/>
          <w:color w:val="000000"/>
          <w:sz w:val="32"/>
          <w:szCs w:val="32"/>
          <w:lang w:val="zh-CN"/>
        </w:rPr>
      </w:pPr>
      <w:r>
        <w:rPr>
          <w:rFonts w:ascii="仿宋" w:eastAsia="仿宋" w:cs="仿宋" w:hint="eastAsia"/>
          <w:color w:val="000000"/>
          <w:sz w:val="32"/>
          <w:szCs w:val="32"/>
          <w:lang w:val="zh-CN"/>
        </w:rPr>
        <w:t>5.内控制度管理：建立内部控制工作机制并开展工作；明确内部控制牵头股室，负责内部控制建设实施工作，监督部门为纪检部门，负责建立权力运行监督及考评机制，定期督查决策权、执行权等权力行使的情况，及时发现权力运行过程中的问题，予以校正和改进；根据单位“三定”方案，组织进行经济业务流程梳理、再造；开展对单位不相容岗位职务分离情况、涉及内部权力集中重点领域和关键岗位建立制衡机制情况排查工作。</w:t>
      </w:r>
    </w:p>
    <w:p>
      <w:pPr>
        <w:pStyle w:val="24"/>
        <w:shd w:val="clear" w:color="auto" w:fill="FFFFFF"/>
        <w:spacing w:before="0" w:beforeAutospacing="0" w:after="0" w:afterAutospacing="0" w:line="351" w:lineRule="atLeast"/>
        <w:ind w:firstLine="538"/>
        <w:rPr>
          <w:rFonts w:ascii="仿宋" w:eastAsia="仿宋" w:cs="仿宋" w:hint="eastAsia"/>
          <w:color w:val="000000"/>
          <w:sz w:val="32"/>
          <w:szCs w:val="32"/>
          <w:lang w:val="zh-CN"/>
        </w:rPr>
      </w:pPr>
      <w:r>
        <w:rPr>
          <w:rFonts w:ascii="仿宋" w:eastAsia="仿宋" w:cs="仿宋" w:hint="eastAsia"/>
          <w:color w:val="000000"/>
          <w:sz w:val="32"/>
          <w:szCs w:val="32"/>
          <w:lang w:val="zh-CN"/>
        </w:rPr>
        <w:t>6.信息公开：按要求及时对部门预算进行了公开。</w:t>
      </w:r>
    </w:p>
    <w:p>
      <w:pPr>
        <w:pStyle w:val="24"/>
        <w:shd w:val="clear" w:color="auto" w:fill="FFFFFF"/>
        <w:spacing w:before="0" w:beforeAutospacing="0" w:after="0" w:afterAutospacing="0" w:line="351" w:lineRule="atLeast"/>
        <w:ind w:firstLine="538"/>
        <w:rPr>
          <w:rFonts w:ascii="仿宋" w:eastAsia="仿宋" w:cs="仿宋" w:hint="eastAsia"/>
          <w:color w:val="000000"/>
          <w:sz w:val="32"/>
          <w:szCs w:val="32"/>
          <w:lang w:val="zh-CN"/>
        </w:rPr>
      </w:pPr>
      <w:r>
        <w:rPr>
          <w:rFonts w:ascii="仿宋" w:eastAsia="仿宋" w:cs="仿宋" w:hint="eastAsia"/>
          <w:color w:val="000000"/>
          <w:sz w:val="32"/>
          <w:szCs w:val="32"/>
          <w:lang w:val="zh-CN"/>
        </w:rPr>
        <w:t>7.绩效评价：根据《金川县财政局关于开展202</w:t>
      </w:r>
      <w:r>
        <w:rPr>
          <w:rFonts w:ascii="仿宋" w:eastAsia="仿宋" w:cs="仿宋" w:hint="eastAsia"/>
          <w:color w:val="000000"/>
          <w:sz w:val="32"/>
          <w:szCs w:val="32"/>
          <w:lang w:val="en-US" w:eastAsia="zh-CN"/>
        </w:rPr>
        <w:t>2</w:t>
      </w:r>
      <w:r>
        <w:rPr>
          <w:rFonts w:ascii="仿宋" w:eastAsia="仿宋" w:cs="仿宋" w:hint="eastAsia"/>
          <w:color w:val="000000"/>
          <w:sz w:val="32"/>
          <w:szCs w:val="32"/>
          <w:lang w:val="zh-CN"/>
        </w:rPr>
        <w:t>年财政绩效评价工作的通知》（金财监绩〔202</w:t>
      </w:r>
      <w:r>
        <w:rPr>
          <w:rFonts w:ascii="仿宋" w:eastAsia="仿宋" w:cs="仿宋" w:hint="eastAsia"/>
          <w:color w:val="000000"/>
          <w:sz w:val="32"/>
          <w:szCs w:val="32"/>
          <w:lang w:val="en-US" w:eastAsia="zh-CN"/>
        </w:rPr>
        <w:t>2</w:t>
      </w:r>
      <w:r>
        <w:rPr>
          <w:rFonts w:ascii="仿宋" w:eastAsia="仿宋" w:cs="仿宋" w:hint="eastAsia"/>
          <w:color w:val="000000"/>
          <w:sz w:val="32"/>
          <w:szCs w:val="32"/>
          <w:lang w:val="zh-CN"/>
        </w:rPr>
        <w:t>〕2</w:t>
      </w:r>
      <w:r>
        <w:rPr>
          <w:rFonts w:ascii="仿宋" w:eastAsia="仿宋" w:cs="仿宋" w:hint="eastAsia"/>
          <w:color w:val="000000"/>
          <w:sz w:val="32"/>
          <w:szCs w:val="32"/>
          <w:lang w:val="en-US" w:eastAsia="zh-CN"/>
        </w:rPr>
        <w:t>3</w:t>
      </w:r>
      <w:r>
        <w:rPr>
          <w:rFonts w:ascii="仿宋" w:eastAsia="仿宋" w:cs="仿宋" w:hint="eastAsia"/>
          <w:color w:val="000000"/>
          <w:sz w:val="32"/>
          <w:szCs w:val="32"/>
          <w:lang w:val="zh-CN"/>
        </w:rPr>
        <w:t>号）精神，交通局明确专人依据方案组织开展绩效评价工作，对20</w:t>
      </w:r>
      <w:r>
        <w:rPr>
          <w:rFonts w:ascii="仿宋" w:eastAsia="仿宋" w:cs="仿宋" w:hint="eastAsia"/>
          <w:color w:val="000000"/>
          <w:sz w:val="32"/>
          <w:szCs w:val="32"/>
          <w:lang w:val="en-US" w:eastAsia="zh-CN"/>
        </w:rPr>
        <w:t>22</w:t>
      </w:r>
      <w:r>
        <w:rPr>
          <w:rFonts w:ascii="仿宋" w:eastAsia="仿宋" w:cs="仿宋" w:hint="eastAsia"/>
          <w:color w:val="000000"/>
          <w:sz w:val="32"/>
          <w:szCs w:val="32"/>
          <w:lang w:val="zh-CN"/>
        </w:rPr>
        <w:t>年财政资金整体绩效进行分析，形成报告。</w:t>
      </w:r>
    </w:p>
    <w:p>
      <w:pPr>
        <w:pStyle w:val="24"/>
        <w:shd w:val="clear" w:color="auto" w:fill="FFFFFF"/>
        <w:spacing w:before="0" w:beforeAutospacing="0" w:after="0" w:afterAutospacing="0" w:line="351" w:lineRule="atLeast"/>
        <w:ind w:firstLine="538"/>
        <w:rPr>
          <w:rFonts w:ascii="仿宋" w:eastAsia="仿宋" w:cs="仿宋" w:hint="eastAsia"/>
          <w:color w:val="000000"/>
          <w:sz w:val="32"/>
          <w:szCs w:val="32"/>
          <w:lang w:val="zh-CN"/>
        </w:rPr>
      </w:pPr>
      <w:r>
        <w:rPr>
          <w:rFonts w:ascii="仿宋" w:eastAsia="仿宋" w:cs="仿宋" w:hint="eastAsia"/>
          <w:color w:val="000000"/>
          <w:sz w:val="32"/>
          <w:szCs w:val="32"/>
          <w:lang w:val="zh-CN"/>
        </w:rPr>
        <w:t>8.接受财政监督：交通运输局依法接受财政监督。</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（四）整体绩效。</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我单位财务管理制度健全，执行制度严格合规，会计核算符合相关规定，资金专款专用，资金支付依据和开支标准合法合规，严格执行政府采购。</w:t>
      </w:r>
    </w:p>
    <w:p>
      <w:pPr>
        <w:widowControl/>
        <w:adjustRightInd w:val="0"/>
        <w:snapToGrid w:val="0"/>
        <w:spacing w:line="480" w:lineRule="exact"/>
        <w:ind w:firstLine="720"/>
        <w:jc w:val="left"/>
        <w:rPr>
          <w:rFonts w:ascii="仿宋" w:eastAsia="仿宋" w:cs="仿宋" w:hint="eastAsia"/>
          <w:b/>
          <w:bCs/>
          <w:color w:val="000000"/>
          <w:kern w:val="0"/>
          <w:sz w:val="32"/>
          <w:szCs w:val="32"/>
        </w:rPr>
      </w:pPr>
      <w:r>
        <w:rPr>
          <w:rFonts w:ascii="仿宋" w:eastAsia="仿宋" w:cs="仿宋" w:hint="eastAsia"/>
          <w:b/>
          <w:bCs/>
          <w:color w:val="000000"/>
          <w:kern w:val="0"/>
          <w:sz w:val="32"/>
          <w:szCs w:val="32"/>
        </w:rPr>
        <w:t>四、评价结论及建议</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（一）评价结论。</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 xml:space="preserve">   我局20</w:t>
      </w:r>
      <w:r>
        <w:rPr>
          <w:rFonts w:ascii="仿宋" w:eastAsia="仿宋" w:cs="仿宋" w:hint="eastAsia"/>
          <w:color w:val="000000"/>
          <w:kern w:val="0"/>
          <w:sz w:val="32"/>
          <w:szCs w:val="32"/>
          <w:lang w:val="en-US" w:eastAsia="zh-CN"/>
        </w:rPr>
        <w:t>21</w:t>
      </w:r>
      <w:r>
        <w:rPr>
          <w:rFonts w:ascii="仿宋" w:eastAsia="仿宋" w:cs="仿宋" w:hint="eastAsia"/>
          <w:color w:val="000000"/>
          <w:kern w:val="0"/>
          <w:sz w:val="32"/>
          <w:szCs w:val="32"/>
          <w:lang w:val="zh-CN"/>
        </w:rPr>
        <w:t>年部门支出与年初预算基本一致，达到预期绩效目标。</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（二）存在问题。</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 xml:space="preserve">   预算编制还需进一步细化。</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（三）改进建议。</w:t>
      </w:r>
    </w:p>
    <w:p>
      <w:pPr>
        <w:widowControl/>
        <w:adjustRightInd w:val="0"/>
        <w:snapToGrid w:val="0"/>
        <w:spacing w:line="480" w:lineRule="exact"/>
        <w:ind w:firstLine="720"/>
        <w:jc w:val="left"/>
        <w:rPr>
          <w:rFonts w:ascii="仿宋" w:eastAsia="仿宋" w:cs="仿宋" w:hint="eastAsia"/>
          <w:color w:val="000000"/>
          <w:kern w:val="0"/>
          <w:sz w:val="32"/>
          <w:szCs w:val="32"/>
          <w:lang w:val="zh-CN"/>
        </w:rPr>
      </w:pPr>
      <w:r>
        <w:rPr>
          <w:rFonts w:ascii="仿宋" w:eastAsia="仿宋" w:cs="仿宋" w:hint="eastAsia"/>
          <w:color w:val="000000"/>
          <w:kern w:val="0"/>
          <w:sz w:val="32"/>
          <w:szCs w:val="32"/>
          <w:lang w:val="zh-CN"/>
        </w:rPr>
        <w:t xml:space="preserve">1、遵循先有预算、后有支出的原则，加强财务管理和内部控制监督制度。严禁超预算和无预算安排支出，严格开支范围和标准，严格支出报销审核，不报销任何超范围、超标准的费用。 </w:t>
        <w:br/>
        <w:t xml:space="preserve">   2、严格控制“三公”经费。认真贯彻落实中央、省委省政府和县委县政府相关规定，严格“三公”经费支出的审核和审批，合理压缩“三公”经费支出。</w:t>
      </w: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rPr>
          <w:rFonts w:ascii="仿宋" w:eastAsia="仿宋" w:cs="仿宋" w:hint="eastAsia"/>
          <w:sz w:val="32"/>
          <w:szCs w:val="32"/>
        </w:rPr>
      </w:pPr>
    </w:p>
    <w:p>
      <w:pPr>
        <w:spacing w:line="576" w:lineRule="exact"/>
        <w:jc w:val="center"/>
        <w:outlineLvl w:val="0"/>
        <w:rPr>
          <w:rFonts w:eastAsia="仿宋"/>
        </w:rPr>
      </w:pPr>
      <w:bookmarkStart w:id="117" w:name="_Toc26843625"/>
      <w:bookmarkStart w:id="118" w:name="_Toc15396618"/>
      <w:r>
        <w:rPr>
          <w:rFonts w:eastAsia="黑体"/>
          <w:sz w:val="44"/>
          <w:szCs w:val="44"/>
        </w:rPr>
        <w:t>第</w:t>
      </w:r>
      <w:r>
        <w:rPr>
          <w:rStyle w:val="1Char"/>
          <w:rFonts w:eastAsia="黑体"/>
        </w:rPr>
        <w:t>五部分 附表</w:t>
      </w:r>
      <w:bookmarkStart w:id="119" w:name="_Toc15396619"/>
      <w:bookmarkEnd w:id="117"/>
      <w:bookmarkEnd w:id="118"/>
    </w:p>
    <w:p>
      <w:pPr>
        <w:pStyle w:val="2"/>
        <w:spacing w:line="576" w:lineRule="exact"/>
        <w:rPr>
          <w:rFonts w:ascii="Times New Roman" w:eastAsia="仿宋" w:hAnsi="Times New Roman"/>
        </w:rPr>
      </w:pPr>
      <w:bookmarkStart w:id="120" w:name="_Toc26843626"/>
      <w:r>
        <w:rPr>
          <w:rFonts w:ascii="Times New Roman" w:eastAsia="仿宋" w:hAnsi="Times New Roman"/>
          <w:b w:val="0"/>
        </w:rPr>
        <w:t>一、收</w:t>
      </w:r>
      <w:r>
        <w:rPr>
          <w:rStyle w:val="2Char"/>
          <w:rFonts w:ascii="Times New Roman" w:eastAsia="仿宋" w:hAnsi="Times New Roman"/>
          <w:b/>
          <w:bCs/>
        </w:rPr>
        <w:t>入支出决算总表</w:t>
      </w:r>
      <w:bookmarkEnd w:id="119"/>
      <w:bookmarkEnd w:id="120"/>
    </w:p>
    <w:p>
      <w:pPr>
        <w:pStyle w:val="2"/>
        <w:spacing w:line="576" w:lineRule="exact"/>
        <w:rPr>
          <w:rFonts w:ascii="Times New Roman" w:eastAsia="仿宋" w:hAnsi="Times New Roman"/>
        </w:rPr>
      </w:pPr>
      <w:bookmarkStart w:id="121" w:name="_Toc15396620"/>
      <w:bookmarkStart w:id="122" w:name="_Toc26843627"/>
      <w:r>
        <w:rPr>
          <w:rFonts w:ascii="Times New Roman" w:eastAsia="仿宋" w:hAnsi="Times New Roman"/>
          <w:b w:val="0"/>
        </w:rPr>
        <w:t>二、收</w:t>
      </w:r>
      <w:r>
        <w:rPr>
          <w:rStyle w:val="2Char"/>
          <w:rFonts w:ascii="Times New Roman" w:eastAsia="仿宋" w:hAnsi="Times New Roman"/>
          <w:b/>
          <w:bCs/>
        </w:rPr>
        <w:t>入决算表</w:t>
      </w:r>
      <w:bookmarkEnd w:id="121"/>
      <w:bookmarkEnd w:id="122"/>
    </w:p>
    <w:p>
      <w:pPr>
        <w:pStyle w:val="2"/>
        <w:spacing w:line="576" w:lineRule="exact"/>
        <w:rPr>
          <w:rFonts w:ascii="Times New Roman" w:eastAsia="仿宋" w:hAnsi="Times New Roman"/>
        </w:rPr>
      </w:pPr>
      <w:bookmarkStart w:id="123" w:name="_Toc26843628"/>
      <w:bookmarkStart w:id="124" w:name="_Toc15396621"/>
      <w:r>
        <w:rPr>
          <w:rStyle w:val="2Char"/>
          <w:rFonts w:ascii="Times New Roman" w:eastAsia="仿宋" w:hAnsi="Times New Roman"/>
          <w:b/>
          <w:bCs/>
        </w:rPr>
        <w:t>三、</w:t>
      </w:r>
      <w:r>
        <w:rPr>
          <w:rFonts w:ascii="Times New Roman" w:eastAsia="仿宋" w:hAnsi="Times New Roman"/>
          <w:b w:val="0"/>
        </w:rPr>
        <w:t>支</w:t>
      </w:r>
      <w:r>
        <w:rPr>
          <w:rStyle w:val="2Char"/>
          <w:rFonts w:ascii="Times New Roman" w:eastAsia="仿宋" w:hAnsi="Times New Roman"/>
          <w:b/>
          <w:bCs/>
        </w:rPr>
        <w:t>出决算表</w:t>
      </w:r>
      <w:bookmarkEnd w:id="123"/>
      <w:bookmarkEnd w:id="124"/>
    </w:p>
    <w:p>
      <w:pPr>
        <w:pStyle w:val="2"/>
        <w:spacing w:line="576" w:lineRule="exact"/>
        <w:rPr>
          <w:rFonts w:ascii="Times New Roman" w:eastAsia="仿宋" w:hAnsi="Times New Roman"/>
          <w:b w:val="0"/>
        </w:rPr>
      </w:pPr>
      <w:bookmarkStart w:id="125" w:name="_Toc15396622"/>
      <w:bookmarkStart w:id="126" w:name="_Toc26843629"/>
      <w:r>
        <w:rPr>
          <w:rStyle w:val="2Char"/>
          <w:rFonts w:ascii="Times New Roman" w:eastAsia="仿宋" w:hAnsi="Times New Roman"/>
          <w:b/>
          <w:bCs/>
        </w:rPr>
        <w:t>四、</w:t>
      </w:r>
      <w:r>
        <w:rPr>
          <w:rFonts w:ascii="Times New Roman" w:eastAsia="仿宋" w:hAnsi="Times New Roman"/>
          <w:b w:val="0"/>
        </w:rPr>
        <w:t>财</w:t>
      </w:r>
      <w:r>
        <w:rPr>
          <w:rStyle w:val="2Char"/>
          <w:rFonts w:ascii="Times New Roman" w:eastAsia="仿宋" w:hAnsi="Times New Roman"/>
          <w:b/>
          <w:bCs/>
        </w:rPr>
        <w:t>政拨款收入支出决算总表</w:t>
      </w:r>
      <w:bookmarkEnd w:id="125"/>
      <w:bookmarkEnd w:id="126"/>
    </w:p>
    <w:p>
      <w:pPr>
        <w:pStyle w:val="2"/>
        <w:spacing w:line="576" w:lineRule="exact"/>
        <w:rPr>
          <w:rStyle w:val="2Char"/>
          <w:rFonts w:ascii="Times New Roman" w:eastAsia="仿宋" w:hAnsi="Times New Roman"/>
          <w:b w:val="0"/>
          <w:bCs w:val="0"/>
        </w:rPr>
      </w:pPr>
      <w:bookmarkStart w:id="127" w:name="_Toc15396623"/>
      <w:bookmarkStart w:id="128" w:name="_Toc26843630"/>
      <w:r>
        <w:rPr>
          <w:rStyle w:val="2Char"/>
          <w:rFonts w:ascii="Times New Roman" w:eastAsia="仿宋" w:hAnsi="Times New Roman"/>
          <w:b/>
          <w:bCs/>
        </w:rPr>
        <w:t>五、</w:t>
      </w:r>
      <w:r>
        <w:rPr>
          <w:rFonts w:ascii="Times New Roman" w:eastAsia="仿宋" w:hAnsi="Times New Roman"/>
          <w:b w:val="0"/>
        </w:rPr>
        <w:t>财</w:t>
      </w:r>
      <w:r>
        <w:rPr>
          <w:rStyle w:val="2Char"/>
          <w:rFonts w:ascii="Times New Roman" w:eastAsia="仿宋" w:hAnsi="Times New Roman"/>
          <w:b/>
          <w:bCs/>
        </w:rPr>
        <w:t>政拨款支出决算明细表</w:t>
      </w:r>
      <w:bookmarkStart w:id="129" w:name="_Toc15396624"/>
      <w:bookmarkEnd w:id="127"/>
      <w:bookmarkEnd w:id="128"/>
    </w:p>
    <w:p>
      <w:pPr>
        <w:pStyle w:val="2"/>
        <w:spacing w:line="576" w:lineRule="exact"/>
        <w:rPr>
          <w:rFonts w:ascii="Times New Roman" w:eastAsia="仿宋" w:hAnsi="Times New Roman"/>
        </w:rPr>
      </w:pPr>
      <w:bookmarkStart w:id="130" w:name="_Toc26843631"/>
      <w:r>
        <w:rPr>
          <w:rStyle w:val="2Char"/>
          <w:rFonts w:ascii="Times New Roman" w:eastAsia="仿宋" w:hAnsi="Times New Roman"/>
          <w:b/>
          <w:bCs/>
        </w:rPr>
        <w:t>六、</w:t>
      </w:r>
      <w:r>
        <w:rPr>
          <w:rFonts w:ascii="Times New Roman" w:eastAsia="仿宋" w:hAnsi="Times New Roman"/>
          <w:b w:val="0"/>
        </w:rPr>
        <w:t>一</w:t>
      </w:r>
      <w:r>
        <w:rPr>
          <w:rStyle w:val="2Char"/>
          <w:rFonts w:ascii="Times New Roman" w:eastAsia="仿宋" w:hAnsi="Times New Roman"/>
          <w:b/>
          <w:bCs/>
        </w:rPr>
        <w:t>般公共预算财政拨款支出决算表</w:t>
      </w:r>
      <w:bookmarkEnd w:id="129"/>
      <w:bookmarkEnd w:id="130"/>
    </w:p>
    <w:p>
      <w:pPr>
        <w:pStyle w:val="2"/>
        <w:spacing w:line="576" w:lineRule="exact"/>
        <w:rPr>
          <w:rFonts w:ascii="Times New Roman" w:eastAsia="仿宋" w:hAnsi="Times New Roman"/>
        </w:rPr>
      </w:pPr>
      <w:bookmarkStart w:id="131" w:name="_Toc15396625"/>
      <w:bookmarkStart w:id="132" w:name="_Toc26843632"/>
      <w:r>
        <w:rPr>
          <w:rStyle w:val="2Char"/>
          <w:rFonts w:ascii="Times New Roman" w:eastAsia="仿宋" w:hAnsi="Times New Roman"/>
          <w:b/>
          <w:bCs/>
        </w:rPr>
        <w:t>七、</w:t>
      </w:r>
      <w:r>
        <w:rPr>
          <w:rFonts w:ascii="Times New Roman" w:eastAsia="仿宋" w:hAnsi="Times New Roman"/>
          <w:b w:val="0"/>
        </w:rPr>
        <w:t>一</w:t>
      </w:r>
      <w:r>
        <w:rPr>
          <w:rStyle w:val="2Char"/>
          <w:rFonts w:ascii="Times New Roman" w:eastAsia="仿宋" w:hAnsi="Times New Roman"/>
          <w:b/>
          <w:bCs/>
        </w:rPr>
        <w:t>般公共预算财政拨款支出决算明细表</w:t>
      </w:r>
      <w:bookmarkEnd w:id="131"/>
      <w:bookmarkEnd w:id="132"/>
    </w:p>
    <w:p>
      <w:pPr>
        <w:pStyle w:val="2"/>
        <w:spacing w:line="576" w:lineRule="exact"/>
        <w:rPr>
          <w:rFonts w:ascii="Times New Roman" w:eastAsia="仿宋" w:hAnsi="Times New Roman"/>
        </w:rPr>
      </w:pPr>
      <w:bookmarkStart w:id="133" w:name="_Toc26843633"/>
      <w:bookmarkStart w:id="134" w:name="_Toc15396626"/>
      <w:r>
        <w:rPr>
          <w:rStyle w:val="2Char"/>
          <w:rFonts w:ascii="Times New Roman" w:eastAsia="仿宋" w:hAnsi="Times New Roman"/>
          <w:b/>
          <w:bCs/>
        </w:rPr>
        <w:t>八、</w:t>
      </w:r>
      <w:r>
        <w:rPr>
          <w:rFonts w:ascii="Times New Roman" w:eastAsia="仿宋" w:hAnsi="Times New Roman"/>
          <w:b w:val="0"/>
        </w:rPr>
        <w:t>一</w:t>
      </w:r>
      <w:r>
        <w:rPr>
          <w:rStyle w:val="2Char"/>
          <w:rFonts w:ascii="Times New Roman" w:eastAsia="仿宋" w:hAnsi="Times New Roman"/>
          <w:b/>
          <w:bCs/>
        </w:rPr>
        <w:t>般公共预算财政拨款基本支出决算表</w:t>
      </w:r>
      <w:bookmarkEnd w:id="133"/>
      <w:bookmarkEnd w:id="134"/>
    </w:p>
    <w:p>
      <w:pPr>
        <w:pStyle w:val="2"/>
        <w:spacing w:line="576" w:lineRule="exact"/>
        <w:rPr>
          <w:rFonts w:ascii="Times New Roman" w:eastAsia="仿宋" w:hAnsi="Times New Roman"/>
        </w:rPr>
      </w:pPr>
      <w:bookmarkStart w:id="135" w:name="_Toc15396627"/>
      <w:bookmarkStart w:id="136" w:name="_Toc26843634"/>
      <w:r>
        <w:rPr>
          <w:rStyle w:val="2Char"/>
          <w:rFonts w:ascii="Times New Roman" w:eastAsia="仿宋" w:hAnsi="Times New Roman"/>
          <w:b/>
          <w:bCs/>
        </w:rPr>
        <w:t>九、</w:t>
      </w:r>
      <w:r>
        <w:rPr>
          <w:rFonts w:ascii="Times New Roman" w:eastAsia="仿宋" w:hAnsi="Times New Roman"/>
          <w:b w:val="0"/>
        </w:rPr>
        <w:t>一</w:t>
      </w:r>
      <w:r>
        <w:rPr>
          <w:rStyle w:val="2Char"/>
          <w:rFonts w:ascii="Times New Roman" w:eastAsia="仿宋" w:hAnsi="Times New Roman"/>
          <w:b/>
          <w:bCs/>
        </w:rPr>
        <w:t>般公共预算财政拨款项目支出决算表</w:t>
      </w:r>
      <w:bookmarkEnd w:id="135"/>
      <w:bookmarkEnd w:id="136"/>
    </w:p>
    <w:p>
      <w:pPr>
        <w:pStyle w:val="2"/>
        <w:spacing w:line="576" w:lineRule="exact"/>
        <w:rPr>
          <w:rFonts w:ascii="Times New Roman" w:eastAsia="仿宋" w:hAnsi="Times New Roman"/>
        </w:rPr>
      </w:pPr>
      <w:bookmarkStart w:id="137" w:name="_Toc15396628"/>
      <w:bookmarkStart w:id="138" w:name="_Toc26843635"/>
      <w:r>
        <w:rPr>
          <w:rStyle w:val="2Char"/>
          <w:rFonts w:ascii="Times New Roman" w:eastAsia="仿宋" w:hAnsi="Times New Roman"/>
          <w:b/>
          <w:bCs/>
        </w:rPr>
        <w:t>十、</w:t>
      </w:r>
      <w:r>
        <w:rPr>
          <w:rFonts w:ascii="Times New Roman" w:eastAsia="仿宋" w:hAnsi="Times New Roman"/>
          <w:b w:val="0"/>
        </w:rPr>
        <w:t>一</w:t>
      </w:r>
      <w:r>
        <w:rPr>
          <w:rStyle w:val="2Char"/>
          <w:rFonts w:ascii="Times New Roman" w:eastAsia="仿宋" w:hAnsi="Times New Roman"/>
          <w:b/>
          <w:bCs/>
        </w:rPr>
        <w:t>般公共预算财政拨款“三公”经费支出决算表</w:t>
      </w:r>
      <w:bookmarkEnd w:id="137"/>
      <w:bookmarkEnd w:id="138"/>
    </w:p>
    <w:p>
      <w:pPr>
        <w:pStyle w:val="2"/>
        <w:spacing w:line="576" w:lineRule="exact"/>
        <w:rPr>
          <w:rFonts w:ascii="Times New Roman" w:eastAsia="仿宋" w:hAnsi="Times New Roman"/>
        </w:rPr>
      </w:pPr>
      <w:bookmarkStart w:id="139" w:name="_Toc26843636"/>
      <w:bookmarkStart w:id="140" w:name="_Toc15396629"/>
      <w:r>
        <w:rPr>
          <w:rStyle w:val="2Char"/>
          <w:rFonts w:ascii="Times New Roman" w:eastAsia="仿宋" w:hAnsi="Times New Roman"/>
          <w:b/>
          <w:bCs/>
        </w:rPr>
        <w:t>十一、</w:t>
      </w:r>
      <w:r>
        <w:rPr>
          <w:rFonts w:ascii="Times New Roman" w:eastAsia="仿宋" w:hAnsi="Times New Roman"/>
          <w:b w:val="0"/>
        </w:rPr>
        <w:t>政</w:t>
      </w:r>
      <w:r>
        <w:rPr>
          <w:rStyle w:val="2Char"/>
          <w:rFonts w:ascii="Times New Roman" w:eastAsia="仿宋" w:hAnsi="Times New Roman"/>
          <w:b/>
          <w:bCs/>
        </w:rPr>
        <w:t>府性基金预算财政拨款收入支出决算表</w:t>
      </w:r>
      <w:bookmarkEnd w:id="139"/>
      <w:bookmarkEnd w:id="140"/>
    </w:p>
    <w:p>
      <w:pPr>
        <w:pStyle w:val="2"/>
        <w:spacing w:line="576" w:lineRule="exact"/>
        <w:rPr>
          <w:rStyle w:val="2Char"/>
          <w:rFonts w:ascii="Times New Roman" w:eastAsia="仿宋" w:hAnsi="Times New Roman"/>
          <w:b w:val="0"/>
          <w:bCs w:val="0"/>
        </w:rPr>
      </w:pPr>
      <w:bookmarkStart w:id="141" w:name="_Toc15396631"/>
      <w:bookmarkStart w:id="142" w:name="_Toc26843638"/>
      <w:r>
        <w:rPr>
          <w:rStyle w:val="2Char"/>
          <w:rFonts w:ascii="Times New Roman" w:eastAsia="仿宋" w:hAnsi="Times New Roman"/>
          <w:b/>
          <w:bCs/>
        </w:rPr>
        <w:t>十</w:t>
      </w:r>
      <w:r>
        <w:rPr>
          <w:rStyle w:val="2Char"/>
          <w:rFonts w:ascii="Times New Roman" w:eastAsia="仿宋" w:hAnsi="Times New Roman" w:hint="eastAsia"/>
          <w:b/>
          <w:bCs/>
        </w:rPr>
        <w:t>二</w:t>
      </w:r>
      <w:r>
        <w:rPr>
          <w:rStyle w:val="2Char"/>
          <w:rFonts w:ascii="Times New Roman" w:eastAsia="仿宋" w:hAnsi="Times New Roman"/>
          <w:b/>
          <w:bCs/>
        </w:rPr>
        <w:t>、</w:t>
      </w:r>
      <w:r>
        <w:rPr>
          <w:rFonts w:ascii="Times New Roman" w:eastAsia="仿宋" w:hAnsi="Times New Roman"/>
          <w:b w:val="0"/>
        </w:rPr>
        <w:t>国</w:t>
      </w:r>
      <w:r>
        <w:rPr>
          <w:rStyle w:val="2Char"/>
          <w:rFonts w:ascii="Times New Roman" w:eastAsia="仿宋" w:hAnsi="Times New Roman"/>
          <w:b/>
          <w:bCs/>
        </w:rPr>
        <w:t>有资本经营预算财政拨款收入支出决算表</w:t>
      </w:r>
      <w:bookmarkEnd w:id="141"/>
      <w:bookmarkEnd w:id="142"/>
    </w:p>
    <w:p>
      <w:pPr>
        <w:spacing w:line="576" w:lineRule="exact"/>
        <w:rPr>
          <w:rFonts w:ascii="仿宋" w:eastAsia="仿宋" w:cs="仿宋" w:hint="eastAsia"/>
          <w:sz w:val="32"/>
          <w:szCs w:val="32"/>
        </w:rPr>
      </w:pPr>
      <w:bookmarkStart w:id="143" w:name="_Toc26843639"/>
      <w:r>
        <w:rPr>
          <w:rStyle w:val="2Char"/>
          <w:rFonts w:eastAsia="仿宋"/>
        </w:rPr>
        <w:t>十</w:t>
      </w:r>
      <w:r>
        <w:rPr>
          <w:rStyle w:val="2Char"/>
          <w:rFonts w:eastAsia="仿宋" w:hint="eastAsia"/>
        </w:rPr>
        <w:t>三</w:t>
      </w:r>
      <w:r>
        <w:rPr>
          <w:rStyle w:val="2Char"/>
          <w:rFonts w:eastAsia="仿宋"/>
        </w:rPr>
        <w:t>、国有资本经营预算财政拨款支出决算表</w:t>
      </w:r>
      <w:bookmarkEnd w:id="143"/>
    </w:p>
    <w:sectPr>
      <w:headerReference w:type="default" r:id="rId2"/>
      <w:footerReference w:type="default" r:id="rId3"/>
      <w:footerReference w:type="even" r:id="rId4"/>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86"/>
    <w:family w:val="auto"/>
    <w:pitch w:val="variable"/>
    <w:sig w:usb0="00000003" w:usb1="288F0000" w:usb2="00000006" w:usb3="00000000" w:csb0="00040001" w:csb1="00000000"/>
  </w:font>
  <w:font w:name="方正小标宋简体">
    <w:altName w:val="AR PL UKai CN"/>
    <w:panose1 w:val="03000509000000000000"/>
    <w:charset w:val="86"/>
    <w:family w:val="auto"/>
    <w:pitch w:val="variable"/>
    <w:sig w:usb0="00000000" w:usb1="00000000" w:usb2="00000000" w:usb3="00000000" w:csb0="00040000" w:csb1="00000000"/>
  </w:font>
  <w:font w:name="黑体">
    <w:altName w:val="方正黑体_GBK"/>
    <w:panose1 w:val="02010600030101010101"/>
    <w:charset w:val="86"/>
    <w:family w:val="auto"/>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Times New Roman">
    <w:altName w:val="DejaVu Sans"/>
    <w:panose1 w:val="02020603050405020304"/>
    <w:charset w:val="00"/>
    <w:family w:val="roman"/>
    <w:pitch w:val="variable"/>
    <w:sig w:usb0="20007A87" w:usb1="80000000" w:usb2="00000008" w:usb3="00000000" w:csb0="000001FF" w:csb1="00000000"/>
  </w:font>
  <w:font w:name="仿宋_GB2312">
    <w:altName w:val="仿宋"/>
    <w:panose1 w:val="02010609030101010101"/>
    <w:charset w:val="86"/>
    <w:family w:val="modern"/>
    <w:pitch w:val="variable"/>
    <w:sig w:usb0="00000000" w:usb1="00000000" w:usb2="00000000" w:usb3="00000000" w:csb0="00040000" w:csb1="00000000"/>
  </w:font>
  <w:font w:name="楷体_GB2312">
    <w:altName w:val="楷体"/>
    <w:panose1 w:val="02010609030101010101"/>
    <w:charset w:val="86"/>
    <w:family w:val="modern"/>
    <w:pitch w:val="variable"/>
    <w:sig w:usb0="00000000" w:usb1="00000000" w:usb2="00000010" w:usb3="00000000" w:csb0="00040000" w:csb1="00000000"/>
  </w:font>
  <w:font w:name="楷体">
    <w:altName w:val="楷体_GB2312"/>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tabs>
        <w:tab w:val="center" w:pos="4153"/>
        <w:tab w:val="right" w:pos="8306"/>
      </w:tabs>
      <w:rPr>
        <w:rFonts w:ascii="宋体"/>
        <w:sz w:val="28"/>
        <w:szCs w:val="28"/>
      </w:rPr>
    </w:pPr>
    <w:r>
      <w:rPr>
        <w:rStyle w:val="26"/>
        <w:rFonts w:ascii="宋体" w:hAnsi="宋体" w:hint="eastAsia"/>
        <w:sz w:val="28"/>
        <w:szCs w:val="28"/>
      </w:rPr>
      <w:fldChar w:fldCharType="begin"/>
    </w:r>
    <w:r>
      <w:rPr>
        <w:rStyle w:val="26"/>
        <w:rFonts w:ascii="宋体" w:hAnsi="宋体" w:hint="eastAsia"/>
        <w:sz w:val="28"/>
        <w:szCs w:val="28"/>
      </w:rPr>
      <w:instrText>Page</w:instrText>
    </w:r>
    <w:r>
      <w:rPr>
        <w:rStyle w:val="26"/>
        <w:rFonts w:ascii="宋体" w:hAnsi="宋体" w:hint="eastAsia"/>
        <w:sz w:val="28"/>
        <w:szCs w:val="28"/>
      </w:rPr>
      <w:fldChar w:fldCharType="separate"/>
    </w:r>
    <w:r>
      <w:rPr>
        <w:rStyle w:val="26"/>
        <w:rFonts w:ascii="宋体" w:hAnsi="宋体"/>
        <w:sz w:val="28"/>
        <w:szCs w:val="28"/>
      </w:rPr>
      <w:t>- 14 -</w:t>
    </w:r>
    <w:r>
      <w:rPr>
        <w:rStyle w:val="26"/>
        <w:rFonts w:ascii="宋体" w:hAnsi="宋体" w:hint="eastAsia"/>
        <w:sz w:val="28"/>
        <w:szCs w:val="28"/>
      </w:rPr>
      <w:fldChar w:fldCharType="end"/>
    </w:r>
  </w:p>
  <w:p>
    <w:pPr>
      <w:pStyle w:val="20"/>
      <w:tabs>
        <w:tab w:val="center" w:pos="4153"/>
        <w:tab w:val="right" w:pos="8306"/>
      </w:tabs>
      <w:ind w:right="360"/>
      <w:rPr>
        <w:rFonts w:ascii="宋体"/>
        <w:sz w:val="28"/>
        <w:szCs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tabs>
        <w:tab w:val="center" w:pos="4153"/>
        <w:tab w:val="right" w:pos="8306"/>
      </w:tabs>
      <w:rPr>
        <w:sz w:val="28"/>
        <w:szCs w:val="28"/>
      </w:rPr>
    </w:pPr>
    <w:r>
      <w:rPr>
        <w:rStyle w:val="26"/>
        <w:sz w:val="28"/>
        <w:szCs w:val="28"/>
      </w:rPr>
      <w:fldChar w:fldCharType="begin"/>
    </w:r>
    <w:r>
      <w:rPr>
        <w:rStyle w:val="26"/>
        <w:sz w:val="28"/>
        <w:szCs w:val="28"/>
      </w:rPr>
      <w:instrText>Page</w:instrText>
    </w:r>
    <w:r>
      <w:rPr>
        <w:rStyle w:val="26"/>
        <w:sz w:val="28"/>
        <w:szCs w:val="28"/>
      </w:rPr>
      <w:fldChar w:fldCharType="separate"/>
    </w:r>
    <w:r>
      <w:rPr>
        <w:rStyle w:val="26"/>
        <w:sz w:val="28"/>
        <w:szCs w:val="28"/>
      </w:rPr>
      <w:t>- 1 -</w:t>
    </w:r>
    <w:r>
      <w:rPr>
        <w:rStyle w:val="26"/>
        <w:sz w:val="28"/>
        <w:szCs w:val="28"/>
      </w:rPr>
      <w:fldChar w:fldCharType="end"/>
    </w:r>
  </w:p>
  <w:p>
    <w:pPr>
      <w:pStyle w:val="20"/>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r>
      <w:rPr>
        <w:rFonts w:hint="eastAsia"/>
      </w:rPr>
      <w:t>·</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B032E1C"/>
    <w:multiLevelType w:val="singleLevel"/>
    <w:tmpl w:val="2B032E1C"/>
    <w:lvl w:ilvl="0">
      <w:start w:val="2"/>
      <w:numFmt w:val="chineseCounting"/>
      <w:lvlRestart w:val="0"/>
      <w:suff w:val="space"/>
      <w:lvlText w:val="%1、"/>
      <w:lvlJc w:val="left"/>
      <w:pPr>
        <w:tabs>
          <w:tab w:val="num" w:pos="0"/>
        </w:tabs>
        <w:ind w:left="0" w:hanging="0"/>
      </w:pPr>
      <w:rPr>
        <w:rFonts w:hint="eastAsia"/>
      </w:r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cs="Times New Roman"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w:next w:val="16"/>
    <w:pPr>
      <w:widowControl w:val="0"/>
      <w:spacing w:beforeLines="30" w:before="30"/>
      <w:jc w:val="both"/>
    </w:pPr>
    <w:rPr>
      <w:rFonts w:ascii="仿宋_GB2312" w:eastAsia="仿宋_GB2312" w:cs="Times New Roman"/>
      <w:sz w:val="24"/>
      <w:szCs w:val="20"/>
      <w:lang w:val="zh-CN" w:eastAsia="zh-CN" w:bidi="ar-SA"/>
    </w:rPr>
  </w:style>
  <w:style w:type="paragraph" w:styleId="16">
    <w:name w:val="toc 1"/>
    <w:basedOn w:val="0"/>
    <w:next w:val="0"/>
    <w:pPr>
      <w:widowControl w:val="0"/>
      <w:spacing w:before="120" w:after="120"/>
    </w:pPr>
    <w:rPr>
      <w:rFonts w:ascii="Calibri" w:eastAsia="Calibri" w:cs="Times New Roman" w:hAnsi="Calibri"/>
      <w:b/>
      <w:bCs/>
      <w:caps/>
      <w:smallCaps w:val="0"/>
      <w:kern w:val="2"/>
      <w:lang w:val="en-US" w:eastAsia="zh-CN" w:bidi="ar-SA"/>
    </w:rPr>
  </w:style>
  <w:style w:type="paragraph" w:styleId="17">
    <w:name w:val="toc 5"/>
    <w:basedOn w:val="0"/>
    <w:next w:val="0"/>
    <w:pPr>
      <w:ind w:left="1680"/>
    </w:pPr>
  </w:style>
  <w:style w:type="paragraph" w:styleId="18">
    <w:name w:val="toc 3"/>
    <w:next w:val="0"/>
    <w:pPr>
      <w:widowControl w:val="0"/>
      <w:ind w:left="420"/>
    </w:pPr>
    <w:rPr>
      <w:rFonts w:ascii="Calibri" w:eastAsia="Calibri" w:cs="Times New Roman" w:hAnsi="Calibri"/>
      <w:i/>
      <w:iCs/>
      <w:kern w:val="2"/>
      <w:sz w:val="20"/>
      <w:szCs w:val="20"/>
      <w:lang w:val="en-US" w:eastAsia="zh-CN" w:bidi="ar-SA"/>
    </w:rPr>
  </w:style>
  <w:style w:type="paragraph" w:styleId="19">
    <w:name w:val="Balloon Text"/>
    <w:basedOn w:val="0"/>
    <w:rPr>
      <w:sz w:val="18"/>
      <w:szCs w:val="18"/>
    </w:rPr>
  </w:style>
  <w:style w:type="paragraph" w:styleId="20">
    <w:name w:val="footer"/>
    <w:next w:val="18"/>
    <w:pPr>
      <w:widowControl w:val="0"/>
      <w:tabs>
        <w:tab w:val="center" w:pos="4153"/>
        <w:tab w:val="right" w:pos="8306"/>
      </w:tabs>
      <w:snapToGrid w:val="0"/>
    </w:pPr>
    <w:rPr>
      <w:rFonts w:ascii="Calibri" w:eastAsia="宋体" w:cs="Times New Roman" w:hAnsi="Calibri"/>
      <w:sz w:val="18"/>
      <w:szCs w:val="20"/>
      <w:lang w:val="zh-CN" w:eastAsia="zh-CN" w:bidi="ar-SA"/>
    </w:rPr>
  </w:style>
  <w:style w:type="paragraph" w:styleId="21">
    <w:name w:val="header"/>
    <w:next w:val="22"/>
    <w:pPr>
      <w:widowControl w:val="0"/>
      <w:pBdr>
        <w:bottom w:val="single" w:sz="6" w:space="1" w:color="auto"/>
      </w:pBdr>
      <w:tabs>
        <w:tab w:val="center" w:pos="4153"/>
        <w:tab w:val="right" w:pos="8306"/>
      </w:tabs>
      <w:snapToGrid w:val="0"/>
      <w:jc w:val="center"/>
    </w:pPr>
    <w:rPr>
      <w:rFonts w:ascii="Calibri" w:eastAsia="宋体" w:cs="Times New Roman" w:hAnsi="Calibri"/>
      <w:sz w:val="18"/>
      <w:szCs w:val="20"/>
      <w:lang w:val="zh-CN" w:eastAsia="zh-CN" w:bidi="ar-SA"/>
    </w:rPr>
  </w:style>
  <w:style w:type="paragraph" w:styleId="22">
    <w:name w:val="toc 4"/>
    <w:basedOn w:val="0"/>
    <w:next w:val="0"/>
    <w:pPr>
      <w:ind w:left="1260"/>
    </w:pPr>
  </w:style>
  <w:style w:type="paragraph" w:styleId="23">
    <w:name w:val="toc 2"/>
    <w:basedOn w:val="0"/>
    <w:next w:val="0"/>
    <w:pPr>
      <w:widowControl w:val="0"/>
      <w:ind w:left="210"/>
    </w:pPr>
    <w:rPr>
      <w:rFonts w:ascii="Calibri" w:eastAsia="Calibri" w:cs="Times New Roman" w:hAnsi="Calibri"/>
      <w:caps w:val="0"/>
      <w:smallCaps/>
      <w:kern w:val="2"/>
      <w:lang w:val="en-US" w:eastAsia="zh-CN" w:bidi="ar-SA"/>
    </w:rPr>
  </w:style>
  <w:style w:type="paragraph" w:styleId="24">
    <w:name w:val="Normal (Web)"/>
    <w:basedOn w:val="0"/>
    <w:pPr>
      <w:widowControl/>
      <w:spacing w:before="100" w:beforeAutospacing="1" w:after="100" w:afterAutospacing="1"/>
      <w:jc w:val="left"/>
    </w:pPr>
    <w:rPr>
      <w:rFonts w:ascii="宋体" w:eastAsia="宋体" w:cs="宋体"/>
      <w:kern w:val="0"/>
      <w:sz w:val="24"/>
      <w:szCs w:val="24"/>
    </w:rPr>
  </w:style>
  <w:style w:type="character" w:styleId="25">
    <w:name w:val="Strong"/>
    <w:rPr>
      <w:rFonts w:cs="Times New Roman"/>
      <w:b/>
      <w:lang w:bidi="ar-SA"/>
    </w:rPr>
  </w:style>
  <w:style w:type="character" w:styleId="26">
    <w:name w:val="page number"/>
  </w:style>
  <w:style w:type="paragraph" w:customStyle="1" w:styleId="27">
    <w:name w:val="列表段落1"/>
    <w:next w:val="22"/>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8">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9">
    <w:name w:val="Default"/>
    <w:next w:val="17"/>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2022年决算收支对比图</a:t>
            </a:r>
          </a:p>
        </c:rich>
      </c:tx>
      <c:layout/>
      <c:overlay val="0"/>
      <c:spPr>
        <a:noFill/>
        <a:ln>
          <a:noFill/>
        </a:ln>
      </c:spPr>
    </c:title>
    <c:autoTitleDeleted val="0"/>
    <c:plotArea>
      <c:layout/>
      <c:barChart>
        <c:barDir val="col"/>
        <c:grouping val="clustered"/>
        <c:varyColors val="0"/>
        <c:ser>
          <c:idx val="0"/>
          <c:order val="0"/>
          <c:tx>
            <c:v>2022年决算收支对比图</c:v>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4"/>
              <c:pt idx="0">
                <c:v>2022年度财政拨款收入</c:v>
              </c:pt>
              <c:pt idx="1">
                <c:v>2021年度财政拨款收入</c:v>
              </c:pt>
              <c:pt idx="2">
                <c:v>2022年度财政拨款支出</c:v>
              </c:pt>
              <c:pt idx="3">
                <c:v>2021年度财政拨款支出</c:v>
              </c:pt>
            </c:strLit>
          </c:cat>
          <c:val>
            <c:numRef>
              <c:f/>
              <c:numCache>
                <c:formatCode>General</c:formatCode>
                <c:ptCount val="4"/>
                <c:pt idx="0">
                  <c:v>9276.09</c:v>
                </c:pt>
                <c:pt idx="1">
                  <c:v>8197.15</c:v>
                </c:pt>
                <c:pt idx="2">
                  <c:v>9276.09</c:v>
                </c:pt>
                <c:pt idx="3">
                  <c:v>8197.15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sz="1400" b="0" i="0" u="none" strike="noStrike" baseline="0">
                <a:solidFill>
                  <a:srgbClr val="595959"/>
                </a:solidFill>
                <a:latin typeface="AR PL UKai CN"/>
                <a:ea typeface="AR PL UKai CN"/>
                <a:cs typeface="Lucida Sans"/>
              </a:rPr>
              <a:t>2022</a:t>
            </a:r>
            <a:r>
              <a:rPr lang="zh-CN" sz="1400" b="0" i="0" u="none" strike="noStrike" baseline="0">
                <a:solidFill>
                  <a:srgbClr val="595959"/>
                </a:solidFill>
                <a:latin typeface="AR PL UKai CN"/>
                <a:ea typeface="AR PL UKai CN"/>
                <a:cs typeface="Lucida Sans"/>
              </a:rPr>
              <a:t>年财政拨款收支对比图</a:t>
            </a:r>
          </a:p>
        </c:rich>
      </c:tx>
      <c:layout/>
      <c:overlay val="0"/>
      <c:spPr>
        <a:noFill/>
        <a:ln>
          <a:noFill/>
        </a:ln>
      </c:spPr>
    </c:title>
    <c:autoTitleDeleted val="1"/>
    <c:plotArea>
      <c:layout/>
      <c:barChart>
        <c:barDir val="col"/>
        <c:grouping val="clustered"/>
        <c:varyColors val="0"/>
        <c:ser>
          <c:idx val="0"/>
          <c:order val="0"/>
          <c:tx>
            <c:v>收入</c:v>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numRef>
              <c:numCache>
                <c:ptCount val="2"/>
                <c:pt idx="0">
                  <c:v>2022</c:v>
                </c:pt>
                <c:pt idx="1">
                  <c:v>2021</c:v>
                </c:pt>
              </c:numCache>
            </c:numRef>
          </c:cat>
          <c:val>
            <c:numRef>
              <c:f/>
              <c:numCache>
                <c:formatCode>General</c:formatCode>
                <c:ptCount val="2"/>
                <c:pt idx="0">
                  <c:v>9276.09</c:v>
                </c:pt>
                <c:pt idx="1">
                  <c:v>8197.15</c:v>
                </c:pt>
              </c:numCache>
            </c:numRef>
          </c:val>
        </c:ser>
        <c:ser>
          <c:idx val="1"/>
          <c:order val="1"/>
          <c:tx>
            <c:v>支出</c:v>
          </c:tx>
          <c:spPr>
            <a:solidFill>
              <a:srgbClr val="ED7D31"/>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numRef>
              <c:numCache>
                <c:ptCount val="2"/>
                <c:pt idx="0">
                  <c:v>2022</c:v>
                </c:pt>
                <c:pt idx="1">
                  <c:v>2021</c:v>
                </c:pt>
              </c:numCache>
            </c:numRef>
          </c:cat>
          <c:val>
            <c:numRef>
              <c:f/>
              <c:numCache>
                <c:formatCode>General</c:formatCode>
                <c:ptCount val="2"/>
                <c:pt idx="0">
                  <c:v>9276.09</c:v>
                </c:pt>
                <c:pt idx="1">
                  <c:v>8197.15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一般公共预算财政拨款支出决算结构情况</a:t>
            </a:r>
          </a:p>
        </c:rich>
      </c:tx>
      <c:layout/>
      <c:overlay val="0"/>
      <c:spPr>
        <a:noFill/>
        <a:ln>
          <a:noFill/>
        </a:ln>
      </c:spPr>
    </c:title>
    <c:autoTitleDeleted val="0"/>
    <c:plotArea>
      <c:layout/>
      <c:pieChart>
        <c:varyColors val="1"/>
        <c:ser>
          <c:idx val="0"/>
          <c:order val="0"/>
          <c:tx>
            <c:v>一般公共预算财政拨款支出决算结构情况</c:v>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Lit>
              <c:ptCount val="5"/>
              <c:pt idx="0">
                <c:v>农林水支出</c:v>
              </c:pt>
              <c:pt idx="1">
                <c:v>交通运输支出</c:v>
              </c:pt>
              <c:pt idx="2">
                <c:v>社会保障和就业支出</c:v>
              </c:pt>
              <c:pt idx="3">
                <c:v>卫生健康支出</c:v>
              </c:pt>
              <c:pt idx="4">
                <c:v>住房保障支出</c:v>
              </c:pt>
            </c:strLit>
          </c:cat>
          <c:val>
            <c:numRef>
              <c:f/>
              <c:numCache>
                <c:formatCode>General</c:formatCode>
                <c:ptCount val="5"/>
                <c:pt idx="0">
                  <c:v>6542.0</c:v>
                </c:pt>
                <c:pt idx="1">
                  <c:v>2576.74</c:v>
                </c:pt>
                <c:pt idx="2">
                  <c:v>79.34</c:v>
                </c:pt>
                <c:pt idx="3">
                  <c:v>32.16</c:v>
                </c:pt>
                <c:pt idx="4">
                  <c:v>45.85</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21</Pages>
  <Words>7144</Words>
  <Characters>7942</Characters>
  <Lines>413</Lines>
  <Paragraphs>178</Paragraphs>
  <CharactersWithSpaces>8089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dc:creator>
  <cp:lastModifiedBy>user</cp:lastModifiedBy>
  <cp:revision>11</cp:revision>
  <cp:lastPrinted>2023-08-29T08:07:09Z</cp:lastPrinted>
  <dcterms:created xsi:type="dcterms:W3CDTF">2018-07-11T15:11:00Z</dcterms:created>
  <dcterms:modified xsi:type="dcterms:W3CDTF">2023-08-30T03:20:05Z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2052-10.1.0.7520</vt:lpwstr>
  </property>
  <property fmtid="{D5CDD505-2E9C-101B-9397-08002B2CF9AE}" pid="3" name="ICV">
    <vt:lpwstr>4CE6A470D7F5427BAC76687CE7F35C46</vt:lpwstr>
  </property>
</Properties>
</file>