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2023年，我单位部门预算630.17万元 ，均严格按绩效管理要求实现项目绩效目标管理，其中重点项目预算0个，现将情况说明如下：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完成了2023年本级部门预算整体绩效目标申报0个重点项目预算绩效目标申报，并编报0个重点项目预算事前绩效评估报告。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是抓好收支预算执行。编好收支预算，依法组织收入，加强支出管理。二是促进经济稳定增长。推进供给侧结构性改革，推进全面创新改革试验，加大重点基础设施投入，促进产业转型升级，推进新型城镇化。三是大力推进脱贫攻坚。四是强化财政管理监督。加快法治财政建设，强化财政基础管理，严肃财经纪律。九是推进从严管党治党。加强干部队伍建设，加强党风廉政建设，加强系统党的建设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我单位年初无重点项目。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0070A"/>
    <w:rsid w:val="11232FC8"/>
    <w:rsid w:val="175C0B3C"/>
    <w:rsid w:val="36F0070A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dcterms:modified xsi:type="dcterms:W3CDTF">2023-02-07T07:52:43Z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