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8441"/>
      <w:bookmarkStart w:id="3" w:name="_Toc15396475"/>
      <w:bookmarkStart w:id="4" w:name="_Toc15377425"/>
      <w:bookmarkStart w:id="5" w:name="_Toc15377193"/>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0"/>
      <w:bookmarkEnd w:id="1"/>
      <w:bookmarkEnd w:id="2"/>
      <w:bookmarkEnd w:id="3"/>
      <w:bookmarkEnd w:id="4"/>
      <w:bookmarkEnd w:id="5"/>
      <w:bookmarkStart w:id="6" w:name="_Toc15377426"/>
      <w:bookmarkStart w:id="7" w:name="_Toc15396476"/>
      <w:bookmarkStart w:id="8" w:name="_Toc15378442"/>
      <w:bookmarkStart w:id="9" w:name="_Toc15306268"/>
      <w:bookmarkStart w:id="10" w:name="_Toc15396598"/>
      <w:bookmarkStart w:id="11" w:name="_Toc15377194"/>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金川县交通运输局决算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Pr>
        <w:rPr>
          <w:rFonts w:hint="eastAsia"/>
        </w:rPr>
      </w:pPr>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3</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5</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sz w:val="28"/>
          <w:szCs w:val="28"/>
        </w:rPr>
      </w:pPr>
      <w:r>
        <w:rPr>
          <w:rStyle w:val="15"/>
          <w:rFonts w:hint="eastAsia" w:ascii="仿宋" w:eastAsia="仿宋"/>
          <w:bCs/>
          <w:sz w:val="28"/>
          <w:szCs w:val="28"/>
        </w:rPr>
        <w:t xml:space="preserve"> 十、预算绩效情况说明.................................. 9</w:t>
      </w:r>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10</w:t>
      </w:r>
    </w:p>
    <w:p>
      <w:pPr>
        <w:pStyle w:val="10"/>
        <w:rPr>
          <w:rFonts w:hint="eastAsia"/>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11</w:t>
      </w:r>
      <w:r>
        <w:rPr>
          <w:rFonts w:hint="eastAsia"/>
        </w:rPr>
        <w:fldChar w:fldCharType="end"/>
      </w:r>
      <w:r>
        <w:rPr>
          <w:color w:val="000000"/>
          <w:sz w:val="24"/>
        </w:rPr>
        <w:fldChar w:fldCharType="end"/>
      </w:r>
      <w:bookmarkStart w:id="12" w:name="_Toc15377196"/>
      <w:bookmarkStart w:id="13" w:name="_Toc15396599"/>
    </w:p>
    <w:p>
      <w:r>
        <w:rPr>
          <w:rFonts w:hint="eastAsia" w:ascii="宋体" w:hAnsi="宋体"/>
          <w:sz w:val="28"/>
          <w:szCs w:val="28"/>
        </w:rPr>
        <w:t>第四部分</w:t>
      </w:r>
      <w:r>
        <w:rPr>
          <w:rFonts w:hint="eastAsia"/>
        </w:rPr>
        <w:t xml:space="preserve">  </w:t>
      </w:r>
      <w:r>
        <w:rPr>
          <w:rFonts w:hint="eastAsia" w:ascii="宋体" w:hAnsi="宋体"/>
          <w:sz w:val="28"/>
          <w:szCs w:val="28"/>
        </w:rPr>
        <w:t>附件</w:t>
      </w:r>
      <w:r>
        <w:t>……………………………………………………………………………</w:t>
      </w:r>
      <w:r>
        <w:rPr>
          <w:rFonts w:hint="eastAsia"/>
        </w:rPr>
        <w:t>.13</w:t>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left="640" w:hanging="640" w:hangingChars="200"/>
        <w:rPr>
          <w:rStyle w:val="17"/>
          <w:rFonts w:ascii="黑体" w:eastAsia="黑体"/>
          <w:b w:val="0"/>
          <w:bCs w:val="0"/>
        </w:rPr>
      </w:pPr>
      <w:bookmarkStart w:id="14" w:name="_Toc15377197"/>
      <w:bookmarkStart w:id="15" w:name="_Toc15396600"/>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8445"/>
      <w:bookmarkStart w:id="17"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widowControl/>
        <w:spacing w:line="540" w:lineRule="atLeast"/>
        <w:ind w:firstLine="600" w:firstLineChars="200"/>
        <w:jc w:val="left"/>
        <w:rPr>
          <w:rFonts w:ascii="仿宋" w:hAnsi="仿宋" w:eastAsia="仿宋" w:cs="宋体"/>
          <w:kern w:val="0"/>
          <w:sz w:val="32"/>
          <w:szCs w:val="32"/>
        </w:rPr>
      </w:pPr>
      <w:r>
        <w:rPr>
          <w:rFonts w:hint="eastAsia" w:ascii="仿宋_GB2312" w:eastAsia="仿宋_GB2312"/>
          <w:bCs/>
          <w:sz w:val="30"/>
          <w:szCs w:val="30"/>
        </w:rPr>
        <w:t xml:space="preserve"> 1</w:t>
      </w:r>
      <w:r>
        <w:rPr>
          <w:rFonts w:hint="eastAsia" w:ascii="仿宋" w:hAnsi="仿宋" w:eastAsia="仿宋" w:cs="宋体"/>
          <w:kern w:val="0"/>
          <w:sz w:val="32"/>
          <w:szCs w:val="32"/>
        </w:rPr>
        <w:t>、办公室承担机关日常事务管理工作，协调机关各股室工作关系，组织重要会议；负责会议报告和综合性文稿的起草。负责文秘、宣传报道、政务信息、信访、调研、督查、督办、档案、保密和目标管理考核等工作。负责局机关和所属事业单位的机构编制和人事管理及教育培训等工作。承办局领导交办的其他事宜。</w:t>
      </w:r>
    </w:p>
    <w:p>
      <w:pPr>
        <w:widowControl/>
        <w:spacing w:line="540" w:lineRule="atLeast"/>
        <w:ind w:firstLine="1280" w:firstLineChars="400"/>
        <w:jc w:val="left"/>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、计划财务股：负责全县交通运输行业财务管理和预算资金的管理工作，承办公路、水路行业投融资办法</w:t>
      </w:r>
      <w:r>
        <w:rPr>
          <w:rFonts w:hint="eastAsia" w:ascii="仿宋" w:hAnsi="仿宋" w:eastAsia="仿宋" w:cs="宋体"/>
          <w:kern w:val="0"/>
          <w:sz w:val="32"/>
          <w:szCs w:val="32"/>
          <w:lang w:eastAsia="zh-CN"/>
        </w:rPr>
        <w:t>拟订</w:t>
      </w:r>
      <w:r>
        <w:rPr>
          <w:rFonts w:hint="eastAsia" w:ascii="仿宋" w:hAnsi="仿宋" w:eastAsia="仿宋" w:cs="宋体"/>
          <w:kern w:val="0"/>
          <w:sz w:val="32"/>
          <w:szCs w:val="32"/>
        </w:rPr>
        <w:t>工作，负责财政、税收、信贷等协调工作；负责局机关预算的编制、国有资产管理工作，负责内部审计工作，负责局机关物资采购工作；承办级领导交办的其他事宜。</w:t>
      </w:r>
    </w:p>
    <w:p>
      <w:pPr>
        <w:widowControl/>
        <w:spacing w:line="540" w:lineRule="atLeast"/>
        <w:ind w:firstLine="1280" w:firstLineChars="400"/>
        <w:jc w:val="left"/>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安全运输管理股：承办交通运输法律、法规和规章的宣传贯彻；承担相关行政执法、执法监督、行政复议、行政诉讼工作；承担全县综合运输市场体系建设和监督管理工作；组织客货运输市场调查，镇分析、预测交通宏观经济运行情况。</w:t>
      </w:r>
    </w:p>
    <w:p>
      <w:pPr>
        <w:widowControl/>
        <w:spacing w:line="540" w:lineRule="atLeast"/>
        <w:ind w:firstLine="1280" w:firstLineChars="400"/>
        <w:jc w:val="left"/>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rPr>
        <w:t>、农村公路公路办公室：负责全县农村公路养护公路工作，制定农村公路养护公路规章制度、技术政策和技术规范要求，负责监督指导农村公路养护公路工作，对全县农村公路养护公路情况进行检查考核，负责管理使用各种养护机具车辆。</w:t>
      </w:r>
    </w:p>
    <w:p>
      <w:pPr>
        <w:widowControl/>
        <w:spacing w:line="540" w:lineRule="atLeast"/>
        <w:ind w:firstLine="1280" w:firstLineChars="400"/>
        <w:jc w:val="left"/>
        <w:rPr>
          <w:rFonts w:ascii="仿宋_GB2312" w:hAnsi="仿宋" w:eastAsia="仿宋_GB2312"/>
          <w:sz w:val="32"/>
          <w:szCs w:val="32"/>
        </w:rPr>
      </w:pPr>
      <w:r>
        <w:rPr>
          <w:rFonts w:ascii="仿宋" w:hAnsi="仿宋" w:eastAsia="仿宋" w:cs="宋体"/>
          <w:kern w:val="0"/>
          <w:sz w:val="32"/>
          <w:szCs w:val="32"/>
        </w:rPr>
        <w:t>5</w:t>
      </w:r>
      <w:r>
        <w:rPr>
          <w:rFonts w:hint="eastAsia" w:ascii="仿宋" w:hAnsi="仿宋" w:eastAsia="仿宋" w:cs="宋体"/>
          <w:kern w:val="0"/>
          <w:sz w:val="32"/>
          <w:szCs w:val="32"/>
        </w:rPr>
        <w:t>、道桥工程管理站：按照州有关行业务要求，组织实施全县公路建设养护以及大中修工程和水毁恢复工程的管理工作，确保我县公路建设、养护工作健康有序发展，负责贯彻公路行业宣传和管理，维护我县公路路产路权；负责办理全县公路建设、养护以及大中修工程和水毁恢复工程的结算，指导管理全州重点项目的工程结算，确保我州公路建设资金发挥应有的作用。</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600" w:lineRule="exact"/>
        <w:ind w:firstLine="640" w:firstLineChars="200"/>
        <w:rPr>
          <w:rFonts w:ascii="仿宋_GB2312" w:hAnsi="仿宋_GB2312" w:eastAsia="仿宋_GB2312" w:cs="仿宋_GB2312"/>
          <w:sz w:val="32"/>
          <w:szCs w:val="32"/>
        </w:rPr>
      </w:pPr>
      <w:bookmarkStart w:id="20" w:name="_Toc15377200"/>
      <w:bookmarkStart w:id="21" w:name="_Toc15396601"/>
      <w:r>
        <w:rPr>
          <w:rFonts w:hint="eastAsia" w:ascii="仿宋_GB2312" w:hAnsi="仿宋_GB2312" w:eastAsia="仿宋_GB2312" w:cs="仿宋_GB2312"/>
          <w:sz w:val="32"/>
          <w:szCs w:val="32"/>
        </w:rPr>
        <w:t>一是抓好收支预算执行。编好收支预算，依法组织收入，加强支出管理。二是促进经济稳定增长。推进供给侧结构性改革，推进全面创新改革试验，加大重点基础设施投入，促进产业转型升级，推进新型城镇化。三是大力推进脱贫攻坚。做好脱贫攻坚资金保障，继续推进涉农资金整合试点，推进“四项基金”有效运行，拓宽贫困人口增收渠道。四是促进民生社会事业发展。持续加大民生投入，足额筹措十项民生工程，支持教育、养老、医药卫生等方面社会事业发展。五是推进绿色发展。加大污染防治支持力度，支持加强生态建设，支持发展绿色低碳循环经济。六是深化财税体制改革。继续深化税制改革，加快财政管理体制改革，深化预算管理制度改革，加快转变财政支持发展方式。七是加强政府债务管理。全面编制政府债务收支预算，强化债务风险防控，推进融资平台公司规范转型，加快推进存量债务置换，做好政府债券发行管理工作。八是强化财政管理监督。加快法治财政建设，强化财政基础管理，严肃财经纪律。九是推进从严管党治党。加强干部队伍建设，加强党风廉政建设，加强系统党的建设。</w:t>
      </w:r>
    </w:p>
    <w:p>
      <w:pPr>
        <w:numPr>
          <w:ilvl w:val="0"/>
          <w:numId w:val="1"/>
        </w:numPr>
        <w:spacing w:line="578" w:lineRule="exact"/>
        <w:ind w:firstLine="640" w:firstLineChars="200"/>
        <w:rPr>
          <w:rStyle w:val="17"/>
          <w:rFonts w:ascii="黑体" w:eastAsia="黑体"/>
          <w:b w:val="0"/>
          <w:bCs w:val="0"/>
        </w:rPr>
      </w:pPr>
      <w:r>
        <w:rPr>
          <w:rStyle w:val="17"/>
          <w:rFonts w:hint="eastAsia" w:ascii="黑体" w:eastAsia="黑体"/>
          <w:b w:val="0"/>
          <w:bCs w:val="0"/>
        </w:rPr>
        <w:t>机构设置</w:t>
      </w:r>
      <w:bookmarkEnd w:id="20"/>
      <w:bookmarkEnd w:id="21"/>
      <w:bookmarkStart w:id="22" w:name="_Toc15396602"/>
      <w:bookmarkStart w:id="23" w:name="_Toc15377204"/>
    </w:p>
    <w:p>
      <w:pPr>
        <w:spacing w:line="578" w:lineRule="exact"/>
        <w:ind w:firstLine="600" w:firstLineChars="200"/>
        <w:rPr>
          <w:rFonts w:ascii="仿宋_GB2312" w:hAnsi="仿宋" w:eastAsia="仿宋_GB2312"/>
          <w:sz w:val="32"/>
          <w:szCs w:val="32"/>
        </w:rPr>
      </w:pPr>
      <w:r>
        <w:rPr>
          <w:rFonts w:hint="eastAsia" w:ascii="仿宋_GB2312" w:eastAsia="仿宋_GB2312"/>
          <w:sz w:val="30"/>
          <w:szCs w:val="30"/>
        </w:rPr>
        <w:t xml:space="preserve"> </w:t>
      </w:r>
      <w:r>
        <w:rPr>
          <w:rFonts w:hint="eastAsia" w:ascii="仿宋_GB2312" w:hAnsi="仿宋" w:eastAsia="仿宋_GB2312"/>
          <w:sz w:val="32"/>
          <w:szCs w:val="32"/>
        </w:rPr>
        <w:t>1．机构情况：</w:t>
      </w:r>
      <w:r>
        <w:rPr>
          <w:rFonts w:hint="eastAsia" w:ascii="仿宋_GB2312" w:eastAsia="仿宋_GB2312"/>
          <w:sz w:val="32"/>
        </w:rPr>
        <w:t>我局2020年有1个机构，无增减变动。</w:t>
      </w:r>
    </w:p>
    <w:p>
      <w:pPr>
        <w:snapToGrid w:val="0"/>
        <w:spacing w:line="540" w:lineRule="atLeast"/>
        <w:ind w:firstLine="640" w:firstLineChars="200"/>
        <w:rPr>
          <w:rFonts w:ascii="楷体" w:hAnsi="楷体" w:eastAsia="楷体" w:cs="楷体"/>
          <w:b/>
          <w:bCs/>
          <w:sz w:val="30"/>
          <w:szCs w:val="30"/>
        </w:rPr>
      </w:pPr>
      <w:r>
        <w:rPr>
          <w:rFonts w:hint="eastAsia" w:ascii="仿宋_GB2312" w:hAnsi="仿宋" w:eastAsia="仿宋_GB2312"/>
          <w:sz w:val="32"/>
          <w:szCs w:val="32"/>
        </w:rPr>
        <w:t>2．人员情况：</w:t>
      </w:r>
      <w:r>
        <w:rPr>
          <w:rFonts w:hint="eastAsia" w:ascii="仿宋" w:hAnsi="仿宋" w:eastAsia="仿宋" w:cs="仿宋"/>
          <w:kern w:val="0"/>
          <w:sz w:val="32"/>
          <w:szCs w:val="32"/>
        </w:rPr>
        <w:t>总编制</w:t>
      </w:r>
      <w:r>
        <w:rPr>
          <w:rFonts w:hint="eastAsia" w:ascii="仿宋" w:hAnsi="仿宋" w:eastAsia="仿宋" w:cs="仿宋"/>
          <w:kern w:val="0"/>
          <w:sz w:val="32"/>
          <w:szCs w:val="32"/>
          <w:u w:val="single"/>
        </w:rPr>
        <w:t xml:space="preserve"> 31</w:t>
      </w:r>
      <w:r>
        <w:rPr>
          <w:rFonts w:hint="eastAsia" w:ascii="仿宋" w:hAnsi="仿宋" w:eastAsia="仿宋" w:cs="仿宋"/>
          <w:kern w:val="0"/>
          <w:sz w:val="32"/>
          <w:szCs w:val="32"/>
        </w:rPr>
        <w:t>名,其中:行政编制</w:t>
      </w:r>
      <w:r>
        <w:rPr>
          <w:rFonts w:hint="eastAsia" w:ascii="仿宋" w:hAnsi="仿宋" w:eastAsia="仿宋" w:cs="仿宋"/>
          <w:kern w:val="0"/>
          <w:sz w:val="32"/>
          <w:szCs w:val="32"/>
          <w:u w:val="single"/>
        </w:rPr>
        <w:t xml:space="preserve"> 8</w:t>
      </w:r>
      <w:r>
        <w:rPr>
          <w:rFonts w:hint="eastAsia" w:ascii="仿宋" w:hAnsi="仿宋" w:eastAsia="仿宋" w:cs="仿宋"/>
          <w:kern w:val="0"/>
          <w:sz w:val="32"/>
          <w:szCs w:val="32"/>
        </w:rPr>
        <w:t>名,事业编制</w:t>
      </w:r>
      <w:r>
        <w:rPr>
          <w:rFonts w:hint="eastAsia" w:ascii="仿宋" w:hAnsi="仿宋" w:eastAsia="仿宋" w:cs="仿宋"/>
          <w:kern w:val="0"/>
          <w:sz w:val="32"/>
          <w:szCs w:val="32"/>
          <w:u w:val="single"/>
        </w:rPr>
        <w:t xml:space="preserve"> 21</w:t>
      </w:r>
      <w:r>
        <w:rPr>
          <w:rFonts w:hint="eastAsia" w:ascii="仿宋" w:hAnsi="仿宋" w:eastAsia="仿宋" w:cs="仿宋"/>
          <w:kern w:val="0"/>
          <w:sz w:val="32"/>
          <w:szCs w:val="32"/>
        </w:rPr>
        <w:t>名，机关工勤</w:t>
      </w:r>
      <w:r>
        <w:rPr>
          <w:rFonts w:hint="eastAsia" w:ascii="仿宋" w:hAnsi="仿宋" w:eastAsia="仿宋" w:cs="仿宋"/>
          <w:kern w:val="0"/>
          <w:sz w:val="32"/>
          <w:szCs w:val="32"/>
          <w:u w:val="single"/>
        </w:rPr>
        <w:t>1</w:t>
      </w:r>
      <w:r>
        <w:rPr>
          <w:rFonts w:hint="eastAsia" w:ascii="仿宋" w:hAnsi="仿宋" w:eastAsia="仿宋" w:cs="仿宋"/>
          <w:kern w:val="0"/>
          <w:sz w:val="32"/>
          <w:szCs w:val="32"/>
        </w:rPr>
        <w:t>名，事业工勤</w:t>
      </w:r>
      <w:r>
        <w:rPr>
          <w:rFonts w:hint="eastAsia" w:ascii="仿宋" w:hAnsi="仿宋" w:eastAsia="仿宋" w:cs="仿宋"/>
          <w:kern w:val="0"/>
          <w:sz w:val="32"/>
          <w:szCs w:val="32"/>
          <w:u w:val="single"/>
        </w:rPr>
        <w:t xml:space="preserve"> 1</w:t>
      </w:r>
      <w:r>
        <w:rPr>
          <w:rFonts w:hint="eastAsia" w:ascii="仿宋" w:hAnsi="仿宋" w:eastAsia="仿宋" w:cs="仿宋"/>
          <w:kern w:val="0"/>
          <w:sz w:val="32"/>
          <w:szCs w:val="32"/>
        </w:rPr>
        <w:t>名，在职人员总数</w:t>
      </w:r>
      <w:r>
        <w:rPr>
          <w:rFonts w:hint="eastAsia" w:ascii="仿宋" w:hAnsi="仿宋" w:eastAsia="仿宋" w:cs="仿宋"/>
          <w:kern w:val="0"/>
          <w:sz w:val="32"/>
          <w:szCs w:val="32"/>
          <w:u w:val="single"/>
        </w:rPr>
        <w:t xml:space="preserve"> ,31</w:t>
      </w:r>
      <w:r>
        <w:rPr>
          <w:rFonts w:hint="eastAsia" w:ascii="仿宋" w:hAnsi="仿宋" w:eastAsia="仿宋" w:cs="仿宋"/>
          <w:kern w:val="0"/>
          <w:sz w:val="32"/>
          <w:szCs w:val="32"/>
        </w:rPr>
        <w:t>名。</w:t>
      </w:r>
    </w:p>
    <w:p>
      <w:pPr>
        <w:pStyle w:val="2"/>
        <w:ind w:right="440"/>
        <w:jc w:val="right"/>
      </w:pPr>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2020年度部门决算情况说明</w:t>
      </w:r>
      <w:bookmarkEnd w:id="22"/>
      <w:bookmarkEnd w:id="23"/>
    </w:p>
    <w:p>
      <w:pPr>
        <w:pStyle w:val="22"/>
        <w:numPr>
          <w:ilvl w:val="0"/>
          <w:numId w:val="2"/>
        </w:numPr>
        <w:ind w:left="0" w:firstLine="0" w:firstLineChars="0"/>
        <w:outlineLvl w:val="1"/>
        <w:rPr>
          <w:rStyle w:val="17"/>
          <w:rFonts w:ascii="黑体" w:eastAsia="黑体"/>
          <w:b w:val="0"/>
        </w:rPr>
      </w:pPr>
      <w:bookmarkStart w:id="24" w:name="_Toc15377205"/>
      <w:bookmarkStart w:id="25" w:name="_Toc15396603"/>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pStyle w:val="22"/>
        <w:numPr>
          <w:ilvl w:val="0"/>
          <w:numId w:val="3"/>
        </w:numPr>
        <w:spacing w:line="600" w:lineRule="exact"/>
        <w:ind w:firstLineChars="0"/>
        <w:rPr>
          <w:rFonts w:ascii="仿宋_GB2312" w:eastAsia="仿宋_GB2312"/>
          <w:color w:val="000000"/>
          <w:sz w:val="32"/>
          <w:szCs w:val="32"/>
        </w:rPr>
      </w:pPr>
      <w:bookmarkStart w:id="26" w:name="_Toc15377206"/>
      <w:bookmarkStart w:id="27" w:name="_Toc15396604"/>
      <w:r>
        <w:rPr>
          <w:rFonts w:hint="eastAsia" w:ascii="仿宋_GB2312" w:eastAsia="仿宋_GB2312"/>
          <w:color w:val="000000"/>
          <w:sz w:val="32"/>
          <w:szCs w:val="32"/>
        </w:rPr>
        <w:t>2020年度财政拨款收入总决算9288.6万元与2019年财政拨款收入总决算25013.06万元相比收入减少11224.46万元，减少44.87%。</w:t>
      </w:r>
    </w:p>
    <w:p>
      <w:pPr>
        <w:pStyle w:val="22"/>
        <w:numPr>
          <w:ilvl w:val="0"/>
          <w:numId w:val="3"/>
        </w:numPr>
        <w:spacing w:line="600" w:lineRule="exact"/>
        <w:ind w:firstLineChars="0"/>
        <w:rPr>
          <w:rFonts w:ascii="仿宋_GB2312" w:eastAsia="仿宋_GB2312"/>
          <w:color w:val="000000"/>
          <w:sz w:val="32"/>
          <w:szCs w:val="32"/>
        </w:rPr>
      </w:pPr>
      <w:r>
        <w:rPr>
          <w:rFonts w:hint="eastAsia" w:ascii="仿宋_GB2312" w:eastAsia="仿宋_GB2312"/>
          <w:color w:val="000000"/>
          <w:sz w:val="32"/>
          <w:szCs w:val="32"/>
        </w:rPr>
        <w:t>2020年度财政拨款支出总决算11540.56万元与2019年财政拨款支出总决算25230.9万元相比减少13690.34万元减少54.26%。</w:t>
      </w:r>
    </w:p>
    <w:p>
      <w:pPr>
        <w:spacing w:line="600" w:lineRule="exact"/>
        <w:rPr>
          <w:rStyle w:val="17"/>
          <w:rFonts w:ascii="黑体" w:eastAsia="黑体"/>
          <w:b w:val="0"/>
        </w:rPr>
      </w:pPr>
      <w:r>
        <w:rPr>
          <w:rFonts w:hint="eastAsia" w:ascii="黑体" w:eastAsia="黑体"/>
          <w:color w:val="000000"/>
          <w:sz w:val="32"/>
          <w:szCs w:val="32"/>
        </w:rPr>
        <w:t>二、收入决</w:t>
      </w:r>
      <w:r>
        <w:rPr>
          <w:rStyle w:val="17"/>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w:t>
      </w:r>
      <w:r>
        <w:rPr>
          <w:rFonts w:hint="eastAsia" w:ascii="仿宋_GB2312" w:eastAsia="仿宋_GB2312"/>
          <w:color w:val="000000"/>
          <w:sz w:val="32"/>
          <w:szCs w:val="32"/>
        </w:rPr>
        <w:t>9288.6</w:t>
      </w:r>
      <w:r>
        <w:rPr>
          <w:rFonts w:hint="eastAsia" w:ascii="仿宋" w:eastAsia="仿宋"/>
          <w:color w:val="000000"/>
          <w:sz w:val="32"/>
          <w:szCs w:val="32"/>
        </w:rPr>
        <w:t>万元，其中：一般公共预算财政拨款收入7554.6万元，占81.33</w:t>
      </w:r>
      <w:r>
        <w:rPr>
          <w:rFonts w:ascii="仿宋" w:eastAsia="仿宋"/>
          <w:color w:val="000000"/>
          <w:sz w:val="32"/>
          <w:szCs w:val="32"/>
        </w:rPr>
        <w:t>%</w:t>
      </w:r>
      <w:r>
        <w:rPr>
          <w:rFonts w:hint="eastAsia" w:ascii="仿宋" w:eastAsia="仿宋"/>
          <w:color w:val="000000"/>
          <w:sz w:val="32"/>
          <w:szCs w:val="32"/>
        </w:rPr>
        <w:t>；政府性基金预算财政拨款收入1734万元，占18.67</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Start w:id="28" w:name="_Toc15377207"/>
      <w:bookmarkStart w:id="29" w:name="_Toc15396605"/>
    </w:p>
    <w:p>
      <w:pPr>
        <w:spacing w:line="600" w:lineRule="exact"/>
        <w:outlineLvl w:val="1"/>
        <w:rPr>
          <w:rStyle w:val="17"/>
          <w:rFonts w:ascii="仿宋" w:hAnsi="Times New Roman" w:eastAsia="仿宋"/>
          <w:b w:val="0"/>
          <w:bCs w:val="0"/>
          <w:color w:val="000000"/>
        </w:rPr>
      </w:pPr>
      <w:r>
        <w:rPr>
          <w:rFonts w:hint="eastAsia" w:ascii="黑体" w:eastAsia="黑体"/>
          <w:color w:val="000000"/>
          <w:sz w:val="32"/>
          <w:szCs w:val="32"/>
        </w:rPr>
        <w:t>三、支出决</w:t>
      </w:r>
      <w:r>
        <w:rPr>
          <w:rStyle w:val="17"/>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w:t>
      </w:r>
      <w:r>
        <w:rPr>
          <w:rFonts w:hint="eastAsia" w:ascii="仿宋_GB2312" w:eastAsia="仿宋_GB2312"/>
          <w:color w:val="000000"/>
          <w:sz w:val="32"/>
          <w:szCs w:val="32"/>
        </w:rPr>
        <w:t>11540.56</w:t>
      </w:r>
      <w:r>
        <w:rPr>
          <w:rFonts w:hint="eastAsia" w:ascii="仿宋" w:eastAsia="仿宋"/>
          <w:color w:val="000000"/>
          <w:sz w:val="32"/>
          <w:szCs w:val="32"/>
        </w:rPr>
        <w:t>万元，其中：基本支出556.03万元，占4.82%；项目支出10984.53万元，占95.18%；上缴上级支出0万元，占0%；经营支出0万元，占0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pStyle w:val="22"/>
        <w:numPr>
          <w:ilvl w:val="0"/>
          <w:numId w:val="4"/>
        </w:numPr>
        <w:spacing w:line="600" w:lineRule="exact"/>
        <w:ind w:firstLineChars="0"/>
        <w:outlineLvl w:val="1"/>
        <w:rPr>
          <w:rFonts w:ascii="仿宋_GB2312" w:eastAsia="仿宋_GB2312"/>
          <w:color w:val="000000"/>
          <w:sz w:val="32"/>
          <w:szCs w:val="32"/>
        </w:rPr>
      </w:pPr>
      <w:bookmarkStart w:id="30" w:name="_Toc15396606"/>
      <w:bookmarkStart w:id="31" w:name="_Toc15377208"/>
      <w:r>
        <w:rPr>
          <w:rFonts w:hint="eastAsia" w:ascii="黑体" w:eastAsia="黑体"/>
          <w:color w:val="000000"/>
          <w:sz w:val="32"/>
          <w:szCs w:val="32"/>
        </w:rPr>
        <w:t>财</w:t>
      </w:r>
      <w:r>
        <w:rPr>
          <w:rStyle w:val="17"/>
          <w:rFonts w:hint="eastAsia" w:ascii="黑体" w:eastAsia="黑体"/>
          <w:b w:val="0"/>
        </w:rPr>
        <w:t>政拨款收入支出决算总体情况说明</w:t>
      </w:r>
      <w:bookmarkEnd w:id="30"/>
      <w:bookmarkEnd w:id="31"/>
      <w:bookmarkStart w:id="32" w:name="_Toc15396607"/>
      <w:bookmarkStart w:id="33" w:name="_Toc15377209"/>
    </w:p>
    <w:p>
      <w:pPr>
        <w:pStyle w:val="22"/>
        <w:spacing w:line="600" w:lineRule="exact"/>
        <w:ind w:firstLine="0" w:firstLineChars="0"/>
        <w:outlineLvl w:val="1"/>
        <w:rPr>
          <w:rFonts w:ascii="仿宋_GB2312" w:eastAsia="仿宋_GB2312"/>
          <w:color w:val="000000"/>
          <w:sz w:val="32"/>
          <w:szCs w:val="32"/>
        </w:rPr>
      </w:pPr>
      <w:r>
        <w:rPr>
          <w:rFonts w:hint="eastAsia" w:ascii="仿宋_GB2312" w:eastAsia="仿宋_GB2312"/>
          <w:color w:val="000000"/>
          <w:sz w:val="32"/>
          <w:szCs w:val="32"/>
        </w:rPr>
        <w:t xml:space="preserve"> 2020年度财政拨款收入总决算9288.6万元与2019年财政拨款收入总决算25013.06万元相比收入减少11224.46万元，增加44.87%。减少原因为2020年度较2019年度项目减少，2020年度财政拨款支出总决算11540.56万元与2019年财政拨款支出总决算25230.9万元相比减少13690.34万元减少54.26%。</w:t>
      </w:r>
    </w:p>
    <w:p>
      <w:pPr>
        <w:spacing w:line="600" w:lineRule="exact"/>
        <w:rPr>
          <w:rStyle w:val="17"/>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spacing w:line="600" w:lineRule="exact"/>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一般公共预算财政拨款支出11540.56万元，</w:t>
      </w:r>
      <w:r>
        <w:rPr>
          <w:rFonts w:hint="eastAsia" w:ascii="仿宋" w:eastAsia="仿宋"/>
          <w:color w:val="000000"/>
          <w:sz w:val="32"/>
          <w:szCs w:val="32"/>
        </w:rPr>
        <w:t>占本年总支出的82.59</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支出减少13690.34万元，减少54.26%。主要原因是当年安排部门预算项目未完工，未报账。</w:t>
      </w:r>
    </w:p>
    <w:p>
      <w:pPr>
        <w:snapToGrid w:val="0"/>
        <w:spacing w:line="520" w:lineRule="exact"/>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20年一般公共预算财政拨款支出11540.56万元，主要用于以下方面</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其他</w:t>
      </w:r>
      <w:r>
        <w:rPr>
          <w:rFonts w:hint="eastAsia" w:ascii="仿宋" w:eastAsia="仿宋"/>
          <w:color w:val="000000"/>
          <w:sz w:val="32"/>
          <w:szCs w:val="32"/>
        </w:rPr>
        <w:t>支出2606.16万元，占22.58%；</w:t>
      </w:r>
      <w:r>
        <w:rPr>
          <w:rFonts w:hint="eastAsia" w:ascii="仿宋" w:eastAsia="仿宋"/>
          <w:b/>
          <w:color w:val="000000"/>
          <w:sz w:val="32"/>
          <w:szCs w:val="32"/>
        </w:rPr>
        <w:t>社会保障和就业支出</w:t>
      </w:r>
      <w:r>
        <w:rPr>
          <w:rFonts w:hint="eastAsia" w:ascii="仿宋" w:eastAsia="仿宋"/>
          <w:color w:val="000000"/>
          <w:sz w:val="32"/>
          <w:szCs w:val="32"/>
        </w:rPr>
        <w:t>62.65万元，占0.54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27.35万元，占0.23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城乡</w:t>
      </w:r>
      <w:r>
        <w:rPr>
          <w:rFonts w:hint="eastAsia" w:ascii="仿宋" w:eastAsia="仿宋"/>
          <w:b/>
          <w:bCs/>
          <w:color w:val="000000"/>
          <w:sz w:val="32"/>
          <w:szCs w:val="32"/>
        </w:rPr>
        <w:t>社区支出</w:t>
      </w:r>
      <w:r>
        <w:rPr>
          <w:rFonts w:hint="eastAsia" w:ascii="仿宋" w:eastAsia="仿宋"/>
          <w:color w:val="000000"/>
          <w:sz w:val="32"/>
          <w:szCs w:val="32"/>
        </w:rPr>
        <w:t>556.53万元，占4.8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hint="eastAsia" w:ascii="仿宋" w:eastAsia="仿宋"/>
          <w:color w:val="000000"/>
          <w:sz w:val="32"/>
          <w:szCs w:val="32"/>
        </w:rPr>
        <w:t>3762.3万元，占32.6</w:t>
      </w:r>
      <w:r>
        <w:rPr>
          <w:rFonts w:ascii="仿宋" w:eastAsia="仿宋"/>
          <w:color w:val="000000"/>
          <w:sz w:val="32"/>
          <w:szCs w:val="32"/>
        </w:rPr>
        <w:t>%</w:t>
      </w:r>
      <w:r>
        <w:rPr>
          <w:rFonts w:hint="eastAsia" w:ascii="仿宋" w:eastAsia="仿宋"/>
          <w:color w:val="000000"/>
          <w:sz w:val="32"/>
          <w:szCs w:val="32"/>
        </w:rPr>
        <w:t>；交通运输支出4485.36万元，占38.87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40.21万元，占40.35</w:t>
      </w:r>
      <w:r>
        <w:rPr>
          <w:rFonts w:ascii="仿宋" w:eastAsia="仿宋"/>
          <w:color w:val="000000"/>
          <w:sz w:val="32"/>
          <w:szCs w:val="32"/>
        </w:rPr>
        <w:t>%</w:t>
      </w:r>
      <w:r>
        <w:rPr>
          <w:rFonts w:hint="eastAsia" w:ascii="仿宋" w:eastAsia="仿宋"/>
          <w:color w:val="000000"/>
          <w:sz w:val="32"/>
          <w:szCs w:val="32"/>
        </w:rPr>
        <w:t>。</w:t>
      </w:r>
      <w:bookmarkStart w:id="36" w:name="_Toc15377444"/>
      <w:bookmarkStart w:id="37" w:name="_Toc15377213"/>
      <w:bookmarkStart w:id="38" w:name="_Toc15378460"/>
    </w:p>
    <w:p>
      <w:pPr>
        <w:spacing w:line="600" w:lineRule="exact"/>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2020年一般公共预算数为673.07万元，支出决算数为11540.56万元，完</w:t>
      </w:r>
      <w:r>
        <w:rPr>
          <w:rStyle w:val="14"/>
          <w:rFonts w:hint="eastAsia" w:ascii="仿宋" w:eastAsia="仿宋"/>
          <w:b w:val="0"/>
          <w:bCs/>
          <w:color w:val="000000"/>
          <w:sz w:val="32"/>
          <w:szCs w:val="32"/>
        </w:rPr>
        <w:t>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w:t>
      </w:r>
      <w:r>
        <w:rPr>
          <w:rFonts w:hint="eastAsia" w:ascii="仿宋" w:eastAsia="仿宋"/>
          <w:b/>
          <w:color w:val="000000"/>
          <w:sz w:val="32"/>
          <w:szCs w:val="32"/>
        </w:rPr>
        <w:t xml:space="preserve"> 其他支出（类）</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Fonts w:hint="eastAsia" w:ascii="仿宋" w:eastAsia="仿宋"/>
          <w:color w:val="000000"/>
          <w:sz w:val="32"/>
          <w:szCs w:val="32"/>
        </w:rPr>
        <w:t>2606.16</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ascii="仿宋" w:eastAsia="仿宋"/>
          <w:bCs/>
          <w:color w:val="000000"/>
          <w:sz w:val="32"/>
          <w:szCs w:val="32"/>
        </w:rPr>
        <w:t>2.</w:t>
      </w:r>
      <w:r>
        <w:rPr>
          <w:rFonts w:hint="eastAsia" w:ascii="仿宋" w:eastAsia="仿宋"/>
          <w:b/>
          <w:color w:val="000000"/>
          <w:sz w:val="32"/>
          <w:szCs w:val="32"/>
        </w:rPr>
        <w:t xml:space="preserve"> 社会保障和就业支出</w:t>
      </w:r>
      <w:r>
        <w:rPr>
          <w:rFonts w:hint="eastAsia" w:ascii="仿宋" w:eastAsia="仿宋"/>
          <w:color w:val="000000"/>
          <w:sz w:val="32"/>
          <w:szCs w:val="32"/>
        </w:rPr>
        <w:t>（类）</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Fonts w:hint="eastAsia" w:ascii="仿宋" w:eastAsia="仿宋"/>
          <w:color w:val="000000"/>
          <w:sz w:val="32"/>
          <w:szCs w:val="32"/>
        </w:rPr>
        <w:t>62.65</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Fonts w:hint="eastAsia" w:ascii="仿宋" w:eastAsia="仿宋"/>
          <w:b/>
          <w:bCs/>
          <w:color w:val="000000"/>
          <w:sz w:val="32"/>
          <w:szCs w:val="32"/>
        </w:rPr>
        <w:t>卫生健康支出</w:t>
      </w:r>
      <w:r>
        <w:rPr>
          <w:rFonts w:hint="eastAsia" w:ascii="仿宋" w:eastAsia="仿宋"/>
          <w:b/>
          <w:color w:val="000000"/>
          <w:sz w:val="32"/>
          <w:szCs w:val="32"/>
        </w:rPr>
        <w:t>（类）</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支出决算为27.35万元，完成预算100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4.</w:t>
      </w:r>
      <w:r>
        <w:rPr>
          <w:rFonts w:hint="eastAsia" w:ascii="仿宋" w:eastAsia="仿宋"/>
          <w:b/>
          <w:bCs/>
          <w:color w:val="000000"/>
          <w:sz w:val="32"/>
          <w:szCs w:val="32"/>
        </w:rPr>
        <w:t xml:space="preserve"> </w:t>
      </w:r>
      <w:r>
        <w:rPr>
          <w:rFonts w:hint="eastAsia" w:ascii="仿宋" w:eastAsia="仿宋"/>
          <w:b/>
          <w:color w:val="000000"/>
          <w:sz w:val="32"/>
          <w:szCs w:val="32"/>
        </w:rPr>
        <w:t>城乡</w:t>
      </w:r>
      <w:r>
        <w:rPr>
          <w:rFonts w:hint="eastAsia" w:ascii="仿宋" w:eastAsia="仿宋"/>
          <w:b/>
          <w:bCs/>
          <w:color w:val="000000"/>
          <w:sz w:val="32"/>
          <w:szCs w:val="32"/>
        </w:rPr>
        <w:t>社区支出</w:t>
      </w:r>
      <w:r>
        <w:rPr>
          <w:rStyle w:val="14"/>
          <w:rFonts w:ascii="仿宋" w:eastAsia="仿宋"/>
          <w:bCs/>
          <w:color w:val="000000"/>
          <w:sz w:val="32"/>
          <w:szCs w:val="32"/>
        </w:rPr>
        <w:t>:</w:t>
      </w:r>
      <w:r>
        <w:rPr>
          <w:rStyle w:val="14"/>
          <w:rFonts w:hint="eastAsia" w:ascii="仿宋" w:eastAsia="仿宋"/>
          <w:b w:val="0"/>
          <w:bCs/>
          <w:color w:val="000000"/>
          <w:sz w:val="32"/>
          <w:szCs w:val="32"/>
        </w:rPr>
        <w:t>支出决算为556.53万元，完成预算100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0" w:firstLineChars="200"/>
        <w:rPr>
          <w:rStyle w:val="14"/>
          <w:rFonts w:ascii="仿宋" w:eastAsia="仿宋"/>
          <w:b w:val="0"/>
          <w:bCs/>
          <w:color w:val="000000"/>
          <w:sz w:val="32"/>
          <w:szCs w:val="32"/>
        </w:rPr>
      </w:pPr>
      <w:r>
        <w:rPr>
          <w:rStyle w:val="14"/>
          <w:rFonts w:hint="eastAsia" w:ascii="仿宋" w:eastAsia="仿宋"/>
          <w:b w:val="0"/>
          <w:bCs/>
          <w:color w:val="000000"/>
          <w:sz w:val="32"/>
          <w:szCs w:val="32"/>
        </w:rPr>
        <w:t>5.</w:t>
      </w:r>
      <w:r>
        <w:rPr>
          <w:rFonts w:hint="eastAsia" w:ascii="仿宋" w:eastAsia="仿宋"/>
          <w:b/>
          <w:bCs/>
          <w:color w:val="000000"/>
          <w:sz w:val="32"/>
          <w:szCs w:val="32"/>
        </w:rPr>
        <w:t>农林水支出：</w:t>
      </w:r>
      <w:r>
        <w:rPr>
          <w:rStyle w:val="14"/>
          <w:rFonts w:hint="eastAsia" w:ascii="仿宋" w:eastAsia="仿宋"/>
          <w:b w:val="0"/>
          <w:bCs/>
          <w:color w:val="000000"/>
          <w:sz w:val="32"/>
          <w:szCs w:val="32"/>
        </w:rPr>
        <w:t>支出决算为3762.3万元，完成预算100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0" w:firstLineChars="200"/>
        <w:rPr>
          <w:rStyle w:val="14"/>
          <w:rFonts w:ascii="仿宋" w:eastAsia="仿宋"/>
          <w:b w:val="0"/>
          <w:bCs/>
          <w:color w:val="000000"/>
          <w:sz w:val="32"/>
          <w:szCs w:val="32"/>
        </w:rPr>
      </w:pPr>
    </w:p>
    <w:p>
      <w:pPr>
        <w:spacing w:line="600" w:lineRule="exact"/>
        <w:ind w:firstLine="643" w:firstLineChars="200"/>
        <w:rPr>
          <w:rStyle w:val="14"/>
          <w:rFonts w:ascii="仿宋" w:eastAsia="仿宋"/>
          <w:bCs/>
          <w:color w:val="000000"/>
          <w:sz w:val="32"/>
          <w:szCs w:val="32"/>
        </w:rPr>
      </w:pPr>
      <w:bookmarkStart w:id="40" w:name="_Toc15377214"/>
      <w:bookmarkStart w:id="41" w:name="_Toc15396608"/>
      <w:r>
        <w:rPr>
          <w:rStyle w:val="14"/>
          <w:rFonts w:hint="eastAsia" w:ascii="仿宋" w:eastAsia="仿宋"/>
          <w:bCs/>
          <w:color w:val="000000"/>
          <w:sz w:val="32"/>
          <w:szCs w:val="32"/>
        </w:rPr>
        <w:t>6.住房保障（类）：</w:t>
      </w:r>
      <w:r>
        <w:rPr>
          <w:rStyle w:val="14"/>
          <w:rFonts w:hint="eastAsia" w:ascii="仿宋" w:eastAsia="仿宋"/>
          <w:b w:val="0"/>
          <w:bCs/>
          <w:color w:val="000000"/>
          <w:sz w:val="32"/>
          <w:szCs w:val="32"/>
        </w:rPr>
        <w:t>支出决算为40.21万元，完成预算100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20年一般公共预算财政拨款基本支出556.03万元，其中：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527.11万元，主要包括：基本工资108.07万元、津贴补贴89.69万元、奖金8.94万元、机关事业单位基本养老保险缴费42.13万元、职业年金缴费20.52万元、职工基本医疗保险缴费18.79万元、公务员医疗补助缴费2.05万元、其他社会保障缴费10.79万元、住房公积金39.18万元、绩效支出67.49万元等、生活补助2.39万元、抚恤金42.63万元、奖励金74.44万元。</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公用经费28.92万元，主要包括：办公费6万元、印刷费3万元、手续费0.2万元、电费3万元、邮电费4万元、差旅费7万元、公务用车运行维护费5.72万元等。</w:t>
      </w:r>
    </w:p>
    <w:p>
      <w:pPr>
        <w:spacing w:line="600" w:lineRule="exact"/>
        <w:ind w:firstLine="640" w:firstLineChars="200"/>
        <w:outlineLvl w:val="1"/>
        <w:rPr>
          <w:rStyle w:val="17"/>
          <w:rFonts w:ascii="黑体" w:eastAsia="黑体"/>
          <w:b w:val="0"/>
        </w:rPr>
      </w:pPr>
      <w:bookmarkStart w:id="42" w:name="_Toc15396609"/>
      <w:bookmarkStart w:id="43" w:name="_Toc15377215"/>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20年“三公”经费财政拨款支出决算为5.72万元，完成预算100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决算5.72万元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；公务用车购置及运行维护费支出决算5.72万元，占100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5.72万元,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9年增加2.41万元，</w:t>
      </w:r>
      <w:r>
        <w:rPr>
          <w:rFonts w:hint="eastAsia" w:ascii="仿宋_GB2312" w:eastAsia="仿宋_GB2312"/>
          <w:sz w:val="32"/>
          <w:szCs w:val="32"/>
        </w:rPr>
        <w:t>上升42.13</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增加原因2020年项目及下乡次数增加公务用车磨损较大。</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w:t>
      </w:r>
      <w:r>
        <w:rPr>
          <w:rFonts w:hint="eastAsia" w:ascii="仿宋_GB2312" w:eastAsia="仿宋_GB2312"/>
          <w:color w:val="000000"/>
          <w:sz w:val="30"/>
          <w:szCs w:val="30"/>
        </w:rPr>
        <w:t>截至2020年12月31日，我办有公务用车辆3辆，均为一般公务用车；无单价50万元以上通用设备，无单价100万元以上专用设备。</w:t>
      </w:r>
    </w:p>
    <w:p>
      <w:pPr>
        <w:spacing w:line="600" w:lineRule="exact"/>
        <w:ind w:firstLine="803" w:firstLineChars="250"/>
        <w:rPr>
          <w:rFonts w:ascii="仿宋_GB2312" w:eastAsia="仿宋_GB2312" w:cs="仿宋"/>
          <w:color w:val="000000"/>
          <w:sz w:val="32"/>
          <w:szCs w:val="32"/>
        </w:rPr>
      </w:pPr>
      <w:bookmarkStart w:id="46" w:name="_Toc15377218"/>
      <w:bookmarkStart w:id="47" w:name="_Toc15396610"/>
      <w:r>
        <w:rPr>
          <w:rFonts w:hint="eastAsia" w:ascii="仿宋_GB2312" w:eastAsia="仿宋_GB2312"/>
          <w:b/>
          <w:color w:val="000000"/>
          <w:sz w:val="32"/>
          <w:szCs w:val="32"/>
        </w:rPr>
        <w:t>2. 公务接待费支出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完成预算0</w:t>
      </w:r>
      <w:r>
        <w:rPr>
          <w:rStyle w:val="14"/>
          <w:rFonts w:ascii="仿宋" w:eastAsia="仿宋"/>
          <w:b w:val="0"/>
          <w:bCs/>
          <w:color w:val="000000"/>
          <w:sz w:val="32"/>
          <w:szCs w:val="32"/>
        </w:rPr>
        <w:t>%</w:t>
      </w:r>
      <w:r>
        <w:rPr>
          <w:rFonts w:hint="eastAsia" w:ascii="仿宋_GB2312" w:eastAsia="仿宋_GB2312"/>
          <w:color w:val="000000"/>
          <w:sz w:val="32"/>
          <w:szCs w:val="32"/>
        </w:rPr>
        <w:t>。</w:t>
      </w:r>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20年政府性基金预算拨款支出1764.96万元。</w:t>
      </w:r>
    </w:p>
    <w:p>
      <w:pPr>
        <w:numPr>
          <w:ilvl w:val="0"/>
          <w:numId w:val="5"/>
        </w:numPr>
        <w:spacing w:line="600" w:lineRule="exact"/>
        <w:ind w:firstLine="640"/>
        <w:outlineLvl w:val="1"/>
        <w:rPr>
          <w:rStyle w:val="17"/>
          <w:rFonts w:ascii="黑体" w:eastAsia="黑体"/>
          <w:b w:val="0"/>
        </w:rPr>
      </w:pPr>
      <w:bookmarkStart w:id="48" w:name="_Toc15396611"/>
      <w:bookmarkStart w:id="49" w:name="_Toc15377219"/>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2"/>
        <w:numPr>
          <w:ilvl w:val="0"/>
          <w:numId w:val="6"/>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7"/>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按照预算绩效管理要求，本部门对2020年一般公共预算项目支出开展了绩效目标管理，共编制绩效目标4个，涉及财政资金9257.63万元，覆盖率达到75%。</w:t>
      </w:r>
    </w:p>
    <w:p>
      <w:pPr>
        <w:spacing w:line="600" w:lineRule="atLeast"/>
        <w:ind w:firstLine="643" w:firstLineChars="200"/>
        <w:rPr>
          <w:rFonts w:hint="eastAsia" w:ascii="仿宋" w:eastAsia="仿宋" w:cs="楷体_GB2312"/>
          <w:b/>
          <w:bCs/>
          <w:sz w:val="32"/>
          <w:szCs w:val="32"/>
          <w:lang w:eastAsia="zh-CN"/>
        </w:rPr>
      </w:pPr>
      <w:r>
        <w:rPr>
          <w:rFonts w:hint="eastAsia" w:ascii="仿宋" w:eastAsia="仿宋" w:cs="楷体_GB2312"/>
          <w:b/>
          <w:bCs/>
          <w:sz w:val="32"/>
          <w:szCs w:val="32"/>
        </w:rPr>
        <w:t>（二）项目整体绩效目标完成情况。</w:t>
      </w:r>
    </w:p>
    <w:p>
      <w:pPr>
        <w:spacing w:line="600" w:lineRule="atLeast"/>
        <w:ind w:firstLine="640" w:firstLineChars="200"/>
        <w:rPr>
          <w:rFonts w:ascii="仿宋_GB2312" w:eastAsia="仿宋_GB2312"/>
          <w:b/>
          <w:color w:val="000000"/>
          <w:sz w:val="32"/>
          <w:szCs w:val="32"/>
        </w:rPr>
      </w:pPr>
      <w:r>
        <w:rPr>
          <w:rFonts w:hint="eastAsia" w:ascii="仿宋_GB2312" w:eastAsia="仿宋_GB2312" w:cs="仿宋_GB2312"/>
          <w:sz w:val="32"/>
          <w:szCs w:val="32"/>
        </w:rPr>
        <w:t xml:space="preserve">    </w:t>
      </w:r>
      <w:r>
        <w:rPr>
          <w:rFonts w:hint="eastAsia" w:ascii="仿宋_GB2312" w:eastAsia="仿宋_GB2312"/>
          <w:color w:val="000000"/>
          <w:sz w:val="32"/>
          <w:szCs w:val="32"/>
        </w:rPr>
        <w:t>按照预算绩效管理要求，本部门对2020年整体支出开展绩效自评，自评得分95分，存在问题：</w:t>
      </w:r>
      <w:r>
        <w:rPr>
          <w:rFonts w:hint="eastAsia" w:ascii="仿宋_GB2312" w:hAnsi="仿宋_GB2312" w:eastAsia="仿宋_GB2312" w:cs="仿宋_GB2312"/>
          <w:sz w:val="32"/>
          <w:szCs w:val="32"/>
        </w:rPr>
        <w:t>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pPr>
        <w:jc w:val="center"/>
        <w:rPr>
          <w:rFonts w:ascii="黑体" w:hAnsi="黑体" w:eastAsia="黑体"/>
          <w:color w:val="000000"/>
          <w:sz w:val="32"/>
          <w:szCs w:val="32"/>
        </w:rPr>
      </w:pPr>
      <w:r>
        <w:rPr>
          <w:rFonts w:hint="eastAsia" w:ascii="黑体" w:hAnsi="黑体" w:eastAsia="黑体"/>
          <w:color w:val="000000"/>
          <w:sz w:val="32"/>
          <w:szCs w:val="32"/>
        </w:rPr>
        <w:t>2020年部门整体支出绩效评价得分表</w:t>
      </w:r>
    </w:p>
    <w:tbl>
      <w:tblPr>
        <w:tblStyle w:val="12"/>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不存在</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不存在</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不存在</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tcPr>
          <w:p>
            <w:pPr>
              <w:widowControl/>
              <w:rPr>
                <w:rFonts w:ascii="宋体" w:hAnsi="宋体" w:cs="宋体"/>
                <w:color w:val="000000"/>
                <w:kern w:val="0"/>
                <w:sz w:val="20"/>
                <w:szCs w:val="20"/>
              </w:rPr>
            </w:pPr>
            <w:r>
              <w:rPr>
                <w:rFonts w:hint="eastAsia" w:ascii="宋体" w:hAnsi="宋体" w:cs="宋体"/>
                <w:color w:val="000000"/>
                <w:kern w:val="0"/>
                <w:sz w:val="20"/>
                <w:szCs w:val="20"/>
              </w:rPr>
              <w:t>19</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bl>
    <w:p>
      <w:pPr>
        <w:spacing w:line="600" w:lineRule="exact"/>
        <w:ind w:firstLine="640" w:firstLineChars="200"/>
        <w:outlineLvl w:val="1"/>
        <w:rPr>
          <w:rStyle w:val="17"/>
          <w:rFonts w:ascii="黑体" w:eastAsia="黑体"/>
        </w:rPr>
      </w:pPr>
      <w:bookmarkStart w:id="50" w:name="_Toc15396612"/>
      <w:bookmarkStart w:id="51" w:name="_Toc15377221"/>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20年，金川县交通运输局运行经费支出11.91万元，比</w:t>
      </w:r>
      <w:r>
        <w:rPr>
          <w:rFonts w:ascii="仿宋_GB2312" w:eastAsia="仿宋_GB2312"/>
          <w:color w:val="000000"/>
          <w:sz w:val="32"/>
          <w:szCs w:val="32"/>
        </w:rPr>
        <w:t>201</w:t>
      </w:r>
      <w:r>
        <w:rPr>
          <w:rFonts w:hint="eastAsia" w:ascii="仿宋_GB2312" w:eastAsia="仿宋_GB2312"/>
          <w:color w:val="000000"/>
          <w:sz w:val="32"/>
          <w:szCs w:val="32"/>
        </w:rPr>
        <w:t>9年增加5.74万元，增加48.19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主要原因人员增加。</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20年，政府采购支出总额0万元，其中：政府采购货物支出0万元、政府采购服务支出0万元。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日，共有车辆11辆，为日常工作及应急保障用车。</w:t>
      </w:r>
      <w:r>
        <w:rPr>
          <w:rFonts w:hint="eastAsia" w:ascii="仿宋_GB2312" w:eastAsia="仿宋_GB2312"/>
          <w:b/>
          <w:color w:val="000000"/>
          <w:sz w:val="32"/>
          <w:szCs w:val="32"/>
        </w:rPr>
        <w:t xml:space="preserve">    </w:t>
      </w:r>
    </w:p>
    <w:p>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8"/>
        </w:numPr>
        <w:spacing w:line="600" w:lineRule="exact"/>
        <w:ind w:firstLine="663" w:firstLineChars="150"/>
        <w:jc w:val="center"/>
        <w:outlineLvl w:val="0"/>
        <w:rPr>
          <w:rStyle w:val="16"/>
          <w:rFonts w:ascii="黑体" w:eastAsia="黑体"/>
          <w:b w:val="0"/>
        </w:rPr>
      </w:pPr>
      <w:bookmarkStart w:id="55" w:name="_Toc15396613"/>
      <w:bookmarkStart w:id="56" w:name="_Toc15377225"/>
      <w:r>
        <w:rPr>
          <w:rFonts w:hint="eastAsia" w:ascii="黑体" w:eastAsia="黑体"/>
          <w:b/>
          <w:color w:val="000000"/>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77226"/>
      <w:bookmarkStart w:id="58" w:name="_Toc15396614"/>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57"/>
    <w:bookmarkEnd w:id="58"/>
    <w:p>
      <w:pPr>
        <w:pStyle w:val="3"/>
        <w:rPr>
          <w:rStyle w:val="16"/>
          <w:rFonts w:ascii="仿宋" w:eastAsia="仿宋"/>
          <w:b w:val="0"/>
          <w:bCs w:val="0"/>
        </w:rPr>
      </w:pPr>
      <w:bookmarkStart w:id="59" w:name="_Toc15396615"/>
      <w:r>
        <w:rPr>
          <w:rStyle w:val="16"/>
          <w:rFonts w:hint="eastAsia" w:ascii="仿宋" w:eastAsia="仿宋"/>
          <w:b/>
          <w:bCs/>
        </w:rPr>
        <w:t>附件1</w:t>
      </w:r>
      <w:bookmarkEnd w:id="59"/>
    </w:p>
    <w:p>
      <w:pPr>
        <w:numPr>
          <w:ilvl w:val="0"/>
          <w:numId w:val="8"/>
        </w:numPr>
        <w:spacing w:line="600" w:lineRule="exact"/>
        <w:ind w:firstLine="663" w:firstLineChars="150"/>
        <w:jc w:val="center"/>
        <w:outlineLvl w:val="0"/>
        <w:rPr>
          <w:rStyle w:val="16"/>
          <w:rFonts w:ascii="黑体" w:eastAsia="黑体"/>
          <w:b w:val="0"/>
        </w:rPr>
      </w:pPr>
      <w:r>
        <w:rPr>
          <w:rStyle w:val="16"/>
          <w:rFonts w:hint="eastAsia" w:ascii="黑体" w:eastAsia="黑体"/>
        </w:rPr>
        <w:t>附件</w:t>
      </w:r>
    </w:p>
    <w:p>
      <w:pPr>
        <w:outlineLvl w:val="0"/>
        <w:rPr>
          <w:rStyle w:val="16"/>
          <w:rFonts w:ascii="黑体" w:eastAsia="黑体"/>
          <w:b w:val="0"/>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金川县交通运输局</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r>
        <w:rPr>
          <w:rFonts w:hint="eastAsia"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根据《阿坝州财政局关于开展2020年财政支出绩效评价工作的通知》（阿州财监绩〔2020〕11号）精神，我单位对2020年全年部门整体支出绩效进行了全面综合评价。现将有关情况报告如下：</w:t>
      </w:r>
    </w:p>
    <w:p>
      <w:pPr>
        <w:ind w:firstLine="640" w:firstLineChars="200"/>
        <w:rPr>
          <w:rFonts w:ascii="黑体" w:eastAsia="黑体"/>
          <w:sz w:val="32"/>
          <w:szCs w:val="32"/>
        </w:rPr>
      </w:pPr>
      <w:r>
        <w:rPr>
          <w:rFonts w:hint="eastAsia" w:ascii="黑体" w:eastAsia="黑体"/>
          <w:sz w:val="32"/>
          <w:szCs w:val="32"/>
        </w:rPr>
        <w:t>一、部门概况</w:t>
      </w:r>
    </w:p>
    <w:p>
      <w:pPr>
        <w:ind w:firstLine="643" w:firstLineChars="200"/>
        <w:rPr>
          <w:rFonts w:hint="eastAsia" w:ascii="楷体_GB2312" w:eastAsia="楷体_GB2312"/>
          <w:b/>
          <w:sz w:val="32"/>
          <w:szCs w:val="32"/>
        </w:rPr>
      </w:pPr>
      <w:r>
        <w:rPr>
          <w:rFonts w:hint="eastAsia" w:ascii="楷体_GB2312" w:eastAsia="楷体_GB2312"/>
          <w:b/>
          <w:sz w:val="32"/>
          <w:szCs w:val="32"/>
        </w:rPr>
        <w:t>（一）机构组成</w:t>
      </w:r>
    </w:p>
    <w:p>
      <w:pPr>
        <w:ind w:firstLine="640" w:firstLineChars="200"/>
        <w:rPr>
          <w:rFonts w:ascii="楷体_GB2312" w:eastAsia="楷体_GB2312"/>
          <w:b/>
          <w:sz w:val="32"/>
          <w:szCs w:val="32"/>
        </w:rPr>
      </w:pPr>
      <w:r>
        <w:rPr>
          <w:rFonts w:hint="eastAsia" w:ascii="仿宋_GB2312" w:hAnsi="仿宋" w:eastAsia="仿宋_GB2312"/>
          <w:sz w:val="32"/>
          <w:szCs w:val="32"/>
        </w:rPr>
        <w:t>机构情况：</w:t>
      </w:r>
      <w:r>
        <w:rPr>
          <w:rFonts w:hint="eastAsia" w:ascii="仿宋_GB2312" w:eastAsia="仿宋_GB2312"/>
          <w:sz w:val="32"/>
        </w:rPr>
        <w:t>我局2020年有1个机构，无增减变动。</w:t>
      </w:r>
    </w:p>
    <w:p>
      <w:pPr>
        <w:ind w:firstLine="643" w:firstLineChars="200"/>
        <w:rPr>
          <w:rFonts w:ascii="楷体_GB2312" w:eastAsia="楷体_GB2312"/>
          <w:b/>
          <w:sz w:val="32"/>
          <w:szCs w:val="32"/>
        </w:rPr>
      </w:pPr>
      <w:r>
        <w:rPr>
          <w:rFonts w:hint="eastAsia" w:ascii="楷体_GB2312" w:eastAsia="楷体_GB2312"/>
          <w:b/>
          <w:sz w:val="32"/>
          <w:szCs w:val="32"/>
        </w:rPr>
        <w:t>（二）机构职能</w:t>
      </w:r>
    </w:p>
    <w:p>
      <w:pPr>
        <w:widowControl/>
        <w:spacing w:line="540" w:lineRule="atLeast"/>
        <w:ind w:firstLine="600" w:firstLineChars="200"/>
        <w:jc w:val="left"/>
        <w:rPr>
          <w:rFonts w:ascii="仿宋" w:hAnsi="仿宋" w:eastAsia="仿宋" w:cs="宋体"/>
          <w:kern w:val="0"/>
          <w:sz w:val="32"/>
          <w:szCs w:val="32"/>
        </w:rPr>
      </w:pPr>
      <w:r>
        <w:rPr>
          <w:rFonts w:hint="eastAsia" w:ascii="仿宋_GB2312" w:eastAsia="仿宋_GB2312"/>
          <w:bCs/>
          <w:sz w:val="30"/>
          <w:szCs w:val="30"/>
        </w:rPr>
        <w:t>1</w:t>
      </w:r>
      <w:r>
        <w:rPr>
          <w:rFonts w:hint="eastAsia" w:ascii="仿宋" w:hAnsi="仿宋" w:eastAsia="仿宋" w:cs="宋体"/>
          <w:kern w:val="0"/>
          <w:sz w:val="32"/>
          <w:szCs w:val="32"/>
        </w:rPr>
        <w:t>、办公室承担机关日常事务管理工作，协调机关各股室工作关系，组织重要会议；负责会议报告和综合性文稿的起草。负责文秘、宣传报道、政务信息、信访、调研、督查、督办、档案、保密和目标管理考核等工作。负责局机关和所属事业单位的机构编制和人事管理及教育培训等工作。承办局领导交办的其他事宜。</w:t>
      </w:r>
    </w:p>
    <w:p>
      <w:pPr>
        <w:widowControl/>
        <w:spacing w:line="540" w:lineRule="atLeast"/>
        <w:ind w:firstLine="320" w:firstLineChars="100"/>
        <w:jc w:val="left"/>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、计划财务股：负责全县交通运输行业财务管理和预算资金的管理工作，承办公路、水路行业投融资办法</w:t>
      </w:r>
      <w:r>
        <w:rPr>
          <w:rFonts w:hint="eastAsia" w:ascii="仿宋" w:hAnsi="仿宋" w:eastAsia="仿宋" w:cs="宋体"/>
          <w:kern w:val="0"/>
          <w:sz w:val="32"/>
          <w:szCs w:val="32"/>
          <w:lang w:eastAsia="zh-CN"/>
        </w:rPr>
        <w:t>拟订</w:t>
      </w:r>
      <w:r>
        <w:rPr>
          <w:rFonts w:hint="eastAsia" w:ascii="仿宋" w:hAnsi="仿宋" w:eastAsia="仿宋" w:cs="宋体"/>
          <w:kern w:val="0"/>
          <w:sz w:val="32"/>
          <w:szCs w:val="32"/>
        </w:rPr>
        <w:t>工作，负责财政、税收、信贷等协调工作；负责局机关预算的编制、国有资产管理工作，负责内部审计工作，负责局机关物资采购工作；承办级领导交办的其他事宜。</w:t>
      </w:r>
    </w:p>
    <w:p>
      <w:pPr>
        <w:widowControl/>
        <w:spacing w:line="540" w:lineRule="atLeast"/>
        <w:ind w:firstLine="320" w:firstLineChars="100"/>
        <w:jc w:val="left"/>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安全运输管理股：承办交通运输法律、法规和规章的宣传贯彻；承担相关行政执法、执法监督、行政复议、行政诉讼工作；承担全县综合运输市场体系建设和监督管理工作；组织客货运输市场调查，镇分析、预测交通宏观经济运行情况。</w:t>
      </w:r>
    </w:p>
    <w:p>
      <w:pPr>
        <w:widowControl/>
        <w:spacing w:line="540" w:lineRule="atLeast"/>
        <w:ind w:firstLine="320" w:firstLineChars="100"/>
        <w:jc w:val="left"/>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rPr>
        <w:t>、农村公路公路办公室：负责全县农村公路养护公路工作，制定农村公路养护公路规章制度、技术政策和技术规范要求，负责监督指导农村公路养护公路工作，对全县农村公路养护公路情况进行检查考核，负责管理使用各种养护机具车辆。</w:t>
      </w:r>
    </w:p>
    <w:p>
      <w:pPr>
        <w:widowControl/>
        <w:spacing w:line="540" w:lineRule="atLeast"/>
        <w:ind w:firstLine="320" w:firstLineChars="100"/>
        <w:jc w:val="left"/>
        <w:rPr>
          <w:rFonts w:ascii="仿宋_GB2312" w:hAnsi="仿宋" w:eastAsia="仿宋_GB2312"/>
          <w:sz w:val="32"/>
          <w:szCs w:val="32"/>
        </w:rPr>
      </w:pPr>
      <w:r>
        <w:rPr>
          <w:rFonts w:ascii="仿宋" w:hAnsi="仿宋" w:eastAsia="仿宋" w:cs="宋体"/>
          <w:kern w:val="0"/>
          <w:sz w:val="32"/>
          <w:szCs w:val="32"/>
        </w:rPr>
        <w:t>5</w:t>
      </w:r>
      <w:r>
        <w:rPr>
          <w:rFonts w:hint="eastAsia" w:ascii="仿宋" w:hAnsi="仿宋" w:eastAsia="仿宋" w:cs="宋体"/>
          <w:kern w:val="0"/>
          <w:sz w:val="32"/>
          <w:szCs w:val="32"/>
        </w:rPr>
        <w:t>、道桥工程管理站：按照州有关行业务要求，组织实施全县公路建设养护以及大中修工程和水毁恢复工程的管理工作，确保我县公路建设、养护工作健康有序发展，负责贯彻公路行业宣传和管理，维护我县公路路产路权；负责办理全县公路建设、养护以及大中修工程和水毁恢复工程的结算，指导管理全州重点项目的工程结算，确保我州公路建设资金发挥应有的作用。</w:t>
      </w:r>
    </w:p>
    <w:p>
      <w:pPr>
        <w:spacing w:line="550" w:lineRule="exact"/>
        <w:ind w:firstLine="643" w:firstLineChars="200"/>
        <w:rPr>
          <w:rFonts w:hint="eastAsia" w:ascii="楷体_GB2312" w:eastAsia="楷体_GB2312"/>
          <w:b/>
          <w:sz w:val="32"/>
          <w:szCs w:val="32"/>
        </w:rPr>
      </w:pPr>
      <w:r>
        <w:rPr>
          <w:rFonts w:hint="eastAsia" w:ascii="楷体_GB2312" w:eastAsia="楷体_GB2312"/>
          <w:b/>
          <w:sz w:val="32"/>
          <w:szCs w:val="32"/>
        </w:rPr>
        <w:t>（三）人员概况</w:t>
      </w:r>
    </w:p>
    <w:p>
      <w:pPr>
        <w:spacing w:line="550" w:lineRule="exact"/>
        <w:ind w:firstLine="640" w:firstLineChars="200"/>
        <w:rPr>
          <w:rFonts w:ascii="楷体_GB2312" w:eastAsia="楷体_GB2312"/>
          <w:b/>
          <w:sz w:val="32"/>
          <w:szCs w:val="32"/>
        </w:rPr>
      </w:pPr>
      <w:r>
        <w:rPr>
          <w:rFonts w:hint="eastAsia" w:ascii="仿宋_GB2312" w:hAnsi="仿宋" w:eastAsia="仿宋_GB2312"/>
          <w:sz w:val="32"/>
          <w:szCs w:val="32"/>
        </w:rPr>
        <w:t>人员情况：</w:t>
      </w:r>
      <w:r>
        <w:rPr>
          <w:rFonts w:hint="eastAsia" w:ascii="仿宋" w:hAnsi="仿宋" w:eastAsia="仿宋" w:cs="仿宋"/>
          <w:kern w:val="0"/>
          <w:sz w:val="32"/>
          <w:szCs w:val="32"/>
        </w:rPr>
        <w:t>总编制</w:t>
      </w:r>
      <w:r>
        <w:rPr>
          <w:rFonts w:hint="eastAsia" w:ascii="仿宋" w:hAnsi="仿宋" w:eastAsia="仿宋" w:cs="仿宋"/>
          <w:kern w:val="0"/>
          <w:sz w:val="32"/>
          <w:szCs w:val="32"/>
          <w:u w:val="single"/>
        </w:rPr>
        <w:t xml:space="preserve"> 31</w:t>
      </w:r>
      <w:r>
        <w:rPr>
          <w:rFonts w:hint="eastAsia" w:ascii="仿宋" w:hAnsi="仿宋" w:eastAsia="仿宋" w:cs="仿宋"/>
          <w:kern w:val="0"/>
          <w:sz w:val="32"/>
          <w:szCs w:val="32"/>
        </w:rPr>
        <w:t>名,其中:行政编制</w:t>
      </w:r>
      <w:r>
        <w:rPr>
          <w:rFonts w:hint="eastAsia" w:ascii="仿宋" w:hAnsi="仿宋" w:eastAsia="仿宋" w:cs="仿宋"/>
          <w:kern w:val="0"/>
          <w:sz w:val="32"/>
          <w:szCs w:val="32"/>
          <w:u w:val="single"/>
        </w:rPr>
        <w:t xml:space="preserve"> 8</w:t>
      </w:r>
      <w:r>
        <w:rPr>
          <w:rFonts w:hint="eastAsia" w:ascii="仿宋" w:hAnsi="仿宋" w:eastAsia="仿宋" w:cs="仿宋"/>
          <w:kern w:val="0"/>
          <w:sz w:val="32"/>
          <w:szCs w:val="32"/>
        </w:rPr>
        <w:t>名,事业编制</w:t>
      </w:r>
      <w:r>
        <w:rPr>
          <w:rFonts w:hint="eastAsia" w:ascii="仿宋" w:hAnsi="仿宋" w:eastAsia="仿宋" w:cs="仿宋"/>
          <w:kern w:val="0"/>
          <w:sz w:val="32"/>
          <w:szCs w:val="32"/>
          <w:u w:val="single"/>
        </w:rPr>
        <w:t xml:space="preserve"> 21</w:t>
      </w:r>
      <w:r>
        <w:rPr>
          <w:rFonts w:hint="eastAsia" w:ascii="仿宋" w:hAnsi="仿宋" w:eastAsia="仿宋" w:cs="仿宋"/>
          <w:kern w:val="0"/>
          <w:sz w:val="32"/>
          <w:szCs w:val="32"/>
        </w:rPr>
        <w:t>名，机关工勤</w:t>
      </w:r>
      <w:r>
        <w:rPr>
          <w:rFonts w:hint="eastAsia" w:ascii="仿宋" w:hAnsi="仿宋" w:eastAsia="仿宋" w:cs="仿宋"/>
          <w:kern w:val="0"/>
          <w:sz w:val="32"/>
          <w:szCs w:val="32"/>
          <w:u w:val="single"/>
        </w:rPr>
        <w:t>1</w:t>
      </w:r>
      <w:r>
        <w:rPr>
          <w:rFonts w:hint="eastAsia" w:ascii="仿宋" w:hAnsi="仿宋" w:eastAsia="仿宋" w:cs="仿宋"/>
          <w:kern w:val="0"/>
          <w:sz w:val="32"/>
          <w:szCs w:val="32"/>
        </w:rPr>
        <w:t>名，事业工勤</w:t>
      </w:r>
      <w:r>
        <w:rPr>
          <w:rFonts w:hint="eastAsia" w:ascii="仿宋" w:hAnsi="仿宋" w:eastAsia="仿宋" w:cs="仿宋"/>
          <w:kern w:val="0"/>
          <w:sz w:val="32"/>
          <w:szCs w:val="32"/>
          <w:u w:val="single"/>
        </w:rPr>
        <w:t xml:space="preserve"> 1</w:t>
      </w:r>
      <w:r>
        <w:rPr>
          <w:rFonts w:hint="eastAsia" w:ascii="仿宋" w:hAnsi="仿宋" w:eastAsia="仿宋" w:cs="仿宋"/>
          <w:kern w:val="0"/>
          <w:sz w:val="32"/>
          <w:szCs w:val="32"/>
        </w:rPr>
        <w:t>名，在职人员总数</w:t>
      </w:r>
      <w:r>
        <w:rPr>
          <w:rFonts w:hint="eastAsia" w:ascii="仿宋" w:hAnsi="仿宋" w:eastAsia="仿宋" w:cs="仿宋"/>
          <w:kern w:val="0"/>
          <w:sz w:val="32"/>
          <w:szCs w:val="32"/>
          <w:u w:val="single"/>
        </w:rPr>
        <w:t xml:space="preserve"> ,31</w:t>
      </w:r>
      <w:r>
        <w:rPr>
          <w:rFonts w:hint="eastAsia" w:ascii="仿宋" w:hAnsi="仿宋" w:eastAsia="仿宋" w:cs="仿宋"/>
          <w:kern w:val="0"/>
          <w:sz w:val="32"/>
          <w:szCs w:val="32"/>
        </w:rPr>
        <w:t>名。</w:t>
      </w:r>
    </w:p>
    <w:p>
      <w:pPr>
        <w:ind w:firstLine="640" w:firstLineChars="200"/>
        <w:rPr>
          <w:rFonts w:ascii="黑体" w:eastAsia="黑体"/>
          <w:sz w:val="32"/>
          <w:szCs w:val="32"/>
        </w:rPr>
      </w:pPr>
      <w:r>
        <w:rPr>
          <w:rFonts w:hint="eastAsia" w:ascii="黑体" w:eastAsia="黑体"/>
          <w:sz w:val="32"/>
          <w:szCs w:val="32"/>
        </w:rPr>
        <w:t>二、2020年财政资金当年收支情况</w:t>
      </w:r>
    </w:p>
    <w:p>
      <w:pPr>
        <w:numPr>
          <w:ilvl w:val="0"/>
          <w:numId w:val="9"/>
        </w:numPr>
        <w:ind w:firstLine="643" w:firstLineChars="200"/>
        <w:rPr>
          <w:rFonts w:ascii="楷体_GB2312" w:eastAsia="楷体_GB2312"/>
          <w:b/>
          <w:sz w:val="32"/>
          <w:szCs w:val="32"/>
        </w:rPr>
      </w:pPr>
      <w:r>
        <w:rPr>
          <w:rFonts w:hint="eastAsia" w:ascii="楷体_GB2312" w:eastAsia="楷体_GB2312"/>
          <w:b/>
          <w:sz w:val="32"/>
          <w:szCs w:val="32"/>
        </w:rPr>
        <w:t>收入情况</w:t>
      </w:r>
    </w:p>
    <w:p>
      <w:pPr>
        <w:pStyle w:val="22"/>
        <w:spacing w:line="600" w:lineRule="exact"/>
        <w:ind w:firstLine="320" w:firstLineChars="100"/>
        <w:rPr>
          <w:rFonts w:ascii="仿宋_GB2312" w:eastAsia="仿宋_GB2312"/>
          <w:color w:val="000000"/>
          <w:sz w:val="32"/>
          <w:szCs w:val="32"/>
        </w:rPr>
      </w:pPr>
      <w:r>
        <w:rPr>
          <w:rFonts w:hint="eastAsia" w:ascii="仿宋_GB2312" w:eastAsia="仿宋_GB2312"/>
          <w:color w:val="000000"/>
          <w:sz w:val="32"/>
          <w:szCs w:val="32"/>
        </w:rPr>
        <w:t>2020年度财政拨款收入总决算9288.6万元与2019年财政拨款收入总决算25013.06万元相比收入减少11224.46万元，减少44.87%。</w:t>
      </w:r>
    </w:p>
    <w:p>
      <w:pPr>
        <w:pStyle w:val="22"/>
        <w:numPr>
          <w:ilvl w:val="0"/>
          <w:numId w:val="10"/>
        </w:numPr>
        <w:ind w:firstLineChars="0"/>
        <w:rPr>
          <w:rFonts w:ascii="楷体_GB2312" w:eastAsia="楷体_GB2312"/>
          <w:b/>
          <w:sz w:val="32"/>
          <w:szCs w:val="32"/>
        </w:rPr>
      </w:pPr>
      <w:r>
        <w:rPr>
          <w:rFonts w:hint="eastAsia" w:ascii="楷体_GB2312" w:eastAsia="楷体_GB2312"/>
          <w:b/>
          <w:sz w:val="32"/>
          <w:szCs w:val="32"/>
        </w:rPr>
        <w:t>支出情况</w:t>
      </w:r>
    </w:p>
    <w:p>
      <w:pPr>
        <w:pStyle w:val="22"/>
        <w:spacing w:line="600" w:lineRule="exact"/>
        <w:ind w:firstLine="320" w:firstLineChars="100"/>
        <w:rPr>
          <w:rFonts w:ascii="仿宋_GB2312" w:eastAsia="仿宋_GB2312"/>
          <w:color w:val="000000"/>
          <w:sz w:val="32"/>
          <w:szCs w:val="32"/>
        </w:rPr>
      </w:pPr>
      <w:r>
        <w:rPr>
          <w:rFonts w:hint="eastAsia" w:ascii="仿宋_GB2312" w:eastAsia="仿宋_GB2312"/>
          <w:color w:val="000000"/>
          <w:sz w:val="32"/>
          <w:szCs w:val="32"/>
        </w:rPr>
        <w:t>2020年度财政拨款支出总决算11540.56万元与2019年财政拨款支出总决算25230.9万元相比减少13690.34万元减少54.26%。</w:t>
      </w:r>
    </w:p>
    <w:p>
      <w:pPr>
        <w:numPr>
          <w:ilvl w:val="0"/>
          <w:numId w:val="11"/>
        </w:numPr>
        <w:ind w:firstLine="640" w:firstLineChars="200"/>
        <w:rPr>
          <w:rFonts w:ascii="黑体" w:eastAsia="黑体"/>
          <w:sz w:val="32"/>
          <w:szCs w:val="32"/>
        </w:rPr>
      </w:pPr>
      <w:r>
        <w:rPr>
          <w:rFonts w:hint="eastAsia" w:ascii="黑体" w:eastAsia="黑体"/>
          <w:sz w:val="32"/>
          <w:szCs w:val="32"/>
        </w:rPr>
        <w:t>2020年财政支出管理情况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ascii="仿宋" w:eastAsia="仿宋" w:cs="仿宋"/>
          <w:sz w:val="32"/>
          <w:szCs w:val="32"/>
        </w:rPr>
      </w:pPr>
      <w:r>
        <w:rPr>
          <w:rFonts w:hint="eastAsia" w:ascii="仿宋" w:eastAsia="仿宋" w:cs="仿宋"/>
          <w:sz w:val="32"/>
          <w:szCs w:val="32"/>
        </w:rPr>
        <w:t>我单位严格按照县级部门预算编制通知和有关要求，按时完成基础库、项目库报送工作，按时完成2020、2021年预算编制工作，并及时提交部门预算草案。按规定编制政府采购预算，预算编制全面、科学。</w:t>
      </w:r>
    </w:p>
    <w:p>
      <w:pPr>
        <w:rPr>
          <w:rFonts w:ascii="楷体_GB2312" w:eastAsia="楷体_GB2312"/>
          <w:b/>
          <w:sz w:val="32"/>
          <w:szCs w:val="32"/>
          <w:lang w:val="zh-CN"/>
        </w:rPr>
      </w:pPr>
      <w:r>
        <w:rPr>
          <w:rFonts w:hint="eastAsia" w:ascii="楷体_GB2312" w:eastAsia="楷体_GB2312"/>
          <w:b/>
          <w:sz w:val="32"/>
          <w:szCs w:val="32"/>
        </w:rPr>
        <w:t xml:space="preserve">    </w:t>
      </w:r>
      <w:r>
        <w:rPr>
          <w:rFonts w:hint="eastAsia" w:ascii="楷体_GB2312" w:eastAsia="楷体_GB2312"/>
          <w:b/>
          <w:sz w:val="32"/>
          <w:szCs w:val="32"/>
          <w:lang w:val="zh-CN"/>
        </w:rPr>
        <w:t>（二）执行管理情况</w:t>
      </w:r>
    </w:p>
    <w:p>
      <w:pPr>
        <w:ind w:firstLine="607"/>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决算5.72万元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；公务用车购置及运行维护费支出决算5.72万元，占100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w:t>
      </w:r>
    </w:p>
    <w:p>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pPr>
        <w:rPr>
          <w:rFonts w:ascii="楷体_GB2312" w:eastAsia="楷体_GB2312"/>
          <w:b/>
          <w:sz w:val="32"/>
          <w:szCs w:val="32"/>
          <w:lang w:val="zh-CN"/>
        </w:rPr>
      </w:pPr>
      <w:r>
        <w:rPr>
          <w:rFonts w:hint="eastAsia" w:ascii="仿宋" w:eastAsia="仿宋" w:cs="仿宋"/>
          <w:sz w:val="32"/>
          <w:szCs w:val="32"/>
        </w:rPr>
        <w:t xml:space="preserve">    我单位认真贯彻落实中央、省、州、县相关文件精神，内控上厉行节约，严格控制因公出国（境）费用、会议费、车辆购置及运行费用和公务接待经费。</w:t>
      </w:r>
    </w:p>
    <w:p>
      <w:pPr>
        <w:ind w:firstLine="604"/>
        <w:rPr>
          <w:rFonts w:ascii="仿宋_GB2312" w:eastAsia="仿宋_GB2312"/>
          <w:sz w:val="32"/>
          <w:szCs w:val="32"/>
        </w:rPr>
      </w:pPr>
      <w:r>
        <w:rPr>
          <w:rFonts w:hint="eastAsia" w:ascii="仿宋_GB2312" w:eastAsia="仿宋_GB2312"/>
          <w:sz w:val="32"/>
          <w:szCs w:val="32"/>
        </w:rPr>
        <w:t>我单位财务管理制度健全，执行制度严格合规，会计核算符合相关规定，资金专款专用，资金支付依据和开支标准合法合规，严格执行政府采购，并依法接受财政监督。</w:t>
      </w:r>
    </w:p>
    <w:p>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pPr>
        <w:ind w:firstLine="640"/>
        <w:rPr>
          <w:rFonts w:ascii="仿宋_GB2312" w:eastAsia="仿宋_GB2312"/>
          <w:sz w:val="32"/>
          <w:szCs w:val="32"/>
        </w:rPr>
      </w:pPr>
      <w:r>
        <w:rPr>
          <w:rFonts w:hint="eastAsia" w:ascii="仿宋_GB2312" w:eastAsia="仿宋_GB2312"/>
          <w:sz w:val="32"/>
          <w:szCs w:val="32"/>
        </w:rPr>
        <w:t>我单位深入贯彻落实“全面实施绩效管理”的要求，努力提升本单位绩效预算管理业务水平。主动公开绩效结果，加大资金使用效率，提升政府管理水平。截至目前，我单位项目支出进度未过半，主要原因为专项资金上半年均处于项目进程实施中，资金尚未支付。</w:t>
      </w:r>
    </w:p>
    <w:p>
      <w:pPr>
        <w:numPr>
          <w:ilvl w:val="0"/>
          <w:numId w:val="11"/>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12"/>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ind w:firstLine="640" w:firstLineChars="200"/>
        <w:rPr>
          <w:rFonts w:ascii="仿宋" w:eastAsia="仿宋" w:cs="仿宋"/>
          <w:sz w:val="32"/>
          <w:szCs w:val="32"/>
          <w:lang w:val="zh-CN"/>
        </w:rPr>
      </w:pPr>
      <w:r>
        <w:rPr>
          <w:rFonts w:hint="eastAsia" w:ascii="仿宋" w:eastAsia="仿宋" w:cs="仿宋"/>
          <w:sz w:val="32"/>
          <w:szCs w:val="32"/>
          <w:lang w:val="zh-CN"/>
        </w:rPr>
        <w:t>综上所述，</w:t>
      </w:r>
      <w:r>
        <w:rPr>
          <w:rFonts w:hint="eastAsia" w:ascii="仿宋" w:eastAsia="仿宋" w:cs="仿宋"/>
          <w:sz w:val="32"/>
          <w:szCs w:val="32"/>
        </w:rPr>
        <w:t>扣除不存在的评价指标分值,总分为100分，部门预算支出绩效自评得分95分。</w:t>
      </w:r>
    </w:p>
    <w:p>
      <w:pPr>
        <w:numPr>
          <w:ilvl w:val="0"/>
          <w:numId w:val="12"/>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640" w:firstLineChars="200"/>
        <w:rPr>
          <w:rFonts w:ascii="仿宋_GB2312" w:eastAsia="仿宋_GB2312"/>
          <w:sz w:val="32"/>
          <w:szCs w:val="32"/>
        </w:rPr>
      </w:pPr>
      <w:r>
        <w:rPr>
          <w:rFonts w:hint="eastAsia" w:ascii="仿宋_GB2312" w:eastAsia="仿宋_GB2312"/>
          <w:sz w:val="32"/>
          <w:szCs w:val="32"/>
        </w:rPr>
        <w:t>今年上半年，由于上半年重点在实现人员经费支出、日常经费正常支付、项目组织实施等方面，大多项目都还处于实施阶段，资金尚未支付，造成财政资金支出进度过慢。</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ind w:firstLine="640" w:firstLineChars="200"/>
        <w:rPr>
          <w:rFonts w:ascii="仿宋_GB2312" w:eastAsia="仿宋_GB2312"/>
          <w:sz w:val="32"/>
          <w:szCs w:val="32"/>
        </w:rPr>
      </w:pPr>
      <w:r>
        <w:rPr>
          <w:rFonts w:hint="eastAsia" w:ascii="仿宋_GB2312" w:eastAsia="仿宋_GB2312"/>
          <w:sz w:val="32"/>
          <w:szCs w:val="32"/>
        </w:rPr>
        <w:t>在今后的工作中，切实加强财务管理，加快财政资金支出进度：一是继续加强财务管理，严把支出审核关。严格执行国库集中支付、公务卡等相关管理制度，规范各项支出审核，严防超支，不断促进财务管理的</w:t>
      </w:r>
      <w:r>
        <w:rPr>
          <w:rFonts w:hint="eastAsia" w:ascii="仿宋_GB2312" w:eastAsia="仿宋_GB2312"/>
          <w:sz w:val="32"/>
          <w:szCs w:val="32"/>
          <w:lang w:eastAsia="zh-CN"/>
        </w:rPr>
        <w:t>法治化</w:t>
      </w:r>
      <w:r>
        <w:rPr>
          <w:rFonts w:hint="eastAsia" w:ascii="仿宋_GB2312" w:eastAsia="仿宋_GB2312"/>
          <w:sz w:val="32"/>
          <w:szCs w:val="32"/>
        </w:rPr>
        <w:t>、科学化、合理化运行。二是进一步加强预算监管，强化预算执行。三是继续加大项目实施力度，加快支出进度。</w:t>
      </w:r>
      <w:bookmarkStart w:id="60" w:name="_GoBack"/>
      <w:bookmarkEnd w:id="60"/>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3"/>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4">
    <w:nsid w:val="10344EE1"/>
    <w:multiLevelType w:val="multilevel"/>
    <w:tmpl w:val="10344EE1"/>
    <w:lvl w:ilvl="0" w:tentative="0">
      <w:start w:val="2"/>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39077C2D"/>
    <w:multiLevelType w:val="multilevel"/>
    <w:tmpl w:val="39077C2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9CC52F5"/>
    <w:multiLevelType w:val="multilevel"/>
    <w:tmpl w:val="49CC52F5"/>
    <w:lvl w:ilvl="0" w:tentative="0">
      <w:start w:val="4"/>
      <w:numFmt w:val="japaneseCounting"/>
      <w:lvlText w:val="%1、"/>
      <w:lvlJc w:val="left"/>
      <w:pPr>
        <w:ind w:left="720" w:hanging="720"/>
      </w:pPr>
      <w:rPr>
        <w:rFonts w:hint="default" w:hAnsi="Times New Roman"/>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6ACDB82"/>
    <w:multiLevelType w:val="singleLevel"/>
    <w:tmpl w:val="56ACDB82"/>
    <w:lvl w:ilvl="0" w:tentative="0">
      <w:start w:val="2"/>
      <w:numFmt w:val="chineseCounting"/>
      <w:suff w:val="nothing"/>
      <w:lvlText w:val="%1、"/>
      <w:lvlJc w:val="left"/>
      <w:rPr>
        <w:rFonts w:hint="eastAsia"/>
      </w:rPr>
    </w:lvl>
  </w:abstractNum>
  <w:abstractNum w:abstractNumId="10">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11">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num w:numId="1">
    <w:abstractNumId w:val="9"/>
  </w:num>
  <w:num w:numId="2">
    <w:abstractNumId w:val="5"/>
  </w:num>
  <w:num w:numId="3">
    <w:abstractNumId w:val="7"/>
  </w:num>
  <w:num w:numId="4">
    <w:abstractNumId w:val="8"/>
  </w:num>
  <w:num w:numId="5">
    <w:abstractNumId w:val="0"/>
  </w:num>
  <w:num w:numId="6">
    <w:abstractNumId w:val="6"/>
  </w:num>
  <w:num w:numId="7">
    <w:abstractNumId w:val="2"/>
  </w:num>
  <w:num w:numId="8">
    <w:abstractNumId w:val="1"/>
  </w:num>
  <w:num w:numId="9">
    <w:abstractNumId w:val="11"/>
  </w:num>
  <w:num w:numId="10">
    <w:abstractNumId w:val="4"/>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AD070F"/>
    <w:rsid w:val="00053BC6"/>
    <w:rsid w:val="000709AB"/>
    <w:rsid w:val="001471D8"/>
    <w:rsid w:val="001C47CE"/>
    <w:rsid w:val="001D7090"/>
    <w:rsid w:val="001F46AD"/>
    <w:rsid w:val="002056F3"/>
    <w:rsid w:val="003704B2"/>
    <w:rsid w:val="00531DEC"/>
    <w:rsid w:val="005A032C"/>
    <w:rsid w:val="005C49C0"/>
    <w:rsid w:val="00621DEE"/>
    <w:rsid w:val="00627C0E"/>
    <w:rsid w:val="0073645F"/>
    <w:rsid w:val="00771509"/>
    <w:rsid w:val="0079527C"/>
    <w:rsid w:val="007C6F30"/>
    <w:rsid w:val="008B630E"/>
    <w:rsid w:val="00951328"/>
    <w:rsid w:val="00A25B2F"/>
    <w:rsid w:val="00A90B43"/>
    <w:rsid w:val="00AD070F"/>
    <w:rsid w:val="00AD2334"/>
    <w:rsid w:val="00B1370B"/>
    <w:rsid w:val="00B94EE3"/>
    <w:rsid w:val="00C02683"/>
    <w:rsid w:val="00DA4C69"/>
    <w:rsid w:val="00DC7DC4"/>
    <w:rsid w:val="00E140A6"/>
    <w:rsid w:val="00E15793"/>
    <w:rsid w:val="00E21554"/>
    <w:rsid w:val="00E71765"/>
    <w:rsid w:val="00EC5E85"/>
    <w:rsid w:val="00EF5440"/>
    <w:rsid w:val="058D0F8F"/>
    <w:rsid w:val="245044BD"/>
    <w:rsid w:val="3EE819CD"/>
    <w:rsid w:val="43437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uiPriority w:val="0"/>
    <w:pPr>
      <w:keepNext/>
      <w:keepLines/>
      <w:spacing w:before="340" w:after="330" w:line="578" w:lineRule="auto"/>
      <w:outlineLvl w:val="0"/>
    </w:pPr>
    <w:rPr>
      <w:b/>
      <w:bCs/>
      <w:kern w:val="44"/>
      <w:sz w:val="44"/>
      <w:szCs w:val="44"/>
    </w:rPr>
  </w:style>
  <w:style w:type="paragraph" w:styleId="3">
    <w:name w:val="heading 2"/>
    <w:basedOn w:val="1"/>
    <w:next w:val="1"/>
    <w:link w:val="17"/>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character" w:styleId="14">
    <w:name w:val="Strong"/>
    <w:basedOn w:val="13"/>
    <w:uiPriority w:val="0"/>
    <w:rPr>
      <w:b/>
    </w:rPr>
  </w:style>
  <w:style w:type="character" w:styleId="15">
    <w:name w:val="Hyperlink"/>
    <w:basedOn w:val="13"/>
    <w:uiPriority w:val="0"/>
    <w:rPr>
      <w:color w:val="0000FF"/>
      <w:u w:val="single"/>
    </w:rPr>
  </w:style>
  <w:style w:type="character" w:customStyle="1" w:styleId="16">
    <w:name w:val="标题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uiPriority w:val="0"/>
    <w:rPr>
      <w:rFonts w:ascii="Times New Roman" w:hAnsi="Times New Roman"/>
      <w:sz w:val="18"/>
      <w:szCs w:val="18"/>
    </w:rPr>
  </w:style>
  <w:style w:type="character" w:customStyle="1" w:styleId="19">
    <w:name w:val="Footer Char"/>
    <w:basedOn w:val="13"/>
    <w:uiPriority w:val="0"/>
    <w:rPr>
      <w:rFonts w:ascii="Times New Roman" w:hAnsi="Times New Roman"/>
      <w:sz w:val="18"/>
      <w:szCs w:val="18"/>
    </w:rPr>
  </w:style>
  <w:style w:type="character" w:customStyle="1" w:styleId="20">
    <w:name w:val="Body Text Char"/>
    <w:basedOn w:val="13"/>
    <w:uiPriority w:val="0"/>
    <w:rPr>
      <w:rFonts w:ascii="Times New Roman" w:hAnsi="Times New Roman"/>
      <w:szCs w:val="24"/>
    </w:r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uiPriority w:val="0"/>
    <w:pPr>
      <w:ind w:firstLine="200" w:firstLineChars="200"/>
    </w:pPr>
  </w:style>
  <w:style w:type="paragraph" w:customStyle="1" w:styleId="23">
    <w:name w:val="TOC 标题1"/>
    <w:basedOn w:val="2"/>
    <w:next w:val="1"/>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44C9F4-6037-4407-BEDE-EAE4B1840F2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6856</Words>
  <Characters>1651</Characters>
  <Lines>13</Lines>
  <Paragraphs>16</Paragraphs>
  <TotalTime>17</TotalTime>
  <ScaleCrop>false</ScaleCrop>
  <LinksUpToDate>false</LinksUpToDate>
  <CharactersWithSpaces>8491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2021-09-16T01:16:00Z</dcterms:created>
  <dc:creator>张彬茜</dc:creator>
  <cp:lastModifiedBy>平淡无奇</cp:lastModifiedBy>
  <cp:lastPrinted>2020-09-29T10:36:00Z</cp:lastPrinted>
  <dcterms:modified xsi:type="dcterms:W3CDTF">2021-09-27T03:29:47Z</dcterms:modified>
  <dc:title>四川省***</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