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金川县2</w:t>
      </w:r>
      <w:r>
        <w:rPr>
          <w:rFonts w:ascii="方正小标宋_GBK" w:eastAsia="方正小标宋_GBK" w:cs="方正小标宋_GBK"/>
          <w:sz w:val="44"/>
          <w:szCs w:val="44"/>
        </w:rPr>
        <w:t>02</w:t>
      </w:r>
      <w:r>
        <w:rPr>
          <w:rFonts w:ascii="方正小标宋_GBK" w:eastAsia="方正小标宋_GBK" w:cs="方正小标宋_GBK" w:hint="eastAsia"/>
          <w:sz w:val="44"/>
          <w:szCs w:val="44"/>
          <w:lang w:val="en-US" w:eastAsia="zh-CN"/>
        </w:rPr>
        <w:t>6</w:t>
      </w:r>
      <w:r>
        <w:rPr>
          <w:rFonts w:ascii="方正小标宋_GBK" w:eastAsia="方正小标宋_GBK" w:cs="方正小标宋_GBK"/>
          <w:sz w:val="44"/>
          <w:szCs w:val="44"/>
        </w:rPr>
        <w:t>年</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金川县文化广播电视体育和旅游局</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部门预算绩效目标情况说明</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eastAsia="zh-CN"/>
        </w:rPr>
        <w:t>2026</w:t>
      </w:r>
      <w:r>
        <w:rPr>
          <w:rFonts w:ascii="仿宋_GB2312" w:eastAsia="仿宋_GB2312" w:cs="仿宋_GB2312" w:hint="eastAsia"/>
          <w:sz w:val="32"/>
          <w:szCs w:val="32"/>
        </w:rPr>
        <w:t>年，我单位部门预算</w:t>
      </w:r>
      <w:r>
        <w:rPr>
          <w:rFonts w:ascii="仿宋_GB2312" w:eastAsia="仿宋_GB2312" w:cs="仿宋_GB2312" w:hint="eastAsia"/>
          <w:sz w:val="32"/>
          <w:szCs w:val="32"/>
          <w:lang w:val="en-US" w:eastAsia="zh-CN"/>
        </w:rPr>
        <w:t>407.56</w:t>
      </w:r>
      <w:r>
        <w:rPr>
          <w:rFonts w:ascii="仿宋_GB2312" w:eastAsia="仿宋_GB2312" w:cs="仿宋_GB2312" w:hint="eastAsia"/>
          <w:sz w:val="32"/>
          <w:szCs w:val="32"/>
        </w:rPr>
        <w:t>万元 ，均严格按绩效管理要求实现项目绩效目标管理，其中重点项目预算</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个，现将情况说明如下：</w:t>
      </w:r>
    </w:p>
    <w:p>
      <w:pPr>
        <w:spacing w:line="560" w:lineRule="exact"/>
        <w:ind w:firstLineChars="200" w:firstLine="640"/>
        <w:rPr>
          <w:rFonts w:ascii="黑体" w:eastAsia="黑体" w:cs="黑体"/>
          <w:sz w:val="32"/>
          <w:szCs w:val="32"/>
        </w:rPr>
      </w:pPr>
      <w:r>
        <w:rPr>
          <w:rFonts w:ascii="黑体" w:eastAsia="黑体" w:cs="黑体" w:hint="eastAsia"/>
          <w:sz w:val="32"/>
          <w:szCs w:val="32"/>
        </w:rPr>
        <w:t>一、单位预算绩效管理工作开展情况。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完成了</w:t>
      </w:r>
      <w:r>
        <w:rPr>
          <w:rFonts w:ascii="仿宋_GB2312" w:eastAsia="仿宋_GB2312" w:cs="仿宋_GB2312" w:hint="eastAsia"/>
          <w:sz w:val="32"/>
          <w:szCs w:val="32"/>
          <w:lang w:eastAsia="zh-CN"/>
        </w:rPr>
        <w:t>2026</w:t>
      </w:r>
      <w:r>
        <w:rPr>
          <w:rFonts w:ascii="仿宋_GB2312" w:eastAsia="仿宋_GB2312" w:cs="仿宋_GB2312" w:hint="eastAsia"/>
          <w:sz w:val="32"/>
          <w:szCs w:val="32"/>
        </w:rPr>
        <w:t>年本级部门预算整体绩效目标申报和</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个重点项目预算绩效目标申报，并编报</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个重点项目预算事前绩效评估报告。</w:t>
      </w:r>
    </w:p>
    <w:p>
      <w:pPr>
        <w:numPr>
          <w:ilvl w:val="0"/>
          <w:numId w:val="1"/>
        </w:numPr>
        <w:spacing w:line="560" w:lineRule="exact"/>
        <w:ind w:left="0" w:firstLineChars="200" w:firstLine="640"/>
        <w:rPr>
          <w:rFonts w:ascii="黑体" w:eastAsia="黑体" w:cs="黑体"/>
          <w:sz w:val="32"/>
          <w:szCs w:val="32"/>
        </w:rPr>
      </w:pPr>
      <w:r>
        <w:rPr>
          <w:rFonts w:ascii="黑体" w:eastAsia="黑体" w:cs="黑体" w:hint="eastAsia"/>
          <w:sz w:val="32"/>
          <w:szCs w:val="32"/>
        </w:rPr>
        <w:t>单位整体绩效目标。</w:t>
      </w:r>
    </w:p>
    <w:p>
      <w:pPr>
        <w:spacing w:line="560" w:lineRule="exact"/>
        <w:ind w:firstLineChars="200" w:firstLine="640"/>
        <w:rPr>
          <w:rFonts w:ascii="仿宋" w:eastAsia="仿宋" w:cs="黑体" w:hint="eastAsia"/>
          <w:sz w:val="32"/>
          <w:szCs w:val="32"/>
        </w:rPr>
      </w:pPr>
      <w:r>
        <w:rPr>
          <w:rFonts w:ascii="仿宋" w:eastAsia="仿宋" w:cs="黑体" w:hint="eastAsia"/>
          <w:sz w:val="32"/>
          <w:szCs w:val="32"/>
        </w:rPr>
        <w:t>年度总体目标：发挥媒体传播优势，坚持正面宣传：</w:t>
      </w:r>
    </w:p>
    <w:p>
      <w:pPr>
        <w:widowControl/>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1.拟订文化、体育、旅游、广播电视和文物政策措施，起草文化、体育、旅游、广播电视和文物地方性法规、规章草案，负责本部门依法行政工作。</w:t>
        <w:br/>
        <w:t xml:space="preserve">    2.组织推动全市文化事业、文化产业、体育事业、体育产业和旅游业发展，拟订并组织实施全市文化、体育、旅游、广播电视发展和文物保护利用规划，推进所属行业的体制机制改革和行业融合发展。</w:t>
        <w:br/>
        <w:t xml:space="preserve">    3.管理所属行业的全市重大活动，指导所属行业重点设施建设，组织全市文化和旅游整体形象推广，促进行业产业对外交流合作和国际市场推广，制定旅游市场开发战略并组织实施，推进全域旅游。</w:t>
        <w:br/>
        <w:t xml:space="preserve">    4.指导管理文艺事业，推动艺术创作生产，扶持体现社会主义核心价值观、具有导向性代表性示范性的文艺作品，推动各门类艺术、各艺术品种发展，推动中华优秀传统文化和巴文化传承发展。</w:t>
        <w:br/>
        <w:t xml:space="preserve">    5.负责公共文化事业发展，推进全市公共文化服务体系建设和旅游公共服务建设，深入实施文化惠民工程，统筹推进基本公共文化服务标准化、均等化。</w:t>
        <w:br/>
        <w:t xml:space="preserve">    6.推进文化、体育、旅游、广播电视和文物科技创新发展，推进本行业信息化、标准化建设。</w:t>
        <w:br/>
        <w:t xml:space="preserve">    7.负责非物质文化遗产保护，推动非物质文化遗产的保护、传承、普及、弘扬和振兴。</w:t>
        <w:br/>
        <w:t xml:space="preserve">    8.组织实施所属行业资源普查、挖掘、保护与利用工作，促进行业的产业发展。</w:t>
        <w:br/>
        <w:t xml:space="preserve">    9.指导文化、体育、旅游、广播电视和文物市场发展，并进行行业监管，推进行业信用体系建设，依法规范行业市场。</w:t>
        <w:br/>
        <w:t xml:space="preserve">    10.统筹全市文化市场综合执法，组织查处全市性、跨区域文化、文物、出版、广播电视、电影、旅游市场领域的违法行为，督查督办大案要案，维护市场秩序。</w:t>
        <w:br/>
        <w:t xml:space="preserve">    11.负责管理文化、体育、旅游、广播电视和文物对外及对港澳台交流合作与宣传推广工作，组织大型文化、体育、旅游、广播电视和文物对外及对港澳台交流活动，推动中华文化走出去。</w:t>
        <w:br/>
        <w:t xml:space="preserve">    12.负责全市文化、体育、旅游、广播电视和文物市场安全生产工作的综合协调与监督管理，对文化旅游园区的安全生产和职业健康工作实施行业监督管理。制定职责范围内的安全生产年度监督检查计划并组织实施。</w:t>
        <w:br/>
        <w:t xml:space="preserve">    13.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w:t>
      </w:r>
    </w:p>
    <w:p>
      <w:pPr>
        <w:spacing w:line="560" w:lineRule="exact"/>
        <w:ind w:firstLineChars="200" w:firstLine="640"/>
        <w:rPr>
          <w:rFonts w:ascii="黑体" w:eastAsia="黑体" w:cs="黑体"/>
          <w:sz w:val="32"/>
          <w:szCs w:val="32"/>
        </w:rPr>
      </w:pPr>
      <w:r>
        <w:rPr>
          <w:rFonts w:ascii="黑体" w:eastAsia="黑体" w:cs="黑体" w:hint="eastAsia"/>
          <w:sz w:val="32"/>
          <w:szCs w:val="32"/>
        </w:rPr>
        <w:t>三、重点项目绩效目标。</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重点项目1：</w:t>
      </w:r>
      <w:r>
        <w:rPr>
          <w:rFonts w:ascii="仿宋_GB2312" w:eastAsia="仿宋_GB2312" w:cs="仿宋_GB2312" w:hint="eastAsia"/>
          <w:sz w:val="32"/>
          <w:szCs w:val="32"/>
          <w:lang w:eastAsia="zh-CN"/>
        </w:rPr>
        <w:t>生态文化</w:t>
      </w:r>
      <w:r>
        <w:rPr>
          <w:rFonts w:ascii="仿宋_GB2312" w:eastAsia="仿宋_GB2312" w:cs="仿宋_GB2312" w:hint="eastAsia"/>
          <w:sz w:val="32"/>
          <w:szCs w:val="32"/>
        </w:rPr>
        <w:t>旅游专项资金</w:t>
      </w:r>
      <w:r>
        <w:rPr>
          <w:rFonts w:ascii="仿宋_GB2312" w:eastAsia="仿宋_GB2312" w:cs="仿宋_GB2312" w:hint="eastAsia"/>
          <w:sz w:val="32"/>
          <w:szCs w:val="32"/>
          <w:lang w:val="en-US" w:eastAsia="zh-CN"/>
        </w:rPr>
        <w:t>300</w:t>
      </w:r>
      <w:r>
        <w:rPr>
          <w:rFonts w:ascii="仿宋_GB2312" w:eastAsia="仿宋_GB2312" w:cs="仿宋_GB2312"/>
          <w:sz w:val="32"/>
          <w:szCs w:val="32"/>
        </w:rPr>
        <w:t>万</w:t>
      </w:r>
      <w:r>
        <w:rPr>
          <w:rFonts w:ascii="仿宋_GB2312" w:eastAsia="仿宋_GB2312" w:cs="仿宋_GB2312" w:hint="eastAsia"/>
          <w:sz w:val="32"/>
          <w:szCs w:val="32"/>
        </w:rPr>
        <w:t>元</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项目年度绩效目标</w:t>
      </w:r>
      <w:r>
        <w:rPr>
          <w:rFonts w:ascii="仿宋_GB2312" w:eastAsia="仿宋_GB2312" w:cs="仿宋_GB2312" w:hint="eastAsia"/>
          <w:sz w:val="32"/>
          <w:szCs w:val="32"/>
          <w:lang w:eastAsia="zh-CN"/>
        </w:rPr>
        <w:t>：</w:t>
      </w:r>
      <w:r>
        <w:rPr>
          <w:rFonts w:ascii="仿宋_GB2312" w:eastAsia="仿宋_GB2312" w:cs="仿宋_GB2312" w:hint="eastAsia"/>
          <w:sz w:val="32"/>
          <w:szCs w:val="32"/>
        </w:rPr>
        <w:t>实现我县旅游产业全域均衡发展，发挥旅游产业在城乡协调发展、经济社会协调发展、区域协调发展中的重要作用，确保我县成功创建为国家全域旅游示范区，我单位计划实施金川县创建省级全域旅游示范区建设指导和文件资料编制服务项目。该项目抢抓了阿坝州全力推进“旅游+”“+旅游”，着力培育旅游新业态、新体系、新品牌，促进旅游业与生态、文化等产业深度融合，形成多点支撑的大旅游发展格局，取得国际旅游目的地建设的显著成效，成为旅游经济强州和世界级旅游目的地。</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绩效指标设置情况：细化指标7个，包括产出指标、成本指标、效益指标和满意度指标。</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rPr>
        <w:t>重点项目2：非物质文化遗产补助经费</w:t>
      </w:r>
      <w:r>
        <w:rPr>
          <w:rFonts w:ascii="仿宋_GB2312" w:eastAsia="仿宋_GB2312" w:cs="仿宋_GB2312" w:hint="eastAsia"/>
          <w:sz w:val="32"/>
          <w:szCs w:val="32"/>
          <w:lang w:val="en-US" w:eastAsia="zh-CN"/>
        </w:rPr>
        <w:t>100万元</w:t>
      </w:r>
    </w:p>
    <w:p>
      <w:pPr>
        <w:spacing w:line="56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项目年度绩效目标</w:t>
      </w:r>
      <w:r>
        <w:rPr>
          <w:rFonts w:ascii="仿宋_GB2312" w:eastAsia="仿宋_GB2312" w:cs="仿宋_GB2312" w:hint="eastAsia"/>
          <w:sz w:val="32"/>
          <w:szCs w:val="32"/>
          <w:lang w:eastAsia="zh-CN"/>
        </w:rPr>
        <w:t>：金川县作为非物质文化遗产资源丰富集地，拥有加绒编织桃花刺绣、唐卡绘画、藏族黑陶等非遗项目，这些不仅承载着深厚的历史文化底蕴，更具有巨大的经济开发潜力，为进一步推动我县非遗文化产业发展，提高非遗项目的市场竞争力，增加就业机会，助力乡村振兴便于将精湛技艺全面的传授给徒弟，避免技艺失传，保证非遗的延续性，营造浓厚的传承氛围，吸引更多的年轻人了解和学习非遗，培养出更多的非遗传承人才充实传承队伍。</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绩效指标设置情况：细化指标7个，包括产出指标、成本指标、效益指标和满意度指标。</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重点项目</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 “两馆一站”免费开放</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项目年度绩效目标：为加强我县预算绩效管理工作，增强支出责任意识、提高财政资金使用效益和管理水平，按照《预算法》、《中央对地方公共图书馆、美术馆、文化馆（站）免费开放补助资金管理办法》(财教[2020] 156号)相关规定，加强资金管理，专款专用，提高使用效率。202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年两馆一站免费开放经费</w:t>
      </w:r>
      <w:r>
        <w:rPr>
          <w:rFonts w:ascii="仿宋_GB2312" w:eastAsia="仿宋_GB2312" w:cs="仿宋_GB2312" w:hint="eastAsia"/>
          <w:sz w:val="32"/>
          <w:szCs w:val="32"/>
          <w:lang w:val="en-US" w:eastAsia="zh-CN"/>
        </w:rPr>
        <w:t>7.56</w:t>
      </w:r>
      <w:r>
        <w:rPr>
          <w:rFonts w:ascii="仿宋_GB2312" w:eastAsia="仿宋_GB2312" w:cs="仿宋_GB2312" w:hint="eastAsia"/>
          <w:sz w:val="32"/>
          <w:szCs w:val="32"/>
        </w:rPr>
        <w:t>万元．</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绩效指标设置情况：细化指标7个，包括产出指标、成本指标、效益指标和满意度指标。</w:t>
      </w:r>
    </w:p>
    <w:p>
      <w:pPr>
        <w:pStyle w:val="15"/>
        <w:tabs>
          <w:tab w:val="center" w:pos="4153"/>
          <w:tab w:val="right" w:pos="8306"/>
        </w:tabs>
        <w:spacing w:line="560" w:lineRule="exact"/>
        <w:rPr>
          <w:rFonts w:eastAsia="仿宋_GB2312"/>
          <w:lang w:val="en-US" w:eastAsia="zh-CN"/>
        </w:rPr>
      </w:pPr>
      <w:r>
        <w:rPr>
          <w:rFonts w:ascii="仿宋_GB2312" w:eastAsia="仿宋_GB2312" w:cs="仿宋_GB2312" w:hint="eastAsia"/>
          <w:sz w:val="32"/>
          <w:szCs w:val="32"/>
          <w:lang w:val="en-US" w:eastAsia="zh-CN"/>
        </w:rPr>
        <w:t xml:space="preserve">     </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auto"/>
    <w:pitch w:val="variable"/>
    <w:sig w:usb0="A00002BF" w:usb1="38CF7CFA" w:usb2="00082016" w:usb3="00000000" w:csb0="00040001"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17</TotalTime>
  <Application>Yozo_Office27021597764231179</Application>
  <Pages>4</Pages>
  <Words>1925</Words>
  <Characters>1973</Characters>
  <Lines>91</Lines>
  <Paragraphs>19</Paragraphs>
  <CharactersWithSpaces>2041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14</cp:revision>
  <dcterms:created xsi:type="dcterms:W3CDTF">2023-02-09T07:40:00Z</dcterms:created>
  <dcterms:modified xsi:type="dcterms:W3CDTF">2026-03-17T08:57:04Z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eyJoZGlkIjoiNzA4Mzc3Nzk5Mzk3ZjM3ZmU5MzM5ZmFkNWJlYmY5ODgiLCJ1c2VySWQiOiIyMjY5NDg5ODEifQ==</vt:lpwstr>
  </property>
  <property fmtid="{D5CDD505-2E9C-101B-9397-08002B2CF9AE}" pid="4" name="ICV">
    <vt:lpwstr>CB46CEEDA1DC4DF281C1338FC9B562C7_13</vt:lpwstr>
  </property>
</Properties>
</file>