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0BA2E">
      <w:pPr>
        <w:pStyle w:val="6"/>
        <w:spacing w:before="93"/>
        <w:rPr>
          <w:rFonts w:ascii="Times New Roman" w:eastAsia="方正小标宋简体"/>
          <w:kern w:val="2"/>
          <w:sz w:val="72"/>
          <w:szCs w:val="72"/>
        </w:rPr>
      </w:pPr>
      <w:bookmarkStart w:id="0" w:name="_Toc15396475"/>
      <w:bookmarkStart w:id="1" w:name="_Toc15377193"/>
      <w:bookmarkStart w:id="2" w:name="_Toc15396597"/>
      <w:bookmarkStart w:id="3" w:name="_Toc15377425"/>
      <w:bookmarkStart w:id="4" w:name="_Toc15378441"/>
      <w:bookmarkStart w:id="5" w:name="_Toc15306267"/>
    </w:p>
    <w:p w14:paraId="184A093B">
      <w:pPr>
        <w:pStyle w:val="6"/>
        <w:spacing w:before="93"/>
        <w:rPr>
          <w:rFonts w:ascii="Times New Roman" w:eastAsia="方正小标宋简体"/>
          <w:kern w:val="2"/>
          <w:sz w:val="72"/>
          <w:szCs w:val="72"/>
        </w:rPr>
      </w:pPr>
    </w:p>
    <w:p w14:paraId="1A9A5A20">
      <w:pPr>
        <w:pStyle w:val="6"/>
        <w:spacing w:before="93"/>
        <w:rPr>
          <w:rFonts w:ascii="Times New Roman" w:eastAsia="方正小标宋简体"/>
          <w:kern w:val="2"/>
          <w:sz w:val="72"/>
          <w:szCs w:val="72"/>
        </w:rPr>
      </w:pPr>
    </w:p>
    <w:p w14:paraId="1B573967">
      <w:pPr>
        <w:adjustRightInd w:val="0"/>
        <w:snapToGrid w:val="0"/>
        <w:spacing w:line="360" w:lineRule="auto"/>
        <w:jc w:val="center"/>
        <w:outlineLvl w:val="0"/>
        <w:rPr>
          <w:rFonts w:ascii="方正小标宋简体" w:eastAsia="方正小标宋简体"/>
          <w:color w:val="000000"/>
          <w:sz w:val="72"/>
          <w:szCs w:val="72"/>
        </w:rPr>
      </w:pPr>
      <w:bookmarkStart w:id="6" w:name="_Toc12095"/>
      <w:bookmarkStart w:id="7" w:name="_Toc3749"/>
      <w:bookmarkStart w:id="8" w:name="_Toc5808"/>
      <w:bookmarkStart w:id="9" w:name="_Toc9383"/>
      <w:bookmarkStart w:id="10" w:name="_Toc31923"/>
      <w:r>
        <w:rPr>
          <w:rFonts w:ascii="黑体" w:eastAsia="黑体"/>
          <w:color w:val="000000"/>
          <w:sz w:val="72"/>
          <w:szCs w:val="72"/>
        </w:rPr>
        <w:t>202</w:t>
      </w:r>
      <w:r>
        <w:rPr>
          <w:rFonts w:hint="eastAsia" w:ascii="黑体" w:eastAsia="黑体"/>
          <w:color w:val="000000"/>
          <w:sz w:val="72"/>
          <w:szCs w:val="72"/>
        </w:rPr>
        <w:t>4</w:t>
      </w:r>
      <w:r>
        <w:rPr>
          <w:rFonts w:hint="eastAsia" w:ascii="方正小标宋简体" w:eastAsia="方正小标宋简体"/>
          <w:color w:val="000000"/>
          <w:sz w:val="72"/>
          <w:szCs w:val="72"/>
        </w:rPr>
        <w:t>年度</w:t>
      </w:r>
      <w:bookmarkEnd w:id="6"/>
      <w:bookmarkEnd w:id="7"/>
      <w:bookmarkEnd w:id="8"/>
      <w:bookmarkEnd w:id="9"/>
      <w:bookmarkEnd w:id="10"/>
    </w:p>
    <w:p w14:paraId="065A70B0">
      <w:pPr>
        <w:adjustRightInd w:val="0"/>
        <w:snapToGrid w:val="0"/>
        <w:spacing w:line="360" w:lineRule="auto"/>
        <w:jc w:val="center"/>
        <w:outlineLvl w:val="0"/>
        <w:rPr>
          <w:rFonts w:ascii="方正小标宋简体" w:eastAsia="方正小标宋简体"/>
          <w:color w:val="000000"/>
          <w:sz w:val="72"/>
          <w:szCs w:val="72"/>
        </w:rPr>
      </w:pPr>
      <w:bookmarkStart w:id="11" w:name="_Toc11376"/>
      <w:bookmarkStart w:id="12" w:name="_Toc25993"/>
      <w:bookmarkStart w:id="13" w:name="_Toc10367"/>
      <w:bookmarkStart w:id="14" w:name="_Toc8046"/>
      <w:bookmarkStart w:id="15" w:name="_Toc31507"/>
      <w:r>
        <w:rPr>
          <w:rFonts w:hint="eastAsia" w:ascii="方正小标宋简体" w:eastAsia="方正小标宋简体"/>
          <w:color w:val="000000"/>
          <w:sz w:val="72"/>
          <w:szCs w:val="72"/>
        </w:rPr>
        <w:t>金川县金川县文化体育和旅游局本级决算</w:t>
      </w:r>
      <w:bookmarkEnd w:id="11"/>
      <w:bookmarkEnd w:id="12"/>
      <w:bookmarkEnd w:id="13"/>
      <w:bookmarkEnd w:id="14"/>
      <w:bookmarkEnd w:id="15"/>
      <w:r>
        <w:rPr>
          <w:rFonts w:hint="eastAsia" w:ascii="方正小标宋简体" w:eastAsia="方正小标宋简体"/>
          <w:color w:val="000000"/>
          <w:sz w:val="72"/>
          <w:szCs w:val="72"/>
        </w:rPr>
        <w:t>公开</w:t>
      </w:r>
    </w:p>
    <w:p w14:paraId="5505C7AF">
      <w:pPr>
        <w:pStyle w:val="22"/>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17C8169F"/>
    <w:p w14:paraId="7CEB097F">
      <w:pPr>
        <w:pStyle w:val="6"/>
        <w:spacing w:before="93"/>
        <w:jc w:val="center"/>
        <w:rPr>
          <w:rFonts w:ascii="Times New Roman" w:eastAsia="方正小标宋简体"/>
          <w:kern w:val="2"/>
          <w:sz w:val="44"/>
          <w:szCs w:val="44"/>
        </w:rPr>
      </w:pPr>
    </w:p>
    <w:p w14:paraId="50F58804">
      <w:pPr>
        <w:pStyle w:val="6"/>
        <w:spacing w:before="93"/>
        <w:jc w:val="center"/>
        <w:rPr>
          <w:rFonts w:ascii="Times New Roman" w:eastAsia="方正小标宋简体"/>
          <w:kern w:val="2"/>
          <w:sz w:val="44"/>
          <w:szCs w:val="44"/>
        </w:rPr>
      </w:pPr>
    </w:p>
    <w:p w14:paraId="47B0BC9D">
      <w:pPr>
        <w:pStyle w:val="6"/>
        <w:spacing w:before="93"/>
        <w:jc w:val="center"/>
        <w:rPr>
          <w:rFonts w:ascii="Times New Roman" w:eastAsia="方正小标宋简体"/>
          <w:kern w:val="2"/>
          <w:sz w:val="44"/>
          <w:szCs w:val="44"/>
        </w:rPr>
      </w:pPr>
    </w:p>
    <w:p w14:paraId="22FC4E32">
      <w:pPr>
        <w:pStyle w:val="6"/>
        <w:spacing w:before="93"/>
        <w:jc w:val="center"/>
        <w:rPr>
          <w:rFonts w:ascii="Times New Roman" w:eastAsia="方正小标宋简体"/>
          <w:kern w:val="2"/>
          <w:sz w:val="44"/>
          <w:szCs w:val="44"/>
        </w:rPr>
      </w:pPr>
    </w:p>
    <w:bookmarkEnd w:id="0"/>
    <w:bookmarkEnd w:id="1"/>
    <w:bookmarkEnd w:id="2"/>
    <w:bookmarkEnd w:id="3"/>
    <w:bookmarkEnd w:id="4"/>
    <w:p w14:paraId="605D59B4">
      <w:pPr>
        <w:pStyle w:val="6"/>
        <w:spacing w:before="93"/>
        <w:jc w:val="center"/>
        <w:rPr>
          <w:rFonts w:ascii="Times New Roman" w:eastAsia="方正小标宋简体"/>
          <w:kern w:val="2"/>
          <w:sz w:val="44"/>
          <w:szCs w:val="44"/>
        </w:rPr>
      </w:pPr>
      <w:bookmarkStart w:id="16" w:name="_Toc15378442"/>
      <w:bookmarkStart w:id="17" w:name="_Toc15377426"/>
      <w:bookmarkStart w:id="18" w:name="_Toc15377194"/>
      <w:bookmarkStart w:id="19" w:name="_Toc15396476"/>
      <w:bookmarkStart w:id="20" w:name="_Toc15396598"/>
      <w:r>
        <w:rPr>
          <w:rFonts w:hint="eastAsia" w:ascii="Times New Roman" w:eastAsia="方正小标宋简体"/>
          <w:kern w:val="2"/>
          <w:sz w:val="44"/>
          <w:szCs w:val="44"/>
        </w:rPr>
        <w:t>2024年度四川</w:t>
      </w:r>
      <w:bookmarkEnd w:id="5"/>
      <w:bookmarkStart w:id="21" w:name="_Toc15306268"/>
      <w:r>
        <w:rPr>
          <w:rFonts w:hint="eastAsia" w:ascii="Times New Roman" w:eastAsia="方正小标宋简体"/>
          <w:kern w:val="2"/>
          <w:sz w:val="44"/>
          <w:szCs w:val="44"/>
        </w:rPr>
        <w:t>省金川县文化体育和旅游局本级部门决算</w:t>
      </w:r>
      <w:bookmarkEnd w:id="16"/>
      <w:bookmarkEnd w:id="17"/>
      <w:bookmarkEnd w:id="18"/>
      <w:bookmarkEnd w:id="19"/>
      <w:bookmarkEnd w:id="20"/>
      <w:bookmarkEnd w:id="21"/>
    </w:p>
    <w:p w14:paraId="78F0A2CE">
      <w:pPr>
        <w:widowControl/>
        <w:jc w:val="center"/>
        <w:rPr>
          <w:rFonts w:eastAsia="黑体"/>
          <w:sz w:val="48"/>
          <w:szCs w:val="48"/>
        </w:rPr>
      </w:pPr>
      <w:r>
        <w:rPr>
          <w:rFonts w:eastAsia="方正小标宋简体"/>
          <w:sz w:val="36"/>
          <w:szCs w:val="36"/>
        </w:rPr>
        <w:br w:type="page"/>
      </w:r>
      <w:r>
        <w:rPr>
          <w:rFonts w:hint="eastAsia" w:eastAsia="黑体"/>
          <w:sz w:val="48"/>
          <w:szCs w:val="48"/>
        </w:rPr>
        <w:t>目录</w:t>
      </w:r>
    </w:p>
    <w:p w14:paraId="1D4AD8F3">
      <w:pPr>
        <w:widowControl/>
        <w:jc w:val="center"/>
        <w:rPr>
          <w:rFonts w:eastAsia="黑体" w:cstheme="minorBidi"/>
          <w:sz w:val="28"/>
          <w:szCs w:val="28"/>
        </w:rPr>
      </w:pPr>
    </w:p>
    <w:p w14:paraId="1131F6E0">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 8 月 15 日</w:t>
      </w:r>
    </w:p>
    <w:p w14:paraId="38E87194"/>
    <w:p w14:paraId="2743DD30">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lang w:val="en-US" w:eastAsia="zh-CN"/>
        </w:rPr>
        <w:t>-------------------------------------------第4页</w:t>
      </w:r>
    </w:p>
    <w:p w14:paraId="2F85EE6E">
      <w:pPr>
        <w:pStyle w:val="15"/>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一、部门职责</w:t>
      </w:r>
      <w:r>
        <w:rPr>
          <w:rFonts w:hint="eastAsia" w:eastAsia="仿宋_GB2312" w:cs="仿宋_GB2312"/>
          <w:sz w:val="32"/>
          <w:szCs w:val="32"/>
          <w:lang w:val="en-US" w:eastAsia="zh-CN"/>
        </w:rPr>
        <w:t>----------------------------------------------第4页</w:t>
      </w:r>
    </w:p>
    <w:p w14:paraId="4698260B">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二、机构设置</w:t>
      </w:r>
      <w:r>
        <w:rPr>
          <w:rFonts w:hint="eastAsia" w:eastAsia="仿宋_GB2312" w:cs="仿宋_GB2312"/>
          <w:sz w:val="32"/>
          <w:szCs w:val="32"/>
          <w:lang w:val="en-US" w:eastAsia="zh-CN"/>
        </w:rPr>
        <w:t>----------------------------------------------第6页</w:t>
      </w:r>
    </w:p>
    <w:p w14:paraId="1980F6D9">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2024年度部门决算情况说明</w:t>
      </w:r>
      <w:r>
        <w:rPr>
          <w:rFonts w:hint="eastAsia" w:ascii="Times New Roman" w:hAnsi="Times New Roman" w:eastAsia="黑体" w:cs="黑体"/>
          <w:sz w:val="32"/>
          <w:szCs w:val="32"/>
          <w:lang w:val="en-US" w:eastAsia="zh-CN"/>
        </w:rPr>
        <w:t>-------------------第7页</w:t>
      </w:r>
    </w:p>
    <w:p w14:paraId="7E6E42E8">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一、收入支出决算总体情况说明</w:t>
      </w:r>
      <w:r>
        <w:rPr>
          <w:rFonts w:hint="eastAsia" w:eastAsia="仿宋_GB2312" w:cs="仿宋_GB2312"/>
          <w:sz w:val="32"/>
          <w:szCs w:val="32"/>
          <w:lang w:val="en-US" w:eastAsia="zh-CN"/>
        </w:rPr>
        <w:t>---------------------第7页</w:t>
      </w:r>
    </w:p>
    <w:p w14:paraId="73D223BB">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二、收入决算情况说明</w:t>
      </w:r>
      <w:r>
        <w:rPr>
          <w:rFonts w:hint="eastAsia" w:eastAsia="仿宋_GB2312" w:cs="仿宋_GB2312"/>
          <w:sz w:val="32"/>
          <w:szCs w:val="32"/>
          <w:lang w:val="en-US" w:eastAsia="zh-CN"/>
        </w:rPr>
        <w:t>----------------------------------第7页</w:t>
      </w:r>
    </w:p>
    <w:p w14:paraId="5BAD86A7">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lang w:val="en-US" w:eastAsia="zh-CN"/>
        </w:rPr>
        <w:t>----------------------------------第8页</w:t>
      </w:r>
    </w:p>
    <w:p w14:paraId="141ED489">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lang w:val="en-US" w:eastAsia="zh-CN"/>
        </w:rPr>
        <w:t>----------第9页</w:t>
      </w:r>
    </w:p>
    <w:p w14:paraId="12017622">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eastAsia="仿宋_GB2312" w:cs="仿宋_GB2312"/>
          <w:sz w:val="32"/>
          <w:szCs w:val="32"/>
          <w:lang w:val="en-US" w:eastAsia="zh-CN"/>
        </w:rPr>
        <w:t>----第9页</w:t>
      </w:r>
    </w:p>
    <w:p w14:paraId="53C18BD4">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---第11页</w:t>
      </w:r>
    </w:p>
    <w:p w14:paraId="71248E3C">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lang w:val="en-US" w:eastAsia="zh-CN"/>
        </w:rPr>
        <w:t>--第12页</w:t>
      </w:r>
    </w:p>
    <w:p w14:paraId="646E6F1B">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lang w:val="en-US" w:eastAsia="zh-CN"/>
        </w:rPr>
        <w:t>-----------第12页</w:t>
      </w:r>
    </w:p>
    <w:p w14:paraId="16699E45">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lang w:val="en-US" w:eastAsia="zh-CN"/>
        </w:rPr>
        <w:t>--------第12页</w:t>
      </w:r>
    </w:p>
    <w:p w14:paraId="412184D6">
      <w:pPr>
        <w:pStyle w:val="15"/>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lang w:val="en-US" w:eastAsia="zh-CN"/>
        </w:rPr>
        <w:t>-----------------------第13页</w:t>
      </w:r>
    </w:p>
    <w:p w14:paraId="7C03A954">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sz w:val="32"/>
          <w:szCs w:val="32"/>
          <w:lang w:val="en-US" w:eastAsia="zh-CN"/>
        </w:rPr>
        <w:t>------------------------------------------第13页</w:t>
      </w:r>
    </w:p>
    <w:p w14:paraId="41098B96">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sz w:val="32"/>
          <w:szCs w:val="32"/>
          <w:lang w:val="en-US" w:eastAsia="zh-CN"/>
        </w:rPr>
        <w:t>------------------------------------------------第16页</w:t>
      </w:r>
    </w:p>
    <w:p w14:paraId="450EC967">
      <w:pPr>
        <w:pStyle w:val="13"/>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sz w:val="32"/>
          <w:szCs w:val="32"/>
          <w:lang w:val="en-US" w:eastAsia="zh-CN"/>
        </w:rPr>
        <w:t>------------------------------------------------第34页</w:t>
      </w:r>
    </w:p>
    <w:p w14:paraId="19C35842">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1C0A8F98">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2A1C6A7D">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657D4EBE">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0D7EF5A1">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1BB75BAF">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17001F19">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2F543E67">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67B583B3">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1944FDD4">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040BB7E2">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132E2D1D">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666BDA9B">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038148D6">
      <w:pPr>
        <w:pStyle w:val="3"/>
        <w:jc w:val="center"/>
        <w:rPr>
          <w:rFonts w:hint="eastAsia" w:eastAsia="方正小标宋简体" w:cs="方正小标宋简体"/>
          <w:b w:val="0"/>
        </w:rPr>
      </w:pPr>
      <w:bookmarkStart w:id="22" w:name="_Toc15377196"/>
      <w:bookmarkStart w:id="23" w:name="_Toc15396599"/>
    </w:p>
    <w:p w14:paraId="4C3170A0">
      <w:pPr>
        <w:pStyle w:val="3"/>
        <w:jc w:val="center"/>
        <w:rPr>
          <w:rFonts w:hint="eastAsia" w:eastAsia="方正小标宋简体" w:cs="方正小标宋简体"/>
          <w:b w:val="0"/>
        </w:rPr>
      </w:pPr>
    </w:p>
    <w:p w14:paraId="45856911">
      <w:pPr>
        <w:pStyle w:val="3"/>
        <w:jc w:val="center"/>
        <w:rPr>
          <w:rFonts w:hint="eastAsia" w:eastAsia="方正小标宋简体" w:cs="方正小标宋简体"/>
          <w:b w:val="0"/>
        </w:rPr>
      </w:pPr>
    </w:p>
    <w:p w14:paraId="2F4E9340">
      <w:pPr>
        <w:pStyle w:val="3"/>
        <w:jc w:val="center"/>
        <w:rPr>
          <w:rFonts w:hint="eastAsia" w:eastAsia="方正小标宋简体" w:cs="方正小标宋简体"/>
          <w:b w:val="0"/>
        </w:rPr>
      </w:pPr>
    </w:p>
    <w:p w14:paraId="063C1BA5">
      <w:pPr>
        <w:pStyle w:val="3"/>
        <w:jc w:val="center"/>
        <w:rPr>
          <w:rFonts w:hint="eastAsia" w:eastAsia="方正小标宋简体" w:cs="方正小标宋简体"/>
          <w:b w:val="0"/>
        </w:rPr>
      </w:pPr>
    </w:p>
    <w:p w14:paraId="12277EB1">
      <w:pPr>
        <w:pStyle w:val="3"/>
        <w:jc w:val="center"/>
        <w:rPr>
          <w:rFonts w:hint="eastAsia" w:eastAsia="方正小标宋简体" w:cs="方正小标宋简体"/>
          <w:b w:val="0"/>
        </w:rPr>
      </w:pPr>
    </w:p>
    <w:p w14:paraId="14AE9FB2">
      <w:pPr>
        <w:pStyle w:val="3"/>
        <w:jc w:val="center"/>
        <w:rPr>
          <w:rStyle w:val="31"/>
          <w:rFonts w:eastAsia="方正小标宋简体" w:cs="方正小标宋简体"/>
          <w:b/>
          <w:bCs w:val="0"/>
        </w:rPr>
      </w:pPr>
      <w:r>
        <w:rPr>
          <w:rFonts w:hint="eastAsia" w:eastAsia="方正小标宋简体" w:cs="方正小标宋简体"/>
          <w:b w:val="0"/>
        </w:rPr>
        <w:t xml:space="preserve">第一部分  </w:t>
      </w:r>
      <w:r>
        <w:rPr>
          <w:rStyle w:val="31"/>
          <w:rFonts w:hint="eastAsia" w:eastAsia="方正小标宋简体" w:cs="方正小标宋简体"/>
          <w:b w:val="0"/>
          <w:bCs w:val="0"/>
        </w:rPr>
        <w:t>部门概况</w:t>
      </w:r>
      <w:bookmarkEnd w:id="22"/>
      <w:bookmarkEnd w:id="23"/>
    </w:p>
    <w:p w14:paraId="1B71C3B8">
      <w:pPr>
        <w:widowControl/>
        <w:jc w:val="left"/>
        <w:rPr>
          <w:rFonts w:eastAsia="黑体"/>
          <w:sz w:val="32"/>
          <w:szCs w:val="32"/>
        </w:rPr>
      </w:pPr>
    </w:p>
    <w:p w14:paraId="698DF310">
      <w:pPr>
        <w:pStyle w:val="4"/>
        <w:rPr>
          <w:rFonts w:hint="eastAsia" w:ascii="Times New Roman" w:hAnsi="Times New Roman" w:eastAsia="黑体"/>
          <w:b w:val="0"/>
        </w:rPr>
      </w:pPr>
      <w:bookmarkStart w:id="24" w:name="_Toc15377197"/>
      <w:bookmarkStart w:id="25" w:name="_Toc15396600"/>
      <w:r>
        <w:rPr>
          <w:rFonts w:hint="eastAsia" w:ascii="Times New Roman" w:hAnsi="Times New Roman" w:eastAsia="黑体"/>
          <w:b w:val="0"/>
        </w:rPr>
        <w:t>一、</w:t>
      </w:r>
      <w:bookmarkEnd w:id="24"/>
      <w:bookmarkEnd w:id="25"/>
      <w:r>
        <w:rPr>
          <w:rFonts w:hint="eastAsia" w:ascii="Times New Roman" w:hAnsi="Times New Roman" w:eastAsia="黑体"/>
          <w:b w:val="0"/>
        </w:rPr>
        <w:t>部门职责</w:t>
      </w:r>
    </w:p>
    <w:p w14:paraId="522658D8">
      <w:pPr>
        <w:snapToGrid w:val="0"/>
        <w:spacing w:line="360" w:lineRule="auto"/>
        <w:ind w:firstLine="640" w:firstLineChars="200"/>
        <w:outlineLvl w:val="1"/>
        <w:rPr>
          <w:rFonts w:ascii="仿宋_GB2312" w:hAnsi="仿宋" w:eastAsia="仿宋_GB2312" w:cs="仿宋_GB2312"/>
          <w:sz w:val="32"/>
          <w:szCs w:val="32"/>
        </w:rPr>
      </w:pPr>
      <w:bookmarkStart w:id="26" w:name="_Toc18446"/>
      <w:bookmarkStart w:id="27" w:name="_Toc3563"/>
      <w:bookmarkStart w:id="28" w:name="_Toc5611"/>
      <w:bookmarkStart w:id="29" w:name="_Toc25547"/>
      <w:bookmarkStart w:id="30" w:name="_Toc6261"/>
      <w:bookmarkStart w:id="31" w:name="_Toc3332"/>
      <w:r>
        <w:rPr>
          <w:rFonts w:hint="eastAsia" w:ascii="仿宋_GB2312" w:eastAsia="仿宋_GB2312"/>
          <w:kern w:val="0"/>
          <w:sz w:val="32"/>
          <w:szCs w:val="32"/>
        </w:rPr>
        <w:t>2024年在县委、县政府的正确领导下，在县级有关部门及其他兄弟乡镇的大力支持和帮助下，</w:t>
      </w:r>
      <w:r>
        <w:rPr>
          <w:rFonts w:hint="eastAsia" w:ascii="仿宋_GB2312" w:hAnsi="仿宋" w:eastAsia="仿宋_GB2312" w:cs="仿宋_GB2312"/>
          <w:sz w:val="32"/>
          <w:szCs w:val="32"/>
        </w:rPr>
        <w:t>贯彻执行党和国家关于预算、税收、行政事业单位国有资产、财务、会计等法律、法规、规章和方针、政策。根据我局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金川县文化体育和旅游局发展的新局面。</w:t>
      </w:r>
      <w:bookmarkEnd w:id="26"/>
      <w:bookmarkEnd w:id="27"/>
      <w:bookmarkEnd w:id="28"/>
      <w:bookmarkEnd w:id="29"/>
      <w:bookmarkEnd w:id="30"/>
      <w:bookmarkEnd w:id="31"/>
    </w:p>
    <w:p w14:paraId="75B0E252">
      <w:pPr>
        <w:pStyle w:val="4"/>
        <w:spacing w:before="0" w:after="0" w:line="240" w:lineRule="auto"/>
        <w:ind w:firstLine="321" w:firstLineChars="100"/>
        <w:rPr>
          <w:rFonts w:ascii="楷体" w:eastAsia="楷体" w:cs="楷体"/>
          <w:color w:val="000000"/>
        </w:rPr>
      </w:pPr>
      <w:bookmarkStart w:id="32" w:name="_Toc29688"/>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rPr>
        <w:t>4年重点工作完成情况</w:t>
      </w:r>
      <w:bookmarkEnd w:id="32"/>
    </w:p>
    <w:p w14:paraId="1AFC4E40">
      <w:pPr>
        <w:pStyle w:val="16"/>
        <w:shd w:val="clear" w:color="auto" w:fill="FFFFFF"/>
        <w:spacing w:before="100" w:after="100" w:line="560" w:lineRule="exact"/>
        <w:ind w:firstLine="720"/>
        <w:rPr>
          <w:rFonts w:hint="default" w:ascii="仿宋_GB2312" w:hAnsi="仿宋" w:eastAsia="仿宋_GB2312" w:cs="仿宋_GB2312"/>
          <w:sz w:val="32"/>
          <w:szCs w:val="32"/>
          <w:shd w:val="clear" w:color="auto" w:fill="FFFFFF"/>
        </w:rPr>
      </w:pPr>
      <w:r>
        <w:rPr>
          <w:rFonts w:ascii="仿宋_GB2312" w:hAnsi="仿宋" w:eastAsia="仿宋_GB2312" w:cs="仿宋_GB2312"/>
          <w:sz w:val="32"/>
          <w:szCs w:val="32"/>
          <w:shd w:val="clear" w:color="auto" w:fill="FFFFFF"/>
        </w:rPr>
        <w:t>2024年是我局发展进程中极为困难、充满挑战的一年，也是奋发有为、满载收获的一年。一年来，全局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14:paraId="580AEE72">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一、在冲击和危机面前，我们逆势求变、稳中求进，保住了势头、促进了发展。</w:t>
      </w:r>
    </w:p>
    <w:p w14:paraId="4DAB5AF2">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坚奋进之志、谋创业之策”为确保全乡经济稳步推进，一年来，按照“目标不减、任务不减、严守实效关、把准质量关”的工作宗旨，不等不靠、主动出击，科学谋划发展大局，围绕经济建设、脱贫攻坚、项目投资、水电移民等重大工作因时因地开展复工复产。</w:t>
      </w:r>
    </w:p>
    <w:p w14:paraId="503A4D6B">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奏好“振兴曲”，农业发展纵深延续。自乡村振兴战略实施以来，全局始终坚持党管农村工作、农业农村优先发展，坚持农民主体地位、因地制宜的工作原则，全力推进金川县文体体育和旅游局“面子”、“里子”工程的大提升。以产业振兴为支撑，壮大镇域经济。 </w:t>
      </w:r>
    </w:p>
    <w:p w14:paraId="5B09ACB0"/>
    <w:p w14:paraId="4F386B13">
      <w:pPr>
        <w:pStyle w:val="4"/>
        <w:rPr>
          <w:rStyle w:val="32"/>
          <w:rFonts w:ascii="Times New Roman" w:hAnsi="Times New Roman"/>
          <w:b w:val="0"/>
          <w:bCs w:val="0"/>
        </w:rPr>
      </w:pPr>
      <w:bookmarkStart w:id="33" w:name="_Toc15377200"/>
      <w:bookmarkStart w:id="34" w:name="_Toc15396601"/>
      <w:r>
        <w:rPr>
          <w:rFonts w:hint="eastAsia" w:ascii="Times New Roman" w:hAnsi="Times New Roman" w:eastAsia="黑体"/>
          <w:b w:val="0"/>
        </w:rPr>
        <w:t>二、机</w:t>
      </w:r>
      <w:r>
        <w:rPr>
          <w:rStyle w:val="32"/>
          <w:rFonts w:hint="eastAsia" w:ascii="Times New Roman" w:hAnsi="Times New Roman" w:eastAsia="黑体"/>
          <w:b w:val="0"/>
          <w:bCs w:val="0"/>
        </w:rPr>
        <w:t>构设置</w:t>
      </w:r>
      <w:bookmarkEnd w:id="33"/>
      <w:bookmarkEnd w:id="34"/>
    </w:p>
    <w:p w14:paraId="77F0D83C">
      <w:pPr>
        <w:ind w:firstLine="800" w:firstLineChars="250"/>
        <w:rPr>
          <w:rFonts w:eastAsia="仿宋_GB2312" w:cs="仿宋_GB2312"/>
          <w:sz w:val="32"/>
          <w:szCs w:val="32"/>
        </w:rPr>
      </w:pPr>
      <w:r>
        <w:rPr>
          <w:rFonts w:hint="eastAsia" w:ascii="仿宋_GB2312" w:hAnsi="仿宋_GB2312" w:eastAsia="仿宋_GB2312" w:cs="仿宋_GB2312"/>
          <w:sz w:val="32"/>
          <w:szCs w:val="32"/>
        </w:rPr>
        <w:t>金川县文化体育和旅游局</w:t>
      </w:r>
      <w:r>
        <w:rPr>
          <w:rFonts w:hint="eastAsia" w:eastAsia="仿宋_GB2312" w:cs="仿宋_GB2312"/>
          <w:sz w:val="32"/>
          <w:szCs w:val="32"/>
        </w:rPr>
        <w:t>下属二级预算单位3个，其中行政单位1个，参照公务员法管理的事业单位</w:t>
      </w:r>
      <w:r>
        <w:rPr>
          <w:rFonts w:hint="eastAsia" w:eastAsia="仿宋_GB2312" w:cs="仿宋_GB2312"/>
          <w:bCs/>
          <w:sz w:val="32"/>
          <w:szCs w:val="32"/>
        </w:rPr>
        <w:t>1</w:t>
      </w:r>
      <w:r>
        <w:rPr>
          <w:rFonts w:hint="eastAsia" w:eastAsia="仿宋_GB2312" w:cs="仿宋_GB2312"/>
          <w:sz w:val="32"/>
          <w:szCs w:val="32"/>
        </w:rPr>
        <w:t>个，其他事业单位1个。</w:t>
      </w:r>
    </w:p>
    <w:p w14:paraId="1C333DD6">
      <w:pPr>
        <w:pStyle w:val="6"/>
        <w:adjustRightInd w:val="0"/>
        <w:snapToGrid w:val="0"/>
        <w:spacing w:before="93" w:line="600" w:lineRule="exact"/>
        <w:ind w:firstLine="672" w:firstLineChars="210"/>
        <w:rPr>
          <w:rFonts w:ascii="Times New Roman" w:cs="仿宋_GB2312"/>
          <w:sz w:val="32"/>
          <w:szCs w:val="32"/>
        </w:rPr>
      </w:pPr>
      <w:r>
        <w:rPr>
          <w:rFonts w:hint="eastAsia" w:ascii="Times New Roman" w:cs="仿宋_GB2312"/>
          <w:sz w:val="32"/>
          <w:szCs w:val="32"/>
        </w:rPr>
        <w:t>纳入</w:t>
      </w:r>
      <w:r>
        <w:rPr>
          <w:sz w:val="32"/>
          <w:szCs w:val="32"/>
        </w:rPr>
        <w:t>金川县文化体育和旅游局</w:t>
      </w:r>
      <w:r>
        <w:rPr>
          <w:rFonts w:hint="eastAsia" w:ascii="Times New Roman" w:cs="仿宋_GB2312"/>
          <w:sz w:val="32"/>
          <w:szCs w:val="32"/>
        </w:rPr>
        <w:t>2024年度部门决算编制范围的二级预算单位包括：</w:t>
      </w:r>
    </w:p>
    <w:p w14:paraId="728680A3">
      <w:pPr>
        <w:pStyle w:val="6"/>
        <w:adjustRightInd w:val="0"/>
        <w:snapToGrid w:val="0"/>
        <w:spacing w:before="93" w:line="600" w:lineRule="exact"/>
        <w:ind w:firstLine="480" w:firstLineChars="150"/>
        <w:outlineLvl w:val="2"/>
        <w:rPr>
          <w:rFonts w:ascii="Times New Roman" w:cs="仿宋_GB2312"/>
          <w:sz w:val="32"/>
          <w:szCs w:val="32"/>
        </w:rPr>
      </w:pPr>
      <w:bookmarkStart w:id="35" w:name="_Toc15377433"/>
      <w:bookmarkStart w:id="36" w:name="_Toc15377202"/>
      <w:bookmarkStart w:id="37" w:name="_Toc15378449"/>
      <w:bookmarkStart w:id="38" w:name="_Toc15306276"/>
      <w:r>
        <w:rPr>
          <w:rFonts w:hint="eastAsia" w:ascii="Times New Roman" w:cs="仿宋_GB2312"/>
          <w:sz w:val="32"/>
          <w:szCs w:val="32"/>
        </w:rPr>
        <w:t>1.</w:t>
      </w:r>
      <w:r>
        <w:rPr>
          <w:rFonts w:ascii="Times New Roman" w:cs="仿宋_GB2312"/>
          <w:sz w:val="32"/>
          <w:szCs w:val="32"/>
        </w:rPr>
        <w:t>金川县文化广播电视体育和旅游局</w:t>
      </w:r>
      <w:bookmarkEnd w:id="35"/>
      <w:bookmarkEnd w:id="36"/>
      <w:bookmarkEnd w:id="37"/>
      <w:bookmarkEnd w:id="38"/>
    </w:p>
    <w:p w14:paraId="461D5C04">
      <w:pPr>
        <w:pStyle w:val="6"/>
        <w:adjustRightInd w:val="0"/>
        <w:snapToGrid w:val="0"/>
        <w:spacing w:before="93" w:line="600" w:lineRule="exact"/>
        <w:ind w:firstLine="480" w:firstLineChars="150"/>
        <w:rPr>
          <w:rFonts w:hint="eastAsia" w:ascii="Times New Roman" w:cs="仿宋_GB2312"/>
          <w:sz w:val="32"/>
          <w:szCs w:val="32"/>
        </w:rPr>
      </w:pPr>
      <w:r>
        <w:rPr>
          <w:rFonts w:hint="eastAsia" w:ascii="Times New Roman" w:cs="仿宋_GB2312"/>
          <w:sz w:val="32"/>
          <w:szCs w:val="32"/>
        </w:rPr>
        <w:t>2.</w:t>
      </w:r>
      <w:r>
        <w:rPr>
          <w:rFonts w:ascii="Times New Roman" w:cs="仿宋_GB2312"/>
          <w:sz w:val="32"/>
          <w:szCs w:val="32"/>
        </w:rPr>
        <w:t>金川县文化体育和旅游产业发展中心</w:t>
      </w:r>
    </w:p>
    <w:p w14:paraId="25086A3F">
      <w:pPr>
        <w:pStyle w:val="6"/>
        <w:adjustRightInd w:val="0"/>
        <w:snapToGrid w:val="0"/>
        <w:spacing w:before="93" w:line="600" w:lineRule="exact"/>
        <w:ind w:firstLine="480" w:firstLineChars="150"/>
        <w:rPr>
          <w:rFonts w:ascii="Times New Roman" w:cs="仿宋_GB2312"/>
          <w:sz w:val="32"/>
          <w:szCs w:val="32"/>
        </w:rPr>
      </w:pPr>
      <w:r>
        <w:rPr>
          <w:rFonts w:hint="eastAsia" w:ascii="Times New Roman" w:cs="仿宋_GB2312"/>
          <w:sz w:val="32"/>
          <w:szCs w:val="32"/>
        </w:rPr>
        <w:t>3.</w:t>
      </w:r>
      <w:r>
        <w:rPr>
          <w:rFonts w:ascii="Times New Roman" w:cs="仿宋_GB2312"/>
          <w:sz w:val="32"/>
          <w:szCs w:val="32"/>
        </w:rPr>
        <w:t xml:space="preserve"> 金川县文化馆</w:t>
      </w:r>
    </w:p>
    <w:p w14:paraId="304899BF">
      <w:pPr>
        <w:widowControl/>
        <w:jc w:val="left"/>
        <w:rPr>
          <w:rFonts w:eastAsia="仿宋"/>
          <w:kern w:val="0"/>
          <w:sz w:val="32"/>
          <w:szCs w:val="32"/>
        </w:rPr>
      </w:pPr>
      <w:r>
        <w:rPr>
          <w:rFonts w:eastAsia="仿宋"/>
          <w:sz w:val="32"/>
          <w:szCs w:val="32"/>
        </w:rPr>
        <w:br w:type="page"/>
      </w:r>
    </w:p>
    <w:p w14:paraId="568A79D7">
      <w:pPr>
        <w:pStyle w:val="3"/>
        <w:jc w:val="center"/>
        <w:rPr>
          <w:rFonts w:eastAsia="方正小标宋简体" w:cs="方正小标宋简体"/>
          <w:b w:val="0"/>
        </w:rPr>
      </w:pPr>
      <w:bookmarkStart w:id="39" w:name="_Toc15396602"/>
      <w:bookmarkStart w:id="40" w:name="_Toc15377204"/>
      <w:r>
        <w:rPr>
          <w:rFonts w:hint="eastAsia" w:eastAsia="方正小标宋简体" w:cs="方正小标宋简体"/>
          <w:b w:val="0"/>
        </w:rPr>
        <w:t>第二部分  2024年度部门决算情况说明</w:t>
      </w:r>
      <w:bookmarkEnd w:id="39"/>
      <w:bookmarkEnd w:id="40"/>
    </w:p>
    <w:p w14:paraId="3C853267"/>
    <w:p w14:paraId="60B1CA85">
      <w:pPr>
        <w:pStyle w:val="30"/>
        <w:spacing w:line="600" w:lineRule="exact"/>
        <w:ind w:firstLine="640"/>
        <w:outlineLvl w:val="1"/>
        <w:rPr>
          <w:rStyle w:val="32"/>
          <w:rFonts w:ascii="Times New Roman" w:hAnsi="Times New Roman" w:eastAsia="黑体"/>
          <w:b w:val="0"/>
        </w:rPr>
      </w:pPr>
      <w:bookmarkStart w:id="41" w:name="_Toc15377205"/>
      <w:bookmarkStart w:id="42" w:name="_Toc15396603"/>
      <w:r>
        <w:rPr>
          <w:rFonts w:hint="eastAsia" w:eastAsia="黑体"/>
          <w:sz w:val="32"/>
          <w:szCs w:val="32"/>
        </w:rPr>
        <w:t>一、收</w:t>
      </w:r>
      <w:r>
        <w:rPr>
          <w:rStyle w:val="32"/>
          <w:rFonts w:hint="eastAsia" w:ascii="Times New Roman" w:hAnsi="Times New Roman" w:eastAsia="黑体"/>
          <w:b w:val="0"/>
        </w:rPr>
        <w:t>入支出决算总体情况说明</w:t>
      </w:r>
      <w:bookmarkEnd w:id="41"/>
      <w:bookmarkEnd w:id="42"/>
    </w:p>
    <w:p w14:paraId="39E4577D">
      <w:pPr>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4年度财政拨款收入3907.29万元，较上年收入减少300.61万元。减少的主要原因是项目减少。</w:t>
      </w:r>
    </w:p>
    <w:p w14:paraId="45622E59">
      <w:pPr>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4年财政拨款支出3907.29万元，较上年支出减少300.61万元。减少的主要原因是项目减少。</w:t>
      </w:r>
    </w:p>
    <w:p w14:paraId="02DD0F05">
      <w:pPr>
        <w:pStyle w:val="30"/>
        <w:spacing w:line="600" w:lineRule="exact"/>
        <w:ind w:firstLine="640"/>
        <w:outlineLvl w:val="1"/>
        <w:rPr>
          <w:rFonts w:hint="eastAsia" w:eastAsia="仿宋_GB2312" w:cs="仿宋_GB2312"/>
          <w:sz w:val="32"/>
          <w:szCs w:val="32"/>
        </w:rPr>
      </w:pPr>
      <w:r>
        <w:rPr>
          <w:rFonts w:hint="eastAsia" w:eastAsia="仿宋_GB2312" w:cs="仿宋_GB2312"/>
          <w:sz w:val="32"/>
          <w:szCs w:val="32"/>
        </w:rPr>
        <w:drawing>
          <wp:anchor distT="0" distB="0" distL="114300" distR="114300" simplePos="0" relativeHeight="251659264" behindDoc="0" locked="0" layoutInCell="1" allowOverlap="1">
            <wp:simplePos x="0" y="0"/>
            <wp:positionH relativeFrom="column">
              <wp:posOffset>68580</wp:posOffset>
            </wp:positionH>
            <wp:positionV relativeFrom="paragraph">
              <wp:posOffset>240665</wp:posOffset>
            </wp:positionV>
            <wp:extent cx="5238750" cy="2806700"/>
            <wp:effectExtent l="19050" t="0" r="19050" b="0"/>
            <wp:wrapTopAndBottom/>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eastAsia="仿宋_GB2312" w:cs="仿宋_GB2312"/>
          <w:sz w:val="32"/>
          <w:szCs w:val="32"/>
        </w:rPr>
        <w:t>（图1：收入、支出决算总计变动情况图）（柱状图）</w:t>
      </w:r>
    </w:p>
    <w:p w14:paraId="6F79E070">
      <w:pPr>
        <w:spacing w:line="600" w:lineRule="exact"/>
        <w:outlineLvl w:val="1"/>
        <w:rPr>
          <w:rFonts w:eastAsia="黑体"/>
          <w:sz w:val="32"/>
          <w:szCs w:val="32"/>
        </w:rPr>
      </w:pPr>
      <w:bookmarkStart w:id="43" w:name="_Toc15377206"/>
      <w:bookmarkStart w:id="44" w:name="_Toc15396604"/>
      <w:r>
        <w:rPr>
          <w:rFonts w:hint="eastAsia" w:eastAsia="黑体"/>
          <w:sz w:val="32"/>
          <w:szCs w:val="32"/>
        </w:rPr>
        <w:t>二、收入决算情况说明</w:t>
      </w:r>
      <w:bookmarkEnd w:id="43"/>
      <w:bookmarkEnd w:id="44"/>
    </w:p>
    <w:p w14:paraId="401D5F3A">
      <w:pPr>
        <w:pStyle w:val="30"/>
        <w:spacing w:line="600" w:lineRule="exact"/>
        <w:ind w:firstLine="640"/>
        <w:jc w:val="left"/>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本年收入合计3907.29万元，其中：一般公共预算财政拨款收入3429.44万元，占87.77%；政府性基金预算财政拨款收入477.84万元，占12.22%%；国有资本经营预算财政拨款收入0万元，占0%；上级补助收入0万元，占0%；事业收入0万元，占0%；经营收入0万元，占0%；附属单位上缴收入0万元，占0%；其他收入0万</w:t>
      </w:r>
      <w:r>
        <w:rPr>
          <w:rFonts w:hint="eastAsia" w:ascii="仿宋_GB2312" w:hAnsi="仿宋_GB2312" w:eastAsia="仿宋_GB2312" w:cs="仿宋_GB2312"/>
          <w:sz w:val="32"/>
          <w:szCs w:val="32"/>
        </w:rPr>
        <w:drawing>
          <wp:anchor distT="0" distB="0" distL="114300" distR="114300" simplePos="0" relativeHeight="251663360" behindDoc="1" locked="0" layoutInCell="1" allowOverlap="1">
            <wp:simplePos x="0" y="0"/>
            <wp:positionH relativeFrom="column">
              <wp:posOffset>-59055</wp:posOffset>
            </wp:positionH>
            <wp:positionV relativeFrom="paragraph">
              <wp:posOffset>540385</wp:posOffset>
            </wp:positionV>
            <wp:extent cx="5271770" cy="2877820"/>
            <wp:effectExtent l="19050" t="0" r="5080" b="0"/>
            <wp:wrapTight wrapText="bothSides">
              <wp:wrapPolygon>
                <wp:start x="-78" y="0"/>
                <wp:lineTo x="-78" y="21447"/>
                <wp:lineTo x="21621" y="21447"/>
                <wp:lineTo x="21621" y="0"/>
                <wp:lineTo x="-78" y="0"/>
              </wp:wrapPolygon>
            </wp:wrapTight>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noChangeArrowheads="1"/>
                    </pic:cNvPicPr>
                  </pic:nvPicPr>
                  <pic:blipFill>
                    <a:blip r:embed="rId9"/>
                    <a:srcRect/>
                    <a:stretch>
                      <a:fillRect/>
                    </a:stretch>
                  </pic:blipFill>
                  <pic:spPr>
                    <a:xfrm>
                      <a:off x="0" y="0"/>
                      <a:ext cx="5271770" cy="2877820"/>
                    </a:xfrm>
                    <a:prstGeom prst="rect">
                      <a:avLst/>
                    </a:prstGeom>
                    <a:noFill/>
                    <a:ln w="9525">
                      <a:noFill/>
                      <a:miter lim="800000"/>
                      <a:headEnd/>
                      <a:tailEnd/>
                    </a:ln>
                  </pic:spPr>
                </pic:pic>
              </a:graphicData>
            </a:graphic>
          </wp:anchor>
        </w:drawing>
      </w:r>
      <w:r>
        <w:rPr>
          <w:rFonts w:hint="eastAsia" w:ascii="仿宋_GB2312" w:hAnsi="仿宋_GB2312" w:eastAsia="仿宋_GB2312" w:cs="仿宋_GB2312"/>
          <w:sz w:val="32"/>
          <w:szCs w:val="32"/>
        </w:rPr>
        <w:t>元，占0%。</w:t>
      </w:r>
    </w:p>
    <w:p w14:paraId="01EA5140">
      <w:pPr>
        <w:rPr>
          <w:rFonts w:eastAsia="仿宋_GB2312" w:cs="仿宋_GB2312"/>
          <w:sz w:val="32"/>
          <w:szCs w:val="32"/>
        </w:rPr>
      </w:pPr>
      <w:r>
        <w:rPr>
          <w:rFonts w:hint="eastAsia" w:eastAsia="仿宋_GB2312" w:cs="仿宋_GB2312"/>
          <w:sz w:val="32"/>
          <w:szCs w:val="32"/>
        </w:rPr>
        <w:t>（图2：收入决算结构图）（饼状图）</w:t>
      </w:r>
    </w:p>
    <w:p w14:paraId="3C671842">
      <w:pPr>
        <w:spacing w:line="600" w:lineRule="exact"/>
        <w:outlineLvl w:val="1"/>
        <w:rPr>
          <w:rStyle w:val="32"/>
          <w:rFonts w:ascii="Times New Roman" w:hAnsi="Times New Roman" w:eastAsia="黑体"/>
          <w:b w:val="0"/>
        </w:rPr>
      </w:pPr>
      <w:bookmarkStart w:id="45" w:name="_Toc15377207"/>
      <w:bookmarkStart w:id="46" w:name="_Toc15396605"/>
      <w:r>
        <w:rPr>
          <w:rFonts w:hint="eastAsia" w:eastAsia="黑体"/>
          <w:sz w:val="32"/>
          <w:szCs w:val="32"/>
        </w:rPr>
        <w:t>三、支</w:t>
      </w:r>
      <w:r>
        <w:rPr>
          <w:rStyle w:val="32"/>
          <w:rFonts w:hint="eastAsia" w:ascii="Times New Roman" w:hAnsi="Times New Roman" w:eastAsia="黑体"/>
          <w:b w:val="0"/>
        </w:rPr>
        <w:t>出决算情况说明</w:t>
      </w:r>
      <w:bookmarkEnd w:id="45"/>
      <w:bookmarkEnd w:id="46"/>
    </w:p>
    <w:p w14:paraId="1738B5C1">
      <w:pPr>
        <w:pStyle w:val="30"/>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drawing>
          <wp:anchor distT="0" distB="0" distL="114300" distR="114300" simplePos="0" relativeHeight="251660288" behindDoc="1" locked="0" layoutInCell="1" allowOverlap="1">
            <wp:simplePos x="0" y="0"/>
            <wp:positionH relativeFrom="column">
              <wp:posOffset>203835</wp:posOffset>
            </wp:positionH>
            <wp:positionV relativeFrom="paragraph">
              <wp:posOffset>1583055</wp:posOffset>
            </wp:positionV>
            <wp:extent cx="4767580" cy="2218055"/>
            <wp:effectExtent l="19050" t="0" r="0" b="0"/>
            <wp:wrapTight wrapText="bothSides">
              <wp:wrapPolygon>
                <wp:start x="-86" y="0"/>
                <wp:lineTo x="-86" y="21334"/>
                <wp:lineTo x="21577" y="21334"/>
                <wp:lineTo x="21577" y="0"/>
                <wp:lineTo x="-86" y="0"/>
              </wp:wrapPolygon>
            </wp:wrapTight>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noChangeArrowheads="1"/>
                    </pic:cNvPicPr>
                  </pic:nvPicPr>
                  <pic:blipFill>
                    <a:blip r:embed="rId10"/>
                    <a:srcRect/>
                    <a:stretch>
                      <a:fillRect/>
                    </a:stretch>
                  </pic:blipFill>
                  <pic:spPr>
                    <a:xfrm>
                      <a:off x="0" y="0"/>
                      <a:ext cx="4767580" cy="2218055"/>
                    </a:xfrm>
                    <a:prstGeom prst="rect">
                      <a:avLst/>
                    </a:prstGeom>
                    <a:noFill/>
                    <a:ln w="9525">
                      <a:noFill/>
                      <a:miter lim="800000"/>
                      <a:headEnd/>
                      <a:tailEnd/>
                    </a:ln>
                  </pic:spPr>
                </pic:pic>
              </a:graphicData>
            </a:graphic>
          </wp:anchor>
        </w:drawing>
      </w:r>
      <w:r>
        <w:rPr>
          <w:rFonts w:hint="eastAsia" w:ascii="仿宋_GB2312" w:hAnsi="仿宋_GB2312" w:eastAsia="仿宋_GB2312" w:cs="仿宋_GB2312"/>
          <w:sz w:val="32"/>
          <w:szCs w:val="32"/>
        </w:rPr>
        <w:t>2024年度本年支出合计3907.29万元，其中：基本支出759.62万元，占19.44%；项目支出3147.67万元，占80.55%；上缴上级支出0万元，占0%；经营支出0万元，占0%；对附属单位补助支出0万元，占0%%。</w:t>
      </w:r>
    </w:p>
    <w:p w14:paraId="3C5F1DD7">
      <w:pPr>
        <w:pStyle w:val="30"/>
        <w:spacing w:line="600" w:lineRule="exact"/>
        <w:ind w:firstLine="640"/>
        <w:jc w:val="left"/>
        <w:outlineLvl w:val="1"/>
        <w:rPr>
          <w:rFonts w:hint="eastAsia" w:eastAsia="仿宋_GB2312" w:cs="仿宋_GB2312"/>
          <w:b/>
          <w:bCs/>
          <w:sz w:val="32"/>
          <w:szCs w:val="32"/>
        </w:rPr>
      </w:pPr>
    </w:p>
    <w:p w14:paraId="23874381">
      <w:pPr>
        <w:pStyle w:val="30"/>
        <w:spacing w:line="600" w:lineRule="exact"/>
        <w:ind w:firstLine="640"/>
        <w:jc w:val="left"/>
        <w:outlineLvl w:val="1"/>
        <w:rPr>
          <w:rFonts w:hint="eastAsia" w:eastAsia="仿宋_GB2312" w:cs="仿宋_GB2312"/>
          <w:b/>
          <w:bCs/>
          <w:sz w:val="32"/>
          <w:szCs w:val="32"/>
        </w:rPr>
      </w:pPr>
    </w:p>
    <w:p w14:paraId="12F7ED9A">
      <w:pPr>
        <w:pStyle w:val="30"/>
        <w:spacing w:line="600" w:lineRule="exact"/>
        <w:ind w:firstLine="640"/>
        <w:jc w:val="left"/>
        <w:outlineLvl w:val="1"/>
        <w:rPr>
          <w:rFonts w:hint="eastAsia" w:eastAsia="仿宋_GB2312" w:cs="仿宋_GB2312"/>
          <w:b/>
          <w:bCs/>
          <w:sz w:val="32"/>
          <w:szCs w:val="32"/>
        </w:rPr>
      </w:pPr>
    </w:p>
    <w:p w14:paraId="68CC37CE">
      <w:pPr>
        <w:pStyle w:val="30"/>
        <w:spacing w:line="600" w:lineRule="exact"/>
        <w:ind w:firstLine="640"/>
        <w:jc w:val="left"/>
        <w:outlineLvl w:val="1"/>
        <w:rPr>
          <w:rFonts w:hint="eastAsia" w:eastAsia="仿宋_GB2312" w:cs="仿宋_GB2312"/>
          <w:b/>
          <w:bCs/>
          <w:sz w:val="32"/>
          <w:szCs w:val="32"/>
        </w:rPr>
      </w:pPr>
    </w:p>
    <w:p w14:paraId="46D2400E">
      <w:pPr>
        <w:pStyle w:val="30"/>
        <w:spacing w:line="600" w:lineRule="exact"/>
        <w:ind w:firstLine="640"/>
        <w:jc w:val="left"/>
        <w:outlineLvl w:val="1"/>
        <w:rPr>
          <w:rFonts w:hint="eastAsia" w:eastAsia="仿宋_GB2312" w:cs="仿宋_GB2312"/>
          <w:b/>
          <w:bCs/>
          <w:sz w:val="32"/>
          <w:szCs w:val="32"/>
        </w:rPr>
      </w:pPr>
    </w:p>
    <w:p w14:paraId="6B362F35">
      <w:pPr>
        <w:pStyle w:val="30"/>
        <w:spacing w:line="600" w:lineRule="exact"/>
        <w:ind w:firstLine="640"/>
        <w:jc w:val="left"/>
        <w:outlineLvl w:val="1"/>
        <w:rPr>
          <w:rFonts w:hint="eastAsia" w:eastAsia="仿宋_GB2312" w:cs="仿宋_GB2312"/>
          <w:b/>
          <w:bCs/>
          <w:sz w:val="32"/>
          <w:szCs w:val="32"/>
        </w:rPr>
      </w:pPr>
    </w:p>
    <w:p w14:paraId="53CAAB82">
      <w:pPr>
        <w:ind w:firstLine="1280" w:firstLineChars="400"/>
        <w:rPr>
          <w:rFonts w:eastAsia="仿宋_GB2312" w:cs="仿宋_GB2312"/>
          <w:sz w:val="32"/>
          <w:szCs w:val="32"/>
        </w:rPr>
      </w:pPr>
      <w:r>
        <w:rPr>
          <w:rFonts w:hint="eastAsia" w:eastAsia="仿宋_GB2312" w:cs="仿宋_GB2312"/>
          <w:sz w:val="32"/>
          <w:szCs w:val="32"/>
        </w:rPr>
        <w:t>（图3：支出决算结构图）（饼状图）</w:t>
      </w:r>
    </w:p>
    <w:p w14:paraId="12D7343A">
      <w:pPr>
        <w:ind w:firstLine="800" w:firstLineChars="250"/>
        <w:rPr>
          <w:rFonts w:eastAsia="仿宋_GB2312" w:cs="仿宋_GB2312"/>
          <w:sz w:val="32"/>
          <w:szCs w:val="32"/>
        </w:rPr>
      </w:pPr>
    </w:p>
    <w:p w14:paraId="50D6C566">
      <w:pPr>
        <w:spacing w:line="600" w:lineRule="exact"/>
        <w:ind w:firstLine="640" w:firstLineChars="200"/>
        <w:outlineLvl w:val="1"/>
        <w:rPr>
          <w:rStyle w:val="32"/>
          <w:rFonts w:ascii="Times New Roman" w:hAnsi="Times New Roman" w:eastAsia="黑体"/>
          <w:b w:val="0"/>
        </w:rPr>
      </w:pPr>
      <w:bookmarkStart w:id="47" w:name="_Toc15377208"/>
      <w:bookmarkStart w:id="48" w:name="_Toc15396606"/>
      <w:r>
        <w:rPr>
          <w:rFonts w:hint="eastAsia" w:eastAsia="黑体"/>
          <w:sz w:val="32"/>
          <w:szCs w:val="32"/>
        </w:rPr>
        <w:t>四、财</w:t>
      </w:r>
      <w:r>
        <w:rPr>
          <w:rStyle w:val="32"/>
          <w:rFonts w:hint="eastAsia" w:ascii="Times New Roman" w:hAnsi="Times New Roman" w:eastAsia="黑体"/>
          <w:b w:val="0"/>
        </w:rPr>
        <w:t>政拨款收入支出决算总体情况说明</w:t>
      </w:r>
      <w:bookmarkEnd w:id="47"/>
      <w:bookmarkEnd w:id="48"/>
    </w:p>
    <w:p w14:paraId="0AAA9880">
      <w:pPr>
        <w:snapToGrid w:val="0"/>
        <w:spacing w:line="52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4年度财政拨款收入3907.29万元，较上年收入减少300.61万元。减少的主要原因是项目减少。</w:t>
      </w:r>
    </w:p>
    <w:p w14:paraId="3409785F">
      <w:pPr>
        <w:snapToGrid w:val="0"/>
        <w:spacing w:line="52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drawing>
          <wp:anchor distT="0" distB="0" distL="114300" distR="114300" simplePos="0" relativeHeight="251661312" behindDoc="1" locked="0" layoutInCell="1" allowOverlap="1">
            <wp:simplePos x="0" y="0"/>
            <wp:positionH relativeFrom="column">
              <wp:posOffset>5080</wp:posOffset>
            </wp:positionH>
            <wp:positionV relativeFrom="paragraph">
              <wp:posOffset>843915</wp:posOffset>
            </wp:positionV>
            <wp:extent cx="5271135" cy="2734945"/>
            <wp:effectExtent l="19050" t="0" r="5715" b="0"/>
            <wp:wrapTight wrapText="bothSides">
              <wp:wrapPolygon>
                <wp:start x="-78" y="0"/>
                <wp:lineTo x="-78" y="21515"/>
                <wp:lineTo x="21623" y="21515"/>
                <wp:lineTo x="21623" y="0"/>
                <wp:lineTo x="-78" y="0"/>
              </wp:wrapPolygon>
            </wp:wrapTight>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noChangeArrowheads="1"/>
                    </pic:cNvPicPr>
                  </pic:nvPicPr>
                  <pic:blipFill>
                    <a:blip r:embed="rId11"/>
                    <a:srcRect/>
                    <a:stretch>
                      <a:fillRect/>
                    </a:stretch>
                  </pic:blipFill>
                  <pic:spPr>
                    <a:xfrm>
                      <a:off x="0" y="0"/>
                      <a:ext cx="5271135" cy="2734945"/>
                    </a:xfrm>
                    <a:prstGeom prst="rect">
                      <a:avLst/>
                    </a:prstGeom>
                    <a:noFill/>
                    <a:ln w="9525">
                      <a:noFill/>
                      <a:miter lim="800000"/>
                      <a:headEnd/>
                      <a:tailEnd/>
                    </a:ln>
                  </pic:spPr>
                </pic:pic>
              </a:graphicData>
            </a:graphic>
          </wp:anchor>
        </w:drawing>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4年财政拨款支出3907.29万元，较上年支出减少300.61万元。减少的主要原因是项目减少。</w:t>
      </w:r>
    </w:p>
    <w:p w14:paraId="7957073D">
      <w:pPr>
        <w:snapToGrid w:val="0"/>
        <w:spacing w:line="520" w:lineRule="exact"/>
        <w:ind w:firstLine="640" w:firstLineChars="200"/>
        <w:rPr>
          <w:rFonts w:ascii="仿宋_GB2312" w:hAnsi="仿宋_GB2312" w:eastAsia="仿宋_GB2312" w:cs="仿宋_GB2312"/>
          <w:sz w:val="32"/>
          <w:szCs w:val="32"/>
        </w:rPr>
      </w:pPr>
      <w:r>
        <w:rPr>
          <w:rFonts w:hint="eastAsia" w:eastAsia="仿宋_GB2312" w:cs="仿宋_GB2312"/>
          <w:sz w:val="32"/>
          <w:szCs w:val="32"/>
        </w:rPr>
        <w:t>（图4：财政拨款收、支决算总计变动情况）（柱状图）</w:t>
      </w:r>
    </w:p>
    <w:p w14:paraId="697B0077">
      <w:pPr>
        <w:spacing w:line="600" w:lineRule="exact"/>
        <w:outlineLvl w:val="1"/>
        <w:rPr>
          <w:rStyle w:val="32"/>
          <w:rFonts w:ascii="Times New Roman" w:hAnsi="Times New Roman" w:eastAsia="黑体"/>
          <w:b w:val="0"/>
        </w:rPr>
      </w:pPr>
      <w:bookmarkStart w:id="49" w:name="_Toc15377209"/>
      <w:bookmarkStart w:id="50" w:name="_Toc15396607"/>
      <w:r>
        <w:rPr>
          <w:rFonts w:hint="eastAsia" w:eastAsia="黑体"/>
          <w:sz w:val="32"/>
          <w:szCs w:val="32"/>
        </w:rPr>
        <w:t>五、</w:t>
      </w:r>
      <w:r>
        <w:rPr>
          <w:rFonts w:hint="eastAsia" w:eastAsia="黑体"/>
          <w:b/>
          <w:sz w:val="32"/>
          <w:szCs w:val="32"/>
        </w:rPr>
        <w:t>一</w:t>
      </w:r>
      <w:r>
        <w:rPr>
          <w:rStyle w:val="32"/>
          <w:rFonts w:hint="eastAsia" w:ascii="Times New Roman" w:hAnsi="Times New Roman" w:eastAsia="黑体"/>
          <w:b w:val="0"/>
        </w:rPr>
        <w:t>般公共预算财政拨款支出决算情况说明</w:t>
      </w:r>
      <w:bookmarkEnd w:id="49"/>
      <w:bookmarkEnd w:id="50"/>
    </w:p>
    <w:p w14:paraId="77642322">
      <w:pPr>
        <w:spacing w:line="600" w:lineRule="exact"/>
        <w:ind w:firstLine="643" w:firstLineChars="200"/>
        <w:outlineLvl w:val="2"/>
        <w:rPr>
          <w:rStyle w:val="32"/>
          <w:rFonts w:ascii="Times New Roman" w:hAnsi="Times New Roman" w:eastAsia="黑体"/>
        </w:rPr>
      </w:pPr>
      <w:bookmarkStart w:id="51" w:name="_Toc15377210"/>
      <w:r>
        <w:rPr>
          <w:rStyle w:val="32"/>
          <w:rFonts w:hint="eastAsia" w:ascii="Times New Roman" w:hAnsi="Times New Roman" w:eastAsia="黑体"/>
        </w:rPr>
        <w:t>（一）一般公共预算财政拨款支出决算总体情况</w:t>
      </w:r>
      <w:bookmarkEnd w:id="51"/>
    </w:p>
    <w:p w14:paraId="4812B5C9">
      <w:pPr>
        <w:snapToGrid w:val="0"/>
        <w:spacing w:line="520" w:lineRule="exact"/>
        <w:ind w:firstLine="643" w:firstLineChars="200"/>
        <w:rPr>
          <w:rStyle w:val="32"/>
          <w:rFonts w:ascii="Times New Roman" w:hAnsi="Times New Roman" w:eastAsia="黑体"/>
        </w:rPr>
      </w:pPr>
      <w:r>
        <w:rPr>
          <w:rStyle w:val="32"/>
          <w:rFonts w:ascii="Times New Roman" w:hAnsi="Times New Roman" w:eastAsia="黑体"/>
        </w:rPr>
        <w:t>202</w:t>
      </w:r>
      <w:r>
        <w:rPr>
          <w:rStyle w:val="32"/>
          <w:rFonts w:hint="eastAsia" w:ascii="Times New Roman" w:hAnsi="Times New Roman" w:eastAsia="黑体"/>
        </w:rPr>
        <w:t>4年一般公共预算财政拨款支出3907.29万元，占本年总支出的100</w:t>
      </w:r>
      <w:r>
        <w:rPr>
          <w:rStyle w:val="32"/>
          <w:rFonts w:ascii="Times New Roman" w:hAnsi="Times New Roman" w:eastAsia="黑体"/>
        </w:rPr>
        <w:t>%</w:t>
      </w:r>
      <w:r>
        <w:rPr>
          <w:rStyle w:val="32"/>
          <w:rFonts w:hint="eastAsia" w:ascii="Times New Roman" w:hAnsi="Times New Roman" w:eastAsia="黑体"/>
        </w:rPr>
        <w:t>。与</w:t>
      </w:r>
      <w:r>
        <w:rPr>
          <w:rStyle w:val="32"/>
          <w:rFonts w:ascii="Times New Roman" w:hAnsi="Times New Roman" w:eastAsia="黑体"/>
        </w:rPr>
        <w:t>20</w:t>
      </w:r>
      <w:r>
        <w:rPr>
          <w:rStyle w:val="32"/>
          <w:rFonts w:hint="eastAsia" w:ascii="Times New Roman" w:hAnsi="Times New Roman" w:eastAsia="黑体"/>
        </w:rPr>
        <w:t>23年相比，一般公共预算财政拨款支出减少300.61万元。减少的主要原因是项目减少。</w:t>
      </w:r>
    </w:p>
    <w:p w14:paraId="054D3A10">
      <w:pPr>
        <w:spacing w:line="600" w:lineRule="exact"/>
        <w:ind w:firstLine="640"/>
        <w:rPr>
          <w:rStyle w:val="32"/>
          <w:rFonts w:hint="eastAsia" w:ascii="Times New Roman" w:hAnsi="Times New Roman" w:eastAsia="黑体"/>
        </w:rPr>
      </w:pPr>
    </w:p>
    <w:p w14:paraId="5C8FA431">
      <w:pPr>
        <w:spacing w:line="600" w:lineRule="exact"/>
        <w:ind w:firstLine="640"/>
        <w:rPr>
          <w:rFonts w:hint="eastAsia" w:eastAsia="仿宋_GB2312" w:cs="仿宋_GB2312"/>
          <w:sz w:val="32"/>
          <w:szCs w:val="32"/>
        </w:rPr>
      </w:pPr>
    </w:p>
    <w:p w14:paraId="146B2CE8">
      <w:pPr>
        <w:spacing w:line="600" w:lineRule="exact"/>
        <w:ind w:firstLine="640"/>
        <w:rPr>
          <w:rFonts w:hint="eastAsia" w:eastAsia="仿宋_GB2312" w:cs="仿宋_GB2312"/>
          <w:sz w:val="32"/>
          <w:szCs w:val="32"/>
        </w:rPr>
      </w:pPr>
    </w:p>
    <w:p w14:paraId="5132E98B">
      <w:pPr>
        <w:pStyle w:val="14"/>
        <w:rPr>
          <w:rFonts w:hint="eastAsia"/>
        </w:rPr>
      </w:pPr>
    </w:p>
    <w:p w14:paraId="7BB447B0">
      <w:pPr>
        <w:pStyle w:val="8"/>
        <w:ind w:left="420"/>
        <w:rPr>
          <w:rFonts w:hint="eastAsia"/>
        </w:rPr>
      </w:pPr>
    </w:p>
    <w:p w14:paraId="4741035A">
      <w:pPr>
        <w:pStyle w:val="8"/>
        <w:ind w:left="420"/>
        <w:rPr>
          <w:rFonts w:hint="eastAsia"/>
        </w:rPr>
      </w:pPr>
    </w:p>
    <w:p w14:paraId="79D355ED">
      <w:pPr>
        <w:pStyle w:val="8"/>
        <w:ind w:left="420"/>
        <w:rPr>
          <w:rFonts w:hint="eastAsia"/>
        </w:rPr>
      </w:pPr>
    </w:p>
    <w:p w14:paraId="63457C4C">
      <w:pPr>
        <w:pStyle w:val="8"/>
        <w:ind w:left="420"/>
        <w:rPr>
          <w:rFonts w:hint="eastAsia"/>
        </w:rPr>
      </w:pPr>
      <w:r>
        <w:rPr>
          <w:rFonts w:hint="eastAsia"/>
        </w:rPr>
        <w:drawing>
          <wp:inline distT="0" distB="0" distL="0" distR="0">
            <wp:extent cx="4480560" cy="2360930"/>
            <wp:effectExtent l="19050" t="0" r="15019" b="663"/>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798D6E">
      <w:pPr>
        <w:spacing w:line="600" w:lineRule="exact"/>
        <w:rPr>
          <w:rFonts w:eastAsia="仿宋_GB2312" w:cs="仿宋_GB2312"/>
          <w:sz w:val="32"/>
          <w:szCs w:val="32"/>
        </w:rPr>
      </w:pPr>
      <w:r>
        <w:rPr>
          <w:rFonts w:hint="eastAsia" w:eastAsia="仿宋_GB2312" w:cs="仿宋_GB2312"/>
          <w:sz w:val="32"/>
          <w:szCs w:val="32"/>
        </w:rPr>
        <w:t>（图5：一般公共预算财政拨款支出决算变动情况）（柱状图）</w:t>
      </w:r>
    </w:p>
    <w:p w14:paraId="2A4745FA">
      <w:pPr>
        <w:spacing w:line="600" w:lineRule="exact"/>
        <w:ind w:firstLine="640"/>
        <w:rPr>
          <w:rFonts w:eastAsia="仿宋_GB2312" w:cs="仿宋_GB2312"/>
          <w:sz w:val="32"/>
          <w:szCs w:val="32"/>
        </w:rPr>
      </w:pPr>
    </w:p>
    <w:p w14:paraId="2F59A93E">
      <w:pPr>
        <w:spacing w:line="600" w:lineRule="exact"/>
        <w:ind w:firstLine="643" w:firstLineChars="200"/>
        <w:outlineLvl w:val="2"/>
        <w:rPr>
          <w:rFonts w:eastAsia="楷体_GB2312" w:cs="楷体_GB2312"/>
          <w:b/>
          <w:sz w:val="32"/>
          <w:szCs w:val="32"/>
        </w:rPr>
      </w:pPr>
      <w:bookmarkStart w:id="52" w:name="_Toc15377211"/>
      <w:r>
        <w:rPr>
          <w:rFonts w:hint="eastAsia" w:eastAsia="楷体_GB2312" w:cs="楷体_GB2312"/>
          <w:b/>
          <w:sz w:val="32"/>
          <w:szCs w:val="32"/>
        </w:rPr>
        <w:t>（二）一般公共预算财政拨款支出决算结构情况</w:t>
      </w:r>
      <w:bookmarkEnd w:id="52"/>
    </w:p>
    <w:p w14:paraId="37826BCA">
      <w:pPr>
        <w:spacing w:line="600" w:lineRule="exact"/>
        <w:ind w:firstLine="640"/>
        <w:rPr>
          <w:rFonts w:hint="eastAsia" w:ascii="仿宋" w:eastAsia="仿宋"/>
          <w:color w:val="000000" w:themeColor="text1"/>
          <w:sz w:val="32"/>
          <w:szCs w:val="32"/>
        </w:rPr>
      </w:pPr>
      <w:r>
        <w:rPr>
          <w:rFonts w:ascii="仿宋" w:eastAsia="仿宋"/>
          <w:color w:val="000000" w:themeColor="text1"/>
          <w:sz w:val="32"/>
          <w:szCs w:val="32"/>
        </w:rPr>
        <w:t>202</w:t>
      </w:r>
      <w:r>
        <w:rPr>
          <w:rFonts w:hint="eastAsia" w:ascii="仿宋" w:eastAsia="仿宋"/>
          <w:color w:val="000000" w:themeColor="text1"/>
          <w:sz w:val="32"/>
          <w:szCs w:val="32"/>
        </w:rPr>
        <w:t>4年一般公共预算财政拨款支出</w:t>
      </w:r>
      <w:r>
        <w:rPr>
          <w:rFonts w:hint="eastAsia" w:ascii="仿宋_GB2312" w:eastAsia="仿宋_GB2312"/>
          <w:color w:val="000000" w:themeColor="text1"/>
          <w:spacing w:val="-2"/>
          <w:sz w:val="32"/>
          <w:szCs w:val="32"/>
        </w:rPr>
        <w:t>3907.29</w:t>
      </w:r>
      <w:r>
        <w:rPr>
          <w:rFonts w:hint="eastAsia" w:ascii="仿宋" w:eastAsia="仿宋"/>
          <w:color w:val="000000" w:themeColor="text1"/>
          <w:sz w:val="32"/>
          <w:szCs w:val="32"/>
        </w:rPr>
        <w:t>万元，主要用于以下方面:文化旅游体育与传媒支出2855.82万元，占7</w:t>
      </w:r>
      <w:r>
        <w:rPr>
          <w:rFonts w:ascii="仿宋" w:eastAsia="仿宋"/>
          <w:color w:val="000000" w:themeColor="text1"/>
          <w:sz w:val="32"/>
          <w:szCs w:val="32"/>
        </w:rPr>
        <w:t>4</w:t>
      </w:r>
      <w:r>
        <w:rPr>
          <w:rFonts w:hint="eastAsia" w:ascii="仿宋" w:eastAsia="仿宋"/>
          <w:color w:val="000000" w:themeColor="text1"/>
          <w:sz w:val="32"/>
          <w:szCs w:val="32"/>
        </w:rPr>
        <w:t xml:space="preserve"> </w:t>
      </w:r>
      <w:r>
        <w:rPr>
          <w:rFonts w:ascii="仿宋" w:eastAsia="仿宋"/>
          <w:color w:val="000000" w:themeColor="text1"/>
          <w:sz w:val="32"/>
          <w:szCs w:val="32"/>
        </w:rPr>
        <w:t>%</w:t>
      </w:r>
      <w:r>
        <w:rPr>
          <w:rFonts w:hint="eastAsia" w:ascii="仿宋" w:eastAsia="仿宋"/>
          <w:color w:val="000000" w:themeColor="text1"/>
          <w:sz w:val="32"/>
          <w:szCs w:val="32"/>
        </w:rPr>
        <w:t>；</w:t>
      </w:r>
      <w:r>
        <w:rPr>
          <w:rFonts w:hint="eastAsia" w:ascii="仿宋" w:eastAsia="仿宋"/>
          <w:b/>
          <w:color w:val="000000" w:themeColor="text1"/>
          <w:sz w:val="32"/>
          <w:szCs w:val="32"/>
        </w:rPr>
        <w:t>社会保障和就业</w:t>
      </w:r>
      <w:r>
        <w:rPr>
          <w:rFonts w:hint="eastAsia" w:ascii="仿宋" w:eastAsia="仿宋"/>
          <w:color w:val="000000" w:themeColor="text1"/>
          <w:sz w:val="32"/>
          <w:szCs w:val="32"/>
        </w:rPr>
        <w:t>支出101万元，占0.</w:t>
      </w:r>
      <w:r>
        <w:rPr>
          <w:rFonts w:ascii="仿宋" w:eastAsia="仿宋"/>
          <w:color w:val="000000" w:themeColor="text1"/>
          <w:sz w:val="32"/>
          <w:szCs w:val="32"/>
        </w:rPr>
        <w:t>005</w:t>
      </w:r>
      <w:r>
        <w:rPr>
          <w:rFonts w:hint="eastAsia" w:ascii="仿宋" w:eastAsia="仿宋"/>
          <w:color w:val="000000" w:themeColor="text1"/>
          <w:sz w:val="32"/>
          <w:szCs w:val="32"/>
        </w:rPr>
        <w:t xml:space="preserve"> </w:t>
      </w:r>
      <w:r>
        <w:rPr>
          <w:rFonts w:ascii="仿宋" w:eastAsia="仿宋"/>
          <w:color w:val="000000" w:themeColor="text1"/>
          <w:sz w:val="32"/>
          <w:szCs w:val="32"/>
        </w:rPr>
        <w:t>%</w:t>
      </w:r>
      <w:r>
        <w:rPr>
          <w:rFonts w:hint="eastAsia" w:ascii="仿宋" w:eastAsia="仿宋"/>
          <w:color w:val="000000" w:themeColor="text1"/>
          <w:sz w:val="32"/>
          <w:szCs w:val="32"/>
        </w:rPr>
        <w:t>；</w:t>
      </w:r>
      <w:r>
        <w:rPr>
          <w:rFonts w:hint="eastAsia" w:ascii="仿宋" w:eastAsia="仿宋"/>
          <w:b/>
          <w:bCs/>
          <w:color w:val="000000" w:themeColor="text1"/>
          <w:sz w:val="32"/>
          <w:szCs w:val="32"/>
        </w:rPr>
        <w:t>卫生健康支出</w:t>
      </w:r>
      <w:r>
        <w:rPr>
          <w:rFonts w:hint="eastAsia" w:ascii="仿宋" w:eastAsia="仿宋"/>
          <w:color w:val="000000" w:themeColor="text1"/>
          <w:sz w:val="32"/>
          <w:szCs w:val="32"/>
        </w:rPr>
        <w:t>46.72万元，占0.</w:t>
      </w:r>
      <w:r>
        <w:rPr>
          <w:rFonts w:ascii="仿宋" w:eastAsia="仿宋"/>
          <w:color w:val="000000" w:themeColor="text1"/>
          <w:sz w:val="32"/>
          <w:szCs w:val="32"/>
        </w:rPr>
        <w:t>003%</w:t>
      </w:r>
      <w:r>
        <w:rPr>
          <w:rFonts w:hint="eastAsia" w:ascii="仿宋" w:eastAsia="仿宋"/>
          <w:color w:val="000000" w:themeColor="text1"/>
          <w:sz w:val="32"/>
          <w:szCs w:val="32"/>
        </w:rPr>
        <w:t>；农林水支出：368.16万元。占</w:t>
      </w:r>
      <w:r>
        <w:rPr>
          <w:rFonts w:ascii="仿宋" w:eastAsia="仿宋"/>
          <w:color w:val="000000" w:themeColor="text1"/>
          <w:sz w:val="32"/>
          <w:szCs w:val="32"/>
        </w:rPr>
        <w:t>21%</w:t>
      </w:r>
      <w:r>
        <w:rPr>
          <w:rFonts w:hint="eastAsia" w:ascii="仿宋" w:eastAsia="仿宋"/>
          <w:color w:val="000000" w:themeColor="text1"/>
          <w:sz w:val="32"/>
          <w:szCs w:val="32"/>
        </w:rPr>
        <w:t>；</w:t>
      </w:r>
      <w:r>
        <w:rPr>
          <w:rFonts w:hint="eastAsia" w:ascii="仿宋" w:eastAsia="仿宋"/>
          <w:b/>
          <w:bCs/>
          <w:color w:val="000000" w:themeColor="text1"/>
          <w:sz w:val="32"/>
          <w:szCs w:val="32"/>
        </w:rPr>
        <w:t>住房保障支出</w:t>
      </w:r>
      <w:r>
        <w:rPr>
          <w:rFonts w:hint="eastAsia" w:ascii="仿宋" w:eastAsia="仿宋"/>
          <w:color w:val="000000" w:themeColor="text1"/>
          <w:sz w:val="32"/>
          <w:szCs w:val="32"/>
        </w:rPr>
        <w:t>57.73万元，占0.</w:t>
      </w:r>
      <w:r>
        <w:rPr>
          <w:rFonts w:ascii="仿宋" w:eastAsia="仿宋"/>
          <w:color w:val="000000" w:themeColor="text1"/>
          <w:sz w:val="32"/>
          <w:szCs w:val="32"/>
        </w:rPr>
        <w:t>003%</w:t>
      </w:r>
      <w:r>
        <w:rPr>
          <w:rFonts w:hint="eastAsia" w:ascii="仿宋" w:eastAsia="仿宋"/>
          <w:color w:val="000000" w:themeColor="text1"/>
          <w:sz w:val="32"/>
          <w:szCs w:val="32"/>
        </w:rPr>
        <w:t>，其他支出477.84万元，占0</w:t>
      </w:r>
      <w:r>
        <w:rPr>
          <w:rFonts w:ascii="仿宋" w:eastAsia="仿宋"/>
          <w:color w:val="000000" w:themeColor="text1"/>
          <w:sz w:val="32"/>
          <w:szCs w:val="32"/>
        </w:rPr>
        <w:t>.09</w:t>
      </w:r>
      <w:r>
        <w:rPr>
          <w:rFonts w:hint="eastAsia" w:ascii="仿宋" w:eastAsia="仿宋"/>
          <w:color w:val="000000" w:themeColor="text1"/>
          <w:sz w:val="32"/>
          <w:szCs w:val="32"/>
        </w:rPr>
        <w:t>%。</w:t>
      </w:r>
    </w:p>
    <w:p w14:paraId="67DEB46D">
      <w:pPr>
        <w:pStyle w:val="14"/>
        <w:rPr>
          <w:rFonts w:hint="eastAsia"/>
          <w:color w:val="000000" w:themeColor="text1"/>
        </w:rPr>
      </w:pPr>
    </w:p>
    <w:p w14:paraId="59B87D48">
      <w:pPr>
        <w:pStyle w:val="8"/>
        <w:ind w:left="420"/>
        <w:rPr>
          <w:rFonts w:hint="eastAsia"/>
        </w:rPr>
      </w:pPr>
    </w:p>
    <w:p w14:paraId="72DCDF69">
      <w:pPr>
        <w:pStyle w:val="8"/>
        <w:ind w:left="420"/>
        <w:rPr>
          <w:rFonts w:hint="eastAsia"/>
        </w:rPr>
      </w:pPr>
    </w:p>
    <w:p w14:paraId="4B60697F">
      <w:pPr>
        <w:pStyle w:val="8"/>
        <w:ind w:left="420"/>
      </w:pPr>
    </w:p>
    <w:p w14:paraId="72BC3BE6">
      <w:pPr>
        <w:spacing w:line="600" w:lineRule="exact"/>
        <w:ind w:firstLine="640"/>
        <w:rPr>
          <w:rFonts w:ascii="仿宋" w:eastAsia="仿宋"/>
          <w:color w:val="000000"/>
          <w:sz w:val="32"/>
          <w:szCs w:val="32"/>
        </w:rPr>
      </w:pPr>
    </w:p>
    <w:p w14:paraId="647DD741">
      <w:pPr>
        <w:spacing w:line="600" w:lineRule="exact"/>
        <w:ind w:firstLine="640"/>
        <w:rPr>
          <w:rFonts w:hint="eastAsia" w:eastAsia="仿宋_GB2312" w:cs="仿宋_GB2312"/>
          <w:sz w:val="32"/>
          <w:szCs w:val="32"/>
        </w:rPr>
      </w:pPr>
    </w:p>
    <w:p w14:paraId="72902033">
      <w:pPr>
        <w:spacing w:line="600" w:lineRule="exact"/>
        <w:ind w:firstLine="640"/>
        <w:rPr>
          <w:rFonts w:hint="eastAsia" w:eastAsia="仿宋_GB2312" w:cs="仿宋_GB2312"/>
          <w:sz w:val="32"/>
          <w:szCs w:val="32"/>
        </w:rPr>
      </w:pPr>
      <w:r>
        <w:rPr>
          <w:rFonts w:hint="eastAsia" w:eastAsia="仿宋_GB2312" w:cs="仿宋_GB2312"/>
          <w:sz w:val="32"/>
          <w:szCs w:val="32"/>
        </w:rPr>
        <w:drawing>
          <wp:anchor distT="0" distB="0" distL="114300" distR="114300" simplePos="0" relativeHeight="251662336" behindDoc="1" locked="0" layoutInCell="1" allowOverlap="1">
            <wp:simplePos x="0" y="0"/>
            <wp:positionH relativeFrom="column">
              <wp:posOffset>394335</wp:posOffset>
            </wp:positionH>
            <wp:positionV relativeFrom="paragraph">
              <wp:posOffset>302260</wp:posOffset>
            </wp:positionV>
            <wp:extent cx="4824095" cy="2644140"/>
            <wp:effectExtent l="19050" t="0" r="14743" b="3975"/>
            <wp:wrapNone/>
            <wp:docPr id="1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38700F24">
      <w:pPr>
        <w:spacing w:line="600" w:lineRule="exact"/>
        <w:ind w:firstLine="640"/>
        <w:rPr>
          <w:rFonts w:hint="eastAsia" w:eastAsia="仿宋_GB2312" w:cs="仿宋_GB2312"/>
          <w:sz w:val="32"/>
          <w:szCs w:val="32"/>
        </w:rPr>
      </w:pPr>
    </w:p>
    <w:p w14:paraId="7DFE35AF">
      <w:pPr>
        <w:spacing w:line="600" w:lineRule="exact"/>
        <w:ind w:firstLine="640"/>
        <w:rPr>
          <w:rFonts w:hint="eastAsia" w:eastAsia="仿宋_GB2312" w:cs="仿宋_GB2312"/>
          <w:sz w:val="32"/>
          <w:szCs w:val="32"/>
        </w:rPr>
      </w:pPr>
    </w:p>
    <w:p w14:paraId="480FDC8E">
      <w:pPr>
        <w:spacing w:line="600" w:lineRule="exact"/>
        <w:ind w:firstLine="640"/>
        <w:rPr>
          <w:rFonts w:hint="eastAsia" w:eastAsia="仿宋_GB2312" w:cs="仿宋_GB2312"/>
          <w:sz w:val="32"/>
          <w:szCs w:val="32"/>
        </w:rPr>
      </w:pPr>
    </w:p>
    <w:p w14:paraId="0585F2BB">
      <w:pPr>
        <w:spacing w:line="600" w:lineRule="exact"/>
        <w:ind w:firstLine="640"/>
        <w:rPr>
          <w:rFonts w:hint="eastAsia" w:eastAsia="仿宋_GB2312" w:cs="仿宋_GB2312"/>
          <w:sz w:val="32"/>
          <w:szCs w:val="32"/>
        </w:rPr>
      </w:pPr>
    </w:p>
    <w:p w14:paraId="5AB718C7">
      <w:pPr>
        <w:spacing w:line="600" w:lineRule="exact"/>
        <w:ind w:firstLine="640"/>
        <w:rPr>
          <w:rFonts w:hint="eastAsia" w:eastAsia="仿宋_GB2312" w:cs="仿宋_GB2312"/>
          <w:sz w:val="32"/>
          <w:szCs w:val="32"/>
        </w:rPr>
      </w:pPr>
    </w:p>
    <w:p w14:paraId="6CDB31C4">
      <w:pPr>
        <w:spacing w:line="600" w:lineRule="exact"/>
        <w:ind w:firstLine="640"/>
        <w:rPr>
          <w:rFonts w:hint="eastAsia" w:eastAsia="仿宋_GB2312" w:cs="仿宋_GB2312"/>
          <w:sz w:val="32"/>
          <w:szCs w:val="32"/>
        </w:rPr>
      </w:pPr>
    </w:p>
    <w:p w14:paraId="40130F42">
      <w:pPr>
        <w:spacing w:line="600" w:lineRule="exact"/>
        <w:ind w:firstLine="640"/>
        <w:rPr>
          <w:rFonts w:hint="eastAsia" w:eastAsia="仿宋_GB2312" w:cs="仿宋_GB2312"/>
          <w:sz w:val="32"/>
          <w:szCs w:val="32"/>
        </w:rPr>
      </w:pPr>
    </w:p>
    <w:p w14:paraId="2617C3EE">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14:paraId="24F349F0">
      <w:pPr>
        <w:spacing w:line="600" w:lineRule="exact"/>
        <w:ind w:firstLine="640"/>
        <w:rPr>
          <w:rFonts w:eastAsia="仿宋_GB2312" w:cs="仿宋_GB2312"/>
          <w:sz w:val="32"/>
          <w:szCs w:val="32"/>
        </w:rPr>
      </w:pPr>
    </w:p>
    <w:p w14:paraId="7B176784">
      <w:pPr>
        <w:spacing w:line="600" w:lineRule="exact"/>
        <w:ind w:firstLine="643" w:firstLineChars="200"/>
        <w:outlineLvl w:val="2"/>
        <w:rPr>
          <w:rFonts w:eastAsia="楷体_GB2312" w:cs="楷体_GB2312"/>
          <w:b/>
          <w:sz w:val="32"/>
          <w:szCs w:val="32"/>
        </w:rPr>
      </w:pPr>
      <w:bookmarkStart w:id="53" w:name="_Toc15377212"/>
      <w:r>
        <w:rPr>
          <w:rFonts w:hint="eastAsia" w:eastAsia="楷体_GB2312" w:cs="楷体_GB2312"/>
          <w:b/>
          <w:sz w:val="32"/>
          <w:szCs w:val="32"/>
        </w:rPr>
        <w:t>（三）一般公共预算财政拨款支出决算具体情况</w:t>
      </w:r>
      <w:bookmarkEnd w:id="53"/>
    </w:p>
    <w:p w14:paraId="3D3DC1A1">
      <w:pPr>
        <w:spacing w:line="600" w:lineRule="exact"/>
        <w:outlineLvl w:val="2"/>
        <w:rPr>
          <w:rFonts w:eastAsia="仿宋_GB2312" w:cs="仿宋_GB2312"/>
          <w:sz w:val="32"/>
          <w:szCs w:val="32"/>
        </w:rPr>
      </w:pPr>
      <w:r>
        <w:rPr>
          <w:rFonts w:eastAsia="仿宋_GB2312" w:cs="仿宋_GB2312"/>
          <w:sz w:val="32"/>
          <w:szCs w:val="32"/>
        </w:rPr>
        <w:t>202</w:t>
      </w:r>
      <w:r>
        <w:rPr>
          <w:rFonts w:hint="eastAsia" w:eastAsia="仿宋_GB2312" w:cs="仿宋_GB2312"/>
          <w:sz w:val="32"/>
          <w:szCs w:val="32"/>
        </w:rPr>
        <w:t>4年一般公共预算数为3907.29万元，支出决算数为3907.29万元，完成预算100</w:t>
      </w:r>
      <w:r>
        <w:rPr>
          <w:rFonts w:eastAsia="仿宋_GB2312" w:cs="仿宋_GB2312"/>
          <w:sz w:val="32"/>
          <w:szCs w:val="32"/>
        </w:rPr>
        <w:t>%</w:t>
      </w:r>
      <w:r>
        <w:rPr>
          <w:rFonts w:hint="eastAsia" w:eastAsia="仿宋_GB2312" w:cs="仿宋_GB2312"/>
          <w:sz w:val="32"/>
          <w:szCs w:val="32"/>
        </w:rPr>
        <w:t>。其中：</w:t>
      </w:r>
    </w:p>
    <w:p w14:paraId="6D6901D8">
      <w:pPr>
        <w:numPr>
          <w:ilvl w:val="0"/>
          <w:numId w:val="1"/>
        </w:numPr>
        <w:spacing w:line="600" w:lineRule="exact"/>
        <w:ind w:firstLine="640" w:firstLineChars="200"/>
        <w:rPr>
          <w:rFonts w:eastAsia="仿宋_GB2312" w:cs="仿宋_GB2312"/>
          <w:sz w:val="32"/>
          <w:szCs w:val="32"/>
        </w:rPr>
      </w:pPr>
      <w:r>
        <w:rPr>
          <w:rFonts w:hint="eastAsia" w:eastAsia="仿宋_GB2312" w:cs="仿宋_GB2312"/>
          <w:sz w:val="32"/>
          <w:szCs w:val="32"/>
        </w:rPr>
        <w:t>一般公共服务</w:t>
      </w:r>
      <w:r>
        <w:rPr>
          <w:rFonts w:eastAsia="仿宋_GB2312" w:cs="仿宋_GB2312"/>
          <w:sz w:val="32"/>
          <w:szCs w:val="32"/>
        </w:rPr>
        <w:t xml:space="preserve">: </w:t>
      </w:r>
      <w:r>
        <w:rPr>
          <w:rFonts w:hint="eastAsia" w:eastAsia="仿宋_GB2312" w:cs="仿宋_GB2312"/>
          <w:sz w:val="32"/>
          <w:szCs w:val="32"/>
        </w:rPr>
        <w:t>文化旅游体育与传媒支出2855.82万元,完成预算100</w:t>
      </w:r>
      <w:r>
        <w:rPr>
          <w:rFonts w:eastAsia="仿宋_GB2312" w:cs="仿宋_GB2312"/>
          <w:sz w:val="32"/>
          <w:szCs w:val="32"/>
        </w:rPr>
        <w:t>%</w:t>
      </w:r>
      <w:r>
        <w:rPr>
          <w:rFonts w:hint="eastAsia" w:eastAsia="仿宋_GB2312" w:cs="仿宋_GB2312"/>
          <w:sz w:val="32"/>
          <w:szCs w:val="32"/>
        </w:rPr>
        <w:t>.</w:t>
      </w:r>
    </w:p>
    <w:p w14:paraId="06786407">
      <w:pPr>
        <w:numPr>
          <w:ilvl w:val="0"/>
          <w:numId w:val="1"/>
        </w:numPr>
        <w:spacing w:line="600" w:lineRule="exact"/>
        <w:ind w:firstLine="640" w:firstLineChars="200"/>
        <w:rPr>
          <w:rFonts w:eastAsia="仿宋_GB2312" w:cs="仿宋_GB2312"/>
          <w:sz w:val="32"/>
          <w:szCs w:val="32"/>
        </w:rPr>
      </w:pPr>
      <w:r>
        <w:rPr>
          <w:rFonts w:hint="eastAsia" w:eastAsia="仿宋_GB2312" w:cs="仿宋_GB2312"/>
          <w:sz w:val="32"/>
          <w:szCs w:val="32"/>
        </w:rPr>
        <w:t>社会保障和就业支出101万元，完成预算100</w:t>
      </w:r>
      <w:r>
        <w:rPr>
          <w:rFonts w:eastAsia="仿宋_GB2312" w:cs="仿宋_GB2312"/>
          <w:sz w:val="32"/>
          <w:szCs w:val="32"/>
        </w:rPr>
        <w:t>%</w:t>
      </w:r>
      <w:r>
        <w:rPr>
          <w:rFonts w:hint="eastAsia" w:eastAsia="仿宋_GB2312" w:cs="仿宋_GB2312"/>
          <w:sz w:val="32"/>
          <w:szCs w:val="32"/>
        </w:rPr>
        <w:t xml:space="preserve">。            </w:t>
      </w:r>
    </w:p>
    <w:p w14:paraId="15C342AE">
      <w:pPr>
        <w:numPr>
          <w:ilvl w:val="0"/>
          <w:numId w:val="1"/>
        </w:numPr>
        <w:spacing w:line="600" w:lineRule="exact"/>
        <w:ind w:firstLine="640" w:firstLineChars="200"/>
        <w:rPr>
          <w:rFonts w:eastAsia="仿宋_GB2312" w:cs="仿宋_GB2312"/>
          <w:sz w:val="32"/>
          <w:szCs w:val="32"/>
        </w:rPr>
      </w:pPr>
      <w:r>
        <w:rPr>
          <w:rFonts w:hint="eastAsia" w:eastAsia="仿宋_GB2312" w:cs="仿宋_GB2312"/>
          <w:sz w:val="32"/>
          <w:szCs w:val="32"/>
        </w:rPr>
        <w:t>卫生健康支出46.72万元，完成预算100</w:t>
      </w:r>
      <w:r>
        <w:rPr>
          <w:rFonts w:eastAsia="仿宋_GB2312" w:cs="仿宋_GB2312"/>
          <w:sz w:val="32"/>
          <w:szCs w:val="32"/>
        </w:rPr>
        <w:t>%</w:t>
      </w:r>
      <w:r>
        <w:rPr>
          <w:rFonts w:hint="eastAsia" w:eastAsia="仿宋_GB2312" w:cs="仿宋_GB2312"/>
          <w:sz w:val="32"/>
          <w:szCs w:val="32"/>
        </w:rPr>
        <w:t>.</w:t>
      </w:r>
    </w:p>
    <w:p w14:paraId="415A1B71">
      <w:pPr>
        <w:numPr>
          <w:ilvl w:val="0"/>
          <w:numId w:val="1"/>
        </w:numPr>
        <w:spacing w:line="600" w:lineRule="exact"/>
        <w:ind w:firstLine="640" w:firstLineChars="200"/>
        <w:rPr>
          <w:rFonts w:eastAsia="仿宋_GB2312" w:cs="仿宋_GB2312"/>
          <w:sz w:val="32"/>
          <w:szCs w:val="32"/>
        </w:rPr>
      </w:pPr>
      <w:r>
        <w:rPr>
          <w:rFonts w:hint="eastAsia" w:eastAsia="仿宋_GB2312" w:cs="仿宋_GB2312"/>
          <w:sz w:val="32"/>
          <w:szCs w:val="32"/>
        </w:rPr>
        <w:t>农林水支出：368.16万元。完成预算100</w:t>
      </w:r>
      <w:r>
        <w:rPr>
          <w:rFonts w:eastAsia="仿宋_GB2312" w:cs="仿宋_GB2312"/>
          <w:sz w:val="32"/>
          <w:szCs w:val="32"/>
        </w:rPr>
        <w:t>%</w:t>
      </w:r>
      <w:r>
        <w:rPr>
          <w:rFonts w:hint="eastAsia" w:eastAsia="仿宋_GB2312" w:cs="仿宋_GB2312"/>
          <w:sz w:val="32"/>
          <w:szCs w:val="32"/>
        </w:rPr>
        <w:t>.</w:t>
      </w:r>
    </w:p>
    <w:p w14:paraId="27E15252">
      <w:pPr>
        <w:numPr>
          <w:ilvl w:val="0"/>
          <w:numId w:val="1"/>
        </w:numPr>
        <w:spacing w:line="600" w:lineRule="exact"/>
        <w:ind w:firstLine="640" w:firstLineChars="200"/>
        <w:rPr>
          <w:rFonts w:eastAsia="仿宋_GB2312" w:cs="仿宋_GB2312"/>
          <w:sz w:val="32"/>
          <w:szCs w:val="32"/>
        </w:rPr>
      </w:pPr>
      <w:r>
        <w:rPr>
          <w:rFonts w:hint="eastAsia" w:eastAsia="仿宋_GB2312" w:cs="仿宋_GB2312"/>
          <w:sz w:val="32"/>
          <w:szCs w:val="32"/>
        </w:rPr>
        <w:t>住房保障支出57.73万元，完成预算100</w:t>
      </w:r>
      <w:r>
        <w:rPr>
          <w:rFonts w:eastAsia="仿宋_GB2312" w:cs="仿宋_GB2312"/>
          <w:sz w:val="32"/>
          <w:szCs w:val="32"/>
        </w:rPr>
        <w:t>%</w:t>
      </w:r>
      <w:r>
        <w:rPr>
          <w:rFonts w:hint="eastAsia" w:eastAsia="仿宋_GB2312" w:cs="仿宋_GB2312"/>
          <w:sz w:val="32"/>
          <w:szCs w:val="32"/>
        </w:rPr>
        <w:t>.</w:t>
      </w:r>
    </w:p>
    <w:p w14:paraId="35DFE313">
      <w:pPr>
        <w:spacing w:line="600" w:lineRule="exact"/>
        <w:ind w:firstLine="640" w:firstLineChars="200"/>
        <w:rPr>
          <w:rFonts w:eastAsia="仿宋_GB2312" w:cs="仿宋_GB2312"/>
          <w:sz w:val="32"/>
          <w:szCs w:val="32"/>
        </w:rPr>
      </w:pPr>
      <w:r>
        <w:rPr>
          <w:rFonts w:hint="eastAsia" w:eastAsia="仿宋_GB2312" w:cs="仿宋_GB2312"/>
          <w:sz w:val="32"/>
          <w:szCs w:val="32"/>
        </w:rPr>
        <w:t>6. 其他支出477.84万元，完成预算100</w:t>
      </w:r>
      <w:r>
        <w:rPr>
          <w:rFonts w:eastAsia="仿宋_GB2312" w:cs="仿宋_GB2312"/>
          <w:sz w:val="32"/>
          <w:szCs w:val="32"/>
        </w:rPr>
        <w:t>%</w:t>
      </w:r>
      <w:r>
        <w:rPr>
          <w:rFonts w:hint="eastAsia" w:eastAsia="仿宋_GB2312" w:cs="仿宋_GB2312"/>
          <w:sz w:val="32"/>
          <w:szCs w:val="32"/>
        </w:rPr>
        <w:t>。</w:t>
      </w:r>
    </w:p>
    <w:p w14:paraId="34EF240A">
      <w:pPr>
        <w:tabs>
          <w:tab w:val="right" w:pos="8306"/>
        </w:tabs>
        <w:spacing w:line="600" w:lineRule="exact"/>
        <w:ind w:firstLine="640"/>
        <w:outlineLvl w:val="1"/>
        <w:rPr>
          <w:rStyle w:val="32"/>
          <w:rFonts w:ascii="Times New Roman" w:hAnsi="Times New Roman"/>
        </w:rPr>
      </w:pPr>
      <w:bookmarkStart w:id="54" w:name="_Toc15396608"/>
      <w:bookmarkStart w:id="55" w:name="_Toc15377214"/>
      <w:r>
        <w:rPr>
          <w:rFonts w:hint="eastAsia" w:eastAsia="黑体"/>
          <w:sz w:val="32"/>
          <w:szCs w:val="32"/>
        </w:rPr>
        <w:t>六</w:t>
      </w:r>
      <w:r>
        <w:rPr>
          <w:rFonts w:hint="eastAsia" w:eastAsia="黑体"/>
          <w:b/>
          <w:sz w:val="32"/>
          <w:szCs w:val="32"/>
        </w:rPr>
        <w:t>、一</w:t>
      </w:r>
      <w:r>
        <w:rPr>
          <w:rStyle w:val="32"/>
          <w:rFonts w:hint="eastAsia" w:ascii="Times New Roman" w:hAnsi="Times New Roman" w:eastAsia="黑体"/>
          <w:b w:val="0"/>
        </w:rPr>
        <w:t>般公共预算财政拨款基本支出决算情况说明</w:t>
      </w:r>
      <w:bookmarkEnd w:id="54"/>
      <w:bookmarkEnd w:id="55"/>
      <w:r>
        <w:rPr>
          <w:rStyle w:val="32"/>
          <w:rFonts w:ascii="Times New Roman" w:hAnsi="Times New Roman" w:eastAsia="黑体"/>
          <w:b w:val="0"/>
        </w:rPr>
        <w:tab/>
      </w:r>
    </w:p>
    <w:p w14:paraId="1F91488A">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759.62万</w:t>
      </w:r>
      <w:r>
        <w:rPr>
          <w:rFonts w:hint="eastAsia" w:eastAsia="仿宋_GB2312" w:cs="仿宋_GB2312"/>
          <w:sz w:val="32"/>
          <w:szCs w:val="32"/>
        </w:rPr>
        <w:t>元，其中：</w:t>
      </w:r>
    </w:p>
    <w:p w14:paraId="05012D4F">
      <w:pPr>
        <w:spacing w:line="600" w:lineRule="exact"/>
        <w:ind w:firstLine="645"/>
        <w:rPr>
          <w:rFonts w:eastAsia="仿宋_GB2312" w:cs="仿宋_GB2312"/>
          <w:sz w:val="32"/>
          <w:szCs w:val="32"/>
        </w:rPr>
      </w:pPr>
      <w:r>
        <w:rPr>
          <w:rFonts w:eastAsia="仿宋_GB2312" w:cs="仿宋_GB2312"/>
          <w:sz w:val="32"/>
          <w:szCs w:val="32"/>
        </w:rPr>
        <w:t>202</w:t>
      </w:r>
      <w:r>
        <w:rPr>
          <w:rFonts w:hint="eastAsia" w:eastAsia="仿宋_GB2312" w:cs="仿宋_GB2312"/>
          <w:sz w:val="32"/>
          <w:szCs w:val="32"/>
        </w:rPr>
        <w:t>4年一般公共预算财政拨款基本支出3907.29万元，其中：</w:t>
      </w:r>
    </w:p>
    <w:p w14:paraId="6A29C81F">
      <w:pPr>
        <w:spacing w:line="600" w:lineRule="exact"/>
        <w:ind w:firstLine="645"/>
        <w:rPr>
          <w:rFonts w:eastAsia="仿宋_GB2312" w:cs="仿宋_GB2312"/>
          <w:sz w:val="32"/>
          <w:szCs w:val="32"/>
        </w:rPr>
      </w:pPr>
      <w:r>
        <w:rPr>
          <w:rFonts w:hint="eastAsia" w:eastAsia="仿宋_GB2312" w:cs="仿宋_GB2312"/>
          <w:sz w:val="32"/>
          <w:szCs w:val="32"/>
        </w:rPr>
        <w:t>人员经费730.67万元，主要包括：基本工资 137.52 万元、津贴补贴 122.94万元、奖金170.26万元、绩效工资50.08万元、机关事业单位基本养老保险缴费67.16 万元、职业年金缴费33.84万元、职工基本医疗保险缴费 32.96万元、公务员医疗补助缴费10.25万元、其他社会保障缴费12.39万元、住房公积金55.33万元、生活补助 37.93万元。　</w:t>
      </w:r>
    </w:p>
    <w:p w14:paraId="342E338E">
      <w:pPr>
        <w:pStyle w:val="38"/>
        <w:ind w:leftChars="1" w:hanging="198" w:hangingChars="62"/>
        <w:rPr>
          <w:rFonts w:eastAsia="仿宋_GB2312" w:cs="仿宋_GB2312"/>
          <w:sz w:val="32"/>
          <w:szCs w:val="32"/>
        </w:rPr>
      </w:pPr>
      <w:r>
        <w:rPr>
          <w:rFonts w:hint="eastAsia" w:eastAsia="仿宋_GB2312" w:cs="仿宋_GB2312"/>
          <w:sz w:val="32"/>
          <w:szCs w:val="32"/>
        </w:rPr>
        <w:t>项目支出3147.67万元，公用经费28.94万元</w:t>
      </w:r>
    </w:p>
    <w:p w14:paraId="1A8CA1C2">
      <w:pPr>
        <w:spacing w:line="600" w:lineRule="exact"/>
        <w:ind w:firstLine="640"/>
        <w:rPr>
          <w:rFonts w:eastAsia="仿宋_GB2312" w:cs="仿宋_GB2312"/>
          <w:sz w:val="32"/>
          <w:szCs w:val="32"/>
        </w:rPr>
      </w:pPr>
    </w:p>
    <w:p w14:paraId="7D550E4E">
      <w:pPr>
        <w:spacing w:line="600" w:lineRule="exact"/>
        <w:ind w:firstLine="640"/>
        <w:outlineLvl w:val="1"/>
        <w:rPr>
          <w:rStyle w:val="32"/>
          <w:rFonts w:ascii="Times New Roman" w:hAnsi="Times New Roman" w:eastAsia="黑体"/>
          <w:b w:val="0"/>
        </w:rPr>
      </w:pPr>
      <w:bookmarkStart w:id="56" w:name="_Toc15396609"/>
      <w:bookmarkStart w:id="57" w:name="_Toc15377215"/>
      <w:r>
        <w:rPr>
          <w:rFonts w:hint="eastAsia" w:eastAsia="黑体"/>
          <w:sz w:val="32"/>
          <w:szCs w:val="32"/>
        </w:rPr>
        <w:t>七、</w:t>
      </w:r>
      <w:r>
        <w:rPr>
          <w:rStyle w:val="32"/>
          <w:rFonts w:hint="eastAsia" w:ascii="Times New Roman" w:hAnsi="Times New Roman" w:eastAsia="黑体"/>
          <w:b w:val="0"/>
        </w:rPr>
        <w:t>财政拨款</w:t>
      </w:r>
      <w:r>
        <w:rPr>
          <w:rStyle w:val="32"/>
          <w:rFonts w:hint="eastAsia" w:ascii="Times New Roman" w:hAnsi="Times New Roman" w:eastAsia="黑体"/>
        </w:rPr>
        <w:t>“</w:t>
      </w:r>
      <w:r>
        <w:rPr>
          <w:rStyle w:val="32"/>
          <w:rFonts w:hint="eastAsia" w:ascii="Times New Roman" w:hAnsi="Times New Roman" w:eastAsia="黑体"/>
          <w:b w:val="0"/>
        </w:rPr>
        <w:t>三公”经费支出决算情况说明</w:t>
      </w:r>
      <w:bookmarkEnd w:id="56"/>
      <w:bookmarkEnd w:id="57"/>
    </w:p>
    <w:p w14:paraId="2411F4A2">
      <w:pPr>
        <w:spacing w:line="600" w:lineRule="exact"/>
        <w:ind w:firstLine="640"/>
        <w:outlineLvl w:val="2"/>
        <w:rPr>
          <w:rFonts w:eastAsia="仿宋_GB2312" w:cs="仿宋_GB2312"/>
          <w:sz w:val="32"/>
          <w:szCs w:val="32"/>
        </w:rPr>
      </w:pPr>
      <w:bookmarkStart w:id="58" w:name="_Toc15377216"/>
      <w:bookmarkStart w:id="59" w:name="_Toc15396610"/>
      <w:bookmarkStart w:id="60" w:name="_Toc15377218"/>
      <w:r>
        <w:rPr>
          <w:rFonts w:hint="eastAsia" w:eastAsia="仿宋_GB2312" w:cs="仿宋_GB2312"/>
          <w:sz w:val="32"/>
          <w:szCs w:val="32"/>
        </w:rPr>
        <w:t>（一）“三公”经费财政拨款支出决算总体情况说明</w:t>
      </w:r>
      <w:bookmarkEnd w:id="58"/>
    </w:p>
    <w:p w14:paraId="4428A47F">
      <w:pPr>
        <w:spacing w:line="600" w:lineRule="exact"/>
        <w:ind w:firstLine="640"/>
        <w:rPr>
          <w:rFonts w:eastAsia="仿宋_GB2312" w:cs="仿宋_GB2312"/>
          <w:sz w:val="32"/>
          <w:szCs w:val="32"/>
        </w:rPr>
      </w:pPr>
      <w:r>
        <w:rPr>
          <w:rFonts w:eastAsia="仿宋_GB2312" w:cs="仿宋_GB2312"/>
          <w:sz w:val="32"/>
          <w:szCs w:val="32"/>
        </w:rPr>
        <w:t>202</w:t>
      </w:r>
      <w:r>
        <w:rPr>
          <w:rFonts w:hint="eastAsia" w:eastAsia="仿宋_GB2312" w:cs="仿宋_GB2312"/>
          <w:sz w:val="32"/>
          <w:szCs w:val="32"/>
        </w:rPr>
        <w:t>4年“三公”经费财政拨款支出决算为3万元，完成预算100</w:t>
      </w:r>
      <w:r>
        <w:rPr>
          <w:rFonts w:eastAsia="仿宋_GB2312" w:cs="仿宋_GB2312"/>
          <w:sz w:val="32"/>
          <w:szCs w:val="32"/>
        </w:rPr>
        <w:t>%</w:t>
      </w:r>
      <w:r>
        <w:rPr>
          <w:rFonts w:hint="eastAsia" w:eastAsia="仿宋_GB2312" w:cs="仿宋_GB2312"/>
          <w:sz w:val="32"/>
          <w:szCs w:val="32"/>
        </w:rPr>
        <w:t>，决算数与预算数持平。</w:t>
      </w:r>
    </w:p>
    <w:p w14:paraId="3D953007">
      <w:pPr>
        <w:spacing w:line="600" w:lineRule="exact"/>
        <w:ind w:firstLine="640"/>
        <w:outlineLvl w:val="2"/>
        <w:rPr>
          <w:rFonts w:eastAsia="仿宋_GB2312" w:cs="仿宋_GB2312"/>
          <w:sz w:val="32"/>
          <w:szCs w:val="32"/>
        </w:rPr>
      </w:pPr>
      <w:bookmarkStart w:id="61" w:name="_Toc15377217"/>
      <w:r>
        <w:rPr>
          <w:rFonts w:hint="eastAsia" w:eastAsia="仿宋_GB2312" w:cs="仿宋_GB2312"/>
          <w:sz w:val="32"/>
          <w:szCs w:val="32"/>
        </w:rPr>
        <w:t>（二）“三公”经费财政拨款支出决算具体情况说明</w:t>
      </w:r>
      <w:bookmarkEnd w:id="61"/>
    </w:p>
    <w:p w14:paraId="52F2067A">
      <w:pPr>
        <w:spacing w:line="600" w:lineRule="exact"/>
        <w:ind w:firstLine="640"/>
        <w:rPr>
          <w:rFonts w:eastAsia="仿宋_GB2312" w:cs="仿宋_GB2312"/>
          <w:sz w:val="32"/>
          <w:szCs w:val="32"/>
        </w:rPr>
      </w:pPr>
      <w:r>
        <w:rPr>
          <w:rFonts w:eastAsia="仿宋_GB2312" w:cs="仿宋_GB2312"/>
          <w:sz w:val="32"/>
          <w:szCs w:val="32"/>
        </w:rPr>
        <w:t>202</w:t>
      </w:r>
      <w:r>
        <w:rPr>
          <w:rFonts w:hint="eastAsia" w:eastAsia="仿宋_GB2312" w:cs="仿宋_GB2312"/>
          <w:sz w:val="32"/>
          <w:szCs w:val="32"/>
        </w:rPr>
        <w:t>4年“三公”经费财政拨款支出决算3万元，其中：公务用车购置及运行维护费支出决算3万元，占100</w:t>
      </w:r>
      <w:r>
        <w:rPr>
          <w:rFonts w:eastAsia="仿宋_GB2312" w:cs="仿宋_GB2312"/>
          <w:sz w:val="32"/>
          <w:szCs w:val="32"/>
        </w:rPr>
        <w:t>%</w:t>
      </w:r>
      <w:r>
        <w:rPr>
          <w:rFonts w:hint="eastAsia" w:eastAsia="仿宋_GB2312" w:cs="仿宋_GB2312"/>
          <w:sz w:val="32"/>
          <w:szCs w:val="32"/>
        </w:rPr>
        <w:t>；</w:t>
      </w:r>
    </w:p>
    <w:p w14:paraId="7DA909DB">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3万元,完成预算</w:t>
      </w:r>
      <w:r>
        <w:rPr>
          <w:rFonts w:hint="eastAsia" w:ascii="仿宋_GB2312" w:eastAsia="仿宋_GB2312"/>
          <w:b/>
        </w:rPr>
        <w:t>100</w:t>
      </w:r>
      <w:r>
        <w:rPr>
          <w:rFonts w:ascii="仿宋_GB2312" w:eastAsia="仿宋_GB2312"/>
          <w:b/>
        </w:rPr>
        <w:t>%</w:t>
      </w:r>
      <w:r>
        <w:rPr>
          <w:rFonts w:hint="eastAsia" w:ascii="仿宋_GB2312" w:eastAsia="仿宋_GB2312"/>
          <w:b/>
        </w:rPr>
        <w:t>。</w:t>
      </w:r>
      <w:r>
        <w:rPr>
          <w:rFonts w:hint="eastAsia" w:ascii="仿宋_GB2312" w:eastAsia="仿宋_GB2312"/>
          <w:b/>
          <w:color w:val="000000"/>
          <w:sz w:val="32"/>
          <w:szCs w:val="32"/>
        </w:rPr>
        <w:t>公务用车运行维护费支出</w:t>
      </w:r>
      <w:r>
        <w:rPr>
          <w:rFonts w:hint="eastAsia" w:ascii="仿宋_GB2312" w:eastAsia="仿宋_GB2312"/>
          <w:sz w:val="32"/>
          <w:szCs w:val="32"/>
        </w:rPr>
        <w:t>3万元。</w:t>
      </w:r>
      <w:r>
        <w:rPr>
          <w:rFonts w:hint="eastAsia" w:ascii="仿宋_GB2312" w:eastAsia="仿宋_GB2312"/>
          <w:color w:val="000000"/>
          <w:sz w:val="32"/>
          <w:szCs w:val="32"/>
        </w:rPr>
        <w:t>主要用我单位所需的公务用车燃料费、维修费、过路过桥费、保险费等支出。</w:t>
      </w:r>
    </w:p>
    <w:p w14:paraId="5002393A">
      <w:pPr>
        <w:spacing w:line="600" w:lineRule="exact"/>
        <w:ind w:firstLine="640"/>
        <w:rPr>
          <w:rFonts w:eastAsia="仿宋_GB2312" w:cs="仿宋_GB2312"/>
          <w:sz w:val="32"/>
          <w:szCs w:val="32"/>
        </w:rPr>
      </w:pPr>
    </w:p>
    <w:p w14:paraId="0EB7510A">
      <w:pPr>
        <w:spacing w:line="600" w:lineRule="exact"/>
        <w:ind w:firstLine="640"/>
        <w:outlineLvl w:val="1"/>
        <w:rPr>
          <w:rStyle w:val="32"/>
          <w:rFonts w:ascii="Times New Roman" w:hAnsi="Times New Roman" w:eastAsia="黑体"/>
        </w:rPr>
      </w:pPr>
      <w:r>
        <w:rPr>
          <w:rFonts w:hint="eastAsia" w:eastAsia="黑体"/>
          <w:sz w:val="32"/>
          <w:szCs w:val="32"/>
        </w:rPr>
        <w:t>八、</w:t>
      </w:r>
      <w:r>
        <w:rPr>
          <w:rStyle w:val="32"/>
          <w:rFonts w:hint="eastAsia" w:ascii="Times New Roman" w:hAnsi="Times New Roman" w:eastAsia="黑体"/>
          <w:b w:val="0"/>
        </w:rPr>
        <w:t>政府性基金预算支出决算情况说明</w:t>
      </w:r>
      <w:bookmarkEnd w:id="59"/>
      <w:bookmarkEnd w:id="60"/>
    </w:p>
    <w:p w14:paraId="7BAF418C">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2024年度政府性基金预算财政拨款支出477.84万元，占本年支出合计的12.22%</w:t>
      </w:r>
      <w:r>
        <w:rPr>
          <w:rFonts w:hint="eastAsia" w:eastAsia="仿宋_GB2312" w:cs="仿宋_GB2312"/>
          <w:sz w:val="32"/>
          <w:szCs w:val="32"/>
        </w:rPr>
        <w:t>。</w:t>
      </w:r>
    </w:p>
    <w:p w14:paraId="1B980077">
      <w:pPr>
        <w:spacing w:line="600" w:lineRule="exact"/>
        <w:ind w:left="630"/>
        <w:outlineLvl w:val="1"/>
        <w:rPr>
          <w:rStyle w:val="32"/>
          <w:rFonts w:ascii="Times New Roman" w:hAnsi="Times New Roman" w:eastAsia="黑体"/>
          <w:b w:val="0"/>
        </w:rPr>
      </w:pPr>
      <w:bookmarkStart w:id="62" w:name="_Toc15396611"/>
      <w:bookmarkStart w:id="63" w:name="_Toc15377219"/>
      <w:r>
        <w:rPr>
          <w:rStyle w:val="32"/>
          <w:rFonts w:hint="eastAsia" w:ascii="Times New Roman" w:hAnsi="Times New Roman" w:eastAsia="黑体"/>
          <w:b w:val="0"/>
        </w:rPr>
        <w:t>九、国有资本经营预算支出决算情况说明</w:t>
      </w:r>
      <w:bookmarkEnd w:id="62"/>
      <w:bookmarkEnd w:id="63"/>
    </w:p>
    <w:p w14:paraId="1B7FAB9E">
      <w:pPr>
        <w:spacing w:line="600" w:lineRule="exact"/>
        <w:ind w:firstLine="640"/>
        <w:rPr>
          <w:rFonts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w:t>
      </w:r>
    </w:p>
    <w:p w14:paraId="7EC0A13F">
      <w:pPr>
        <w:spacing w:line="600" w:lineRule="exact"/>
        <w:ind w:left="630"/>
        <w:outlineLvl w:val="1"/>
        <w:rPr>
          <w:rStyle w:val="32"/>
          <w:rFonts w:ascii="Times New Roman" w:hAnsi="Times New Roman" w:eastAsia="黑体"/>
          <w:b w:val="0"/>
        </w:rPr>
      </w:pPr>
      <w:bookmarkStart w:id="64" w:name="_Toc15396612"/>
      <w:bookmarkStart w:id="65" w:name="_Toc15377221"/>
      <w:r>
        <w:rPr>
          <w:rStyle w:val="32"/>
          <w:rFonts w:hint="eastAsia" w:ascii="Times New Roman" w:hAnsi="Times New Roman" w:eastAsia="黑体"/>
          <w:b w:val="0"/>
        </w:rPr>
        <w:t>十、其他重要事项的情况说明</w:t>
      </w:r>
      <w:bookmarkEnd w:id="64"/>
      <w:bookmarkEnd w:id="65"/>
    </w:p>
    <w:p w14:paraId="44E7127B">
      <w:pPr>
        <w:spacing w:line="600" w:lineRule="exact"/>
        <w:ind w:firstLine="643" w:firstLineChars="200"/>
        <w:outlineLvl w:val="2"/>
        <w:rPr>
          <w:rFonts w:eastAsia="楷体_GB2312" w:cs="楷体_GB2312"/>
          <w:b/>
          <w:sz w:val="32"/>
          <w:szCs w:val="32"/>
        </w:rPr>
      </w:pPr>
      <w:bookmarkStart w:id="66" w:name="_Toc15377222"/>
      <w:r>
        <w:rPr>
          <w:rFonts w:hint="eastAsia" w:eastAsia="楷体_GB2312" w:cs="楷体_GB2312"/>
          <w:b/>
          <w:sz w:val="32"/>
          <w:szCs w:val="32"/>
        </w:rPr>
        <w:t>（一）机关运行经费支出情况</w:t>
      </w:r>
      <w:bookmarkEnd w:id="66"/>
    </w:p>
    <w:p w14:paraId="527E8BDE">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，金川县文化体育和旅游局机关运行经费支出15.68万</w:t>
      </w:r>
      <w:r>
        <w:rPr>
          <w:rFonts w:hint="eastAsia" w:eastAsia="仿宋_GB2312" w:cs="仿宋_GB2312"/>
          <w:sz w:val="32"/>
          <w:szCs w:val="32"/>
        </w:rPr>
        <w:t>元.</w:t>
      </w:r>
    </w:p>
    <w:p w14:paraId="59F677E8">
      <w:pPr>
        <w:spacing w:line="600" w:lineRule="exact"/>
        <w:ind w:firstLine="643" w:firstLineChars="200"/>
        <w:outlineLvl w:val="2"/>
        <w:rPr>
          <w:rFonts w:eastAsia="楷体_GB2312" w:cs="楷体_GB2312"/>
          <w:b/>
          <w:sz w:val="32"/>
          <w:szCs w:val="32"/>
        </w:rPr>
      </w:pPr>
      <w:bookmarkStart w:id="67" w:name="_Toc15377223"/>
      <w:r>
        <w:rPr>
          <w:rFonts w:hint="eastAsia" w:eastAsia="楷体_GB2312" w:cs="楷体_GB2312"/>
          <w:b/>
          <w:sz w:val="32"/>
          <w:szCs w:val="32"/>
        </w:rPr>
        <w:t>（二）政府采购支出情况</w:t>
      </w:r>
      <w:bookmarkEnd w:id="67"/>
    </w:p>
    <w:p w14:paraId="0D6F0539">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2024年度，金川县文化体育和旅游局政府采购支出总额0万元，其中：政府采购货物支出0万元、政府采购工程支出0万元、政府采购服务支出0万元。</w:t>
      </w:r>
    </w:p>
    <w:p w14:paraId="0BC3838D">
      <w:pPr>
        <w:spacing w:line="600" w:lineRule="exact"/>
        <w:ind w:firstLine="643" w:firstLineChars="200"/>
        <w:outlineLvl w:val="2"/>
        <w:rPr>
          <w:rFonts w:eastAsia="楷体_GB2312" w:cs="楷体_GB2312"/>
          <w:b/>
          <w:sz w:val="32"/>
          <w:szCs w:val="32"/>
        </w:rPr>
      </w:pPr>
      <w:bookmarkStart w:id="68" w:name="_Toc15377224"/>
      <w:r>
        <w:rPr>
          <w:rFonts w:hint="eastAsia" w:eastAsia="楷体_GB2312" w:cs="楷体_GB2312"/>
          <w:b/>
          <w:sz w:val="32"/>
          <w:szCs w:val="32"/>
        </w:rPr>
        <w:t>（三）国有资产占有使用情况</w:t>
      </w:r>
      <w:bookmarkEnd w:id="68"/>
    </w:p>
    <w:p w14:paraId="15C69743">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金川县文化体育和旅游局共有车辆1辆，其中：主要负责人用车0辆、机要通信用车0辆、应急保障用车0辆、其他用车1辆，其他用车主要是用于日常开展工作。单价100万元（含）以上设备（不含车辆）0台（套）</w:t>
      </w:r>
      <w:r>
        <w:rPr>
          <w:rFonts w:hint="eastAsia" w:eastAsia="仿宋_GB2312" w:cs="仿宋_GB2312"/>
          <w:sz w:val="32"/>
          <w:szCs w:val="32"/>
        </w:rPr>
        <w:t>。</w:t>
      </w:r>
    </w:p>
    <w:p w14:paraId="1A3EC059">
      <w:pPr>
        <w:spacing w:line="600" w:lineRule="exact"/>
        <w:ind w:firstLine="640"/>
        <w:rPr>
          <w:rFonts w:eastAsia="仿宋_GB2312" w:cs="仿宋_GB2312"/>
          <w:sz w:val="32"/>
          <w:szCs w:val="32"/>
        </w:rPr>
      </w:pPr>
    </w:p>
    <w:p w14:paraId="42F91E82">
      <w:pPr>
        <w:spacing w:line="600" w:lineRule="exact"/>
        <w:jc w:val="center"/>
        <w:outlineLvl w:val="0"/>
        <w:rPr>
          <w:rFonts w:eastAsia="黑体"/>
          <w:sz w:val="44"/>
          <w:szCs w:val="44"/>
        </w:rPr>
      </w:pPr>
      <w:bookmarkStart w:id="69" w:name="_Toc15396613"/>
      <w:bookmarkStart w:id="70" w:name="_Toc15377225"/>
      <w:r>
        <w:rPr>
          <w:rFonts w:hint="eastAsia" w:eastAsia="黑体"/>
          <w:sz w:val="44"/>
          <w:szCs w:val="44"/>
        </w:rPr>
        <w:t>第三部分  名词解释</w:t>
      </w:r>
      <w:bookmarkEnd w:id="69"/>
      <w:bookmarkEnd w:id="70"/>
    </w:p>
    <w:p w14:paraId="611872CC">
      <w:pPr>
        <w:spacing w:line="600" w:lineRule="exact"/>
        <w:jc w:val="left"/>
        <w:rPr>
          <w:b/>
          <w:sz w:val="44"/>
          <w:szCs w:val="44"/>
        </w:rPr>
      </w:pPr>
    </w:p>
    <w:p w14:paraId="62A3C6E0">
      <w:pPr>
        <w:pStyle w:val="29"/>
        <w:spacing w:line="560" w:lineRule="exact"/>
        <w:ind w:firstLine="640" w:firstLineChars="200"/>
        <w:rPr>
          <w:rFonts w:ascii="仿宋_GB2312" w:eastAsia="仿宋_GB2312"/>
          <w:sz w:val="32"/>
          <w:szCs w:val="32"/>
        </w:rPr>
      </w:pPr>
      <w:bookmarkStart w:id="71" w:name="_Toc15396614"/>
      <w:bookmarkStart w:id="72"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C0B96F7">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4E918AD3">
      <w:pPr>
        <w:pStyle w:val="2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42D78298">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14:paraId="318EAE35">
      <w:pPr>
        <w:pStyle w:val="29"/>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3AEF636">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577D9AC6">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4DE3747E">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27EE610E">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46EF7596">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39EF93C2">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5367E168">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3FA99462">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26C390EF">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406C823A">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2B50AA46">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44DE43B7">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53D5DF36">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C5842E4">
      <w:pPr>
        <w:widowControl/>
        <w:adjustRightInd w:val="0"/>
        <w:snapToGrid w:val="0"/>
        <w:spacing w:line="540" w:lineRule="exact"/>
        <w:jc w:val="left"/>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510ECD">
      <w:pPr>
        <w:pStyle w:val="38"/>
        <w:ind w:left="840" w:hanging="420"/>
      </w:pPr>
    </w:p>
    <w:p w14:paraId="0C3F7DDD">
      <w:pPr>
        <w:spacing w:line="600" w:lineRule="exact"/>
        <w:jc w:val="center"/>
        <w:rPr>
          <w:rStyle w:val="31"/>
          <w:rFonts w:eastAsia="黑体"/>
          <w:b w:val="0"/>
        </w:rPr>
      </w:pPr>
      <w:r>
        <w:rPr>
          <w:rFonts w:hint="eastAsia" w:eastAsia="黑体"/>
          <w:sz w:val="44"/>
          <w:szCs w:val="44"/>
        </w:rPr>
        <w:t>第四部分  附件</w:t>
      </w:r>
      <w:bookmarkEnd w:id="71"/>
    </w:p>
    <w:p w14:paraId="7E0A27CE">
      <w:pPr>
        <w:spacing w:line="572" w:lineRule="exact"/>
        <w:jc w:val="left"/>
        <w:outlineLvl w:val="0"/>
        <w:rPr>
          <w:rFonts w:eastAsia="黑体" w:cs="黑体"/>
          <w:color w:val="FF0000"/>
          <w:sz w:val="32"/>
          <w:szCs w:val="32"/>
        </w:rPr>
      </w:pPr>
    </w:p>
    <w:p w14:paraId="494C6DDF">
      <w:pPr>
        <w:spacing w:line="572" w:lineRule="exact"/>
        <w:jc w:val="left"/>
        <w:outlineLvl w:val="0"/>
        <w:rPr>
          <w:rFonts w:eastAsia="黑体" w:cs="方正小标宋简体"/>
          <w:sz w:val="44"/>
          <w:szCs w:val="44"/>
        </w:rPr>
      </w:pPr>
      <w:r>
        <w:rPr>
          <w:rFonts w:hint="eastAsia" w:eastAsia="黑体" w:cs="黑体"/>
          <w:sz w:val="32"/>
          <w:szCs w:val="32"/>
        </w:rPr>
        <w:t>附件1</w:t>
      </w:r>
    </w:p>
    <w:p w14:paraId="28D61610">
      <w:pPr>
        <w:widowControl/>
        <w:spacing w:line="578" w:lineRule="exact"/>
        <w:contextualSpacing/>
        <w:jc w:val="center"/>
        <w:rPr>
          <w:rFonts w:eastAsia="方正小标宋简体"/>
          <w:bCs/>
          <w:sz w:val="44"/>
          <w:szCs w:val="44"/>
          <w:shd w:val="clear" w:color="auto" w:fill="FFFFFF"/>
        </w:rPr>
      </w:pPr>
    </w:p>
    <w:p w14:paraId="45817AC4">
      <w:pPr>
        <w:pStyle w:val="16"/>
        <w:shd w:val="clear" w:color="auto" w:fill="FFFFFF"/>
        <w:spacing w:before="93" w:beforeAutospacing="0" w:after="210" w:afterAutospacing="0" w:line="360" w:lineRule="atLeast"/>
        <w:jc w:val="center"/>
        <w:rPr>
          <w:rFonts w:ascii="黑体" w:hAnsi="黑体" w:eastAsia="黑体" w:cs="黑体"/>
          <w:b/>
          <w:bCs/>
          <w:color w:val="000000"/>
          <w:sz w:val="44"/>
          <w:szCs w:val="44"/>
          <w:shd w:val="clear" w:color="auto" w:fill="FFFFFF"/>
        </w:rPr>
      </w:pPr>
      <w:r>
        <w:rPr>
          <w:rFonts w:ascii="黑体" w:hAnsi="黑体" w:eastAsia="黑体" w:cs="黑体"/>
          <w:b/>
          <w:bCs/>
          <w:color w:val="000000"/>
          <w:sz w:val="44"/>
          <w:szCs w:val="44"/>
          <w:shd w:val="clear" w:color="auto" w:fill="FFFFFF"/>
        </w:rPr>
        <w:t>金川县文化广播电视体育和旅游局</w:t>
      </w:r>
    </w:p>
    <w:p w14:paraId="7715066E">
      <w:pPr>
        <w:pStyle w:val="16"/>
        <w:shd w:val="clear" w:color="auto" w:fill="FFFFFF"/>
        <w:spacing w:before="210" w:beforeAutospacing="0" w:after="210" w:afterAutospacing="0" w:line="360" w:lineRule="atLeast"/>
        <w:ind w:firstLine="420"/>
        <w:jc w:val="center"/>
        <w:rPr>
          <w:rFonts w:ascii="黑体" w:hAnsi="黑体" w:eastAsia="黑体" w:cs="黑体"/>
          <w:b/>
          <w:bCs/>
          <w:color w:val="000000"/>
          <w:sz w:val="44"/>
          <w:szCs w:val="44"/>
          <w:shd w:val="clear" w:color="auto" w:fill="FFFFFF"/>
        </w:rPr>
      </w:pPr>
      <w:r>
        <w:rPr>
          <w:rFonts w:ascii="黑体" w:hAnsi="黑体" w:eastAsia="黑体" w:cs="黑体"/>
          <w:b/>
          <w:bCs/>
          <w:color w:val="000000"/>
          <w:sz w:val="44"/>
          <w:szCs w:val="44"/>
          <w:shd w:val="clear" w:color="auto" w:fill="FFFFFF"/>
        </w:rPr>
        <w:t>2024年部门整体支出绩效报告</w:t>
      </w:r>
    </w:p>
    <w:p w14:paraId="0CD6CF88">
      <w:pPr>
        <w:wordWrap w:val="0"/>
        <w:spacing w:line="576" w:lineRule="exact"/>
        <w:ind w:firstLine="776" w:firstLineChars="200"/>
        <w:jc w:val="left"/>
        <w:rPr>
          <w:rFonts w:ascii="仿宋_GB2312" w:hAnsi="仿宋_GB2312" w:cs="仿宋_GB2312"/>
          <w:spacing w:val="34"/>
          <w:szCs w:val="32"/>
          <w:lang w:val="zh-CN"/>
        </w:rPr>
      </w:pPr>
      <w:r>
        <w:rPr>
          <w:rFonts w:hint="eastAsia" w:ascii="仿宋_GB2312" w:hAnsi="仿宋_GB2312" w:eastAsia="仿宋_GB2312" w:cs="仿宋_GB2312"/>
          <w:spacing w:val="34"/>
          <w:sz w:val="32"/>
          <w:szCs w:val="32"/>
        </w:rPr>
        <w:t>为深入贯彻落实党中央国务院和省委省政府关于全面实施预算绩效管理决策部署，</w:t>
      </w:r>
      <w:r>
        <w:rPr>
          <w:rFonts w:eastAsia="仿宋_GB2312"/>
          <w:color w:val="000000"/>
          <w:sz w:val="32"/>
          <w:szCs w:val="32"/>
        </w:rPr>
        <w:t>按照《四川省省级财政预算管理办法》（省政府令第356号）、《中共四川省委办公厅四川省人民政府办公厅关于深入实施预算绩效管理的通知》（川委厅〔2022〕5号）、《四川省财政厅关于</w:t>
      </w:r>
      <w:r>
        <w:rPr>
          <w:rFonts w:hint="eastAsia" w:ascii="宋体" w:hAnsi="宋体" w:cs="宋体"/>
          <w:color w:val="000000"/>
          <w:sz w:val="32"/>
          <w:szCs w:val="32"/>
        </w:rPr>
        <w:t>印</w:t>
      </w:r>
      <w:r>
        <w:rPr>
          <w:rFonts w:hint="eastAsia" w:eastAsia="仿宋_GB2312"/>
          <w:color w:val="000000"/>
          <w:sz w:val="32"/>
          <w:szCs w:val="32"/>
        </w:rPr>
        <w:t>发</w:t>
      </w:r>
      <w:r>
        <w:rPr>
          <w:rFonts w:hint="eastAsia" w:eastAsia="仿宋_GB2312"/>
          <w:b/>
          <w:color w:val="000000"/>
          <w:sz w:val="32"/>
          <w:szCs w:val="32"/>
        </w:rPr>
        <w:t>&lt;</w:t>
      </w:r>
      <w:r>
        <w:rPr>
          <w:rFonts w:hint="eastAsia" w:eastAsia="仿宋_GB2312"/>
          <w:color w:val="000000"/>
          <w:sz w:val="32"/>
          <w:szCs w:val="32"/>
        </w:rPr>
        <w:t>推进财政绩效监督“三管三必须”落实见效实施办法</w:t>
      </w:r>
      <w:r>
        <w:rPr>
          <w:rFonts w:hint="eastAsia" w:eastAsia="仿宋_GB2312"/>
          <w:b/>
          <w:bCs/>
          <w:color w:val="000000"/>
          <w:sz w:val="32"/>
          <w:szCs w:val="32"/>
        </w:rPr>
        <w:t>&gt;</w:t>
      </w:r>
      <w:r>
        <w:rPr>
          <w:rFonts w:eastAsia="仿宋_GB2312"/>
          <w:color w:val="000000"/>
          <w:sz w:val="32"/>
          <w:szCs w:val="32"/>
        </w:rPr>
        <w:t>的通知》（川财</w:t>
      </w:r>
      <w:r>
        <w:rPr>
          <w:rFonts w:hint="eastAsia" w:eastAsia="仿宋_GB2312"/>
          <w:color w:val="000000"/>
          <w:sz w:val="32"/>
          <w:szCs w:val="32"/>
        </w:rPr>
        <w:t>办</w:t>
      </w:r>
      <w:r>
        <w:rPr>
          <w:rFonts w:eastAsia="仿宋_GB2312"/>
          <w:color w:val="000000"/>
          <w:sz w:val="32"/>
          <w:szCs w:val="32"/>
        </w:rPr>
        <w:t>〔2024〕</w:t>
      </w:r>
      <w:r>
        <w:rPr>
          <w:rFonts w:hint="eastAsia" w:eastAsia="仿宋_GB2312"/>
          <w:color w:val="000000"/>
          <w:sz w:val="32"/>
          <w:szCs w:val="32"/>
        </w:rPr>
        <w:t>31</w:t>
      </w:r>
      <w:r>
        <w:rPr>
          <w:rFonts w:eastAsia="仿宋_GB2312"/>
          <w:color w:val="000000"/>
          <w:sz w:val="32"/>
          <w:szCs w:val="32"/>
        </w:rPr>
        <w:t>号）以及《阿坝州财政局关于开展202</w:t>
      </w:r>
      <w:r>
        <w:rPr>
          <w:rFonts w:hint="eastAsia" w:eastAsia="仿宋_GB2312"/>
          <w:color w:val="000000"/>
          <w:sz w:val="32"/>
          <w:szCs w:val="32"/>
        </w:rPr>
        <w:t>5</w:t>
      </w:r>
      <w:r>
        <w:rPr>
          <w:rFonts w:eastAsia="仿宋_GB2312"/>
          <w:color w:val="000000"/>
          <w:sz w:val="32"/>
          <w:szCs w:val="32"/>
        </w:rPr>
        <w:t>年州级部门绩效自评工作的通知》（阿州财监绩〔202</w:t>
      </w:r>
      <w:r>
        <w:rPr>
          <w:rFonts w:hint="eastAsia" w:eastAsia="仿宋_GB2312"/>
          <w:color w:val="000000"/>
          <w:sz w:val="32"/>
          <w:szCs w:val="32"/>
        </w:rPr>
        <w:t>5</w:t>
      </w:r>
      <w:r>
        <w:rPr>
          <w:rFonts w:eastAsia="仿宋_GB2312"/>
          <w:color w:val="000000"/>
          <w:sz w:val="32"/>
          <w:szCs w:val="32"/>
        </w:rPr>
        <w:t>〕</w:t>
      </w:r>
      <w:r>
        <w:rPr>
          <w:rFonts w:hint="eastAsia" w:eastAsia="仿宋_GB2312"/>
          <w:color w:val="000000"/>
          <w:sz w:val="32"/>
          <w:szCs w:val="32"/>
        </w:rPr>
        <w:t>4</w:t>
      </w:r>
      <w:r>
        <w:rPr>
          <w:rFonts w:eastAsia="仿宋_GB2312"/>
          <w:color w:val="000000"/>
          <w:sz w:val="32"/>
          <w:szCs w:val="32"/>
        </w:rPr>
        <w:t>号）</w:t>
      </w:r>
      <w:r>
        <w:rPr>
          <w:rFonts w:hint="eastAsia" w:eastAsia="仿宋_GB2312"/>
          <w:color w:val="000000"/>
          <w:sz w:val="32"/>
          <w:szCs w:val="32"/>
        </w:rPr>
        <w:t>相关</w:t>
      </w:r>
      <w:r>
        <w:rPr>
          <w:rFonts w:hint="eastAsia" w:ascii="仿宋_GB2312" w:hAnsi="仿宋_GB2312" w:eastAsia="仿宋_GB2312" w:cs="仿宋_GB2312"/>
          <w:spacing w:val="34"/>
          <w:sz w:val="32"/>
          <w:szCs w:val="32"/>
        </w:rPr>
        <w:t>要求，</w:t>
      </w:r>
      <w:r>
        <w:rPr>
          <w:rFonts w:hint="eastAsia" w:ascii="仿宋_GB2312" w:hAnsi="仿宋_GB2312" w:eastAsia="仿宋_GB2312" w:cs="仿宋_GB2312"/>
          <w:spacing w:val="34"/>
          <w:sz w:val="32"/>
          <w:szCs w:val="32"/>
          <w:lang w:val="zh-CN"/>
        </w:rPr>
        <w:t>我局高度重视立即成立了由单位负责人钟明文同志任组长各办公室为成员的金川文化广播电视体育和旅游局20</w:t>
      </w:r>
      <w:r>
        <w:rPr>
          <w:rFonts w:hint="eastAsia" w:ascii="仿宋_GB2312" w:hAnsi="仿宋_GB2312" w:cs="仿宋_GB2312"/>
          <w:spacing w:val="34"/>
          <w:sz w:val="32"/>
          <w:szCs w:val="32"/>
        </w:rPr>
        <w:t>24</w:t>
      </w:r>
      <w:r>
        <w:rPr>
          <w:rFonts w:hint="eastAsia" w:ascii="仿宋_GB2312" w:hAnsi="仿宋_GB2312" w:eastAsia="仿宋_GB2312" w:cs="仿宋_GB2312"/>
          <w:spacing w:val="34"/>
          <w:sz w:val="32"/>
          <w:szCs w:val="32"/>
          <w:lang w:val="zh-CN"/>
        </w:rPr>
        <w:t>年县级部门整体支出绩效评价工作领导小组，下设绩效评价办公室于财务室，负责评价工作组织、开展、资料收集、评价报告的撰写及上报等日常工作。</w:t>
      </w:r>
    </w:p>
    <w:p w14:paraId="2DE30D58">
      <w:pPr>
        <w:widowControl/>
        <w:spacing w:line="600" w:lineRule="exact"/>
        <w:rPr>
          <w:rFonts w:ascii="黑体" w:hAnsi="宋体" w:eastAsia="黑体"/>
          <w:b/>
          <w:sz w:val="32"/>
          <w:szCs w:val="32"/>
          <w:shd w:val="clear" w:color="auto" w:fill="FFFFFF"/>
        </w:rPr>
      </w:pPr>
      <w:r>
        <w:rPr>
          <w:rFonts w:hint="eastAsia" w:ascii="黑体" w:eastAsia="黑体"/>
          <w:b/>
          <w:color w:val="000000"/>
          <w:sz w:val="32"/>
          <w:szCs w:val="32"/>
        </w:rPr>
        <w:t>一、部门概况</w:t>
      </w:r>
    </w:p>
    <w:p w14:paraId="39CAE626">
      <w:pPr>
        <w:widowControl/>
        <w:spacing w:line="6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shd w:val="clear" w:color="auto" w:fill="FFFFFF"/>
          <w:lang w:val="zh-CN"/>
        </w:rPr>
        <w:t>（一）机构组成。</w:t>
      </w:r>
      <w:r>
        <w:rPr>
          <w:rFonts w:hint="eastAsia" w:ascii="仿宋_GB2312" w:hAnsi="宋体" w:eastAsia="仿宋_GB2312" w:cs="宋体"/>
          <w:kern w:val="0"/>
          <w:sz w:val="32"/>
          <w:szCs w:val="32"/>
        </w:rPr>
        <w:t>本部门预算单位3</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个，其中内设机构3个。</w:t>
      </w:r>
    </w:p>
    <w:p w14:paraId="5C4E19E9">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eastAsia="仿宋_GB2312" w:cs="宋体"/>
          <w:color w:val="000000"/>
          <w:sz w:val="32"/>
          <w:szCs w:val="32"/>
          <w:shd w:val="clear" w:color="auto" w:fill="FFFFFF"/>
          <w:lang w:val="zh-CN"/>
        </w:rPr>
        <w:t>（二）机构职能。</w:t>
      </w:r>
      <w:r>
        <w:rPr>
          <w:rFonts w:ascii="仿宋_GB2312" w:hAnsi="仿宋_GB2312" w:eastAsia="仿宋_GB2312" w:cs="仿宋_GB2312"/>
          <w:color w:val="333333"/>
          <w:sz w:val="32"/>
          <w:szCs w:val="32"/>
          <w:shd w:val="clear" w:color="auto" w:fill="FFFFFF"/>
        </w:rPr>
        <w:t xml:space="preserve">1.拟订文化、体育、旅游、广播电视和文物政策措施，起草文化、体育、旅游、广播电视和文物地方性法规、规章草案，负责本部门依法行政工作。 </w:t>
      </w:r>
    </w:p>
    <w:p w14:paraId="20B21464">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2.组织推动全市文化事业、文化产业、体育事业、体育产业和旅游业发展，拟订并组织实施全市文化、体育、旅游9、广播电视发展和文物保护利用规划，推进所属行业的体制机制改革和行业融合发展。 </w:t>
      </w:r>
    </w:p>
    <w:p w14:paraId="347FEFEC">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3.管理所属行业的全市重大活动，指导所属行业重点设施建设，组织全市文化和旅游整体形象推广，促进行业产业对外交流合作和国际市场推广，制定旅游市场开发战略并组织实施，推进全域旅游。 </w:t>
      </w:r>
    </w:p>
    <w:p w14:paraId="23A2E57F">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4.指导管理文艺事业，推动艺术创作生产，扶持体现社会主义核心价值观、具有导向性代表性示范性的文艺作品，推动各门类艺术、各艺术品种发展，推动中华优秀传统文化和巴文化传承发展。 </w:t>
      </w:r>
    </w:p>
    <w:p w14:paraId="497F0235">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5.负责公共文化事业发展，推进全市公共文化服务体系建设和旅游公共服务建设，深入实施文化惠民工程，统筹推进基本公共文化服务标准化、均等化。 </w:t>
      </w:r>
    </w:p>
    <w:p w14:paraId="63876571">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6.推进文化、体育、旅游、广播电视和文物科技创新发展，推进本行业信息化、标准化建设。 </w:t>
      </w:r>
    </w:p>
    <w:p w14:paraId="040700AB">
      <w:pPr>
        <w:pStyle w:val="16"/>
        <w:spacing w:beforeAutospacing="0" w:afterAutospacing="0"/>
        <w:rPr>
          <w:rFonts w:ascii="仿宋_GB2312" w:hAnsi="仿宋_GB2312" w:eastAsia="仿宋_GB2312" w:cs="仿宋_GB2312"/>
          <w:color w:val="333333"/>
          <w:sz w:val="32"/>
          <w:szCs w:val="32"/>
          <w:shd w:val="clear" w:color="auto" w:fill="FFFFFF"/>
        </w:rPr>
      </w:pPr>
    </w:p>
    <w:p w14:paraId="5B4C4888">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7.负责非物质文化遗产保护，推动非物质文化遗产的保护、传承、普及、弘扬和振兴。 </w:t>
      </w:r>
    </w:p>
    <w:p w14:paraId="4433C2DD">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8.组织实施所属行业资源普查、挖掘、保护与利用工作，促进行业的产业发展。 </w:t>
      </w:r>
    </w:p>
    <w:p w14:paraId="6D2137A0">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9.指导文化、体育、旅游、广播电视和文物市场发展，并进行行业监管，推进行业信用体系建设，依法规范行业市场。 </w:t>
      </w:r>
    </w:p>
    <w:p w14:paraId="56ACDF9A">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10.统筹全市文化市场综合执法，组织查处全市性、跨区域文化、文物、出版、广播电视、电影、旅游市场领域的违法行为，督查督办大案要案，维护市场秩序。 </w:t>
      </w:r>
    </w:p>
    <w:p w14:paraId="4DAF47FF">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11.负责管理文化、体育、旅游、广播电视和文物对外及对港澳台交流合作与宣传推广工作，组织大型文化、体育、旅游、广播电视和文物对外及对港澳台交流活动，推动中华文化走出去。 </w:t>
      </w:r>
    </w:p>
    <w:p w14:paraId="691BD472">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12.负责全市文化、体育、旅游、广播电视和文物市场安全生产工作的综合协调与监督管理，对文化旅游园区的安全生产和职业健康工作实施行业监督管理。制定职责范围内的安全生产年度监督检查计划并组织实施。 </w:t>
      </w:r>
    </w:p>
    <w:p w14:paraId="75864E35">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13.负责统筹协调全市竞技体育、群众体育和青少年体育发展工作。推行全民健身计划、监督实施国家体育锻炼标准，推动全市国民体质监测和社会体育指导工作队伍制度建设。组织、指导体育训练、体育竞赛工作，组织协调省级或市级综合性运动会，负责组织、协调、监督体育运动中的反兴奋剂和运动员社会保障工作。协助体育彩票销售工作的监督管理，负责公共体育设施的建设指导、监督管理。 </w:t>
      </w:r>
    </w:p>
    <w:p w14:paraId="1F6B316E">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14.加强广播电视阵地建设，把握正确的舆论导向和创作导向。推进广播电视基本公共服务标准化、均等化。指导、监督广播电视重点基础设施建设。负责对各类广播电视机构进行业务指导和行业监管，会同有关部门对网络视听节目服务机构进行管理。组织实施广播电视节目评价工作。指导、监管广播电视广告播放。负责指导、协调和管理全市广播电视媒体的宣传、发展、传输覆盖等重大事项。负责推进广播电视与新媒体新技术新业态融合发展，推进广电网与电信网、互联网三网融合。 </w:t>
      </w:r>
    </w:p>
    <w:p w14:paraId="1FB593FE">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15.负责指导、协调全市文物的管理、保护、抢救、发掘、研究、宣传等工作。监督和管理文物市场。组织协调重大文物保护、考古项目的实施。指导博物馆建设管理和业务工作。指导和监督社会文物管理工作。 </w:t>
      </w:r>
    </w:p>
    <w:p w14:paraId="0393CAE8">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16.负责职责范围内的安全生产和职业健康、生态环境保护、审批服务便民化等工作。 </w:t>
      </w:r>
    </w:p>
    <w:p w14:paraId="232CA585">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17.完成市委、市政府交办的其他任务。 </w:t>
      </w:r>
    </w:p>
    <w:p w14:paraId="36E1ADA0">
      <w:pPr>
        <w:pStyle w:val="16"/>
        <w:spacing w:beforeAutospacing="0" w:afterAutospacing="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18.职能转变。以人民美好生活为引导，统筹推进文化、体育、旅游、广播电视和文物事业与产业的融合发展，用好文化创意、科技创新和社会投资等新动能。提升巩固旅游业的战略性支柱产业地位，提升文化软实力、旅游竞争力。将市文体旅游局下属事业单位所有行政职能交由市文体旅游局机关承担。 </w:t>
      </w:r>
    </w:p>
    <w:p w14:paraId="006374B5">
      <w:pPr>
        <w:spacing w:line="600" w:lineRule="exact"/>
        <w:ind w:firstLine="480" w:firstLineChars="15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（三）人员概况。其中:行政编制 5名,参公编制6名，其他事业编制 16名，参公工勤5名，机关工勤1名，在职人员总数 38名，退休人员 29人；编外长期聘用的人员 0名。</w:t>
      </w:r>
    </w:p>
    <w:p w14:paraId="1889D881">
      <w:pPr>
        <w:pStyle w:val="16"/>
        <w:shd w:val="clear" w:color="auto" w:fill="FFFFFF"/>
        <w:spacing w:beforeAutospacing="0" w:afterAutospacing="0" w:line="360" w:lineRule="auto"/>
        <w:ind w:left="42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二、预算执行情况</w:t>
      </w:r>
    </w:p>
    <w:p w14:paraId="1D287EB0">
      <w:pPr>
        <w:widowControl/>
        <w:wordWrap w:val="0"/>
        <w:topLinePunct/>
        <w:adjustRightInd w:val="0"/>
        <w:snapToGrid w:val="0"/>
        <w:spacing w:line="576" w:lineRule="exact"/>
        <w:ind w:firstLine="640" w:firstLineChars="200"/>
        <w:jc w:val="left"/>
        <w:outlineLvl w:val="2"/>
        <w:rPr>
          <w:rFonts w:hint="eastAsia" w:ascii="仿宋_GB2312" w:hAnsi="仿宋_GB2312" w:eastAsia="仿宋_GB2312" w:cs="仿宋_GB2312"/>
          <w:color w:val="333333"/>
          <w:kern w:val="0"/>
          <w:sz w:val="32"/>
          <w:szCs w:val="32"/>
          <w:shd w:val="clear" w:color="auto" w:fill="FFFFFF"/>
        </w:rPr>
      </w:pPr>
      <w:bookmarkStart w:id="73" w:name="_Toc912"/>
      <w:r>
        <w:rPr>
          <w:rFonts w:hint="eastAsia" w:ascii="仿宋_GB2312" w:hAnsi="仿宋_GB2312" w:eastAsia="仿宋_GB2312" w:cs="仿宋_GB2312"/>
          <w:color w:val="333333"/>
          <w:kern w:val="0"/>
          <w:sz w:val="32"/>
          <w:szCs w:val="32"/>
          <w:shd w:val="clear" w:color="auto" w:fill="FFFFFF"/>
        </w:rPr>
        <w:t>（一）收入情况</w:t>
      </w:r>
      <w:bookmarkEnd w:id="73"/>
    </w:p>
    <w:p w14:paraId="719D17A4">
      <w:pPr>
        <w:spacing w:line="576" w:lineRule="exact"/>
        <w:ind w:firstLine="640" w:firstLineChars="200"/>
        <w:jc w:val="left"/>
        <w:rPr>
          <w:rFonts w:hint="eastAsia"/>
          <w:lang w:val="zh-CN"/>
        </w:rPr>
      </w:pPr>
      <w:r>
        <w:rPr>
          <w:rFonts w:hint="eastAsia" w:ascii="仿宋_GB2312" w:hAnsi="仿宋_GB2312" w:eastAsia="仿宋_GB2312" w:cs="仿宋_GB2312"/>
          <w:color w:val="333333"/>
          <w:kern w:val="0"/>
          <w:sz w:val="32"/>
          <w:szCs w:val="32"/>
          <w:shd w:val="clear" w:color="auto" w:fill="FFFFFF"/>
        </w:rPr>
        <w:t>2024年度财政拨款收入3907.29万元，上年结转0万元，当年财政拨款收入3907.29万元，占100%，其</w:t>
      </w:r>
      <w:r>
        <w:rPr>
          <w:rFonts w:hint="eastAsia" w:ascii="仿宋_GB2312" w:hAnsi="仿宋_GB2312" w:eastAsia="仿宋_GB2312" w:cs="仿宋_GB2312"/>
          <w:bCs/>
          <w:sz w:val="32"/>
          <w:lang w:val="zh-CN"/>
        </w:rPr>
        <w:t xml:space="preserve">他收入 0万元，上年结转收入 </w:t>
      </w:r>
      <w:r>
        <w:rPr>
          <w:rFonts w:hint="eastAsia" w:ascii="仿宋_GB2312" w:hAnsi="仿宋_GB2312" w:eastAsia="仿宋_GB2312" w:cs="仿宋_GB2312"/>
          <w:bCs/>
          <w:sz w:val="32"/>
        </w:rPr>
        <w:t>0</w:t>
      </w:r>
      <w:r>
        <w:rPr>
          <w:rFonts w:hint="eastAsia" w:ascii="仿宋_GB2312" w:hAnsi="仿宋_GB2312" w:eastAsia="仿宋_GB2312" w:cs="仿宋_GB2312"/>
          <w:bCs/>
          <w:sz w:val="32"/>
          <w:lang w:val="zh-CN"/>
        </w:rPr>
        <w:t>万元。</w:t>
      </w:r>
    </w:p>
    <w:p w14:paraId="499E40B5">
      <w:pPr>
        <w:widowControl/>
        <w:wordWrap w:val="0"/>
        <w:topLinePunct/>
        <w:adjustRightInd w:val="0"/>
        <w:snapToGrid w:val="0"/>
        <w:spacing w:line="576" w:lineRule="exact"/>
        <w:ind w:firstLine="558" w:firstLineChars="200"/>
        <w:jc w:val="left"/>
        <w:rPr>
          <w:rFonts w:hint="eastAsia" w:ascii="仿宋_GB2312" w:hAnsi="仿宋_GB2312" w:eastAsia="仿宋_GB2312" w:cs="仿宋_GB2312"/>
          <w:spacing w:val="34"/>
          <w:sz w:val="32"/>
          <w:szCs w:val="32"/>
          <w:lang w:val="zh-CN"/>
        </w:rPr>
      </w:pPr>
      <w:r>
        <w:rPr>
          <w:rFonts w:hint="eastAsia" w:ascii="楷体" w:hAnsi="楷体" w:eastAsia="楷体" w:cs="楷体"/>
          <w:b/>
          <w:bCs/>
          <w:spacing w:val="34"/>
          <w:szCs w:val="32"/>
          <w:lang w:val="zh-CN"/>
        </w:rPr>
        <w:t>（</w:t>
      </w:r>
      <w:r>
        <w:rPr>
          <w:rFonts w:hint="eastAsia" w:ascii="楷体" w:hAnsi="楷体" w:eastAsia="楷体" w:cs="楷体"/>
          <w:b/>
          <w:bCs/>
          <w:spacing w:val="34"/>
          <w:sz w:val="32"/>
          <w:szCs w:val="32"/>
          <w:lang w:val="zh-CN"/>
        </w:rPr>
        <w:t>二）支出情况</w:t>
      </w:r>
      <w:r>
        <w:rPr>
          <w:rFonts w:hint="eastAsia" w:ascii="仿宋_GB2312" w:hAnsi="宋体" w:cs="宋体"/>
          <w:spacing w:val="34"/>
          <w:sz w:val="32"/>
          <w:szCs w:val="32"/>
          <w:lang w:val="zh-CN"/>
        </w:rPr>
        <w:t>。 </w:t>
      </w:r>
    </w:p>
    <w:p w14:paraId="4123DC64">
      <w:pPr>
        <w:spacing w:line="576" w:lineRule="exact"/>
        <w:ind w:firstLine="640" w:firstLineChars="200"/>
        <w:jc w:val="left"/>
        <w:rPr>
          <w:rFonts w:hint="eastAsia" w:ascii="仿宋_GB2312" w:hAnsi="仿宋_GB2312" w:eastAsia="仿宋_GB2312" w:cs="仿宋_GB2312"/>
          <w:bCs/>
          <w:sz w:val="32"/>
          <w:lang w:val="zh-CN"/>
        </w:rPr>
      </w:pPr>
      <w:r>
        <w:rPr>
          <w:rFonts w:hint="eastAsia" w:ascii="仿宋_GB2312" w:hAnsi="仿宋_GB2312" w:eastAsia="仿宋_GB2312" w:cs="仿宋_GB2312"/>
          <w:bCs/>
          <w:sz w:val="32"/>
          <w:lang w:val="zh-CN"/>
        </w:rPr>
        <w:t>2024年本年总支出3907.29万元，其中：基本支出759.62万元，占19.44 %；项目支出3147.67万元，占80.56%；上缴上级支出0万元，占0%；经营支出0万元，占0%；对附属单位补助支出0万元，占0%。</w:t>
      </w:r>
    </w:p>
    <w:p w14:paraId="58BA2178">
      <w:pPr>
        <w:spacing w:line="576" w:lineRule="exact"/>
        <w:ind w:firstLine="640" w:firstLineChars="200"/>
        <w:jc w:val="left"/>
        <w:rPr>
          <w:rFonts w:hint="eastAsia" w:ascii="仿宋" w:hAnsi="仿宋" w:eastAsia="仿宋" w:cs="仿宋"/>
          <w:sz w:val="32"/>
          <w:szCs w:val="32"/>
        </w:rPr>
      </w:pPr>
    </w:p>
    <w:p w14:paraId="2BA1A43A">
      <w:pPr>
        <w:spacing w:line="600" w:lineRule="exact"/>
        <w:ind w:firstLine="640"/>
        <w:rPr>
          <w:rFonts w:hint="eastAsia" w:ascii="仿宋_GB2312" w:hAnsi="仿宋_GB2312" w:eastAsia="仿宋_GB2312" w:cs="仿宋_GB2312"/>
          <w:bCs/>
          <w:sz w:val="32"/>
          <w:lang w:val="zh-CN"/>
        </w:rPr>
      </w:pPr>
      <w:r>
        <w:rPr>
          <w:rFonts w:ascii="仿宋" w:eastAsia="仿宋"/>
          <w:color w:val="000000"/>
          <w:sz w:val="32"/>
          <w:szCs w:val="32"/>
        </w:rPr>
        <w:t>2</w:t>
      </w:r>
      <w:r>
        <w:rPr>
          <w:rFonts w:hint="eastAsia" w:ascii="仿宋_GB2312" w:hAnsi="仿宋_GB2312" w:eastAsia="仿宋_GB2312" w:cs="仿宋_GB2312"/>
          <w:bCs/>
          <w:sz w:val="32"/>
          <w:lang w:val="zh-CN"/>
        </w:rPr>
        <w:t>024年一般公共预算财政拨款支出3907.29万元，主要用于以下方面:文化旅游体育与传媒支出2855.82万元，占74 %；社会保障和就业支出101万元，占0.005 %；卫生健康支出46.72万元，占0.003%；农林水支出：368.16万元。占21%；住房保障支出57.73万元，占0.003%，其他支出477.84万元，占0.09%。</w:t>
      </w:r>
    </w:p>
    <w:p w14:paraId="1A618275">
      <w:pPr>
        <w:spacing w:line="576" w:lineRule="exact"/>
        <w:ind w:firstLine="640" w:firstLineChars="200"/>
        <w:jc w:val="left"/>
        <w:rPr>
          <w:rFonts w:hint="eastAsia" w:ascii="仿宋_GB2312" w:hAnsi="仿宋_GB2312" w:eastAsia="仿宋_GB2312" w:cs="仿宋_GB2312"/>
          <w:bCs/>
          <w:sz w:val="32"/>
          <w:lang w:val="zh-CN"/>
        </w:rPr>
      </w:pPr>
      <w:r>
        <w:rPr>
          <w:rFonts w:hint="eastAsia" w:ascii="仿宋_GB2312" w:hAnsi="仿宋_GB2312" w:eastAsia="仿宋_GB2312" w:cs="仿宋_GB2312"/>
          <w:bCs/>
          <w:sz w:val="32"/>
          <w:lang w:val="zh-CN"/>
        </w:rPr>
        <w:t>2024年一般公共预算财政拨款基本支出3907.29万元，其中：</w:t>
      </w:r>
    </w:p>
    <w:p w14:paraId="332B2DED">
      <w:pPr>
        <w:spacing w:line="576" w:lineRule="exact"/>
        <w:ind w:firstLine="640" w:firstLineChars="200"/>
        <w:jc w:val="left"/>
        <w:rPr>
          <w:rFonts w:hint="eastAsia" w:ascii="仿宋_GB2312" w:hAnsi="仿宋_GB2312" w:eastAsia="仿宋_GB2312" w:cs="仿宋_GB2312"/>
          <w:bCs/>
          <w:sz w:val="32"/>
          <w:lang w:val="zh-CN"/>
        </w:rPr>
      </w:pPr>
      <w:r>
        <w:rPr>
          <w:rFonts w:hint="eastAsia" w:ascii="仿宋_GB2312" w:hAnsi="仿宋_GB2312" w:eastAsia="仿宋_GB2312" w:cs="仿宋_GB2312"/>
          <w:bCs/>
          <w:sz w:val="32"/>
          <w:lang w:val="zh-CN"/>
        </w:rPr>
        <w:t>人员经费730.67万元，主要包括：基本工资 137.52 万元、津贴补贴 122.94万元、奖金170.26万元、绩效工资50.08万元、机关事业单位基本养老保险缴费67.16 万元、职业年金缴费33.84万元、职工基本医疗保险缴费 32.96万元、公务员医疗补助缴费10.25万元、其他社会保障缴费12.39万元、住房公积金55.33万元、生活补助 37.93万元。　</w:t>
      </w:r>
    </w:p>
    <w:p w14:paraId="0AF6BC2D">
      <w:pPr>
        <w:spacing w:line="576" w:lineRule="exact"/>
        <w:ind w:firstLine="640" w:firstLineChars="200"/>
        <w:jc w:val="left"/>
        <w:rPr>
          <w:rFonts w:hint="eastAsia" w:ascii="仿宋_GB2312" w:hAnsi="仿宋_GB2312" w:eastAsia="仿宋_GB2312" w:cs="仿宋_GB2312"/>
          <w:bCs/>
          <w:sz w:val="32"/>
          <w:lang w:val="zh-CN"/>
        </w:rPr>
      </w:pPr>
      <w:r>
        <w:rPr>
          <w:rFonts w:hint="eastAsia" w:ascii="仿宋_GB2312" w:hAnsi="仿宋_GB2312" w:eastAsia="仿宋_GB2312" w:cs="仿宋_GB2312"/>
          <w:bCs/>
          <w:sz w:val="32"/>
          <w:lang w:val="zh-CN"/>
        </w:rPr>
        <w:t>项目支出3147.67万元，公用经费28.94万元</w:t>
      </w:r>
    </w:p>
    <w:p w14:paraId="01AC55B3">
      <w:pPr>
        <w:spacing w:line="576" w:lineRule="exact"/>
        <w:ind w:firstLine="640" w:firstLineChars="200"/>
        <w:jc w:val="left"/>
        <w:rPr>
          <w:rFonts w:hint="eastAsia" w:ascii="仿宋_GB2312" w:hAnsi="仿宋_GB2312" w:eastAsia="仿宋_GB2312" w:cs="仿宋_GB2312"/>
          <w:bCs/>
          <w:sz w:val="32"/>
          <w:lang w:val="zh-CN"/>
        </w:rPr>
      </w:pPr>
    </w:p>
    <w:p w14:paraId="1BDA2985">
      <w:pPr>
        <w:numPr>
          <w:ilvl w:val="0"/>
          <w:numId w:val="2"/>
        </w:numPr>
        <w:spacing w:line="576" w:lineRule="exact"/>
        <w:ind w:firstLine="779" w:firstLineChars="200"/>
        <w:jc w:val="left"/>
        <w:rPr>
          <w:rFonts w:ascii="楷体" w:hAnsi="楷体" w:eastAsia="楷体" w:cs="楷体"/>
          <w:b/>
          <w:bCs/>
          <w:spacing w:val="34"/>
          <w:sz w:val="32"/>
          <w:szCs w:val="32"/>
        </w:rPr>
      </w:pPr>
      <w:r>
        <w:rPr>
          <w:rFonts w:ascii="楷体" w:hAnsi="楷体" w:eastAsia="楷体" w:cs="楷体"/>
          <w:b/>
          <w:bCs/>
          <w:spacing w:val="34"/>
          <w:sz w:val="32"/>
          <w:szCs w:val="32"/>
        </w:rPr>
        <w:t>结余分配和结转结余情况</w:t>
      </w:r>
    </w:p>
    <w:p w14:paraId="591BA18A">
      <w:pPr>
        <w:spacing w:line="576" w:lineRule="exac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本单位2024年决算报表无</w:t>
      </w:r>
      <w:r>
        <w:rPr>
          <w:rFonts w:ascii="仿宋_GB2312" w:hAnsi="仿宋_GB2312" w:eastAsia="仿宋_GB2312" w:cs="仿宋_GB2312"/>
          <w:color w:val="333333"/>
          <w:kern w:val="0"/>
          <w:sz w:val="32"/>
          <w:szCs w:val="32"/>
          <w:shd w:val="clear" w:color="auto" w:fill="FFFFFF"/>
        </w:rPr>
        <w:t>结转结余</w:t>
      </w:r>
      <w:r>
        <w:rPr>
          <w:rFonts w:hint="eastAsia" w:ascii="仿宋_GB2312" w:hAnsi="仿宋_GB2312" w:eastAsia="仿宋_GB2312" w:cs="仿宋_GB2312"/>
          <w:color w:val="333333"/>
          <w:kern w:val="0"/>
          <w:sz w:val="32"/>
          <w:szCs w:val="32"/>
          <w:shd w:val="clear" w:color="auto" w:fill="FFFFFF"/>
        </w:rPr>
        <w:t>资金</w:t>
      </w:r>
      <w:r>
        <w:rPr>
          <w:rFonts w:ascii="仿宋_GB2312" w:hAnsi="仿宋_GB2312" w:eastAsia="仿宋_GB2312" w:cs="仿宋_GB2312"/>
          <w:color w:val="333333"/>
          <w:kern w:val="0"/>
          <w:sz w:val="32"/>
          <w:szCs w:val="32"/>
          <w:shd w:val="clear" w:color="auto" w:fill="FFFFFF"/>
        </w:rPr>
        <w:t>。</w:t>
      </w:r>
    </w:p>
    <w:p w14:paraId="4002D8E7">
      <w:pPr>
        <w:rPr>
          <w:rFonts w:hint="eastAsia" w:ascii="仿宋_GB2312" w:hAnsi="仿宋_GB2312" w:eastAsia="仿宋_GB2312" w:cs="仿宋_GB2312"/>
          <w:color w:val="333333"/>
          <w:kern w:val="0"/>
          <w:sz w:val="32"/>
          <w:szCs w:val="32"/>
          <w:shd w:val="clear" w:color="auto" w:fill="FFFFFF"/>
        </w:rPr>
      </w:pPr>
    </w:p>
    <w:p w14:paraId="37A516B8">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三、部门预算绩效分析</w:t>
      </w:r>
    </w:p>
    <w:p w14:paraId="60D19623">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（一）</w:t>
      </w:r>
      <w:r>
        <w:rPr>
          <w:rFonts w:hint="eastAsia" w:ascii="仿宋_GB2312" w:hAnsi="仿宋_GB2312" w:eastAsia="仿宋_GB2312" w:cs="仿宋_GB2312"/>
          <w:color w:val="333333"/>
          <w:kern w:val="0"/>
          <w:sz w:val="32"/>
          <w:szCs w:val="32"/>
          <w:shd w:val="clear" w:color="auto" w:fill="FFFFFF"/>
        </w:rPr>
        <w:t>部门预算</w:t>
      </w:r>
      <w:r>
        <w:rPr>
          <w:rFonts w:ascii="仿宋_GB2312" w:hAnsi="仿宋_GB2312" w:eastAsia="仿宋_GB2312" w:cs="仿宋_GB2312"/>
          <w:color w:val="333333"/>
          <w:kern w:val="0"/>
          <w:sz w:val="32"/>
          <w:szCs w:val="32"/>
          <w:shd w:val="clear" w:color="auto" w:fill="FFFFFF"/>
        </w:rPr>
        <w:t>总体绩效分析。根据部门预算绩效评价指标体系“总体绩效”涉及</w:t>
      </w:r>
      <w:r>
        <w:rPr>
          <w:rFonts w:hint="eastAsia" w:ascii="仿宋_GB2312" w:hAnsi="仿宋_GB2312" w:eastAsia="仿宋_GB2312" w:cs="仿宋_GB2312"/>
          <w:color w:val="333333"/>
          <w:kern w:val="0"/>
          <w:sz w:val="32"/>
          <w:szCs w:val="32"/>
          <w:shd w:val="clear" w:color="auto" w:fill="FFFFFF"/>
        </w:rPr>
        <w:t>二、三级</w:t>
      </w:r>
      <w:r>
        <w:rPr>
          <w:rFonts w:ascii="仿宋_GB2312" w:hAnsi="仿宋_GB2312" w:eastAsia="仿宋_GB2312" w:cs="仿宋_GB2312"/>
          <w:color w:val="333333"/>
          <w:kern w:val="0"/>
          <w:sz w:val="32"/>
          <w:szCs w:val="32"/>
          <w:shd w:val="clear" w:color="auto" w:fill="FFFFFF"/>
        </w:rPr>
        <w:t>指标进行</w:t>
      </w:r>
      <w:r>
        <w:rPr>
          <w:rFonts w:hint="eastAsia" w:ascii="仿宋_GB2312" w:hAnsi="仿宋_GB2312" w:eastAsia="仿宋_GB2312" w:cs="仿宋_GB2312"/>
          <w:color w:val="333333"/>
          <w:kern w:val="0"/>
          <w:sz w:val="32"/>
          <w:szCs w:val="32"/>
          <w:shd w:val="clear" w:color="auto" w:fill="FFFFFF"/>
        </w:rPr>
        <w:t>逐项</w:t>
      </w:r>
      <w:r>
        <w:rPr>
          <w:rFonts w:ascii="仿宋_GB2312" w:hAnsi="仿宋_GB2312" w:eastAsia="仿宋_GB2312" w:cs="仿宋_GB2312"/>
          <w:color w:val="333333"/>
          <w:kern w:val="0"/>
          <w:sz w:val="32"/>
          <w:szCs w:val="32"/>
          <w:shd w:val="clear" w:color="auto" w:fill="FFFFFF"/>
        </w:rPr>
        <w:t>绩效分析</w:t>
      </w:r>
      <w:r>
        <w:rPr>
          <w:rFonts w:hint="eastAsia" w:ascii="仿宋_GB2312" w:hAnsi="仿宋_GB2312" w:eastAsia="仿宋_GB2312" w:cs="仿宋_GB2312"/>
          <w:color w:val="333333"/>
          <w:kern w:val="0"/>
          <w:sz w:val="32"/>
          <w:szCs w:val="32"/>
          <w:shd w:val="clear" w:color="auto" w:fill="FFFFFF"/>
        </w:rPr>
        <w:t>并评分</w:t>
      </w:r>
      <w:r>
        <w:rPr>
          <w:rFonts w:ascii="仿宋_GB2312" w:hAnsi="仿宋_GB2312" w:eastAsia="仿宋_GB2312" w:cs="仿宋_GB2312"/>
          <w:color w:val="333333"/>
          <w:kern w:val="0"/>
          <w:sz w:val="32"/>
          <w:szCs w:val="32"/>
          <w:shd w:val="clear" w:color="auto" w:fill="FFFFFF"/>
        </w:rPr>
        <w:t>，依次包括履职效能、预算管理、财务管理、资产管理、采购管理等情况。</w:t>
      </w:r>
    </w:p>
    <w:p w14:paraId="30EDA312">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1.履职效能。综合自评得分15分。</w:t>
      </w:r>
    </w:p>
    <w:p w14:paraId="5B6758D6">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2.</w:t>
      </w:r>
      <w:r>
        <w:rPr>
          <w:rFonts w:ascii="仿宋_GB2312" w:hAnsi="仿宋_GB2312" w:eastAsia="仿宋_GB2312" w:cs="仿宋_GB2312"/>
          <w:color w:val="333333"/>
          <w:kern w:val="0"/>
          <w:sz w:val="32"/>
          <w:szCs w:val="32"/>
          <w:shd w:val="clear" w:color="auto" w:fill="FFFFFF"/>
        </w:rPr>
        <w:t>预算管理</w:t>
      </w:r>
      <w:r>
        <w:rPr>
          <w:rFonts w:hint="eastAsia" w:ascii="仿宋_GB2312" w:hAnsi="仿宋_GB2312" w:eastAsia="仿宋_GB2312" w:cs="仿宋_GB2312"/>
          <w:color w:val="333333"/>
          <w:kern w:val="0"/>
          <w:sz w:val="32"/>
          <w:szCs w:val="32"/>
          <w:shd w:val="clear" w:color="auto" w:fill="FFFFFF"/>
        </w:rPr>
        <w:t>。总分共25分，自评21分：预算编制质量严格按要求编制年初部门预算，年初预算编制的科学性和准确性，自评得7分；单位收入统筹完整、有效、执行率高，自评得3分；支出执行进度严格按照执行进度进行，自评得5分，预算年终结余，自评得2分；部门严控“三公”经费、会议、培训、差旅、办节办展、办公设备购置、信息网络及软件购置更新、课题经费等8项一般性支出，“三公”经费均与上年预算数持平，自评得4分。</w:t>
      </w:r>
    </w:p>
    <w:p w14:paraId="53C10CE6">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3.</w:t>
      </w:r>
      <w:r>
        <w:rPr>
          <w:rFonts w:ascii="仿宋_GB2312" w:hAnsi="仿宋_GB2312" w:eastAsia="仿宋_GB2312" w:cs="仿宋_GB2312"/>
          <w:color w:val="333333"/>
          <w:kern w:val="0"/>
          <w:sz w:val="32"/>
          <w:szCs w:val="32"/>
          <w:shd w:val="clear" w:color="auto" w:fill="FFFFFF"/>
        </w:rPr>
        <w:t>财务管理</w:t>
      </w:r>
      <w:r>
        <w:rPr>
          <w:rFonts w:hint="eastAsia" w:ascii="仿宋_GB2312" w:hAnsi="仿宋_GB2312" w:eastAsia="仿宋_GB2312" w:cs="仿宋_GB2312"/>
          <w:color w:val="333333"/>
          <w:kern w:val="0"/>
          <w:sz w:val="32"/>
          <w:szCs w:val="32"/>
          <w:shd w:val="clear" w:color="auto" w:fill="FFFFFF"/>
        </w:rPr>
        <w:t xml:space="preserve">。本部门已按照要求制定了内部财务管理制度，并严格遵照执行，自评得3分；合理设置了财务工作岗位，明确职责权限，并严格实行不相容岗位分离，自评得2分；本部门资金使用完全符合相关财务管理制度规定，不存在违规情况，自评得4分。   </w:t>
      </w:r>
    </w:p>
    <w:p w14:paraId="75C47A60">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4.</w:t>
      </w:r>
      <w:r>
        <w:rPr>
          <w:rFonts w:ascii="仿宋_GB2312" w:hAnsi="仿宋_GB2312" w:eastAsia="仿宋_GB2312" w:cs="仿宋_GB2312"/>
          <w:color w:val="333333"/>
          <w:kern w:val="0"/>
          <w:sz w:val="32"/>
          <w:szCs w:val="32"/>
          <w:shd w:val="clear" w:color="auto" w:fill="FFFFFF"/>
        </w:rPr>
        <w:t>资产管理</w:t>
      </w:r>
      <w:r>
        <w:rPr>
          <w:rFonts w:hint="eastAsia" w:ascii="仿宋_GB2312" w:hAnsi="仿宋_GB2312" w:eastAsia="仿宋_GB2312" w:cs="仿宋_GB2312"/>
          <w:color w:val="333333"/>
          <w:kern w:val="0"/>
          <w:sz w:val="32"/>
          <w:szCs w:val="32"/>
          <w:shd w:val="clear" w:color="auto" w:fill="FFFFFF"/>
        </w:rPr>
        <w:t>。2024年度本单位人均资产变化率无明显变化，资产利用率较高、无单位闲置资产，本项自评综合得9分。</w:t>
      </w:r>
    </w:p>
    <w:p w14:paraId="1B84D7F9">
      <w:pPr>
        <w:pBdr>
          <w:bottom w:val="single" w:color="FFFFFF" w:sz="4" w:space="29"/>
        </w:pBdr>
        <w:tabs>
          <w:tab w:val="left" w:pos="1440"/>
        </w:tabs>
        <w:spacing w:line="576" w:lineRule="atLeas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5.采购管理。本部门2024年度政府采购9个，金川县安宁镇数字乡村二期建设项目（眉山援建）346.5万元，金川县红五军军部二楼文化展示项目47.8万元，2021年特色旅游名镇名村建设项目243.39万元，金川县文旅产业提升振兴项目（分阶段实施）441.98万元，建州70周年庆祝大会方队展演服装采购项目87.41万元，金川县老街红军城文化提升项目32.87万元，阿坝州地十六届运动会服装采购项目32.87万元，第七届古树梨花节暨春季音乐季活动449万元，金川县文化体育和旅游局购置一般公务用车39.96万元，其中本项自评综合得6分。</w:t>
      </w:r>
    </w:p>
    <w:p w14:paraId="0B71C1D8">
      <w:pPr>
        <w:pBdr>
          <w:bottom w:val="single" w:color="FFFFFF" w:sz="4" w:space="29"/>
        </w:pBdr>
        <w:tabs>
          <w:tab w:val="left" w:pos="1440"/>
        </w:tabs>
        <w:spacing w:line="576" w:lineRule="atLeas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三、目标实现情况</w:t>
      </w:r>
    </w:p>
    <w:p w14:paraId="477CE9C4">
      <w:pPr>
        <w:pBdr>
          <w:bottom w:val="single" w:color="FFFFFF" w:sz="4" w:space="29"/>
        </w:pBdr>
        <w:tabs>
          <w:tab w:val="left" w:pos="1440"/>
        </w:tabs>
        <w:spacing w:line="576" w:lineRule="atLeas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（一）部门预算预计目标完成情况年初预算收入671.47元，完成支付671.47万元，其中项目经费完成支付31.88万元。</w:t>
      </w:r>
    </w:p>
    <w:p w14:paraId="39F1446A">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（二）部门预算项目绩效分析。</w:t>
      </w:r>
      <w:r>
        <w:rPr>
          <w:rFonts w:hint="eastAsia" w:ascii="仿宋_GB2312" w:hAnsi="仿宋_GB2312" w:eastAsia="仿宋_GB2312" w:cs="仿宋_GB2312"/>
          <w:color w:val="333333"/>
          <w:kern w:val="0"/>
          <w:sz w:val="32"/>
          <w:szCs w:val="32"/>
          <w:shd w:val="clear" w:color="auto" w:fill="FFFFFF"/>
        </w:rPr>
        <w:t>填报以下数据，并</w:t>
      </w:r>
      <w:r>
        <w:rPr>
          <w:rFonts w:ascii="仿宋_GB2312" w:hAnsi="仿宋_GB2312" w:eastAsia="仿宋_GB2312" w:cs="仿宋_GB2312"/>
          <w:color w:val="333333"/>
          <w:kern w:val="0"/>
          <w:sz w:val="32"/>
          <w:szCs w:val="32"/>
          <w:shd w:val="clear" w:color="auto" w:fill="FFFFFF"/>
        </w:rPr>
        <w:t>根据部门预算绩效评价指标体系“项目绩效”涉及</w:t>
      </w:r>
      <w:r>
        <w:rPr>
          <w:rFonts w:hint="eastAsia" w:ascii="仿宋_GB2312" w:hAnsi="仿宋_GB2312" w:eastAsia="仿宋_GB2312" w:cs="仿宋_GB2312"/>
          <w:color w:val="333333"/>
          <w:kern w:val="0"/>
          <w:sz w:val="32"/>
          <w:szCs w:val="32"/>
          <w:shd w:val="clear" w:color="auto" w:fill="FFFFFF"/>
        </w:rPr>
        <w:t>二、三级</w:t>
      </w:r>
      <w:r>
        <w:rPr>
          <w:rFonts w:ascii="仿宋_GB2312" w:hAnsi="仿宋_GB2312" w:eastAsia="仿宋_GB2312" w:cs="仿宋_GB2312"/>
          <w:color w:val="333333"/>
          <w:kern w:val="0"/>
          <w:sz w:val="32"/>
          <w:szCs w:val="32"/>
          <w:shd w:val="clear" w:color="auto" w:fill="FFFFFF"/>
        </w:rPr>
        <w:t>指标进行</w:t>
      </w:r>
      <w:r>
        <w:rPr>
          <w:rFonts w:hint="eastAsia" w:ascii="仿宋_GB2312" w:hAnsi="仿宋_GB2312" w:eastAsia="仿宋_GB2312" w:cs="仿宋_GB2312"/>
          <w:color w:val="333333"/>
          <w:kern w:val="0"/>
          <w:sz w:val="32"/>
          <w:szCs w:val="32"/>
          <w:shd w:val="clear" w:color="auto" w:fill="FFFFFF"/>
        </w:rPr>
        <w:t>逐项</w:t>
      </w:r>
      <w:r>
        <w:rPr>
          <w:rFonts w:ascii="仿宋_GB2312" w:hAnsi="仿宋_GB2312" w:eastAsia="仿宋_GB2312" w:cs="仿宋_GB2312"/>
          <w:color w:val="333333"/>
          <w:kern w:val="0"/>
          <w:sz w:val="32"/>
          <w:szCs w:val="32"/>
          <w:shd w:val="clear" w:color="auto" w:fill="FFFFFF"/>
        </w:rPr>
        <w:t>绩效分析</w:t>
      </w:r>
      <w:r>
        <w:rPr>
          <w:rFonts w:hint="eastAsia" w:ascii="仿宋_GB2312" w:hAnsi="仿宋_GB2312" w:eastAsia="仿宋_GB2312" w:cs="仿宋_GB2312"/>
          <w:color w:val="333333"/>
          <w:kern w:val="0"/>
          <w:sz w:val="32"/>
          <w:szCs w:val="32"/>
          <w:shd w:val="clear" w:color="auto" w:fill="FFFFFF"/>
        </w:rPr>
        <w:t>并评分</w:t>
      </w:r>
      <w:r>
        <w:rPr>
          <w:rFonts w:ascii="仿宋_GB2312" w:hAnsi="仿宋_GB2312" w:eastAsia="仿宋_GB2312" w:cs="仿宋_GB2312"/>
          <w:color w:val="333333"/>
          <w:kern w:val="0"/>
          <w:sz w:val="32"/>
          <w:szCs w:val="32"/>
          <w:shd w:val="clear" w:color="auto" w:fill="FFFFFF"/>
        </w:rPr>
        <w:t>，依次包括项目决策、项目执行、目标实现等情况</w:t>
      </w:r>
      <w:r>
        <w:rPr>
          <w:rFonts w:hint="eastAsia" w:ascii="仿宋_GB2312" w:hAnsi="仿宋_GB2312" w:eastAsia="仿宋_GB2312" w:cs="仿宋_GB2312"/>
          <w:color w:val="333333"/>
          <w:kern w:val="0"/>
          <w:sz w:val="32"/>
          <w:szCs w:val="32"/>
          <w:shd w:val="clear" w:color="auto" w:fill="FFFFFF"/>
        </w:rPr>
        <w:t>。</w:t>
      </w:r>
    </w:p>
    <w:p w14:paraId="565D73E5">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常年项目绩效分析。该类项目总数</w:t>
      </w:r>
      <w:r>
        <w:rPr>
          <w:rFonts w:hint="eastAsia" w:ascii="仿宋_GB2312" w:hAnsi="仿宋_GB2312" w:eastAsia="仿宋_GB2312" w:cs="仿宋_GB2312"/>
          <w:color w:val="333333"/>
          <w:kern w:val="0"/>
          <w:sz w:val="32"/>
          <w:szCs w:val="32"/>
          <w:shd w:val="clear" w:color="auto" w:fill="FFFFFF"/>
        </w:rPr>
        <w:t>2</w:t>
      </w:r>
      <w:r>
        <w:rPr>
          <w:rFonts w:ascii="仿宋_GB2312" w:hAnsi="仿宋_GB2312" w:eastAsia="仿宋_GB2312" w:cs="仿宋_GB2312"/>
          <w:color w:val="333333"/>
          <w:kern w:val="0"/>
          <w:sz w:val="32"/>
          <w:szCs w:val="32"/>
          <w:shd w:val="clear" w:color="auto" w:fill="FFFFFF"/>
        </w:rPr>
        <w:t>个，涉及预算总金额</w:t>
      </w:r>
      <w:r>
        <w:rPr>
          <w:rFonts w:hint="eastAsia" w:ascii="仿宋_GB2312" w:hAnsi="仿宋_GB2312" w:eastAsia="仿宋_GB2312" w:cs="仿宋_GB2312"/>
          <w:color w:val="333333"/>
          <w:kern w:val="0"/>
          <w:sz w:val="32"/>
          <w:szCs w:val="32"/>
          <w:shd w:val="clear" w:color="auto" w:fill="FFFFFF"/>
        </w:rPr>
        <w:t>31.88</w:t>
      </w:r>
      <w:r>
        <w:rPr>
          <w:rFonts w:ascii="仿宋_GB2312" w:hAnsi="仿宋_GB2312" w:eastAsia="仿宋_GB2312" w:cs="仿宋_GB2312"/>
          <w:color w:val="333333"/>
          <w:kern w:val="0"/>
          <w:sz w:val="32"/>
          <w:szCs w:val="32"/>
          <w:shd w:val="clear" w:color="auto" w:fill="FFFFFF"/>
        </w:rPr>
        <w:t>万元</w:t>
      </w:r>
      <w:r>
        <w:rPr>
          <w:rFonts w:hint="eastAsia" w:ascii="仿宋_GB2312" w:hAnsi="仿宋_GB2312" w:eastAsia="仿宋_GB2312" w:cs="仿宋_GB2312"/>
          <w:color w:val="333333"/>
          <w:kern w:val="0"/>
          <w:sz w:val="32"/>
          <w:szCs w:val="32"/>
          <w:shd w:val="clear" w:color="auto" w:fill="FFFFFF"/>
        </w:rPr>
        <w:t>(旅游发展专项资金20万元，“两馆一站”免开资金11.88万元）</w:t>
      </w:r>
      <w:r>
        <w:rPr>
          <w:rFonts w:ascii="仿宋_GB2312" w:hAnsi="仿宋_GB2312" w:eastAsia="仿宋_GB2312" w:cs="仿宋_GB2312"/>
          <w:color w:val="333333"/>
          <w:kern w:val="0"/>
          <w:sz w:val="32"/>
          <w:szCs w:val="32"/>
          <w:shd w:val="clear" w:color="auto" w:fill="FFFFFF"/>
        </w:rPr>
        <w:t>，1</w:t>
      </w:r>
      <w:r>
        <w:rPr>
          <w:rFonts w:hint="eastAsia" w:ascii="仿宋_GB2312" w:hAnsi="仿宋_GB2312" w:eastAsia="仿宋_GB2312" w:cs="仿宋_GB2312"/>
          <w:color w:val="333333"/>
          <w:kern w:val="0"/>
          <w:sz w:val="32"/>
          <w:szCs w:val="32"/>
          <w:shd w:val="clear" w:color="auto" w:fill="FFFFFF"/>
        </w:rPr>
        <w:t>—</w:t>
      </w:r>
      <w:r>
        <w:rPr>
          <w:rFonts w:ascii="仿宋_GB2312" w:hAnsi="仿宋_GB2312" w:eastAsia="仿宋_GB2312" w:cs="仿宋_GB2312"/>
          <w:color w:val="333333"/>
          <w:kern w:val="0"/>
          <w:sz w:val="32"/>
          <w:szCs w:val="32"/>
          <w:shd w:val="clear" w:color="auto" w:fill="FFFFFF"/>
        </w:rPr>
        <w:t>12月预算执行总体进度为</w:t>
      </w:r>
      <w:r>
        <w:rPr>
          <w:rFonts w:hint="eastAsia" w:ascii="仿宋_GB2312" w:hAnsi="仿宋_GB2312" w:eastAsia="仿宋_GB2312" w:cs="仿宋_GB2312"/>
          <w:color w:val="333333"/>
          <w:kern w:val="0"/>
          <w:sz w:val="32"/>
          <w:szCs w:val="32"/>
          <w:shd w:val="clear" w:color="auto" w:fill="FFFFFF"/>
        </w:rPr>
        <w:t>100</w:t>
      </w:r>
      <w:r>
        <w:rPr>
          <w:rFonts w:ascii="仿宋_GB2312" w:hAnsi="仿宋_GB2312" w:eastAsia="仿宋_GB2312" w:cs="仿宋_GB2312"/>
          <w:color w:val="333333"/>
          <w:kern w:val="0"/>
          <w:sz w:val="32"/>
          <w:szCs w:val="32"/>
          <w:shd w:val="clear" w:color="auto" w:fill="FFFFFF"/>
        </w:rPr>
        <w:t>%，其中：预算结余率大于10%的项目共计</w:t>
      </w:r>
      <w:r>
        <w:rPr>
          <w:rFonts w:hint="eastAsia" w:ascii="仿宋_GB2312" w:hAnsi="仿宋_GB2312" w:eastAsia="仿宋_GB2312" w:cs="仿宋_GB2312"/>
          <w:color w:val="333333"/>
          <w:kern w:val="0"/>
          <w:sz w:val="32"/>
          <w:szCs w:val="32"/>
          <w:shd w:val="clear" w:color="auto" w:fill="FFFFFF"/>
        </w:rPr>
        <w:t>0</w:t>
      </w:r>
      <w:r>
        <w:rPr>
          <w:rFonts w:ascii="仿宋_GB2312" w:hAnsi="仿宋_GB2312" w:eastAsia="仿宋_GB2312" w:cs="仿宋_GB2312"/>
          <w:color w:val="333333"/>
          <w:kern w:val="0"/>
          <w:sz w:val="32"/>
          <w:szCs w:val="32"/>
          <w:shd w:val="clear" w:color="auto" w:fill="FFFFFF"/>
        </w:rPr>
        <w:t>个。</w:t>
      </w:r>
    </w:p>
    <w:p w14:paraId="23E78CA0">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1项目决策。本部门预算项目设立均按规定履行评估论证、申报程序，本项自评得4分，部门预算项目绩效目标与计划期内的任务量、预算安排的资金量匹配情况，绩效目标设置是否科学合理、规范完整、量化细化、预算匹配本项自评得4分，绩效目标设置科学合理、规范完整、量化细化，并在规定时间完成项目入库，本项自评得4分。</w:t>
      </w:r>
    </w:p>
    <w:p w14:paraId="377521EC">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2.项目执行。部门预算项目实际列支内容是否与绩效目标设置方向相符，本项自评得4分。部门预算项目是否采取对应调整措施，本项自评得4分，部门预算项目预算执行情况，本项自评得4分。</w:t>
      </w:r>
    </w:p>
    <w:p w14:paraId="01D2AE9F">
      <w:pPr>
        <w:pBdr>
          <w:bottom w:val="single" w:color="FFFFFF" w:sz="4" w:space="29"/>
        </w:pBdr>
        <w:tabs>
          <w:tab w:val="left" w:pos="1440"/>
        </w:tabs>
        <w:spacing w:line="576" w:lineRule="atLeas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3.目标实现。部门预算项目绩效目标数量指标全部完成，自评得4分，绩效目标实际完成值与预期指标无偏离情况，自评得3分；基本达到预算项目绩效目标效益指标的实施效果，自评得3分。</w:t>
      </w:r>
    </w:p>
    <w:p w14:paraId="709FABFD">
      <w:pPr>
        <w:pBdr>
          <w:bottom w:val="single" w:color="FFFFFF" w:sz="4" w:space="29"/>
        </w:pBdr>
        <w:tabs>
          <w:tab w:val="left" w:pos="1440"/>
        </w:tabs>
        <w:spacing w:line="576" w:lineRule="atLeast"/>
        <w:ind w:firstLine="640" w:firstLineChars="200"/>
        <w:jc w:val="left"/>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（三）</w:t>
      </w:r>
      <w:r>
        <w:rPr>
          <w:rFonts w:ascii="仿宋_GB2312" w:hAnsi="仿宋_GB2312" w:eastAsia="仿宋_GB2312" w:cs="仿宋_GB2312"/>
          <w:color w:val="333333"/>
          <w:kern w:val="0"/>
          <w:sz w:val="32"/>
          <w:szCs w:val="32"/>
          <w:shd w:val="clear" w:color="auto" w:fill="FFFFFF"/>
        </w:rPr>
        <w:t>绩效结果应用情况</w:t>
      </w:r>
      <w:r>
        <w:rPr>
          <w:rFonts w:hint="eastAsia" w:ascii="仿宋_GB2312" w:hAnsi="仿宋_GB2312" w:eastAsia="仿宋_GB2312" w:cs="仿宋_GB2312"/>
          <w:color w:val="333333"/>
          <w:kern w:val="0"/>
          <w:sz w:val="32"/>
          <w:szCs w:val="32"/>
          <w:shd w:val="clear" w:color="auto" w:fill="FFFFFF"/>
        </w:rPr>
        <w:t xml:space="preserve">。本部门绩效目标制定科学合理，并能够保证绩效目标实现。我部严格按照县级部门预算编制通知和有关要求，按时完成基础信息、预算编制等工作，并按时提交部门预算草案，不存在预算编制错误情况。县财政局根据预算编制草案，进行审核，批复。不存在违纪记录的情况。本部门预算决算公开按财政局的要求在收到财政批复后20个工作日在金川县政府中心的信息网站进行公开。本部门所有预算严格按照预算法执行，我部由于工作性质特殊，突发性工作较多，年初预算和当年决算数相比人员经费和公用经费没有达到只减不增要求，预算经费中人员经费是按月拔付，公用经费是按季进行拔付。 </w:t>
      </w:r>
    </w:p>
    <w:p w14:paraId="27131441">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四、评价结论及建议</w:t>
      </w:r>
    </w:p>
    <w:p w14:paraId="792912C4">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ascii="仿宋_GB2312" w:hAnsi="仿宋_GB2312" w:eastAsia="仿宋_GB2312" w:cs="仿宋_GB2312"/>
          <w:color w:val="333333"/>
          <w:kern w:val="0"/>
          <w:sz w:val="32"/>
          <w:szCs w:val="32"/>
          <w:shd w:val="clear" w:color="auto" w:fill="FFFFFF"/>
        </w:rPr>
        <w:t>（一）评价结论。</w:t>
      </w:r>
      <w:r>
        <w:rPr>
          <w:rFonts w:hint="eastAsia" w:ascii="仿宋_GB2312" w:hAnsi="仿宋_GB2312" w:eastAsia="仿宋_GB2312" w:cs="仿宋_GB2312"/>
          <w:color w:val="333333"/>
          <w:kern w:val="0"/>
          <w:sz w:val="32"/>
          <w:szCs w:val="32"/>
          <w:shd w:val="clear" w:color="auto" w:fill="FFFFFF"/>
        </w:rPr>
        <w:t>根据金财监绩〔2025〕35号文件的附件1部门支出绩效评价指标体系进行单位自评，圆满完成绩效自评工作，圆满完成中央、省、州委和县的重要工作、目标任务。</w:t>
      </w:r>
    </w:p>
    <w:p w14:paraId="77316BCA">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本单位总体评价内容内实际得分93分（见附件1）。</w:t>
      </w:r>
    </w:p>
    <w:p w14:paraId="092AD78F">
      <w:pPr>
        <w:pBdr>
          <w:bottom w:val="single" w:color="FFFFFF" w:sz="4" w:space="29"/>
        </w:pBdr>
        <w:tabs>
          <w:tab w:val="left" w:pos="1440"/>
        </w:tabs>
        <w:spacing w:line="576" w:lineRule="atLeast"/>
        <w:ind w:firstLine="640" w:firstLineChars="200"/>
        <w:jc w:val="left"/>
        <w:rPr>
          <w:rFonts w:ascii="仿宋_GB2312" w:hAnsi="仿宋_GB2312" w:eastAsia="仿宋_GB2312" w:cs="仿宋_GB2312"/>
          <w:color w:val="333333"/>
          <w:kern w:val="0"/>
          <w:sz w:val="32"/>
          <w:szCs w:val="32"/>
          <w:shd w:val="clear" w:color="auto" w:fill="FFFFFF"/>
        </w:rPr>
      </w:pPr>
    </w:p>
    <w:p w14:paraId="72F2193C">
      <w:pPr>
        <w:pStyle w:val="16"/>
        <w:shd w:val="clear" w:color="auto" w:fill="FFFFFF"/>
        <w:spacing w:beforeAutospacing="0" w:afterAutospacing="0" w:line="360" w:lineRule="auto"/>
        <w:ind w:firstLine="320" w:firstLineChars="1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五、存在问题</w:t>
      </w:r>
    </w:p>
    <w:p w14:paraId="16580DF3">
      <w:pPr>
        <w:widowControl/>
        <w:adjustRightInd w:val="0"/>
        <w:snapToGrid w:val="0"/>
        <w:spacing w:line="360" w:lineRule="auto"/>
        <w:ind w:firstLine="640" w:firstLineChars="200"/>
        <w:rPr>
          <w:rFonts w:hint="eastAsia"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一是部门决算上报处理效率还需继续提升，二是加快完成机关财务管理规章制度建设、加强会计核算和财务管理能力，及时与县财政局相关科室对接工作，提升工作效率；</w:t>
      </w:r>
    </w:p>
    <w:p w14:paraId="42E86342">
      <w:pPr>
        <w:pStyle w:val="16"/>
        <w:numPr>
          <w:ilvl w:val="0"/>
          <w:numId w:val="3"/>
        </w:numPr>
        <w:shd w:val="clear" w:color="auto" w:fill="FFFFFF"/>
        <w:spacing w:beforeAutospacing="0" w:afterAutospacing="0" w:line="360" w:lineRule="auto"/>
        <w:ind w:firstLine="42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整改措施</w:t>
      </w:r>
    </w:p>
    <w:p w14:paraId="70871F88">
      <w:pPr>
        <w:pStyle w:val="16"/>
        <w:shd w:val="clear" w:color="auto" w:fill="FFFFFF"/>
        <w:spacing w:beforeAutospacing="0" w:afterAutospacing="0" w:line="36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（一）高度重视，成立组织机构。</w:t>
      </w:r>
    </w:p>
    <w:p w14:paraId="4ED84925">
      <w:pPr>
        <w:pStyle w:val="16"/>
        <w:shd w:val="clear" w:color="auto" w:fill="FFFFFF"/>
        <w:spacing w:beforeAutospacing="0" w:afterAutospacing="0" w:line="36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我单位高度重视部门绩效运行监控管理工作，建立健全相关组织机构。</w:t>
      </w:r>
    </w:p>
    <w:p w14:paraId="5BAAC028">
      <w:pPr>
        <w:pStyle w:val="16"/>
        <w:shd w:val="clear" w:color="auto" w:fill="FFFFFF"/>
        <w:spacing w:beforeAutospacing="0" w:afterAutospacing="0" w:line="360" w:lineRule="auto"/>
        <w:ind w:firstLine="640" w:firstLineChars="200"/>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(二)严密组织，认真开展自评工作。我单位严密组织开展部门绩效运行监控管理工作，对照相关信息，严格按照评价体系评价相关项目，认真汇总梳理整体绩效情况，积极推进项目预算支付进程。</w:t>
      </w:r>
    </w:p>
    <w:p w14:paraId="0E41C80D">
      <w:pPr>
        <w:pStyle w:val="6"/>
        <w:spacing w:before="93"/>
        <w:rPr>
          <w:rFonts w:hAnsi="仿宋_GB2312" w:cs="仿宋_GB2312"/>
          <w:color w:val="333333"/>
          <w:sz w:val="32"/>
          <w:szCs w:val="32"/>
          <w:shd w:val="clear" w:color="auto" w:fill="FFFFFF"/>
        </w:rPr>
      </w:pPr>
    </w:p>
    <w:p w14:paraId="1A73F5F7">
      <w:pPr>
        <w:keepNext w:val="0"/>
        <w:keepLines w:val="0"/>
        <w:pageBreakBefore w:val="0"/>
        <w:kinsoku/>
        <w:wordWrap/>
        <w:overflowPunct/>
        <w:topLinePunct w:val="0"/>
        <w:autoSpaceDE/>
        <w:autoSpaceDN/>
        <w:bidi w:val="0"/>
        <w:spacing w:line="578" w:lineRule="exact"/>
        <w:jc w:val="center"/>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3EF65EF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3"/>
        <w:gridCol w:w="308"/>
        <w:gridCol w:w="831"/>
        <w:gridCol w:w="217"/>
        <w:gridCol w:w="999"/>
        <w:gridCol w:w="78"/>
        <w:gridCol w:w="563"/>
        <w:gridCol w:w="209"/>
        <w:gridCol w:w="894"/>
        <w:gridCol w:w="1008"/>
        <w:gridCol w:w="826"/>
        <w:gridCol w:w="722"/>
        <w:gridCol w:w="33"/>
        <w:gridCol w:w="590"/>
        <w:gridCol w:w="302"/>
        <w:gridCol w:w="156"/>
      </w:tblGrid>
      <w:tr w14:paraId="7906F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2242"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16F0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2187"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487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349" w:type="pct"/>
            <w:vMerge w:val="restart"/>
            <w:tcBorders>
              <w:top w:val="single" w:color="000000" w:sz="4" w:space="0"/>
              <w:left w:val="single" w:color="000000" w:sz="4" w:space="0"/>
              <w:right w:val="single" w:color="000000" w:sz="4" w:space="0"/>
            </w:tcBorders>
            <w:shd w:val="clear" w:color="auto" w:fill="auto"/>
            <w:vAlign w:val="center"/>
          </w:tcPr>
          <w:p w14:paraId="3DF335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220" w:type="pct"/>
            <w:gridSpan w:val="2"/>
            <w:vMerge w:val="restart"/>
            <w:tcBorders>
              <w:top w:val="single" w:color="000000" w:sz="4" w:space="0"/>
              <w:left w:val="single" w:color="000000" w:sz="4" w:space="0"/>
              <w:right w:val="single" w:color="000000" w:sz="4" w:space="0"/>
            </w:tcBorders>
            <w:shd w:val="clear" w:color="auto" w:fill="auto"/>
            <w:vAlign w:val="center"/>
          </w:tcPr>
          <w:p w14:paraId="5A0B37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1F6ED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tcBorders>
              <w:top w:val="single" w:color="000000" w:sz="4" w:space="0"/>
              <w:left w:val="single" w:color="000000" w:sz="4" w:space="0"/>
              <w:bottom w:val="single" w:color="000000" w:sz="4" w:space="0"/>
              <w:right w:val="nil"/>
            </w:tcBorders>
            <w:shd w:val="clear" w:color="auto" w:fill="auto"/>
            <w:vAlign w:val="center"/>
          </w:tcPr>
          <w:p w14:paraId="3FE77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6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E24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BA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C0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2187"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D40D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349" w:type="pct"/>
            <w:vMerge w:val="continue"/>
            <w:tcBorders>
              <w:left w:val="single" w:color="000000" w:sz="4" w:space="0"/>
              <w:bottom w:val="single" w:color="000000" w:sz="4" w:space="0"/>
              <w:right w:val="single" w:color="000000" w:sz="4" w:space="0"/>
            </w:tcBorders>
            <w:shd w:val="clear" w:color="auto" w:fill="auto"/>
            <w:vAlign w:val="center"/>
          </w:tcPr>
          <w:p w14:paraId="191ED1D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220" w:type="pct"/>
            <w:gridSpan w:val="2"/>
            <w:vMerge w:val="continue"/>
            <w:tcBorders>
              <w:left w:val="single" w:color="000000" w:sz="4" w:space="0"/>
              <w:bottom w:val="single" w:color="000000" w:sz="4" w:space="0"/>
              <w:right w:val="single" w:color="000000" w:sz="4" w:space="0"/>
            </w:tcBorders>
            <w:shd w:val="clear" w:color="auto" w:fill="auto"/>
            <w:vAlign w:val="center"/>
          </w:tcPr>
          <w:p w14:paraId="47C1982E">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5FE0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4CB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675" w:type="pct"/>
            <w:gridSpan w:val="2"/>
            <w:vMerge w:val="restart"/>
            <w:tcBorders>
              <w:top w:val="single" w:color="000000" w:sz="4" w:space="0"/>
              <w:left w:val="single" w:color="000000" w:sz="4" w:space="0"/>
              <w:right w:val="single" w:color="000000" w:sz="4" w:space="0"/>
            </w:tcBorders>
            <w:shd w:val="clear" w:color="auto" w:fill="auto"/>
            <w:vAlign w:val="center"/>
          </w:tcPr>
          <w:p w14:paraId="4D310C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A53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333" w:type="pct"/>
            <w:tcBorders>
              <w:top w:val="nil"/>
              <w:left w:val="single" w:color="000000" w:sz="4" w:space="0"/>
              <w:bottom w:val="single" w:color="000000" w:sz="4" w:space="0"/>
              <w:right w:val="single" w:color="000000" w:sz="4" w:space="0"/>
            </w:tcBorders>
            <w:shd w:val="clear" w:color="auto" w:fill="auto"/>
            <w:vAlign w:val="center"/>
          </w:tcPr>
          <w:p w14:paraId="1E2B1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87" w:type="pct"/>
            <w:gridSpan w:val="6"/>
            <w:vMerge w:val="restart"/>
            <w:tcBorders>
              <w:top w:val="single" w:color="000000" w:sz="4" w:space="0"/>
              <w:left w:val="single" w:color="000000" w:sz="4" w:space="0"/>
              <w:right w:val="single" w:color="000000" w:sz="4" w:space="0"/>
            </w:tcBorders>
            <w:shd w:val="clear" w:color="auto" w:fill="auto"/>
            <w:vAlign w:val="center"/>
          </w:tcPr>
          <w:p w14:paraId="6C526D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019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92D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4E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left w:val="single" w:color="000000" w:sz="4" w:space="0"/>
              <w:right w:val="single" w:color="000000" w:sz="4" w:space="0"/>
            </w:tcBorders>
            <w:shd w:val="clear" w:color="auto" w:fill="auto"/>
            <w:vAlign w:val="center"/>
          </w:tcPr>
          <w:p w14:paraId="53F69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675" w:type="pct"/>
            <w:gridSpan w:val="2"/>
            <w:vMerge w:val="continue"/>
            <w:tcBorders>
              <w:left w:val="single" w:color="000000" w:sz="4" w:space="0"/>
              <w:right w:val="single" w:color="000000" w:sz="4" w:space="0"/>
            </w:tcBorders>
            <w:shd w:val="clear" w:color="auto" w:fill="auto"/>
            <w:vAlign w:val="center"/>
          </w:tcPr>
          <w:p w14:paraId="5BC1C7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7D3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333" w:type="pct"/>
            <w:tcBorders>
              <w:top w:val="nil"/>
              <w:left w:val="single" w:color="000000" w:sz="4" w:space="0"/>
              <w:bottom w:val="single" w:color="000000" w:sz="4" w:space="0"/>
              <w:right w:val="single" w:color="000000" w:sz="4" w:space="0"/>
            </w:tcBorders>
            <w:shd w:val="clear" w:color="auto" w:fill="auto"/>
            <w:vAlign w:val="center"/>
          </w:tcPr>
          <w:p w14:paraId="5A942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187" w:type="pct"/>
            <w:gridSpan w:val="6"/>
            <w:vMerge w:val="continue"/>
            <w:tcBorders>
              <w:left w:val="single" w:color="000000" w:sz="4" w:space="0"/>
              <w:right w:val="single" w:color="000000" w:sz="4" w:space="0"/>
            </w:tcBorders>
            <w:shd w:val="clear" w:color="auto" w:fill="auto"/>
            <w:vAlign w:val="center"/>
          </w:tcPr>
          <w:p w14:paraId="4C2A80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FBC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5C3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1EF0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left w:val="single" w:color="000000" w:sz="4" w:space="0"/>
              <w:right w:val="single" w:color="000000" w:sz="4" w:space="0"/>
            </w:tcBorders>
            <w:shd w:val="clear" w:color="auto" w:fill="auto"/>
            <w:vAlign w:val="center"/>
          </w:tcPr>
          <w:p w14:paraId="7169FB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675" w:type="pct"/>
            <w:gridSpan w:val="2"/>
            <w:vMerge w:val="continue"/>
            <w:tcBorders>
              <w:left w:val="single" w:color="000000" w:sz="4" w:space="0"/>
              <w:bottom w:val="single" w:color="000000" w:sz="4" w:space="0"/>
              <w:right w:val="single" w:color="000000" w:sz="4" w:space="0"/>
            </w:tcBorders>
            <w:shd w:val="clear" w:color="auto" w:fill="auto"/>
            <w:vAlign w:val="center"/>
          </w:tcPr>
          <w:p w14:paraId="6D3B49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534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XX履职效果</w:t>
            </w:r>
          </w:p>
        </w:tc>
        <w:tc>
          <w:tcPr>
            <w:tcW w:w="333" w:type="pct"/>
            <w:tcBorders>
              <w:top w:val="nil"/>
              <w:left w:val="single" w:color="000000" w:sz="4" w:space="0"/>
              <w:bottom w:val="single" w:color="000000" w:sz="4" w:space="0"/>
              <w:right w:val="single" w:color="000000" w:sz="4" w:space="0"/>
            </w:tcBorders>
            <w:shd w:val="clear" w:color="auto" w:fill="auto"/>
            <w:vAlign w:val="center"/>
          </w:tcPr>
          <w:p w14:paraId="3F78B1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187" w:type="pct"/>
            <w:gridSpan w:val="6"/>
            <w:vMerge w:val="continue"/>
            <w:tcBorders>
              <w:left w:val="single" w:color="000000" w:sz="4" w:space="0"/>
              <w:bottom w:val="single" w:color="000000" w:sz="4" w:space="0"/>
              <w:right w:val="single" w:color="000000" w:sz="4" w:space="0"/>
            </w:tcBorders>
            <w:shd w:val="clear" w:color="auto" w:fill="auto"/>
            <w:vAlign w:val="center"/>
          </w:tcPr>
          <w:p w14:paraId="4957FC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527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4E6A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6284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E6F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D2C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34A0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0B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25A4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CDE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B09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87D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2FB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9E0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182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764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4FCC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5F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9A2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3DEE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61C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19D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49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68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B8FB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69B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CFA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E16C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C6A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32C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7FA6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A3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9404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E17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FCA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06F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D42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343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D3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4F9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E17D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B6A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C4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2754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604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B5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724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3A3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3D17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DA1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897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B22F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B53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602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69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4D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F093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B1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CFD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C531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8C0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4F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A2B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058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C5E0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75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DC1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C344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04E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EC1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61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495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691A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70F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459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7464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E8F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179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1CC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29D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396E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4F3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9CF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F57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01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67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FB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8F1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6B6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22A1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935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37D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E27A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31D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1B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BD09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A9D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43F3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7C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80E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0434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3E7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BFA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91AF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9AF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2533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DDC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51F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A4D2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46E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675" w:type="pct"/>
            <w:gridSpan w:val="2"/>
            <w:vMerge w:val="restart"/>
            <w:tcBorders>
              <w:top w:val="single" w:color="000000" w:sz="4" w:space="0"/>
              <w:left w:val="single" w:color="000000" w:sz="4" w:space="0"/>
              <w:bottom w:val="nil"/>
              <w:right w:val="single" w:color="000000" w:sz="4" w:space="0"/>
            </w:tcBorders>
            <w:shd w:val="clear" w:color="auto" w:fill="auto"/>
            <w:vAlign w:val="center"/>
          </w:tcPr>
          <w:p w14:paraId="47A64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DF8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3AF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C2A3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451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F52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39F0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B5B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nil"/>
              <w:right w:val="single" w:color="000000" w:sz="4" w:space="0"/>
            </w:tcBorders>
            <w:shd w:val="clear" w:color="auto" w:fill="auto"/>
            <w:vAlign w:val="center"/>
          </w:tcPr>
          <w:p w14:paraId="069E0A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B40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A1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A4E2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035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C42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80D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C50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nil"/>
              <w:right w:val="single" w:color="000000" w:sz="4" w:space="0"/>
            </w:tcBorders>
            <w:shd w:val="clear" w:color="auto" w:fill="auto"/>
            <w:vAlign w:val="center"/>
          </w:tcPr>
          <w:p w14:paraId="64CEF8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4C8B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FC9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76B2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C05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7C8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80D6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E9B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restart"/>
            <w:tcBorders>
              <w:top w:val="single" w:color="000000" w:sz="4" w:space="0"/>
              <w:left w:val="single" w:color="000000" w:sz="4" w:space="0"/>
              <w:bottom w:val="nil"/>
              <w:right w:val="single" w:color="000000" w:sz="4" w:space="0"/>
            </w:tcBorders>
            <w:shd w:val="clear" w:color="auto" w:fill="auto"/>
            <w:vAlign w:val="center"/>
          </w:tcPr>
          <w:p w14:paraId="1D14C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5F4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EF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FE02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BA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04D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1697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850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nil"/>
              <w:right w:val="single" w:color="000000" w:sz="4" w:space="0"/>
            </w:tcBorders>
            <w:shd w:val="clear" w:color="auto" w:fill="auto"/>
            <w:vAlign w:val="center"/>
          </w:tcPr>
          <w:p w14:paraId="70240A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nil"/>
              <w:right w:val="single" w:color="000000" w:sz="4" w:space="0"/>
            </w:tcBorders>
            <w:shd w:val="clear" w:color="auto" w:fill="auto"/>
            <w:vAlign w:val="center"/>
          </w:tcPr>
          <w:p w14:paraId="696152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A1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B562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38E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74D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42B0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299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nil"/>
              <w:right w:val="single" w:color="000000" w:sz="4" w:space="0"/>
            </w:tcBorders>
            <w:shd w:val="clear" w:color="auto" w:fill="auto"/>
            <w:vAlign w:val="center"/>
          </w:tcPr>
          <w:p w14:paraId="22433F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70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F9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173A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4E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D39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18F4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498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575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C80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99A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3692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2CF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E86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179B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69A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594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2395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AA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BBA1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08F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25B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050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F06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6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557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2CF6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71A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28FF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C3D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9AF2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FC01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B6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4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FC2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602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1085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A27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2D4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33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B9A98">
            <w:pPr>
              <w:pStyle w:val="2"/>
              <w:ind w:left="0" w:leftChars="0" w:firstLine="0" w:firstLineChars="0"/>
              <w:rPr>
                <w:rFonts w:hint="eastAsia" w:ascii="宋体" w:hAnsi="宋体" w:eastAsia="宋体" w:cs="宋体"/>
                <w:b/>
                <w:i w:val="0"/>
                <w:color w:val="000000"/>
                <w:kern w:val="0"/>
                <w:sz w:val="24"/>
                <w:szCs w:val="24"/>
                <w:u w:val="none"/>
                <w:lang w:val="en-US" w:eastAsia="zh-CN" w:bidi="ar"/>
              </w:rPr>
            </w:pPr>
          </w:p>
        </w:tc>
        <w:tc>
          <w:tcPr>
            <w:tcW w:w="14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8E0A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51E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p>
        </w:tc>
        <w:tc>
          <w:tcPr>
            <w:tcW w:w="21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E2AF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59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2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2C3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B19F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762" w:hRule="exact"/>
          <w:jc w:val="center"/>
        </w:trPr>
        <w:tc>
          <w:tcPr>
            <w:tcW w:w="4924" w:type="pct"/>
            <w:gridSpan w:val="15"/>
            <w:shd w:val="clear" w:color="auto" w:fill="auto"/>
            <w:noWrap w:val="0"/>
            <w:vAlign w:val="center"/>
          </w:tcPr>
          <w:p w14:paraId="77AD830A">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364617A7">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7D20D10B">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72F66BA5">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p w14:paraId="6E41C1B9">
            <w:pPr>
              <w:keepNext w:val="0"/>
              <w:keepLines w:val="0"/>
              <w:pageBreakBefore w:val="0"/>
              <w:widowControl/>
              <w:suppressLineNumbers w:val="0"/>
              <w:kinsoku/>
              <w:wordWrap/>
              <w:overflowPunct/>
              <w:topLinePunct w:val="0"/>
              <w:autoSpaceDE/>
              <w:autoSpaceDN/>
              <w:bidi w:val="0"/>
              <w:adjustRightInd/>
              <w:snapToGrid/>
              <w:spacing w:line="600" w:lineRule="exact"/>
              <w:ind w:firstLine="2240" w:firstLineChars="700"/>
              <w:jc w:val="both"/>
              <w:textAlignment w:val="center"/>
              <w:outlineLvl w:val="9"/>
              <w:rPr>
                <w:rFonts w:hint="eastAsia" w:ascii="仿宋" w:hAnsi="仿宋" w:eastAsia="仿宋" w:cs="仿宋"/>
                <w:b w:val="0"/>
                <w:bCs w:val="0"/>
                <w:i w:val="0"/>
                <w:color w:val="000000"/>
                <w:kern w:val="0"/>
                <w:sz w:val="32"/>
                <w:szCs w:val="32"/>
                <w:u w:val="none"/>
                <w:lang w:val="en-US" w:eastAsia="zh-CN" w:bidi="ar"/>
              </w:rPr>
            </w:pPr>
          </w:p>
        </w:tc>
      </w:tr>
      <w:tr w14:paraId="13B90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762" w:hRule="exact"/>
          <w:jc w:val="center"/>
        </w:trPr>
        <w:tc>
          <w:tcPr>
            <w:tcW w:w="4924" w:type="pct"/>
            <w:gridSpan w:val="15"/>
            <w:shd w:val="clear" w:color="auto" w:fill="auto"/>
            <w:noWrap w:val="0"/>
            <w:vAlign w:val="center"/>
          </w:tcPr>
          <w:p w14:paraId="6D525408">
            <w:pPr>
              <w:keepNext w:val="0"/>
              <w:keepLines w:val="0"/>
              <w:pageBreakBefore w:val="0"/>
              <w:widowControl/>
              <w:suppressLineNumbers w:val="0"/>
              <w:kinsoku/>
              <w:wordWrap/>
              <w:overflowPunct/>
              <w:topLinePunct w:val="0"/>
              <w:autoSpaceDE/>
              <w:autoSpaceDN/>
              <w:bidi w:val="0"/>
              <w:adjustRightInd/>
              <w:snapToGrid/>
              <w:spacing w:line="600" w:lineRule="exact"/>
              <w:ind w:firstLine="2240" w:firstLineChars="700"/>
              <w:jc w:val="both"/>
              <w:textAlignment w:val="center"/>
              <w:outlineLvl w:val="9"/>
              <w:rPr>
                <w:rFonts w:hint="eastAsia" w:ascii="仿宋" w:hAnsi="仿宋" w:eastAsia="仿宋" w:cs="仿宋"/>
                <w:b w:val="0"/>
                <w:bCs w:val="0"/>
                <w:i w:val="0"/>
                <w:color w:val="000000"/>
                <w:kern w:val="0"/>
                <w:sz w:val="32"/>
                <w:szCs w:val="32"/>
                <w:u w:val="none"/>
                <w:lang w:val="en-US" w:eastAsia="zh-CN" w:bidi="ar"/>
              </w:rPr>
            </w:pPr>
          </w:p>
          <w:p w14:paraId="70DEC3D2">
            <w:pPr>
              <w:pStyle w:val="2"/>
              <w:rPr>
                <w:rFonts w:hint="eastAsia" w:ascii="仿宋" w:hAnsi="仿宋" w:eastAsia="仿宋" w:cs="仿宋"/>
                <w:b w:val="0"/>
                <w:bCs w:val="0"/>
                <w:i w:val="0"/>
                <w:color w:val="000000"/>
                <w:kern w:val="0"/>
                <w:sz w:val="32"/>
                <w:szCs w:val="32"/>
                <w:u w:val="none"/>
                <w:lang w:val="en-US" w:eastAsia="zh-CN" w:bidi="ar"/>
              </w:rPr>
            </w:pPr>
          </w:p>
          <w:p w14:paraId="13ABAD82">
            <w:pPr>
              <w:pStyle w:val="2"/>
              <w:rPr>
                <w:rFonts w:hint="eastAsia" w:ascii="仿宋" w:hAnsi="仿宋" w:eastAsia="仿宋" w:cs="仿宋"/>
                <w:b w:val="0"/>
                <w:bCs w:val="0"/>
                <w:i w:val="0"/>
                <w:color w:val="000000"/>
                <w:kern w:val="0"/>
                <w:sz w:val="32"/>
                <w:szCs w:val="32"/>
                <w:u w:val="none"/>
                <w:lang w:val="en-US" w:eastAsia="zh-CN" w:bidi="ar"/>
              </w:rPr>
            </w:pPr>
          </w:p>
          <w:p w14:paraId="523A6758">
            <w:pPr>
              <w:pStyle w:val="2"/>
              <w:rPr>
                <w:rFonts w:hint="eastAsia" w:ascii="仿宋" w:hAnsi="仿宋" w:eastAsia="仿宋" w:cs="仿宋"/>
                <w:b w:val="0"/>
                <w:bCs w:val="0"/>
                <w:i w:val="0"/>
                <w:color w:val="000000"/>
                <w:kern w:val="0"/>
                <w:sz w:val="32"/>
                <w:szCs w:val="32"/>
                <w:u w:val="none"/>
                <w:lang w:val="en-US" w:eastAsia="zh-CN" w:bidi="ar"/>
              </w:rPr>
            </w:pPr>
          </w:p>
          <w:p w14:paraId="16C151AF">
            <w:pPr>
              <w:pStyle w:val="2"/>
              <w:rPr>
                <w:rFonts w:hint="eastAsia" w:ascii="仿宋" w:hAnsi="仿宋" w:eastAsia="仿宋" w:cs="仿宋"/>
                <w:b w:val="0"/>
                <w:bCs w:val="0"/>
                <w:i w:val="0"/>
                <w:color w:val="000000"/>
                <w:kern w:val="0"/>
                <w:sz w:val="32"/>
                <w:szCs w:val="32"/>
                <w:u w:val="none"/>
                <w:lang w:val="en-US" w:eastAsia="zh-CN" w:bidi="ar"/>
              </w:rPr>
            </w:pPr>
          </w:p>
          <w:p w14:paraId="32F794F2">
            <w:pPr>
              <w:pStyle w:val="2"/>
              <w:rPr>
                <w:rFonts w:hint="eastAsia" w:ascii="仿宋" w:hAnsi="仿宋" w:eastAsia="仿宋" w:cs="仿宋"/>
                <w:b w:val="0"/>
                <w:bCs w:val="0"/>
                <w:i w:val="0"/>
                <w:color w:val="000000"/>
                <w:kern w:val="0"/>
                <w:sz w:val="32"/>
                <w:szCs w:val="32"/>
                <w:u w:val="none"/>
                <w:lang w:val="en-US" w:eastAsia="zh-CN" w:bidi="ar"/>
              </w:rPr>
            </w:pPr>
          </w:p>
          <w:p w14:paraId="4B472A11">
            <w:pPr>
              <w:pStyle w:val="2"/>
              <w:rPr>
                <w:rFonts w:hint="eastAsia" w:ascii="仿宋" w:hAnsi="仿宋" w:eastAsia="仿宋" w:cs="仿宋"/>
                <w:b w:val="0"/>
                <w:bCs w:val="0"/>
                <w:i w:val="0"/>
                <w:color w:val="000000"/>
                <w:kern w:val="0"/>
                <w:sz w:val="32"/>
                <w:szCs w:val="32"/>
                <w:u w:val="none"/>
                <w:lang w:val="en-US" w:eastAsia="zh-CN" w:bidi="ar"/>
              </w:rPr>
            </w:pPr>
          </w:p>
        </w:tc>
      </w:tr>
      <w:tr w14:paraId="0C8F7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7944" w:hRule="exact"/>
          <w:jc w:val="center"/>
        </w:trPr>
        <w:tc>
          <w:tcPr>
            <w:tcW w:w="4924" w:type="pct"/>
            <w:gridSpan w:val="15"/>
            <w:shd w:val="clear" w:color="auto" w:fill="auto"/>
            <w:noWrap w:val="0"/>
            <w:vAlign w:val="center"/>
          </w:tcPr>
          <w:p w14:paraId="13089784">
            <w:pPr>
              <w:pStyle w:val="2"/>
              <w:rPr>
                <w:rFonts w:hint="eastAsia" w:ascii="仿宋" w:hAnsi="仿宋" w:eastAsia="仿宋" w:cs="仿宋"/>
                <w:b w:val="0"/>
                <w:bCs w:val="0"/>
                <w:i w:val="0"/>
                <w:color w:val="000000"/>
                <w:kern w:val="0"/>
                <w:sz w:val="32"/>
                <w:szCs w:val="32"/>
                <w:u w:val="none"/>
                <w:lang w:val="en-US" w:eastAsia="zh-CN" w:bidi="ar"/>
              </w:rPr>
            </w:pPr>
          </w:p>
          <w:p w14:paraId="1E273D29">
            <w:pPr>
              <w:pStyle w:val="2"/>
              <w:rPr>
                <w:rFonts w:hint="eastAsia" w:ascii="仿宋" w:hAnsi="仿宋" w:eastAsia="仿宋" w:cs="仿宋"/>
                <w:b w:val="0"/>
                <w:bCs w:val="0"/>
                <w:i w:val="0"/>
                <w:color w:val="000000"/>
                <w:kern w:val="0"/>
                <w:sz w:val="32"/>
                <w:szCs w:val="32"/>
                <w:u w:val="none"/>
                <w:lang w:val="en-US" w:eastAsia="zh-CN" w:bidi="ar"/>
              </w:rPr>
            </w:pPr>
          </w:p>
          <w:p w14:paraId="4F2F4FF5">
            <w:pPr>
              <w:pStyle w:val="2"/>
              <w:rPr>
                <w:rFonts w:hint="eastAsia" w:ascii="仿宋" w:hAnsi="仿宋" w:eastAsia="仿宋" w:cs="仿宋"/>
                <w:b w:val="0"/>
                <w:bCs w:val="0"/>
                <w:i w:val="0"/>
                <w:color w:val="000000"/>
                <w:kern w:val="0"/>
                <w:sz w:val="32"/>
                <w:szCs w:val="32"/>
                <w:u w:val="none"/>
                <w:lang w:val="en-US" w:eastAsia="zh-CN" w:bidi="ar"/>
              </w:rPr>
            </w:pPr>
          </w:p>
          <w:p w14:paraId="2585657F">
            <w:pPr>
              <w:pStyle w:val="2"/>
              <w:rPr>
                <w:rFonts w:hint="eastAsia" w:ascii="仿宋" w:hAnsi="仿宋" w:eastAsia="仿宋" w:cs="仿宋"/>
                <w:b w:val="0"/>
                <w:bCs w:val="0"/>
                <w:i w:val="0"/>
                <w:color w:val="000000"/>
                <w:kern w:val="0"/>
                <w:sz w:val="32"/>
                <w:szCs w:val="32"/>
                <w:u w:val="none"/>
                <w:lang w:val="en-US" w:eastAsia="zh-CN" w:bidi="ar"/>
              </w:rPr>
            </w:pPr>
          </w:p>
          <w:p w14:paraId="40D42DB8">
            <w:pPr>
              <w:pStyle w:val="2"/>
              <w:rPr>
                <w:rFonts w:hint="eastAsia" w:ascii="仿宋" w:hAnsi="仿宋" w:eastAsia="仿宋" w:cs="仿宋"/>
                <w:b w:val="0"/>
                <w:bCs w:val="0"/>
                <w:i w:val="0"/>
                <w:color w:val="000000"/>
                <w:kern w:val="0"/>
                <w:sz w:val="32"/>
                <w:szCs w:val="32"/>
                <w:u w:val="none"/>
                <w:lang w:val="en-US" w:eastAsia="zh-CN" w:bidi="ar"/>
              </w:rPr>
            </w:pPr>
          </w:p>
        </w:tc>
      </w:tr>
      <w:tr w14:paraId="4DF04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805" w:hRule="exact"/>
          <w:jc w:val="center"/>
        </w:trPr>
        <w:tc>
          <w:tcPr>
            <w:tcW w:w="4924" w:type="pct"/>
            <w:gridSpan w:val="15"/>
            <w:shd w:val="clear" w:color="auto" w:fill="auto"/>
            <w:noWrap w:val="0"/>
            <w:vAlign w:val="center"/>
          </w:tcPr>
          <w:p w14:paraId="73C4AD54">
            <w:pPr>
              <w:keepNext w:val="0"/>
              <w:keepLines w:val="0"/>
              <w:pageBreakBefore w:val="0"/>
              <w:widowControl/>
              <w:suppressLineNumbers w:val="0"/>
              <w:kinsoku/>
              <w:wordWrap/>
              <w:overflowPunct/>
              <w:topLinePunct w:val="0"/>
              <w:autoSpaceDE/>
              <w:autoSpaceDN/>
              <w:bidi w:val="0"/>
              <w:adjustRightInd/>
              <w:snapToGrid/>
              <w:spacing w:line="600" w:lineRule="exact"/>
              <w:ind w:firstLine="2240" w:firstLineChars="700"/>
              <w:jc w:val="both"/>
              <w:textAlignment w:val="center"/>
              <w:outlineLvl w:val="9"/>
              <w:rPr>
                <w:rFonts w:hint="eastAsia" w:ascii="仿宋" w:hAnsi="仿宋" w:eastAsia="仿宋" w:cs="仿宋"/>
                <w:i w:val="0"/>
                <w:color w:val="000000"/>
                <w:sz w:val="28"/>
                <w:szCs w:val="28"/>
                <w:u w:val="none"/>
              </w:rPr>
            </w:pPr>
            <w:r>
              <w:rPr>
                <w:rFonts w:hint="eastAsia" w:ascii="仿宋" w:hAnsi="仿宋" w:eastAsia="仿宋" w:cs="仿宋"/>
                <w:b w:val="0"/>
                <w:bCs w:val="0"/>
                <w:i w:val="0"/>
                <w:color w:val="000000"/>
                <w:kern w:val="0"/>
                <w:sz w:val="32"/>
                <w:szCs w:val="32"/>
                <w:u w:val="none"/>
                <w:lang w:val="en-US" w:eastAsia="zh-CN" w:bidi="ar"/>
              </w:rPr>
              <w:t>部门整体支出绩效目标完成情况自评表</w:t>
            </w:r>
          </w:p>
        </w:tc>
      </w:tr>
      <w:tr w14:paraId="01AA3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90" w:hRule="exact"/>
          <w:jc w:val="center"/>
        </w:trPr>
        <w:tc>
          <w:tcPr>
            <w:tcW w:w="4924" w:type="pct"/>
            <w:gridSpan w:val="15"/>
            <w:shd w:val="clear" w:color="auto" w:fill="auto"/>
            <w:noWrap w:val="0"/>
            <w:vAlign w:val="center"/>
          </w:tcPr>
          <w:p w14:paraId="71CEB922">
            <w:pPr>
              <w:keepNext w:val="0"/>
              <w:keepLines w:val="0"/>
              <w:pageBreakBefore w:val="0"/>
              <w:widowControl/>
              <w:suppressLineNumbers w:val="0"/>
              <w:kinsoku/>
              <w:wordWrap/>
              <w:overflowPunct/>
              <w:topLinePunct w:val="0"/>
              <w:autoSpaceDE/>
              <w:autoSpaceDN/>
              <w:bidi w:val="0"/>
              <w:adjustRightInd/>
              <w:snapToGrid/>
              <w:spacing w:line="600" w:lineRule="exact"/>
              <w:ind w:firstLine="2240" w:firstLineChars="700"/>
              <w:jc w:val="both"/>
              <w:textAlignment w:val="center"/>
              <w:outlineLvl w:val="9"/>
              <w:rPr>
                <w:rFonts w:hint="eastAsia" w:ascii="仿宋" w:hAnsi="仿宋" w:eastAsia="仿宋" w:cs="仿宋"/>
                <w:b w:val="0"/>
                <w:bCs w:val="0"/>
                <w:i w:val="0"/>
                <w:color w:val="000000"/>
                <w:kern w:val="0"/>
                <w:sz w:val="32"/>
                <w:szCs w:val="32"/>
                <w:u w:val="none"/>
                <w:lang w:val="en-US" w:eastAsia="zh-CN" w:bidi="ar"/>
              </w:rPr>
            </w:pPr>
          </w:p>
          <w:p w14:paraId="7AB6A02F">
            <w:pPr>
              <w:pStyle w:val="2"/>
              <w:rPr>
                <w:rFonts w:hint="eastAsia"/>
                <w:lang w:val="en-US" w:eastAsia="zh-CN"/>
              </w:rPr>
            </w:pPr>
          </w:p>
        </w:tc>
      </w:tr>
      <w:tr w14:paraId="646AE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4924" w:type="pct"/>
            <w:gridSpan w:val="15"/>
            <w:shd w:val="clear" w:color="auto" w:fill="auto"/>
            <w:noWrap w:val="0"/>
            <w:vAlign w:val="center"/>
          </w:tcPr>
          <w:p w14:paraId="527046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8"/>
                <w:szCs w:val="28"/>
                <w:u w:val="none"/>
              </w:rPr>
            </w:pPr>
            <w:r>
              <w:rPr>
                <w:rFonts w:hint="eastAsia" w:ascii="仿宋" w:hAnsi="仿宋" w:eastAsia="仿宋" w:cs="仿宋"/>
                <w:i w:val="0"/>
                <w:color w:val="000000"/>
                <w:kern w:val="0"/>
                <w:sz w:val="28"/>
                <w:szCs w:val="28"/>
                <w:u w:val="none"/>
                <w:lang w:val="en-US" w:eastAsia="zh-CN" w:bidi="ar"/>
              </w:rPr>
              <w:t>（2024年度）</w:t>
            </w:r>
            <w:bookmarkStart w:id="89" w:name="_GoBack"/>
            <w:bookmarkEnd w:id="89"/>
          </w:p>
        </w:tc>
      </w:tr>
      <w:tr w14:paraId="4AD55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4924" w:type="pct"/>
            <w:gridSpan w:val="15"/>
            <w:tcBorders>
              <w:bottom w:val="single" w:color="000000" w:sz="4" w:space="0"/>
            </w:tcBorders>
            <w:shd w:val="clear" w:color="auto" w:fill="auto"/>
            <w:noWrap w:val="0"/>
            <w:vAlign w:val="center"/>
          </w:tcPr>
          <w:p w14:paraId="5E23E61D">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单位：元</w:t>
            </w:r>
          </w:p>
        </w:tc>
      </w:tr>
      <w:tr w14:paraId="16373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1859" w:type="pct"/>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9A20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部门名称</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C7EDC">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sz w:val="24"/>
                <w:szCs w:val="24"/>
                <w:u w:val="none"/>
                <w:lang w:eastAsia="zh-CN"/>
              </w:rPr>
              <w:tab/>
            </w:r>
            <w:r>
              <w:rPr>
                <w:rFonts w:hint="eastAsia" w:ascii="仿宋" w:hAnsi="仿宋" w:eastAsia="仿宋" w:cs="仿宋"/>
                <w:i w:val="0"/>
                <w:color w:val="000000"/>
                <w:kern w:val="0"/>
                <w:sz w:val="24"/>
                <w:szCs w:val="24"/>
                <w:u w:val="none"/>
                <w:lang w:val="en-US" w:eastAsia="zh-CN" w:bidi="ar"/>
              </w:rPr>
              <w:t>金川县文化广播电视体育和旅游局</w:t>
            </w:r>
          </w:p>
          <w:p w14:paraId="1D8EF50F">
            <w:pPr>
              <w:keepNext w:val="0"/>
              <w:keepLines w:val="0"/>
              <w:pageBreakBefore w:val="0"/>
              <w:widowControl/>
              <w:suppressLineNumbers w:val="0"/>
              <w:tabs>
                <w:tab w:val="left" w:pos="1382"/>
              </w:tabs>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i w:val="0"/>
                <w:color w:val="000000"/>
                <w:sz w:val="24"/>
                <w:szCs w:val="24"/>
                <w:u w:val="none"/>
                <w:lang w:eastAsia="zh-CN"/>
              </w:rPr>
            </w:pPr>
          </w:p>
        </w:tc>
      </w:tr>
      <w:tr w14:paraId="4EFF8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03C8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年度部门整体支出预算</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A03E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资金总额</w:t>
            </w:r>
          </w:p>
        </w:tc>
        <w:tc>
          <w:tcPr>
            <w:tcW w:w="1036"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FFA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财政拨款</w:t>
            </w:r>
          </w:p>
        </w:tc>
        <w:tc>
          <w:tcPr>
            <w:tcW w:w="2028" w:type="pct"/>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42B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其他资金</w:t>
            </w:r>
          </w:p>
        </w:tc>
      </w:tr>
      <w:tr w14:paraId="54083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98DD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AFE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 xml:space="preserve">7804131.73 </w:t>
            </w:r>
          </w:p>
        </w:tc>
        <w:tc>
          <w:tcPr>
            <w:tcW w:w="1036"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18E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6685331.73</w:t>
            </w:r>
          </w:p>
        </w:tc>
        <w:tc>
          <w:tcPr>
            <w:tcW w:w="2028" w:type="pct"/>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0FD9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rPr>
              <w:t>1118800</w:t>
            </w:r>
            <w:r>
              <w:rPr>
                <w:rFonts w:hint="eastAsia" w:ascii="仿宋" w:hAnsi="仿宋" w:eastAsia="仿宋" w:cs="仿宋"/>
                <w:i w:val="0"/>
                <w:color w:val="000000"/>
                <w:sz w:val="24"/>
                <w:szCs w:val="24"/>
                <w:u w:val="none"/>
                <w:lang w:val="en-US" w:eastAsia="zh-CN"/>
              </w:rPr>
              <w:t>.00</w:t>
            </w:r>
          </w:p>
        </w:tc>
      </w:tr>
      <w:tr w14:paraId="344C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FBF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年度总体</w:t>
            </w:r>
          </w:p>
          <w:p w14:paraId="373C63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目标</w:t>
            </w:r>
          </w:p>
        </w:tc>
        <w:tc>
          <w:tcPr>
            <w:tcW w:w="4276" w:type="pct"/>
            <w:gridSpan w:val="1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E8348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拟订文化、体育、旅游、广播电视和文物政策措施，起草文化、体育、旅游、广播电视和文物地方性法规、规章草案，负责本部门依法行政工作。</w:t>
            </w:r>
          </w:p>
          <w:p w14:paraId="6EEB4DE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2.组织推动全市文化事业、文化产业、体育事业、体育产业和旅游业发展，拟订并组织实施全市文化、体育、旅游、广播电视发展和文物保护利用规划，推进所属行业的体制机制改革和行业融合发展。</w:t>
            </w:r>
          </w:p>
          <w:p w14:paraId="4D8BAAD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3.管理所属行业的全市重大活动，指导所属行业重点设施建设，组织全市文化和旅游整体形象推广，促进行业产业对外交流合作和国际市场推广，制定旅游市场开发战略并组织实施，推进全域旅游。</w:t>
            </w:r>
          </w:p>
          <w:p w14:paraId="2AB2FBB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4.指导管理文艺事业，推动艺术创作生产，扶持体现社会主义核心价值观、具有导向性代表性示范性的文艺作品，推动各门类艺术、各艺术品种发展，推动中华优秀传统文化和巴文化传承发展。</w:t>
            </w:r>
          </w:p>
          <w:p w14:paraId="71BB5C7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5.负责公共文化事业发展，推进全市公共文化服务体系建设和旅游公共服务建设，深入实施文化惠民工程，统筹推进基本公共文化服务标准化、均等化。</w:t>
            </w:r>
          </w:p>
          <w:p w14:paraId="6BF2577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6.推进文化、体育、旅游、广播电视和文物科技创新发展，推进本行业信息化、标准化建设。</w:t>
            </w:r>
          </w:p>
          <w:p w14:paraId="2F02F9B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7.负责非物质文化遗产保护，推动非物质文化遗产的保护、传承、普及、弘扬和振兴。</w:t>
            </w:r>
          </w:p>
          <w:p w14:paraId="4A51B49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8.组织实施所属行业资源普查、挖掘、保护与利用工作，促进行业的产业发展。</w:t>
            </w:r>
          </w:p>
          <w:p w14:paraId="5E57046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9.指导文化、体育、旅游、广播电视和文物市场发展，并进行行业监管，推进行业信用体系建设，依法规范行业市场。</w:t>
            </w:r>
          </w:p>
          <w:p w14:paraId="119820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10.统筹全市文化市场综合执法，组织查处全市性、跨区域文化、文物、出版、广播电视、电影、旅游市场领域的违法行为，督查督办大案要案，维护市场秩序。</w:t>
            </w:r>
          </w:p>
          <w:p w14:paraId="78381AC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11.负责管理文化、体育、旅游、广播电视和文物对外及对港澳台交流合作与宣传推广工作，组织大型文化、体育、旅游、广播电视和文物对外及对港澳台交流活动，推动中华文化走出去。</w:t>
            </w:r>
          </w:p>
          <w:p w14:paraId="611710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12.负责全市文化、体育、旅游、广播电视和文物市场安全生产工作的综合协调与监督管理，对文化旅游园区的安全生产和职业健康工作实施行业监督管理。制定职责范围内的安全生产年度监督检查计划并组织实施。</w:t>
            </w:r>
          </w:p>
          <w:p w14:paraId="1BB6B9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13.负责统筹协调全市竞技体育、群众体育和青少年体育发展工作。推行全民健身计划、监督实施国家体育锻炼标准，推动全市国民体质监测和社会体育指导工作队伍制度建设。组织、指导体育训练、体育竞赛工作，组织协调省级或市级综合性运动会，负责组织、协调、监督体育运动中的反兴奋剂和运动员社会保障工作。协助体育彩票销售工作的监督管理，负责公共体育设施的建设指导、监督管理。</w:t>
            </w:r>
          </w:p>
          <w:p w14:paraId="00304A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i w:val="0"/>
                <w:color w:val="000000"/>
                <w:sz w:val="24"/>
                <w:szCs w:val="24"/>
                <w:u w:val="none"/>
              </w:rPr>
            </w:pPr>
          </w:p>
        </w:tc>
      </w:tr>
      <w:tr w14:paraId="41528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restart"/>
            <w:tcBorders>
              <w:top w:val="single" w:color="000000" w:sz="4" w:space="0"/>
              <w:left w:val="single" w:color="000000" w:sz="4" w:space="0"/>
              <w:right w:val="single" w:color="000000" w:sz="4" w:space="0"/>
            </w:tcBorders>
            <w:shd w:val="clear" w:color="auto" w:fill="auto"/>
            <w:noWrap w:val="0"/>
            <w:vAlign w:val="center"/>
          </w:tcPr>
          <w:p w14:paraId="3002E2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年度主要</w:t>
            </w:r>
          </w:p>
          <w:p w14:paraId="58581D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任务</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64E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任务名称</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45D4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主要内容</w:t>
            </w:r>
          </w:p>
        </w:tc>
      </w:tr>
      <w:tr w14:paraId="06EA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left w:val="single" w:color="000000" w:sz="4" w:space="0"/>
              <w:right w:val="single" w:color="000000" w:sz="4" w:space="0"/>
            </w:tcBorders>
            <w:shd w:val="clear" w:color="auto" w:fill="auto"/>
            <w:noWrap w:val="0"/>
            <w:vAlign w:val="center"/>
          </w:tcPr>
          <w:p w14:paraId="0B86D40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BA7B1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公共文化服务体系建设</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6890B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负责对全区社会文化和文化艺术工作的综合管理，推进全区公共文化服务体系建设；归口管理全区重大文化活动，指导文化艺术的创作与生产；指导、协调图书馆、文化馆、文体中心等公共文化事业的发展。</w:t>
            </w:r>
          </w:p>
        </w:tc>
      </w:tr>
      <w:tr w14:paraId="1C34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left w:val="single" w:color="000000" w:sz="4" w:space="0"/>
              <w:right w:val="single" w:color="000000" w:sz="4" w:space="0"/>
            </w:tcBorders>
            <w:shd w:val="clear" w:color="auto" w:fill="auto"/>
            <w:noWrap w:val="0"/>
            <w:vAlign w:val="center"/>
          </w:tcPr>
          <w:p w14:paraId="39C7625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8E398E">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lang w:val="en-US" w:eastAsia="zh-CN"/>
              </w:rPr>
            </w:pPr>
            <w:r>
              <w:rPr>
                <w:rFonts w:hint="eastAsia" w:ascii="仿宋" w:hAnsi="仿宋" w:eastAsia="仿宋" w:cs="仿宋"/>
                <w:color w:val="000000"/>
                <w:kern w:val="0"/>
                <w:sz w:val="28"/>
                <w:szCs w:val="28"/>
                <w:shd w:val="clear" w:color="auto" w:fill="FFFFFF"/>
                <w:lang w:val="en-US" w:eastAsia="zh-CN" w:bidi="ar"/>
              </w:rPr>
              <w:t xml:space="preserve">文化体育和旅游发展规划 </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BE56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贯彻执行党和国家关于文化、体育和旅游工作的方针政策和法律法规；组织、指导和协调全区文化、体育和旅游的改革和发展工作；拟订并组织实施全区文化、体育和旅游事业的中长期规划和年度计划。</w:t>
            </w:r>
          </w:p>
        </w:tc>
      </w:tr>
      <w:tr w14:paraId="4AEF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left w:val="single" w:color="000000" w:sz="4" w:space="0"/>
              <w:right w:val="single" w:color="000000" w:sz="4" w:space="0"/>
            </w:tcBorders>
            <w:shd w:val="clear" w:color="auto" w:fill="auto"/>
            <w:noWrap w:val="0"/>
            <w:vAlign w:val="center"/>
          </w:tcPr>
          <w:p w14:paraId="0EF281F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30F8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文物保护和开发利用</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DFB967">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负责全区文物工作，实施《中华人民共和国文物保护法》及有关法规、规章、政策；做好全区文物的保护和开发利用工作；负责对各类文化遗产、可移动和不可移动文物、历史文化街区和城镇（村）的考古和文物市场进行依法管理。</w:t>
            </w:r>
          </w:p>
        </w:tc>
      </w:tr>
      <w:tr w14:paraId="7CBF3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left w:val="single" w:color="000000" w:sz="4" w:space="0"/>
              <w:right w:val="single" w:color="000000" w:sz="4" w:space="0"/>
            </w:tcBorders>
            <w:shd w:val="clear" w:color="auto" w:fill="auto"/>
            <w:noWrap w:val="0"/>
            <w:vAlign w:val="center"/>
          </w:tcPr>
          <w:p w14:paraId="3E55B4A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D1CA9">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开展文化体育和旅游活动</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868281">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指导全区文化、体育和旅游工作，促进全区文化、体育事业的发展；指导、监督和配合各部门、行业、社会团体积极开展文化、体育和旅游活动，推动文化、体育和旅游活动的社会化。</w:t>
            </w:r>
          </w:p>
        </w:tc>
      </w:tr>
      <w:tr w14:paraId="07D7D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left w:val="single" w:color="000000" w:sz="4" w:space="0"/>
              <w:right w:val="single" w:color="000000" w:sz="4" w:space="0"/>
            </w:tcBorders>
            <w:shd w:val="clear" w:color="auto" w:fill="auto"/>
            <w:noWrap w:val="0"/>
            <w:vAlign w:val="center"/>
          </w:tcPr>
          <w:p w14:paraId="4789869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D56424">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推进全民体育旅游计划</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3D230">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统筹规划全区群众体育发展，推行全民健身计划；推动国民体质监测和社会体育指导工作队伍制度建设，推进体育社会化和全民健身活动的开展。</w:t>
            </w:r>
          </w:p>
        </w:tc>
      </w:tr>
      <w:tr w14:paraId="00344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left w:val="single" w:color="000000" w:sz="4" w:space="0"/>
              <w:right w:val="single" w:color="000000" w:sz="4" w:space="0"/>
            </w:tcBorders>
            <w:shd w:val="clear" w:color="auto" w:fill="auto"/>
            <w:noWrap w:val="0"/>
            <w:vAlign w:val="center"/>
          </w:tcPr>
          <w:p w14:paraId="69E95A4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E049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体育竞赛</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E2581">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参与区级公共体育设施规划建设布局和监督管理；统筹规划全区运动项目布局；组织参加和承办重大体育比赛；制定并组织实施全区体育竞赛计划，指导监督全区体育竞赛。</w:t>
            </w:r>
          </w:p>
        </w:tc>
      </w:tr>
      <w:tr w14:paraId="5B86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left w:val="single" w:color="000000" w:sz="4" w:space="0"/>
              <w:right w:val="single" w:color="000000" w:sz="4" w:space="0"/>
            </w:tcBorders>
            <w:shd w:val="clear" w:color="auto" w:fill="auto"/>
            <w:noWrap w:val="0"/>
            <w:vAlign w:val="center"/>
          </w:tcPr>
          <w:p w14:paraId="1786250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2E4B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文化、体育和旅游交流合作</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7B2B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规划、指导全区文化艺术人才、体育专业人才队伍建设、旅游专业人才；指导全区各类文体旅团队、协会和俱乐部等社团工作的开展；负责对外文化、体育和旅游交流合作工作</w:t>
            </w:r>
          </w:p>
        </w:tc>
      </w:tr>
      <w:tr w14:paraId="6683E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left w:val="single" w:color="000000" w:sz="4" w:space="0"/>
              <w:bottom w:val="single" w:color="000000" w:sz="4" w:space="0"/>
              <w:right w:val="single" w:color="000000" w:sz="4" w:space="0"/>
            </w:tcBorders>
            <w:shd w:val="clear" w:color="auto" w:fill="auto"/>
            <w:noWrap w:val="0"/>
            <w:vAlign w:val="center"/>
          </w:tcPr>
          <w:p w14:paraId="13B6DC1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B58778">
            <w:pPr>
              <w:keepNext w:val="0"/>
              <w:keepLines w:val="0"/>
              <w:pageBreakBefore w:val="0"/>
              <w:widowControl/>
              <w:tabs>
                <w:tab w:val="left" w:pos="700"/>
              </w:tabs>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文化体育和旅游发展规划制定</w:t>
            </w:r>
          </w:p>
        </w:tc>
        <w:tc>
          <w:tcPr>
            <w:tcW w:w="3065" w:type="pct"/>
            <w:gridSpan w:val="10"/>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3D9654">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拟订全区文化、体育和旅游方面的产业规划和经济政策，指导、协调全区文化、体育和旅游产业的发展。</w:t>
            </w:r>
          </w:p>
        </w:tc>
      </w:tr>
      <w:tr w14:paraId="426FF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FAD5E">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年度绩效</w:t>
            </w:r>
          </w:p>
          <w:p w14:paraId="5488997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指标</w:t>
            </w:r>
          </w:p>
        </w:tc>
        <w:tc>
          <w:tcPr>
            <w:tcW w:w="622" w:type="pct"/>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B0EF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一级指标</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1030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二级指标</w:t>
            </w:r>
          </w:p>
        </w:tc>
        <w:tc>
          <w:tcPr>
            <w:tcW w:w="508"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FB2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三级指标</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0AD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绩效指标</w:t>
            </w:r>
          </w:p>
          <w:p w14:paraId="25A531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性质</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FBB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绩效指标值</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296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绩效度量单位</w:t>
            </w:r>
          </w:p>
        </w:tc>
        <w:tc>
          <w:tcPr>
            <w:tcW w:w="427" w:type="pct"/>
            <w:tcBorders>
              <w:top w:val="single" w:color="000000" w:sz="4" w:space="0"/>
              <w:left w:val="single" w:color="000000" w:sz="4" w:space="0"/>
              <w:bottom w:val="single" w:color="000000" w:sz="4" w:space="0"/>
            </w:tcBorders>
            <w:shd w:val="clear" w:color="auto" w:fill="auto"/>
            <w:noWrap w:val="0"/>
            <w:vAlign w:val="center"/>
          </w:tcPr>
          <w:p w14:paraId="7A3AEF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权重</w:t>
            </w: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28E5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实际完成</w:t>
            </w:r>
          </w:p>
          <w:p w14:paraId="568CAB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指标值</w:t>
            </w:r>
          </w:p>
        </w:tc>
      </w:tr>
      <w:tr w14:paraId="1D9BB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571D4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3FF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产出指标</w:t>
            </w:r>
          </w:p>
        </w:tc>
        <w:tc>
          <w:tcPr>
            <w:tcW w:w="588"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0A7F15">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数量指标</w:t>
            </w:r>
          </w:p>
        </w:tc>
        <w:tc>
          <w:tcPr>
            <w:tcW w:w="508"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71A8D4">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科目调整次数</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5A1BF">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26BA2">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5</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6859D">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次</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D9042">
            <w:pPr>
              <w:keepNext w:val="0"/>
              <w:keepLines w:val="0"/>
              <w:widowControl/>
              <w:suppressLineNumbers w:val="0"/>
              <w:jc w:val="left"/>
              <w:textAlignment w:val="center"/>
              <w:rPr>
                <w:rFonts w:hint="default"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15</w:t>
            </w:r>
          </w:p>
        </w:tc>
        <w:tc>
          <w:tcPr>
            <w:tcW w:w="515" w:type="pct"/>
            <w:gridSpan w:val="3"/>
            <w:tcBorders>
              <w:left w:val="single" w:color="000000" w:sz="4" w:space="0"/>
              <w:bottom w:val="single" w:color="000000" w:sz="4" w:space="0"/>
              <w:right w:val="single" w:color="000000" w:sz="4" w:space="0"/>
            </w:tcBorders>
            <w:shd w:val="clear" w:color="auto" w:fill="auto"/>
            <w:noWrap w:val="0"/>
            <w:vAlign w:val="center"/>
          </w:tcPr>
          <w:p w14:paraId="5C26ED42">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r>
      <w:tr w14:paraId="198DD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B73B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FEFB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B3074B">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p>
        </w:tc>
        <w:tc>
          <w:tcPr>
            <w:tcW w:w="508"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3C6C8B">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人员经费足额保障率</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28282C">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06EC8C">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100</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27A86">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3CFB42">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15</w:t>
            </w: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04908">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r>
      <w:tr w14:paraId="0CE20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F38E2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56CAF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8D6675">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质量指标</w:t>
            </w:r>
          </w:p>
        </w:tc>
        <w:tc>
          <w:tcPr>
            <w:tcW w:w="508"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73414">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预算编制准确率</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55FF88">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F77974">
            <w:pPr>
              <w:keepNext w:val="0"/>
              <w:keepLines w:val="0"/>
              <w:widowControl/>
              <w:suppressLineNumbers w:val="0"/>
              <w:jc w:val="left"/>
              <w:textAlignment w:val="center"/>
              <w:rPr>
                <w:rFonts w:hint="default"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95</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A39D1">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3008">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15</w:t>
            </w: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96491">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r>
      <w:tr w14:paraId="297E3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D565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535F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4F1B6">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时效指标</w:t>
            </w:r>
          </w:p>
        </w:tc>
        <w:tc>
          <w:tcPr>
            <w:tcW w:w="508"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055BC">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按时发放率</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33CBCF">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EE5CF">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100</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D45C21">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7C8C12">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10</w:t>
            </w: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23A2FD">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r>
      <w:tr w14:paraId="723C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498B1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6B3EB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588" w:type="pct"/>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57CA8F07">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w:t>
            </w:r>
          </w:p>
        </w:tc>
        <w:tc>
          <w:tcPr>
            <w:tcW w:w="508"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9A1781">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BE7DF">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4C933">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0C3179">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2F09C4">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6A6FC">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p>
        </w:tc>
      </w:tr>
      <w:tr w14:paraId="24D35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6AC18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vMerge w:val="restart"/>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850DD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sz w:val="24"/>
                <w:szCs w:val="24"/>
                <w:u w:val="none"/>
              </w:rPr>
            </w:pPr>
            <w:r>
              <w:rPr>
                <w:rFonts w:hint="eastAsia" w:ascii="仿宋" w:hAnsi="仿宋" w:eastAsia="仿宋" w:cs="仿宋"/>
                <w:color w:val="000000"/>
                <w:kern w:val="0"/>
                <w:sz w:val="28"/>
                <w:szCs w:val="28"/>
                <w:shd w:val="clear" w:color="auto" w:fill="FFFFFF"/>
                <w:lang w:val="en-US" w:eastAsia="zh-CN" w:bidi="ar"/>
              </w:rPr>
              <w:t>效益指标</w:t>
            </w:r>
          </w:p>
        </w:tc>
        <w:tc>
          <w:tcPr>
            <w:tcW w:w="588" w:type="pct"/>
            <w:vMerge w:val="restart"/>
            <w:tcBorders>
              <w:top w:val="single" w:color="auto" w:sz="4" w:space="0"/>
              <w:left w:val="single" w:color="auto" w:sz="4" w:space="0"/>
              <w:right w:val="single" w:color="auto" w:sz="4" w:space="0"/>
            </w:tcBorders>
            <w:shd w:val="clear" w:color="auto" w:fill="FFFFFF"/>
            <w:noWrap w:val="0"/>
            <w:vAlign w:val="center"/>
          </w:tcPr>
          <w:p w14:paraId="128C3C39">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社会效益指标</w:t>
            </w:r>
          </w:p>
        </w:tc>
        <w:tc>
          <w:tcPr>
            <w:tcW w:w="508" w:type="pct"/>
            <w:gridSpan w:val="3"/>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6DED984">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三公经费控制率</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FBD5EA">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042898">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100</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49B5AF">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0EE67D">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15</w:t>
            </w: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9E259">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r>
      <w:tr w14:paraId="00F17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DB6D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vMerge w:val="continue"/>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DAD237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588" w:type="pct"/>
            <w:vMerge w:val="continue"/>
            <w:tcBorders>
              <w:left w:val="single" w:color="auto" w:sz="4" w:space="0"/>
              <w:right w:val="single" w:color="auto" w:sz="4" w:space="0"/>
            </w:tcBorders>
            <w:shd w:val="clear" w:color="auto" w:fill="FFFFFF"/>
            <w:noWrap w:val="0"/>
            <w:vAlign w:val="center"/>
          </w:tcPr>
          <w:p w14:paraId="1115B4F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iCs w:val="0"/>
                <w:color w:val="000000"/>
                <w:sz w:val="24"/>
                <w:szCs w:val="24"/>
                <w:u w:val="none"/>
              </w:rPr>
            </w:pPr>
          </w:p>
        </w:tc>
        <w:tc>
          <w:tcPr>
            <w:tcW w:w="508" w:type="pct"/>
            <w:gridSpan w:val="3"/>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C929157">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预算结余率</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BC697">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A2B2A">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5</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EEC22E">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D0AFD">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15</w:t>
            </w: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BD3F92">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r>
      <w:tr w14:paraId="2EF1B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8CC1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vMerge w:val="continue"/>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80C155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588" w:type="pct"/>
            <w:vMerge w:val="continue"/>
            <w:tcBorders>
              <w:left w:val="single" w:color="auto" w:sz="4" w:space="0"/>
              <w:bottom w:val="single" w:color="auto" w:sz="4" w:space="0"/>
              <w:right w:val="single" w:color="auto" w:sz="4" w:space="0"/>
            </w:tcBorders>
            <w:shd w:val="clear" w:color="auto" w:fill="FFFFFF"/>
            <w:noWrap w:val="0"/>
            <w:vAlign w:val="center"/>
          </w:tcPr>
          <w:p w14:paraId="36A0A96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ind w:leftChars="0"/>
              <w:jc w:val="center"/>
              <w:textAlignment w:val="center"/>
              <w:outlineLvl w:val="9"/>
              <w:rPr>
                <w:rFonts w:hint="eastAsia" w:ascii="仿宋" w:hAnsi="仿宋" w:eastAsia="仿宋" w:cs="仿宋"/>
                <w:i w:val="0"/>
                <w:iCs w:val="0"/>
                <w:color w:val="000000"/>
                <w:sz w:val="24"/>
                <w:szCs w:val="24"/>
                <w:u w:val="none"/>
              </w:rPr>
            </w:pPr>
          </w:p>
        </w:tc>
        <w:tc>
          <w:tcPr>
            <w:tcW w:w="508" w:type="pct"/>
            <w:gridSpan w:val="3"/>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B3F197">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运转保障率</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6CFCB9">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E379B8">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100</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B292B">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9764F1">
            <w:pPr>
              <w:keepNext w:val="0"/>
              <w:keepLines w:val="0"/>
              <w:widowControl/>
              <w:suppressLineNumbers w:val="0"/>
              <w:jc w:val="left"/>
              <w:textAlignment w:val="center"/>
              <w:rPr>
                <w:rFonts w:hint="default"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20</w:t>
            </w: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D084D">
            <w:pPr>
              <w:keepNext w:val="0"/>
              <w:keepLines w:val="0"/>
              <w:widowControl/>
              <w:suppressLineNumbers w:val="0"/>
              <w:jc w:val="left"/>
              <w:textAlignment w:val="center"/>
              <w:rPr>
                <w:rFonts w:hint="eastAsia" w:ascii="仿宋" w:hAnsi="仿宋" w:eastAsia="仿宋" w:cs="仿宋"/>
                <w:i w:val="0"/>
                <w:iCs w:val="0"/>
                <w:color w:val="000000"/>
                <w:kern w:val="0"/>
                <w:sz w:val="15"/>
                <w:szCs w:val="15"/>
                <w:u w:val="none"/>
                <w:lang w:val="en-US" w:eastAsia="zh-CN" w:bidi="ar"/>
              </w:rPr>
            </w:pPr>
            <w:r>
              <w:rPr>
                <w:rFonts w:hint="eastAsia" w:ascii="仿宋" w:hAnsi="仿宋" w:eastAsia="仿宋" w:cs="仿宋"/>
                <w:i w:val="0"/>
                <w:iCs w:val="0"/>
                <w:color w:val="000000"/>
                <w:kern w:val="0"/>
                <w:sz w:val="15"/>
                <w:szCs w:val="15"/>
                <w:u w:val="none"/>
                <w:lang w:val="en-US" w:eastAsia="zh-CN" w:bidi="ar"/>
              </w:rPr>
              <w:t>＝</w:t>
            </w:r>
          </w:p>
        </w:tc>
      </w:tr>
      <w:tr w14:paraId="77764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9791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2924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p>
        </w:tc>
        <w:tc>
          <w:tcPr>
            <w:tcW w:w="588"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333DB1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w:t>
            </w:r>
          </w:p>
        </w:tc>
        <w:tc>
          <w:tcPr>
            <w:tcW w:w="508"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334BD2">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FB7550">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7E906">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7777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D2926">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2A7BE">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p>
        </w:tc>
      </w:tr>
      <w:tr w14:paraId="5138C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75" w:type="pct"/>
          <w:trHeight w:val="23" w:hRule="atLeast"/>
          <w:jc w:val="center"/>
        </w:trPr>
        <w:tc>
          <w:tcPr>
            <w:tcW w:w="6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1E8A8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eastAsia" w:ascii="仿宋" w:hAnsi="仿宋" w:eastAsia="仿宋" w:cs="仿宋"/>
                <w:i w:val="0"/>
                <w:color w:val="000000"/>
                <w:sz w:val="24"/>
                <w:szCs w:val="24"/>
                <w:u w:val="none"/>
              </w:rPr>
            </w:pPr>
          </w:p>
        </w:tc>
        <w:tc>
          <w:tcPr>
            <w:tcW w:w="622" w:type="pct"/>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4F60C4">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满意度指标</w:t>
            </w:r>
          </w:p>
        </w:tc>
        <w:tc>
          <w:tcPr>
            <w:tcW w:w="588" w:type="pc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5688424F">
            <w:pPr>
              <w:keepNext w:val="0"/>
              <w:keepLines w:val="0"/>
              <w:widowControl/>
              <w:suppressLineNumbers w:val="0"/>
              <w:jc w:val="left"/>
              <w:textAlignment w:val="center"/>
              <w:rPr>
                <w:rFonts w:hint="eastAsia" w:ascii="仿宋" w:hAnsi="仿宋" w:eastAsia="仿宋" w:cs="仿宋"/>
                <w:color w:val="000000"/>
                <w:kern w:val="0"/>
                <w:sz w:val="28"/>
                <w:szCs w:val="28"/>
                <w:shd w:val="clear" w:color="auto" w:fill="FFFFFF"/>
                <w:lang w:val="en-US" w:eastAsia="zh-CN" w:bidi="ar"/>
              </w:rPr>
            </w:pPr>
            <w:r>
              <w:rPr>
                <w:rFonts w:hint="eastAsia" w:ascii="仿宋" w:hAnsi="仿宋" w:eastAsia="仿宋" w:cs="仿宋"/>
                <w:color w:val="000000"/>
                <w:kern w:val="0"/>
                <w:sz w:val="28"/>
                <w:szCs w:val="28"/>
                <w:shd w:val="clear" w:color="auto" w:fill="FFFFFF"/>
                <w:lang w:val="en-US" w:eastAsia="zh-CN" w:bidi="ar"/>
              </w:rPr>
              <w:t>服务对象满意度指标</w:t>
            </w:r>
          </w:p>
        </w:tc>
        <w:tc>
          <w:tcPr>
            <w:tcW w:w="508"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860CA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sz w:val="24"/>
                <w:szCs w:val="24"/>
                <w:u w:val="none"/>
              </w:rPr>
              <w:t>社会公众满意度</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9F33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lang w:eastAsia="zh-CN"/>
              </w:rPr>
            </w:pPr>
            <w:r>
              <w:rPr>
                <w:rFonts w:hint="eastAsia" w:ascii="仿宋" w:hAnsi="仿宋" w:eastAsia="仿宋" w:cs="仿宋"/>
                <w:i w:val="0"/>
                <w:color w:val="000000"/>
                <w:sz w:val="24"/>
                <w:szCs w:val="24"/>
                <w:u w:val="none"/>
                <w:lang w:eastAsia="zh-CN"/>
              </w:rPr>
              <w:t>≥</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B51C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95</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5A58D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FDB0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10</w:t>
            </w:r>
          </w:p>
        </w:tc>
        <w:tc>
          <w:tcPr>
            <w:tcW w:w="515"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9885F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仿宋" w:hAnsi="仿宋" w:eastAsia="仿宋" w:cs="仿宋"/>
                <w:i w:val="0"/>
                <w:color w:val="000000"/>
                <w:sz w:val="24"/>
                <w:szCs w:val="24"/>
                <w:u w:val="none"/>
              </w:rPr>
            </w:pPr>
            <w:r>
              <w:rPr>
                <w:rFonts w:hint="eastAsia" w:ascii="仿宋" w:hAnsi="仿宋" w:eastAsia="仿宋" w:cs="仿宋"/>
                <w:i w:val="0"/>
                <w:color w:val="000000"/>
                <w:sz w:val="24"/>
                <w:szCs w:val="24"/>
                <w:u w:val="none"/>
                <w:lang w:eastAsia="zh-CN"/>
              </w:rPr>
              <w:t>≥</w:t>
            </w:r>
          </w:p>
        </w:tc>
      </w:tr>
    </w:tbl>
    <w:p w14:paraId="32441D4C">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p>
    <w:p w14:paraId="3E3F8300">
      <w:pPr>
        <w:rPr>
          <w:rFonts w:hint="eastAsia" w:hAnsi="仿宋_GB2312" w:cs="仿宋_GB2312"/>
          <w:color w:val="333333"/>
          <w:sz w:val="32"/>
          <w:szCs w:val="32"/>
          <w:shd w:val="clear" w:color="auto" w:fill="FFFFFF"/>
        </w:rPr>
      </w:pPr>
      <w:r>
        <w:rPr>
          <w:rFonts w:hint="default" w:ascii="Times New Roman" w:hAnsi="Times New Roman" w:eastAsia="黑体" w:cs="Times New Roman"/>
          <w:sz w:val="24"/>
          <w:szCs w:val="24"/>
          <w:highlight w:val="none"/>
          <w:lang w:val="en-US" w:eastAsia="zh-CN"/>
        </w:rPr>
        <w:br w:type="page"/>
      </w:r>
    </w:p>
    <w:p w14:paraId="399A7564">
      <w:pPr>
        <w:pStyle w:val="6"/>
        <w:spacing w:before="93"/>
        <w:rPr>
          <w:rFonts w:hAnsi="仿宋_GB2312" w:cs="仿宋_GB2312"/>
          <w:color w:val="333333"/>
          <w:sz w:val="32"/>
          <w:szCs w:val="32"/>
          <w:shd w:val="clear" w:color="auto" w:fill="FFFFFF"/>
        </w:rPr>
      </w:pPr>
      <w:r>
        <w:rPr>
          <w:rFonts w:hint="eastAsia" w:hAnsi="仿宋_GB2312" w:cs="仿宋_GB2312"/>
          <w:color w:val="333333"/>
          <w:sz w:val="32"/>
          <w:szCs w:val="32"/>
          <w:shd w:val="clear" w:color="auto" w:fill="FFFFFF"/>
        </w:rPr>
        <w:t>附件2</w:t>
      </w:r>
    </w:p>
    <w:p w14:paraId="30C03D44">
      <w:pPr>
        <w:pStyle w:val="37"/>
        <w:spacing w:line="578" w:lineRule="exact"/>
        <w:jc w:val="center"/>
        <w:rPr>
          <w:rFonts w:ascii="仿宋_GB2312" w:hAnsi="仿宋_GB2312" w:eastAsia="仿宋_GB2312" w:cs="仿宋_GB2312"/>
          <w:color w:val="333333"/>
          <w:sz w:val="32"/>
          <w:szCs w:val="32"/>
          <w:shd w:val="clear" w:color="auto" w:fill="FFFFFF"/>
          <w:lang w:val="en-US"/>
        </w:rPr>
      </w:pPr>
    </w:p>
    <w:p w14:paraId="34B04A10">
      <w:pPr>
        <w:pStyle w:val="37"/>
        <w:spacing w:line="578" w:lineRule="exact"/>
        <w:jc w:val="center"/>
        <w:rPr>
          <w:rFonts w:ascii="仿宋_GB2312" w:hAnsi="仿宋_GB2312" w:eastAsia="仿宋_GB2312" w:cs="仿宋_GB2312"/>
          <w:color w:val="333333"/>
          <w:sz w:val="32"/>
          <w:szCs w:val="32"/>
          <w:shd w:val="clear" w:color="auto" w:fill="FFFFFF"/>
          <w:lang w:val="en-US"/>
        </w:rPr>
      </w:pPr>
      <w:r>
        <w:rPr>
          <w:rFonts w:hint="eastAsia" w:ascii="仿宋_GB2312" w:hAnsi="仿宋_GB2312" w:eastAsia="仿宋_GB2312" w:cs="仿宋_GB2312"/>
          <w:color w:val="333333"/>
          <w:sz w:val="32"/>
          <w:szCs w:val="32"/>
          <w:shd w:val="clear" w:color="auto" w:fill="FFFFFF"/>
          <w:lang w:val="en-US"/>
        </w:rPr>
        <w:t>专项预算项目绩效评价报告范本</w:t>
      </w:r>
    </w:p>
    <w:p w14:paraId="305EC75C">
      <w:pPr>
        <w:pStyle w:val="37"/>
        <w:spacing w:line="578" w:lineRule="exact"/>
        <w:ind w:firstLine="2400" w:firstLineChars="750"/>
        <w:rPr>
          <w:rFonts w:ascii="仿宋_GB2312" w:hAnsi="仿宋_GB2312" w:eastAsia="仿宋_GB2312" w:cs="仿宋_GB2312"/>
          <w:color w:val="333333"/>
          <w:sz w:val="32"/>
          <w:szCs w:val="32"/>
          <w:shd w:val="clear" w:color="auto" w:fill="FFFFFF"/>
          <w:lang w:val="en-US"/>
        </w:rPr>
      </w:pPr>
      <w:bookmarkStart w:id="74" w:name="_Toc15396618"/>
      <w:r>
        <w:rPr>
          <w:rFonts w:hint="eastAsia" w:ascii="仿宋_GB2312" w:hAnsi="仿宋_GB2312" w:eastAsia="仿宋_GB2312" w:cs="仿宋_GB2312"/>
          <w:color w:val="333333"/>
          <w:sz w:val="32"/>
          <w:szCs w:val="32"/>
          <w:shd w:val="clear" w:color="auto" w:fill="FFFFFF"/>
          <w:lang w:val="en-US"/>
        </w:rPr>
        <w:t>（“两馆一站”免费开放）</w:t>
      </w:r>
    </w:p>
    <w:p w14:paraId="69FC13F8">
      <w:pPr>
        <w:adjustRightInd w:val="0"/>
        <w:snapToGrid w:val="0"/>
        <w:spacing w:line="578" w:lineRule="exact"/>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一、项目概况</w:t>
      </w:r>
    </w:p>
    <w:p w14:paraId="45975420">
      <w:pPr>
        <w:pStyle w:val="11"/>
        <w:spacing w:line="576" w:lineRule="exact"/>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设立背景及基本情况。本项目的主要内容是根据（阿州财教〔2024〕19号）文，下达我单位2024年公共文化馆、图书馆、美术馆免开资金97.2万元，关于开展两馆一站免费开放资金管理使用专项整治工作工作,根据中央补助地方美术馆、公共图书馆、文化馆（站）免费开放专项资金管理暂行办法。全面落实各项文化惠民政策，着力解决好两馆一站资金管理使用中存在的问题，建立健全资金使用的长效机制，用于保障公共图书馆、美术馆、文化馆（站）免费开放后正常运转及提供基本公共文化服务。</w:t>
      </w:r>
    </w:p>
    <w:p w14:paraId="1544C74E">
      <w:pPr>
        <w:pStyle w:val="11"/>
        <w:spacing w:line="576" w:lineRule="exact"/>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 （二）</w:t>
      </w:r>
      <w:r>
        <w:rPr>
          <w:rFonts w:ascii="仿宋_GB2312" w:hAnsi="仿宋_GB2312" w:eastAsia="仿宋_GB2312" w:cs="仿宋_GB2312"/>
          <w:color w:val="333333"/>
          <w:sz w:val="32"/>
          <w:szCs w:val="32"/>
          <w:shd w:val="clear" w:color="auto" w:fill="FFFFFF"/>
        </w:rPr>
        <w:t>实施目的及支持方向</w:t>
      </w:r>
      <w:r>
        <w:rPr>
          <w:rFonts w:hint="eastAsia" w:ascii="仿宋_GB2312" w:hAnsi="仿宋_GB2312" w:eastAsia="仿宋_GB2312" w:cs="仿宋_GB2312"/>
          <w:color w:val="333333"/>
          <w:sz w:val="32"/>
          <w:szCs w:val="32"/>
          <w:shd w:val="clear" w:color="auto" w:fill="FFFFFF"/>
        </w:rPr>
        <w:t xml:space="preserve">。 </w:t>
      </w:r>
    </w:p>
    <w:p w14:paraId="76870EE8">
      <w:pPr>
        <w:pStyle w:val="11"/>
        <w:spacing w:line="576" w:lineRule="exact"/>
        <w:ind w:firstLine="960" w:firstLineChars="3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文图两馆免费开放：1.图书馆外借室、少儿阅览室、电子阅览室及文化馆各功能室正常对外免费开放；2.围绕基本公共服务项目、硬件设施、经费、人员保障等内容，进一明确公共文化服务标准，落实制度保障，提升公共文化服务水平。以图书馆、文化馆评估定级工作为切入点，加快推进两馆配套设施、功能布局、服务内容、服务制度等建设，加强对乡镇文化体育广电和旅游综合服务中心的业务指导和服务管理，切实提高公共文化服务水平，发挥好公共文化服务阵地作用。</w:t>
      </w:r>
    </w:p>
    <w:p w14:paraId="7363D5B5">
      <w:pPr>
        <w:snapToGrid w:val="0"/>
        <w:spacing w:line="600" w:lineRule="exact"/>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（三）</w:t>
      </w:r>
      <w:r>
        <w:rPr>
          <w:rFonts w:ascii="仿宋_GB2312" w:hAnsi="仿宋_GB2312" w:eastAsia="仿宋_GB2312" w:cs="仿宋_GB2312"/>
          <w:color w:val="333333"/>
          <w:kern w:val="0"/>
          <w:sz w:val="32"/>
          <w:szCs w:val="32"/>
          <w:shd w:val="clear" w:color="auto" w:fill="FFFFFF"/>
        </w:rPr>
        <w:t>预算安排及分配管理</w:t>
      </w:r>
      <w:r>
        <w:rPr>
          <w:rFonts w:hint="eastAsia" w:ascii="仿宋_GB2312" w:hAnsi="仿宋_GB2312" w:eastAsia="仿宋_GB2312" w:cs="仿宋_GB2312"/>
          <w:color w:val="333333"/>
          <w:kern w:val="0"/>
          <w:sz w:val="32"/>
          <w:szCs w:val="32"/>
          <w:shd w:val="clear" w:color="auto" w:fill="FFFFFF"/>
        </w:rPr>
        <w:t>。在编制部门预算时，党政机关公务用车购置费用列《政府收支分类科目》支出经济分类科目“基本建设支出”类或者“其他资本性支出”类下的“公务用车购置”款级科目。预算编制没有细化到经济分类的，应当将“公务用车购置”预算单独列示。，资金来源为县级财政资金。本次对项目投入经济性的评估是在项目事前绩效评估、预算测算的基础上，按照厉行节约的要求，结合项目2024年开支情况结合2024年实际需求本项目采用比较法、最低成本法等，对项目的立项必要性、投入经济性、目标合理性、方案可行性以及筹资合规性实施评估。</w:t>
      </w:r>
    </w:p>
    <w:p w14:paraId="3AAF30E6">
      <w:pPr>
        <w:adjustRightInd w:val="0"/>
        <w:snapToGrid w:val="0"/>
        <w:spacing w:line="578" w:lineRule="exact"/>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（四）项目绩效目标设置。</w:t>
      </w:r>
    </w:p>
    <w:p w14:paraId="37811BA0">
      <w:pPr>
        <w:adjustRightInd w:val="0"/>
        <w:snapToGrid w:val="0"/>
        <w:spacing w:line="578" w:lineRule="exact"/>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为加强我县预算绩效管理工作，增强支出责任意识、提高财政资金使用效益和管理水平，按照《预算法》、《中央对地方公共图书馆、美术馆、文化馆（站）免费开放补助资金管理办法》(财教[2020] 156号)相关规定，加强资金管理，专款专用，提高使用效率。2024年两馆一站免费开放经费97.2万元．  该项</w:t>
      </w:r>
      <w:r>
        <w:rPr>
          <w:rFonts w:ascii="仿宋_GB2312" w:hAnsi="仿宋_GB2312" w:eastAsia="仿宋_GB2312" w:cs="仿宋_GB2312"/>
          <w:color w:val="333333"/>
          <w:kern w:val="0"/>
          <w:sz w:val="32"/>
          <w:szCs w:val="32"/>
          <w:shd w:val="clear" w:color="auto" w:fill="FFFFFF"/>
        </w:rPr>
        <w:t>目具体绩效目标设置</w:t>
      </w:r>
      <w:r>
        <w:rPr>
          <w:rFonts w:hint="eastAsia" w:ascii="仿宋_GB2312" w:hAnsi="仿宋_GB2312" w:eastAsia="仿宋_GB2312" w:cs="仿宋_GB2312"/>
          <w:color w:val="333333"/>
          <w:kern w:val="0"/>
          <w:sz w:val="32"/>
          <w:szCs w:val="32"/>
          <w:shd w:val="clear" w:color="auto" w:fill="FFFFFF"/>
        </w:rPr>
        <w:t>7</w:t>
      </w:r>
      <w:r>
        <w:rPr>
          <w:rFonts w:ascii="仿宋_GB2312" w:hAnsi="仿宋_GB2312" w:eastAsia="仿宋_GB2312" w:cs="仿宋_GB2312"/>
          <w:color w:val="333333"/>
          <w:kern w:val="0"/>
          <w:sz w:val="32"/>
          <w:szCs w:val="32"/>
          <w:shd w:val="clear" w:color="auto" w:fill="FFFFFF"/>
        </w:rPr>
        <w:t>个，其中：数量指标1个，质量指标1个，时效指标1个，经济效益指标1个，社会效益指标</w:t>
      </w:r>
      <w:r>
        <w:rPr>
          <w:rFonts w:hint="eastAsia" w:ascii="仿宋_GB2312" w:hAnsi="仿宋_GB2312" w:eastAsia="仿宋_GB2312" w:cs="仿宋_GB2312"/>
          <w:color w:val="333333"/>
          <w:kern w:val="0"/>
          <w:sz w:val="32"/>
          <w:szCs w:val="32"/>
          <w:shd w:val="clear" w:color="auto" w:fill="FFFFFF"/>
        </w:rPr>
        <w:t>1</w:t>
      </w:r>
      <w:r>
        <w:rPr>
          <w:rFonts w:ascii="仿宋_GB2312" w:hAnsi="仿宋_GB2312" w:eastAsia="仿宋_GB2312" w:cs="仿宋_GB2312"/>
          <w:color w:val="333333"/>
          <w:kern w:val="0"/>
          <w:sz w:val="32"/>
          <w:szCs w:val="32"/>
          <w:shd w:val="clear" w:color="auto" w:fill="FFFFFF"/>
        </w:rPr>
        <w:t>个，满意度指标1个，经济成本指标1个。</w:t>
      </w:r>
    </w:p>
    <w:p w14:paraId="2D7FF2BA">
      <w:pPr>
        <w:adjustRightInd w:val="0"/>
        <w:snapToGrid w:val="0"/>
        <w:spacing w:line="578" w:lineRule="exact"/>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二、评价实施</w:t>
      </w:r>
    </w:p>
    <w:p w14:paraId="5AE168C3">
      <w:pPr>
        <w:pStyle w:val="6"/>
        <w:topLinePunct/>
        <w:spacing w:before="93" w:line="600" w:lineRule="exact"/>
        <w:ind w:firstLine="640" w:firstLineChars="200"/>
        <w:rPr>
          <w:rFonts w:hAnsi="仿宋_GB2312" w:cs="仿宋_GB2312"/>
          <w:color w:val="333333"/>
          <w:sz w:val="32"/>
          <w:szCs w:val="32"/>
          <w:shd w:val="clear" w:color="auto" w:fill="FFFFFF"/>
        </w:rPr>
      </w:pPr>
      <w:r>
        <w:rPr>
          <w:rFonts w:hint="eastAsia" w:hAnsi="仿宋_GB2312" w:cs="仿宋_GB2312"/>
          <w:color w:val="333333"/>
          <w:sz w:val="32"/>
          <w:szCs w:val="32"/>
          <w:shd w:val="clear" w:color="auto" w:fill="FFFFFF"/>
        </w:rPr>
        <w:t>（一）评价目的。财政支出绩效评价（以下简称绩效评价）是财政部门和预算部门（单位）根据设定的绩效目标，运用科学、合理的评价方法、指标体系和评价标准，对财政支出产出和效果进行客观、公正的评价。</w:t>
      </w:r>
    </w:p>
    <w:p w14:paraId="74F12094">
      <w:pPr>
        <w:spacing w:line="578" w:lineRule="exact"/>
        <w:ind w:firstLine="640"/>
        <w:rPr>
          <w:rFonts w:ascii="仿宋_GB2312" w:hAnsi="仿宋_GB2312" w:eastAsia="仿宋_GB2312" w:cs="仿宋_GB2312"/>
          <w:color w:val="333333"/>
          <w:kern w:val="0"/>
          <w:sz w:val="32"/>
          <w:szCs w:val="32"/>
          <w:shd w:val="clear" w:color="auto" w:fill="FFFFFF"/>
        </w:rPr>
      </w:pPr>
    </w:p>
    <w:p w14:paraId="5B15241E">
      <w:pPr>
        <w:adjustRightInd w:val="0"/>
        <w:snapToGrid w:val="0"/>
        <w:spacing w:line="578" w:lineRule="exact"/>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（二）预设问题及评价重点。</w:t>
      </w:r>
    </w:p>
    <w:p w14:paraId="5D4C9FE8">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1、项目决策：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7AC770F">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2、项目管理：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6EFF892B">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3、项目实施：项目资金财政拨付按时完成率100%、单位执行资金使用率为100%，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349EBD1C">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4、项目结果：项目完成预期目标，实施结果与绩效目标相匹配，反映目标实现率100%，项目实际完成时间与计划完成时间的比较差异率为0%。</w:t>
      </w:r>
    </w:p>
    <w:p w14:paraId="70C77649">
      <w:pPr>
        <w:adjustRightInd w:val="0"/>
        <w:snapToGrid w:val="0"/>
        <w:spacing w:line="578" w:lineRule="exact"/>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（三）评价选点。金川县文体旅局</w:t>
      </w:r>
    </w:p>
    <w:p w14:paraId="3AF1F367">
      <w:pPr>
        <w:adjustRightInd w:val="0"/>
        <w:snapToGrid w:val="0"/>
        <w:spacing w:line="578" w:lineRule="exact"/>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（四）评价方法。根据有关规定和工作安排，我单位开展自行评估，通过收集被评估项目相关基础资料，查</w:t>
      </w:r>
      <w:r>
        <w:rPr>
          <w:rFonts w:ascii="仿宋_GB2312" w:hAnsi="仿宋_GB2312" w:eastAsia="仿宋_GB2312" w:cs="仿宋_GB2312"/>
          <w:color w:val="333333"/>
          <w:kern w:val="0"/>
          <w:sz w:val="32"/>
          <w:szCs w:val="32"/>
          <w:shd w:val="clear" w:color="auto" w:fill="FFFFFF"/>
        </w:rPr>
        <w:t>阅资料、</w:t>
      </w:r>
      <w:r>
        <w:rPr>
          <w:rFonts w:hint="eastAsia" w:ascii="仿宋_GB2312" w:hAnsi="仿宋_GB2312" w:eastAsia="仿宋_GB2312" w:cs="仿宋_GB2312"/>
          <w:color w:val="333333"/>
          <w:kern w:val="0"/>
          <w:sz w:val="32"/>
          <w:szCs w:val="32"/>
          <w:shd w:val="clear" w:color="auto" w:fill="FFFFFF"/>
        </w:rPr>
        <w:t>走访基层工会，收集数据信息</w:t>
      </w:r>
      <w:r>
        <w:rPr>
          <w:rFonts w:ascii="仿宋_GB2312" w:hAnsi="仿宋_GB2312" w:eastAsia="仿宋_GB2312" w:cs="仿宋_GB2312"/>
          <w:color w:val="333333"/>
          <w:kern w:val="0"/>
          <w:sz w:val="32"/>
          <w:szCs w:val="32"/>
          <w:shd w:val="clear" w:color="auto" w:fill="FFFFFF"/>
        </w:rPr>
        <w:t>等</w:t>
      </w:r>
      <w:r>
        <w:rPr>
          <w:rFonts w:hint="eastAsia" w:ascii="仿宋_GB2312" w:hAnsi="仿宋_GB2312" w:eastAsia="仿宋_GB2312" w:cs="仿宋_GB2312"/>
          <w:color w:val="333333"/>
          <w:kern w:val="0"/>
          <w:sz w:val="32"/>
          <w:szCs w:val="32"/>
          <w:shd w:val="clear" w:color="auto" w:fill="FFFFFF"/>
        </w:rPr>
        <w:t>，深入论证</w:t>
      </w:r>
      <w:r>
        <w:rPr>
          <w:rFonts w:ascii="仿宋_GB2312" w:hAnsi="仿宋_GB2312" w:eastAsia="仿宋_GB2312" w:cs="仿宋_GB2312"/>
          <w:color w:val="333333"/>
          <w:kern w:val="0"/>
          <w:sz w:val="32"/>
          <w:szCs w:val="32"/>
          <w:shd w:val="clear" w:color="auto" w:fill="FFFFFF"/>
        </w:rPr>
        <w:t>分析后，形成绩效评估报告。</w:t>
      </w:r>
      <w:r>
        <w:rPr>
          <w:rFonts w:hint="eastAsia" w:ascii="仿宋_GB2312" w:hAnsi="仿宋_GB2312" w:eastAsia="仿宋_GB2312" w:cs="仿宋_GB2312"/>
          <w:color w:val="333333"/>
          <w:kern w:val="0"/>
          <w:sz w:val="32"/>
          <w:szCs w:val="32"/>
          <w:shd w:val="clear" w:color="auto" w:fill="FFFFFF"/>
        </w:rPr>
        <w:t>根据项目完成情况，采用查看文卷及实地考察等方法。</w:t>
      </w:r>
    </w:p>
    <w:p w14:paraId="140C95BC">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（五）评价组织。</w:t>
      </w:r>
      <w:r>
        <w:rPr>
          <w:rFonts w:ascii="仿宋_GB2312" w:hAnsi="仿宋_GB2312" w:eastAsia="仿宋_GB2312" w:cs="仿宋_GB2312"/>
          <w:color w:val="333333"/>
          <w:kern w:val="0"/>
          <w:sz w:val="32"/>
          <w:szCs w:val="32"/>
          <w:shd w:val="clear" w:color="auto" w:fill="FFFFFF"/>
        </w:rPr>
        <w:t>评价组人员</w:t>
      </w:r>
      <w:r>
        <w:rPr>
          <w:rFonts w:hint="eastAsia" w:ascii="仿宋_GB2312" w:hAnsi="仿宋_GB2312" w:eastAsia="仿宋_GB2312" w:cs="仿宋_GB2312"/>
          <w:color w:val="333333"/>
          <w:kern w:val="0"/>
          <w:sz w:val="32"/>
          <w:szCs w:val="32"/>
          <w:shd w:val="clear" w:color="auto" w:fill="FFFFFF"/>
        </w:rPr>
        <w:t>由项目管理人员和财务室工作人员共同进行，项目管理人员主要负责项目决策、项目管理、项目实施、项目结果等评价评分；财务室工作人员主要负责用资金用途合规性、程序合规性、标准合规性评价评分。</w:t>
      </w:r>
    </w:p>
    <w:p w14:paraId="28D3DBCE">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三、绩效分析</w:t>
      </w:r>
      <w:r>
        <w:rPr>
          <w:rFonts w:hint="eastAsia" w:ascii="仿宋_GB2312" w:hAnsi="仿宋_GB2312" w:eastAsia="仿宋_GB2312" w:cs="仿宋_GB2312"/>
          <w:color w:val="333333"/>
          <w:kern w:val="0"/>
          <w:sz w:val="32"/>
          <w:szCs w:val="32"/>
          <w:shd w:val="clear" w:color="auto" w:fill="FFFFFF"/>
        </w:rPr>
        <w:tab/>
      </w:r>
    </w:p>
    <w:p w14:paraId="573C10D2">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（一）通用指标</w:t>
      </w:r>
      <w:r>
        <w:rPr>
          <w:rFonts w:ascii="仿宋_GB2312" w:hAnsi="仿宋_GB2312" w:eastAsia="仿宋_GB2312" w:cs="仿宋_GB2312"/>
          <w:color w:val="333333"/>
          <w:kern w:val="0"/>
          <w:sz w:val="32"/>
          <w:szCs w:val="32"/>
          <w:shd w:val="clear" w:color="auto" w:fill="FFFFFF"/>
        </w:rPr>
        <w:t>绩效分析。</w:t>
      </w:r>
    </w:p>
    <w:p w14:paraId="5C48C390">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1.项目决策。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314D5211">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2.项目管理。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157FEBC7">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3.项目实施。项目资金财政拨付按时完成率100%、单位执行资金使用率为100%，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10773329">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4.项目结果。项目完成预期目标，实施结果与绩效目标相匹配，反映目标实现率100%，项目实际完成时间与计划完成时间的比较差异率为0%。</w:t>
      </w:r>
    </w:p>
    <w:p w14:paraId="447E0919">
      <w:pPr>
        <w:spacing w:line="578" w:lineRule="exact"/>
        <w:ind w:firstLine="320" w:firstLineChars="1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（二）专用指标</w:t>
      </w:r>
      <w:r>
        <w:rPr>
          <w:rFonts w:ascii="仿宋_GB2312" w:hAnsi="仿宋_GB2312" w:eastAsia="仿宋_GB2312" w:cs="仿宋_GB2312"/>
          <w:color w:val="333333"/>
          <w:kern w:val="0"/>
          <w:sz w:val="32"/>
          <w:szCs w:val="32"/>
          <w:shd w:val="clear" w:color="auto" w:fill="FFFFFF"/>
        </w:rPr>
        <w:t>绩效分析。</w:t>
      </w:r>
    </w:p>
    <w:p w14:paraId="3F6E71F6">
      <w:pPr>
        <w:wordWrap w:val="0"/>
        <w:adjustRightInd w:val="0"/>
        <w:spacing w:line="560" w:lineRule="exact"/>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民生保障：资金实际支持对象是符合管理要求，符合支持对象范围项目资金分配体现的均衡公平情况资金，实际补贴标准符合资金管理办法规定的补助标准，及时按标准兑现。资金涉及相关受益群体、支持对象的满意度调查访谈情况良好。</w:t>
      </w:r>
    </w:p>
    <w:p w14:paraId="4EFE8DD7">
      <w:pPr>
        <w:wordWrap w:val="0"/>
        <w:adjustRightInd w:val="0"/>
        <w:spacing w:line="560" w:lineRule="exact"/>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 xml:space="preserve">  （三）个性指标</w:t>
      </w:r>
      <w:r>
        <w:rPr>
          <w:rFonts w:ascii="仿宋_GB2312" w:hAnsi="仿宋_GB2312" w:eastAsia="仿宋_GB2312" w:cs="仿宋_GB2312"/>
          <w:color w:val="333333"/>
          <w:kern w:val="0"/>
          <w:sz w:val="32"/>
          <w:szCs w:val="32"/>
          <w:shd w:val="clear" w:color="auto" w:fill="FFFFFF"/>
        </w:rPr>
        <w:t>绩效分析。</w:t>
      </w:r>
      <w:r>
        <w:rPr>
          <w:rFonts w:hint="eastAsia" w:ascii="仿宋_GB2312" w:hAnsi="仿宋_GB2312" w:eastAsia="仿宋_GB2312" w:cs="仿宋_GB2312"/>
          <w:color w:val="333333"/>
          <w:kern w:val="0"/>
          <w:sz w:val="32"/>
          <w:szCs w:val="32"/>
          <w:shd w:val="clear" w:color="auto" w:fill="FFFFFF"/>
        </w:rPr>
        <w:t>项目符合全面提升我局工作能力水平，增强人民群众安全感和满意度，持续增强全民看书率。</w:t>
      </w:r>
    </w:p>
    <w:p w14:paraId="1F1AFC6D">
      <w:pPr>
        <w:pStyle w:val="6"/>
        <w:spacing w:before="93" w:line="600" w:lineRule="exact"/>
        <w:ind w:firstLine="640" w:firstLineChars="200"/>
        <w:rPr>
          <w:rFonts w:hAnsi="仿宋_GB2312" w:cs="仿宋_GB2312"/>
          <w:color w:val="333333"/>
          <w:sz w:val="32"/>
          <w:szCs w:val="32"/>
          <w:shd w:val="clear" w:color="auto" w:fill="FFFFFF"/>
        </w:rPr>
      </w:pPr>
      <w:r>
        <w:rPr>
          <w:rFonts w:hint="eastAsia" w:hAnsi="仿宋_GB2312" w:cs="仿宋_GB2312"/>
          <w:color w:val="333333"/>
          <w:sz w:val="32"/>
          <w:szCs w:val="32"/>
          <w:shd w:val="clear" w:color="auto" w:fill="FFFFFF"/>
        </w:rPr>
        <w:t>四、评价结论</w:t>
      </w:r>
    </w:p>
    <w:p w14:paraId="69AD14F7">
      <w:pPr>
        <w:spacing w:line="578" w:lineRule="exact"/>
        <w:ind w:firstLine="64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本项目的该项目总体评分94分，按照规定落实网格管理员报酬和待遇，保证网格化服务管理工作顺利开展。</w:t>
      </w:r>
    </w:p>
    <w:p w14:paraId="250544EA">
      <w:pPr>
        <w:pStyle w:val="6"/>
        <w:spacing w:before="93" w:line="600" w:lineRule="exact"/>
        <w:rPr>
          <w:rFonts w:ascii="黑体" w:hAnsi="宋体"/>
          <w:sz w:val="32"/>
          <w:szCs w:val="32"/>
        </w:rPr>
      </w:pPr>
      <w:r>
        <w:rPr>
          <w:rFonts w:hint="eastAsia" w:hAnsi="仿宋_GB2312" w:cs="仿宋_GB2312"/>
          <w:sz w:val="32"/>
          <w:szCs w:val="32"/>
          <w:shd w:val="clear" w:color="auto" w:fill="FFFFFF"/>
        </w:rPr>
        <w:t xml:space="preserve">  </w:t>
      </w:r>
      <w:r>
        <w:rPr>
          <w:rFonts w:hint="eastAsia" w:ascii="黑体" w:hAnsi="宋体"/>
          <w:sz w:val="32"/>
          <w:szCs w:val="32"/>
        </w:rPr>
        <w:t>五、存在主要问题</w:t>
      </w:r>
    </w:p>
    <w:p w14:paraId="5C9893B3">
      <w:pPr>
        <w:pStyle w:val="6"/>
        <w:spacing w:before="93" w:line="600" w:lineRule="exact"/>
        <w:ind w:firstLine="640" w:firstLineChars="200"/>
        <w:rPr>
          <w:rFonts w:hAnsi="仿宋_GB2312" w:cs="仿宋_GB2312"/>
          <w:sz w:val="32"/>
          <w:szCs w:val="32"/>
        </w:rPr>
      </w:pPr>
      <w:r>
        <w:rPr>
          <w:rFonts w:hint="eastAsia" w:hAnsi="仿宋_GB2312" w:cs="仿宋_GB2312"/>
          <w:sz w:val="32"/>
          <w:szCs w:val="32"/>
        </w:rPr>
        <w:t>无</w:t>
      </w:r>
    </w:p>
    <w:p w14:paraId="2903FAE1">
      <w:pPr>
        <w:pStyle w:val="6"/>
        <w:spacing w:before="93" w:line="600" w:lineRule="exact"/>
        <w:ind w:firstLine="320" w:firstLineChars="100"/>
        <w:rPr>
          <w:rFonts w:ascii="黑体" w:hAnsi="宋体"/>
          <w:sz w:val="32"/>
          <w:szCs w:val="32"/>
          <w:lang w:val="zh-CN"/>
        </w:rPr>
      </w:pPr>
      <w:r>
        <w:rPr>
          <w:rFonts w:hint="eastAsia" w:ascii="黑体" w:hAnsi="宋体"/>
          <w:sz w:val="32"/>
          <w:szCs w:val="32"/>
          <w:lang w:val="zh-CN"/>
        </w:rPr>
        <w:t>六、改进建议</w:t>
      </w:r>
    </w:p>
    <w:p w14:paraId="64685D40">
      <w:pPr>
        <w:pStyle w:val="6"/>
        <w:spacing w:before="93" w:line="600" w:lineRule="exact"/>
        <w:ind w:firstLine="640" w:firstLineChars="200"/>
        <w:rPr>
          <w:rFonts w:hAnsi="仿宋_GB2312" w:cs="仿宋_GB2312"/>
          <w:sz w:val="32"/>
          <w:szCs w:val="32"/>
        </w:rPr>
      </w:pPr>
      <w:bookmarkStart w:id="75" w:name="_Hlk110546638"/>
      <w:r>
        <w:rPr>
          <w:rFonts w:hint="eastAsia" w:hAnsi="仿宋_GB2312" w:cs="仿宋_GB2312"/>
          <w:sz w:val="32"/>
          <w:szCs w:val="32"/>
        </w:rPr>
        <w:t>无</w:t>
      </w:r>
    </w:p>
    <w:bookmarkEnd w:id="75"/>
    <w:p w14:paraId="11136959">
      <w:pPr>
        <w:pStyle w:val="6"/>
        <w:spacing w:before="93" w:line="600" w:lineRule="exact"/>
        <w:ind w:firstLine="640" w:firstLineChars="200"/>
        <w:rPr>
          <w:rFonts w:hAnsi="仿宋_GB2312" w:cs="仿宋_GB2312"/>
          <w:sz w:val="32"/>
          <w:szCs w:val="32"/>
        </w:rPr>
      </w:pPr>
    </w:p>
    <w:p w14:paraId="4525FB5B">
      <w:pPr>
        <w:pStyle w:val="6"/>
        <w:spacing w:before="93" w:line="600" w:lineRule="exact"/>
        <w:ind w:firstLine="640" w:firstLineChars="200"/>
        <w:rPr>
          <w:rFonts w:hAnsi="仿宋_GB2312" w:cs="仿宋_GB2312"/>
          <w:sz w:val="32"/>
          <w:szCs w:val="32"/>
        </w:rPr>
      </w:pPr>
      <w:r>
        <w:rPr>
          <w:rFonts w:hint="eastAsia" w:hAnsi="仿宋_GB2312" w:cs="仿宋_GB2312"/>
          <w:sz w:val="32"/>
          <w:szCs w:val="32"/>
        </w:rPr>
        <w:t>附表：1.项目资金分配涉及所有点位自评得分情况表</w:t>
      </w:r>
    </w:p>
    <w:p w14:paraId="5879605E">
      <w:pPr>
        <w:pStyle w:val="6"/>
        <w:spacing w:before="93" w:line="600" w:lineRule="exact"/>
        <w:ind w:firstLine="1600" w:firstLineChars="500"/>
        <w:rPr>
          <w:rFonts w:hAnsi="仿宋_GB2312" w:cs="仿宋_GB2312"/>
          <w:sz w:val="32"/>
          <w:szCs w:val="32"/>
        </w:rPr>
      </w:pPr>
      <w:r>
        <w:rPr>
          <w:rFonts w:hint="eastAsia" w:hAnsi="仿宋_GB2312" w:cs="仿宋_GB2312"/>
          <w:sz w:val="32"/>
          <w:szCs w:val="32"/>
        </w:rPr>
        <w:t>2.专项预算项目绩效目标完成情况自评表</w:t>
      </w:r>
    </w:p>
    <w:p w14:paraId="77D45C76">
      <w:pPr>
        <w:pStyle w:val="6"/>
        <w:spacing w:before="93" w:line="600" w:lineRule="exact"/>
        <w:ind w:firstLine="640" w:firstLineChars="200"/>
        <w:rPr>
          <w:rFonts w:hAnsi="仿宋_GB2312" w:cs="仿宋_GB2312"/>
          <w:sz w:val="32"/>
          <w:szCs w:val="32"/>
        </w:rPr>
      </w:pPr>
      <w:r>
        <w:rPr>
          <w:rFonts w:hint="eastAsia" w:hAnsi="仿宋_GB2312" w:cs="仿宋_GB2312"/>
          <w:sz w:val="32"/>
          <w:szCs w:val="32"/>
        </w:rPr>
        <w:br w:type="page"/>
      </w:r>
    </w:p>
    <w:p w14:paraId="3CCBDC75">
      <w:pPr>
        <w:widowControl/>
        <w:adjustRightInd w:val="0"/>
        <w:snapToGrid w:val="0"/>
        <w:spacing w:line="578" w:lineRule="exact"/>
        <w:contextualSpacing/>
        <w:jc w:val="left"/>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14:paraId="10C6E603">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1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1F6A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A83FF77">
            <w:pPr>
              <w:spacing w:line="300" w:lineRule="exact"/>
              <w:jc w:val="center"/>
              <w:rPr>
                <w:rFonts w:ascii="黑体" w:hAnsi="黑体" w:eastAsia="黑体" w:cs="黑体"/>
                <w:sz w:val="24"/>
              </w:rPr>
            </w:pPr>
            <w:r>
              <w:rPr>
                <w:rFonts w:hint="eastAsia" w:ascii="黑体" w:hAnsi="黑体" w:eastAsia="黑体" w:cs="黑体"/>
                <w:sz w:val="24"/>
              </w:rPr>
              <w:t>序号</w:t>
            </w:r>
          </w:p>
        </w:tc>
        <w:tc>
          <w:tcPr>
            <w:tcW w:w="3843" w:type="dxa"/>
          </w:tcPr>
          <w:p w14:paraId="61DC423C">
            <w:pPr>
              <w:spacing w:line="300" w:lineRule="exact"/>
              <w:jc w:val="center"/>
              <w:rPr>
                <w:rFonts w:ascii="黑体" w:hAnsi="黑体" w:eastAsia="黑体" w:cs="黑体"/>
                <w:sz w:val="24"/>
              </w:rPr>
            </w:pPr>
            <w:r>
              <w:rPr>
                <w:rFonts w:hint="eastAsia" w:ascii="黑体" w:hAnsi="黑体" w:eastAsia="黑体" w:cs="黑体"/>
                <w:sz w:val="24"/>
              </w:rPr>
              <w:t>项目资金末端分配点位</w:t>
            </w:r>
          </w:p>
        </w:tc>
        <w:tc>
          <w:tcPr>
            <w:tcW w:w="2861" w:type="dxa"/>
          </w:tcPr>
          <w:p w14:paraId="741C91E3">
            <w:pPr>
              <w:spacing w:line="300" w:lineRule="exact"/>
              <w:jc w:val="center"/>
              <w:rPr>
                <w:rFonts w:ascii="黑体" w:hAnsi="黑体" w:eastAsia="黑体" w:cs="黑体"/>
                <w:sz w:val="24"/>
              </w:rPr>
            </w:pPr>
            <w:r>
              <w:rPr>
                <w:rFonts w:hint="eastAsia" w:ascii="黑体" w:hAnsi="黑体" w:eastAsia="黑体" w:cs="黑体"/>
                <w:sz w:val="24"/>
              </w:rPr>
              <w:t>自评得分（百分制）</w:t>
            </w:r>
          </w:p>
        </w:tc>
        <w:tc>
          <w:tcPr>
            <w:tcW w:w="993" w:type="dxa"/>
          </w:tcPr>
          <w:p w14:paraId="53743ED9">
            <w:pPr>
              <w:spacing w:line="300" w:lineRule="exact"/>
              <w:jc w:val="center"/>
              <w:rPr>
                <w:rFonts w:ascii="黑体" w:hAnsi="黑体" w:eastAsia="黑体" w:cs="黑体"/>
                <w:sz w:val="24"/>
              </w:rPr>
            </w:pPr>
            <w:r>
              <w:rPr>
                <w:rFonts w:hint="eastAsia" w:ascii="黑体" w:hAnsi="黑体" w:eastAsia="黑体" w:cs="黑体"/>
                <w:sz w:val="24"/>
              </w:rPr>
              <w:t>备注</w:t>
            </w:r>
          </w:p>
        </w:tc>
      </w:tr>
      <w:tr w14:paraId="2EDD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59AA91D">
            <w:pPr>
              <w:spacing w:line="300" w:lineRule="exact"/>
              <w:jc w:val="center"/>
              <w:rPr>
                <w:rFonts w:ascii="宋体" w:hAnsi="宋体" w:cs="宋体"/>
                <w:sz w:val="24"/>
              </w:rPr>
            </w:pPr>
            <w:r>
              <w:rPr>
                <w:rFonts w:hint="eastAsia" w:ascii="宋体" w:hAnsi="宋体" w:cs="宋体"/>
                <w:sz w:val="24"/>
              </w:rPr>
              <w:t>1</w:t>
            </w:r>
          </w:p>
        </w:tc>
        <w:tc>
          <w:tcPr>
            <w:tcW w:w="3843" w:type="dxa"/>
          </w:tcPr>
          <w:p w14:paraId="33B15EB2">
            <w:pPr>
              <w:spacing w:line="300" w:lineRule="exact"/>
              <w:rPr>
                <w:rFonts w:ascii="宋体" w:hAnsi="宋体" w:cs="宋体"/>
                <w:sz w:val="24"/>
              </w:rPr>
            </w:pPr>
            <w:r>
              <w:rPr>
                <w:rFonts w:hint="eastAsia" w:ascii="宋体" w:hAnsi="宋体" w:cs="宋体"/>
                <w:sz w:val="24"/>
              </w:rPr>
              <w:t>金川县文化广播体育和旅游局</w:t>
            </w:r>
          </w:p>
        </w:tc>
        <w:tc>
          <w:tcPr>
            <w:tcW w:w="2861" w:type="dxa"/>
          </w:tcPr>
          <w:p w14:paraId="4CA3D98B">
            <w:pPr>
              <w:spacing w:line="300" w:lineRule="exact"/>
              <w:rPr>
                <w:rFonts w:ascii="宋体" w:hAnsi="宋体" w:cs="宋体"/>
                <w:sz w:val="24"/>
              </w:rPr>
            </w:pPr>
            <w:r>
              <w:rPr>
                <w:rFonts w:hint="eastAsia" w:ascii="宋体" w:hAnsi="宋体" w:cs="宋体"/>
                <w:sz w:val="24"/>
              </w:rPr>
              <w:t>94</w:t>
            </w:r>
          </w:p>
        </w:tc>
        <w:tc>
          <w:tcPr>
            <w:tcW w:w="993" w:type="dxa"/>
          </w:tcPr>
          <w:p w14:paraId="215B57C1">
            <w:pPr>
              <w:spacing w:line="300" w:lineRule="exact"/>
              <w:rPr>
                <w:rFonts w:ascii="宋体" w:hAnsi="宋体" w:cs="宋体"/>
                <w:sz w:val="24"/>
              </w:rPr>
            </w:pPr>
          </w:p>
        </w:tc>
      </w:tr>
      <w:tr w14:paraId="1DA7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C676E0C">
            <w:pPr>
              <w:spacing w:line="300" w:lineRule="exact"/>
              <w:jc w:val="center"/>
              <w:rPr>
                <w:rFonts w:ascii="宋体" w:hAnsi="宋体" w:cs="宋体"/>
                <w:sz w:val="24"/>
              </w:rPr>
            </w:pPr>
            <w:r>
              <w:rPr>
                <w:rFonts w:hint="eastAsia" w:ascii="宋体" w:hAnsi="宋体" w:cs="宋体"/>
                <w:sz w:val="24"/>
              </w:rPr>
              <w:t>2</w:t>
            </w:r>
          </w:p>
        </w:tc>
        <w:tc>
          <w:tcPr>
            <w:tcW w:w="3843" w:type="dxa"/>
          </w:tcPr>
          <w:p w14:paraId="6C1C7E89">
            <w:pPr>
              <w:spacing w:line="300" w:lineRule="exact"/>
              <w:rPr>
                <w:rFonts w:ascii="宋体" w:hAnsi="宋体" w:cs="宋体"/>
                <w:sz w:val="24"/>
              </w:rPr>
            </w:pPr>
          </w:p>
        </w:tc>
        <w:tc>
          <w:tcPr>
            <w:tcW w:w="2861" w:type="dxa"/>
          </w:tcPr>
          <w:p w14:paraId="71E4EFE8">
            <w:pPr>
              <w:spacing w:line="300" w:lineRule="exact"/>
              <w:rPr>
                <w:rFonts w:ascii="宋体" w:hAnsi="宋体" w:cs="宋体"/>
                <w:sz w:val="24"/>
              </w:rPr>
            </w:pPr>
          </w:p>
        </w:tc>
        <w:tc>
          <w:tcPr>
            <w:tcW w:w="993" w:type="dxa"/>
          </w:tcPr>
          <w:p w14:paraId="69957F11">
            <w:pPr>
              <w:spacing w:line="300" w:lineRule="exact"/>
              <w:rPr>
                <w:rFonts w:ascii="宋体" w:hAnsi="宋体" w:cs="宋体"/>
                <w:sz w:val="24"/>
              </w:rPr>
            </w:pPr>
          </w:p>
        </w:tc>
      </w:tr>
      <w:tr w14:paraId="0908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DB87856">
            <w:pPr>
              <w:spacing w:line="300" w:lineRule="exact"/>
              <w:jc w:val="center"/>
              <w:rPr>
                <w:rFonts w:ascii="宋体" w:hAnsi="宋体" w:cs="宋体"/>
                <w:sz w:val="24"/>
              </w:rPr>
            </w:pPr>
            <w:r>
              <w:rPr>
                <w:rFonts w:hint="eastAsia" w:ascii="宋体" w:hAnsi="宋体" w:cs="宋体"/>
                <w:sz w:val="24"/>
              </w:rPr>
              <w:t>3</w:t>
            </w:r>
          </w:p>
        </w:tc>
        <w:tc>
          <w:tcPr>
            <w:tcW w:w="3843" w:type="dxa"/>
          </w:tcPr>
          <w:p w14:paraId="1D6C83A4">
            <w:pPr>
              <w:spacing w:line="300" w:lineRule="exact"/>
              <w:rPr>
                <w:rFonts w:ascii="宋体" w:hAnsi="宋体" w:cs="宋体"/>
                <w:sz w:val="24"/>
              </w:rPr>
            </w:pPr>
          </w:p>
        </w:tc>
        <w:tc>
          <w:tcPr>
            <w:tcW w:w="2861" w:type="dxa"/>
          </w:tcPr>
          <w:p w14:paraId="55C3BAFF">
            <w:pPr>
              <w:spacing w:line="300" w:lineRule="exact"/>
              <w:rPr>
                <w:rFonts w:ascii="宋体" w:hAnsi="宋体" w:cs="宋体"/>
                <w:sz w:val="24"/>
              </w:rPr>
            </w:pPr>
          </w:p>
        </w:tc>
        <w:tc>
          <w:tcPr>
            <w:tcW w:w="993" w:type="dxa"/>
          </w:tcPr>
          <w:p w14:paraId="034E9106">
            <w:pPr>
              <w:spacing w:line="300" w:lineRule="exact"/>
              <w:rPr>
                <w:rFonts w:ascii="宋体" w:hAnsi="宋体" w:cs="宋体"/>
                <w:sz w:val="24"/>
              </w:rPr>
            </w:pPr>
          </w:p>
        </w:tc>
      </w:tr>
      <w:tr w14:paraId="6F46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B7F3EEC">
            <w:pPr>
              <w:spacing w:line="300" w:lineRule="exact"/>
              <w:jc w:val="center"/>
              <w:rPr>
                <w:rFonts w:ascii="宋体" w:hAnsi="宋体" w:cs="宋体"/>
                <w:sz w:val="24"/>
              </w:rPr>
            </w:pPr>
            <w:r>
              <w:rPr>
                <w:rFonts w:hint="eastAsia" w:ascii="宋体" w:hAnsi="宋体" w:cs="宋体"/>
                <w:sz w:val="24"/>
              </w:rPr>
              <w:t>4</w:t>
            </w:r>
          </w:p>
        </w:tc>
        <w:tc>
          <w:tcPr>
            <w:tcW w:w="3843" w:type="dxa"/>
          </w:tcPr>
          <w:p w14:paraId="3332DB98">
            <w:pPr>
              <w:spacing w:line="300" w:lineRule="exact"/>
              <w:rPr>
                <w:rFonts w:ascii="宋体" w:hAnsi="宋体" w:cs="宋体"/>
                <w:sz w:val="24"/>
              </w:rPr>
            </w:pPr>
          </w:p>
        </w:tc>
        <w:tc>
          <w:tcPr>
            <w:tcW w:w="2861" w:type="dxa"/>
          </w:tcPr>
          <w:p w14:paraId="45302141">
            <w:pPr>
              <w:spacing w:line="300" w:lineRule="exact"/>
              <w:rPr>
                <w:rFonts w:ascii="宋体" w:hAnsi="宋体" w:cs="宋体"/>
                <w:sz w:val="24"/>
              </w:rPr>
            </w:pPr>
          </w:p>
        </w:tc>
        <w:tc>
          <w:tcPr>
            <w:tcW w:w="993" w:type="dxa"/>
          </w:tcPr>
          <w:p w14:paraId="444F68F0">
            <w:pPr>
              <w:spacing w:line="300" w:lineRule="exact"/>
              <w:rPr>
                <w:rFonts w:ascii="宋体" w:hAnsi="宋体" w:cs="宋体"/>
                <w:sz w:val="24"/>
              </w:rPr>
            </w:pPr>
          </w:p>
        </w:tc>
      </w:tr>
      <w:tr w14:paraId="2555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85CD536">
            <w:pPr>
              <w:spacing w:line="300" w:lineRule="exact"/>
              <w:jc w:val="center"/>
              <w:rPr>
                <w:rFonts w:ascii="宋体" w:hAnsi="宋体" w:cs="宋体"/>
                <w:sz w:val="24"/>
              </w:rPr>
            </w:pPr>
            <w:r>
              <w:rPr>
                <w:rFonts w:hint="eastAsia" w:ascii="宋体" w:hAnsi="宋体" w:cs="宋体"/>
                <w:sz w:val="24"/>
              </w:rPr>
              <w:t>5</w:t>
            </w:r>
          </w:p>
        </w:tc>
        <w:tc>
          <w:tcPr>
            <w:tcW w:w="3843" w:type="dxa"/>
          </w:tcPr>
          <w:p w14:paraId="741DDD39">
            <w:pPr>
              <w:spacing w:line="300" w:lineRule="exact"/>
              <w:rPr>
                <w:rFonts w:ascii="宋体" w:hAnsi="宋体" w:cs="宋体"/>
                <w:sz w:val="24"/>
              </w:rPr>
            </w:pPr>
          </w:p>
        </w:tc>
        <w:tc>
          <w:tcPr>
            <w:tcW w:w="2861" w:type="dxa"/>
          </w:tcPr>
          <w:p w14:paraId="5D2BCF82">
            <w:pPr>
              <w:spacing w:line="300" w:lineRule="exact"/>
              <w:rPr>
                <w:rFonts w:ascii="宋体" w:hAnsi="宋体" w:cs="宋体"/>
                <w:sz w:val="24"/>
              </w:rPr>
            </w:pPr>
          </w:p>
        </w:tc>
        <w:tc>
          <w:tcPr>
            <w:tcW w:w="993" w:type="dxa"/>
          </w:tcPr>
          <w:p w14:paraId="4B901FBF">
            <w:pPr>
              <w:spacing w:line="300" w:lineRule="exact"/>
              <w:rPr>
                <w:rFonts w:ascii="宋体" w:hAnsi="宋体" w:cs="宋体"/>
                <w:sz w:val="24"/>
              </w:rPr>
            </w:pPr>
          </w:p>
        </w:tc>
      </w:tr>
      <w:tr w14:paraId="3DF7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0359F99">
            <w:pPr>
              <w:spacing w:line="300" w:lineRule="exact"/>
              <w:jc w:val="center"/>
              <w:rPr>
                <w:rFonts w:ascii="宋体" w:hAnsi="宋体" w:cs="宋体"/>
                <w:sz w:val="24"/>
              </w:rPr>
            </w:pPr>
            <w:r>
              <w:rPr>
                <w:rFonts w:hint="eastAsia" w:ascii="宋体" w:hAnsi="宋体" w:cs="宋体"/>
                <w:sz w:val="24"/>
              </w:rPr>
              <w:t>6</w:t>
            </w:r>
          </w:p>
        </w:tc>
        <w:tc>
          <w:tcPr>
            <w:tcW w:w="3843" w:type="dxa"/>
          </w:tcPr>
          <w:p w14:paraId="37D353D1">
            <w:pPr>
              <w:spacing w:line="300" w:lineRule="exact"/>
              <w:rPr>
                <w:rFonts w:ascii="宋体" w:hAnsi="宋体" w:cs="宋体"/>
                <w:sz w:val="24"/>
              </w:rPr>
            </w:pPr>
          </w:p>
        </w:tc>
        <w:tc>
          <w:tcPr>
            <w:tcW w:w="2861" w:type="dxa"/>
          </w:tcPr>
          <w:p w14:paraId="241334C5">
            <w:pPr>
              <w:spacing w:line="300" w:lineRule="exact"/>
              <w:rPr>
                <w:rFonts w:ascii="宋体" w:hAnsi="宋体" w:cs="宋体"/>
                <w:sz w:val="24"/>
              </w:rPr>
            </w:pPr>
          </w:p>
        </w:tc>
        <w:tc>
          <w:tcPr>
            <w:tcW w:w="993" w:type="dxa"/>
          </w:tcPr>
          <w:p w14:paraId="4F04C8A7">
            <w:pPr>
              <w:spacing w:line="300" w:lineRule="exact"/>
              <w:rPr>
                <w:rFonts w:ascii="宋体" w:hAnsi="宋体" w:cs="宋体"/>
                <w:sz w:val="24"/>
              </w:rPr>
            </w:pPr>
          </w:p>
        </w:tc>
      </w:tr>
      <w:tr w14:paraId="3580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5ACBD13">
            <w:pPr>
              <w:spacing w:line="300" w:lineRule="exact"/>
              <w:jc w:val="center"/>
              <w:rPr>
                <w:rFonts w:ascii="宋体" w:hAnsi="宋体" w:cs="宋体"/>
                <w:sz w:val="24"/>
              </w:rPr>
            </w:pPr>
            <w:r>
              <w:rPr>
                <w:rFonts w:hint="eastAsia" w:ascii="宋体" w:hAnsi="宋体" w:cs="宋体"/>
                <w:sz w:val="24"/>
              </w:rPr>
              <w:t>7</w:t>
            </w:r>
          </w:p>
        </w:tc>
        <w:tc>
          <w:tcPr>
            <w:tcW w:w="3843" w:type="dxa"/>
          </w:tcPr>
          <w:p w14:paraId="54DDD5DA">
            <w:pPr>
              <w:spacing w:line="300" w:lineRule="exact"/>
              <w:rPr>
                <w:rFonts w:ascii="宋体" w:hAnsi="宋体" w:cs="宋体"/>
                <w:sz w:val="24"/>
              </w:rPr>
            </w:pPr>
          </w:p>
        </w:tc>
        <w:tc>
          <w:tcPr>
            <w:tcW w:w="2861" w:type="dxa"/>
          </w:tcPr>
          <w:p w14:paraId="6E50323D">
            <w:pPr>
              <w:spacing w:line="300" w:lineRule="exact"/>
              <w:rPr>
                <w:rFonts w:ascii="宋体" w:hAnsi="宋体" w:cs="宋体"/>
                <w:sz w:val="24"/>
              </w:rPr>
            </w:pPr>
          </w:p>
        </w:tc>
        <w:tc>
          <w:tcPr>
            <w:tcW w:w="993" w:type="dxa"/>
          </w:tcPr>
          <w:p w14:paraId="7F56E97F">
            <w:pPr>
              <w:spacing w:line="300" w:lineRule="exact"/>
              <w:rPr>
                <w:rFonts w:ascii="宋体" w:hAnsi="宋体" w:cs="宋体"/>
                <w:sz w:val="24"/>
              </w:rPr>
            </w:pPr>
          </w:p>
        </w:tc>
      </w:tr>
      <w:tr w14:paraId="4980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C0A6F22">
            <w:pPr>
              <w:spacing w:line="300" w:lineRule="exact"/>
              <w:jc w:val="center"/>
              <w:rPr>
                <w:rFonts w:ascii="宋体" w:hAnsi="宋体" w:cs="宋体"/>
                <w:sz w:val="24"/>
              </w:rPr>
            </w:pPr>
            <w:r>
              <w:rPr>
                <w:rFonts w:hint="eastAsia" w:ascii="宋体" w:hAnsi="宋体" w:cs="宋体"/>
                <w:sz w:val="24"/>
              </w:rPr>
              <w:t>8</w:t>
            </w:r>
          </w:p>
        </w:tc>
        <w:tc>
          <w:tcPr>
            <w:tcW w:w="3843" w:type="dxa"/>
          </w:tcPr>
          <w:p w14:paraId="7AF58095">
            <w:pPr>
              <w:spacing w:line="300" w:lineRule="exact"/>
              <w:rPr>
                <w:rFonts w:ascii="宋体" w:hAnsi="宋体" w:cs="宋体"/>
                <w:sz w:val="24"/>
              </w:rPr>
            </w:pPr>
          </w:p>
        </w:tc>
        <w:tc>
          <w:tcPr>
            <w:tcW w:w="2861" w:type="dxa"/>
          </w:tcPr>
          <w:p w14:paraId="02A8BB13">
            <w:pPr>
              <w:spacing w:line="300" w:lineRule="exact"/>
              <w:rPr>
                <w:rFonts w:ascii="宋体" w:hAnsi="宋体" w:cs="宋体"/>
                <w:sz w:val="24"/>
              </w:rPr>
            </w:pPr>
          </w:p>
        </w:tc>
        <w:tc>
          <w:tcPr>
            <w:tcW w:w="993" w:type="dxa"/>
          </w:tcPr>
          <w:p w14:paraId="4120D407">
            <w:pPr>
              <w:spacing w:line="300" w:lineRule="exact"/>
              <w:rPr>
                <w:rFonts w:ascii="宋体" w:hAnsi="宋体" w:cs="宋体"/>
                <w:sz w:val="24"/>
              </w:rPr>
            </w:pPr>
          </w:p>
        </w:tc>
      </w:tr>
      <w:tr w14:paraId="4AD5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79A221F">
            <w:pPr>
              <w:spacing w:line="300" w:lineRule="exact"/>
              <w:jc w:val="center"/>
              <w:rPr>
                <w:rFonts w:ascii="宋体" w:hAnsi="宋体" w:cs="宋体"/>
                <w:sz w:val="24"/>
              </w:rPr>
            </w:pPr>
            <w:r>
              <w:rPr>
                <w:rFonts w:hint="eastAsia" w:ascii="宋体" w:hAnsi="宋体" w:cs="宋体"/>
                <w:sz w:val="24"/>
              </w:rPr>
              <w:t>……</w:t>
            </w:r>
          </w:p>
        </w:tc>
        <w:tc>
          <w:tcPr>
            <w:tcW w:w="3843" w:type="dxa"/>
          </w:tcPr>
          <w:p w14:paraId="3901C3CC">
            <w:pPr>
              <w:spacing w:line="300" w:lineRule="exact"/>
              <w:rPr>
                <w:rFonts w:ascii="宋体" w:hAnsi="宋体" w:cs="宋体"/>
                <w:sz w:val="24"/>
              </w:rPr>
            </w:pPr>
          </w:p>
        </w:tc>
        <w:tc>
          <w:tcPr>
            <w:tcW w:w="2861" w:type="dxa"/>
          </w:tcPr>
          <w:p w14:paraId="7AE8C2C5">
            <w:pPr>
              <w:spacing w:line="300" w:lineRule="exact"/>
              <w:rPr>
                <w:rFonts w:ascii="宋体" w:hAnsi="宋体" w:cs="宋体"/>
                <w:sz w:val="24"/>
              </w:rPr>
            </w:pPr>
          </w:p>
        </w:tc>
        <w:tc>
          <w:tcPr>
            <w:tcW w:w="993" w:type="dxa"/>
          </w:tcPr>
          <w:p w14:paraId="1E6BAB6F">
            <w:pPr>
              <w:spacing w:line="300" w:lineRule="exact"/>
              <w:rPr>
                <w:rFonts w:ascii="宋体" w:hAnsi="宋体" w:cs="宋体"/>
                <w:sz w:val="24"/>
              </w:rPr>
            </w:pPr>
          </w:p>
        </w:tc>
      </w:tr>
    </w:tbl>
    <w:p w14:paraId="6218B00A">
      <w:pPr>
        <w:spacing w:line="400" w:lineRule="exact"/>
        <w:jc w:val="left"/>
        <w:rPr>
          <w:rFonts w:ascii="宋体" w:hAnsi="宋体" w:cs="宋体"/>
          <w:szCs w:val="21"/>
        </w:rPr>
      </w:pPr>
      <w:r>
        <w:rPr>
          <w:rFonts w:hint="eastAsia" w:ascii="宋体" w:hAnsi="宋体" w:cs="宋体"/>
          <w:szCs w:val="21"/>
        </w:rPr>
        <w:t>备注：1.项目资金末端分配点位包括州本级、县（市）、州级部门下属单位及一次性单位等。</w:t>
      </w:r>
    </w:p>
    <w:p w14:paraId="70231242">
      <w:pPr>
        <w:spacing w:line="400" w:lineRule="exact"/>
        <w:ind w:firstLine="630" w:firstLineChars="300"/>
        <w:jc w:val="left"/>
        <w:rPr>
          <w:rFonts w:ascii="宋体" w:hAnsi="宋体" w:cs="宋体"/>
          <w:szCs w:val="21"/>
        </w:rPr>
      </w:pPr>
      <w:r>
        <w:rPr>
          <w:rFonts w:hint="eastAsia" w:ascii="宋体" w:hAnsi="宋体" w:cs="宋体"/>
          <w:szCs w:val="21"/>
        </w:rPr>
        <w:t>2.自评得分（百分制）从高到低划分为优、良、中、差四个档次，各个档次数量占比分别为20%、20%、55%、5%，且不同档次间得分分值应体现差异化，同档次得分分值相同的比例不超过该档次总数量的10%。</w:t>
      </w:r>
    </w:p>
    <w:p w14:paraId="19D5BE21">
      <w:r>
        <w:rPr>
          <w:rFonts w:hint="eastAsia"/>
        </w:rPr>
        <w:br w:type="page"/>
      </w:r>
    </w:p>
    <w:p w14:paraId="5F0D1639">
      <w:pPr>
        <w:pStyle w:val="22"/>
      </w:pPr>
    </w:p>
    <w:p w14:paraId="2B9489D3">
      <w:pPr>
        <w:pStyle w:val="8"/>
        <w:spacing w:after="0" w:line="578" w:lineRule="exact"/>
        <w:ind w:left="0" w:leftChars="0" w:firstLine="0" w:firstLineChars="0"/>
        <w:rPr>
          <w:rFonts w:ascii="Times New Roman" w:eastAsia="黑体"/>
          <w:szCs w:val="24"/>
        </w:rPr>
      </w:pPr>
      <w:r>
        <w:rPr>
          <w:rFonts w:ascii="Times New Roman" w:eastAsia="黑体"/>
          <w:szCs w:val="24"/>
        </w:rPr>
        <w:t>附表2</w:t>
      </w:r>
    </w:p>
    <w:tbl>
      <w:tblPr>
        <w:tblStyle w:val="17"/>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539D0A0">
        <w:tblPrEx>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73760CC1">
            <w:pPr>
              <w:widowControl/>
              <w:spacing w:line="600" w:lineRule="exact"/>
              <w:jc w:val="center"/>
              <w:textAlignment w:val="center"/>
              <w:rPr>
                <w:rFonts w:ascii="黑体" w:hAnsi="宋体" w:eastAsia="黑体" w:cs="黑体"/>
                <w:color w:val="000000"/>
                <w:sz w:val="30"/>
                <w:szCs w:val="30"/>
              </w:rPr>
            </w:pPr>
            <w:r>
              <w:rPr>
                <w:rFonts w:hint="eastAsia" w:ascii="方正小标宋简体" w:hAnsi="方正小标宋简体" w:eastAsia="方正小标宋简体" w:cs="方正小标宋简体"/>
                <w:color w:val="000000"/>
                <w:kern w:val="0"/>
                <w:sz w:val="40"/>
                <w:szCs w:val="40"/>
              </w:rPr>
              <w:t>专项预算项目绩效目标完成情况自评表</w:t>
            </w:r>
          </w:p>
        </w:tc>
      </w:tr>
      <w:tr w14:paraId="323E9B5F">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4AE273">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36558">
            <w:pPr>
              <w:pStyle w:val="37"/>
              <w:spacing w:line="578" w:lineRule="exact"/>
              <w:rPr>
                <w:rFonts w:ascii="宋体" w:hAnsi="宋体" w:cs="宋体"/>
                <w:sz w:val="24"/>
                <w:szCs w:val="24"/>
              </w:rPr>
            </w:pPr>
            <w:r>
              <w:rPr>
                <w:rFonts w:hint="eastAsia" w:ascii="宋体" w:hAnsi="宋体" w:cs="宋体"/>
                <w:sz w:val="24"/>
                <w:szCs w:val="24"/>
              </w:rPr>
              <w:t>“两馆一站”免费开放</w:t>
            </w:r>
          </w:p>
        </w:tc>
      </w:tr>
      <w:tr w14:paraId="7677FB2B">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92C4AA">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3DB67D">
            <w:pPr>
              <w:spacing w:line="300" w:lineRule="exact"/>
              <w:rPr>
                <w:rFonts w:ascii="宋体" w:hAnsi="宋体" w:cs="宋体"/>
                <w:color w:val="000000"/>
                <w:sz w:val="24"/>
              </w:rPr>
            </w:pPr>
            <w:r>
              <w:rPr>
                <w:rFonts w:hint="eastAsia" w:ascii="宋体" w:hAnsi="宋体" w:cs="宋体"/>
                <w:color w:val="000000"/>
                <w:kern w:val="0"/>
                <w:sz w:val="18"/>
                <w:szCs w:val="18"/>
              </w:rPr>
              <w:t>金川县文化广播电视体育和旅游局</w:t>
            </w:r>
          </w:p>
        </w:tc>
      </w:tr>
      <w:tr w14:paraId="0800D559">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4C9B6">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A5ECE6">
            <w:pPr>
              <w:spacing w:line="300" w:lineRule="exact"/>
              <w:jc w:val="left"/>
              <w:rPr>
                <w:rFonts w:ascii="宋体" w:hAnsi="宋体" w:cs="宋体"/>
                <w:color w:val="000000"/>
                <w:sz w:val="24"/>
              </w:rPr>
            </w:pPr>
            <w:r>
              <w:rPr>
                <w:rFonts w:hint="eastAsia" w:ascii="宋体" w:hAnsi="宋体" w:cs="宋体"/>
                <w:color w:val="000000"/>
                <w:sz w:val="24"/>
              </w:rPr>
              <w:t xml:space="preserve">运转类    </w:t>
            </w:r>
          </w:p>
        </w:tc>
      </w:tr>
      <w:tr w14:paraId="5306B8C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C18C6">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66819">
            <w:pPr>
              <w:widowControl/>
              <w:spacing w:line="300" w:lineRule="exact"/>
              <w:jc w:val="left"/>
              <w:textAlignment w:val="center"/>
              <w:rPr>
                <w:rFonts w:ascii="宋体" w:hAnsi="宋体" w:cs="宋体"/>
                <w:color w:val="000000"/>
                <w:kern w:val="0"/>
                <w:sz w:val="24"/>
              </w:rPr>
            </w:pPr>
            <w:r>
              <w:rPr>
                <w:rFonts w:ascii="宋体" w:hAnsi="宋体" w:cs="宋体"/>
                <w:color w:val="000000"/>
                <w:kern w:val="0"/>
                <w:sz w:val="24"/>
              </w:rPr>
              <w:t>中长期规划（名称、文号，仅指</w:t>
            </w:r>
          </w:p>
          <w:p w14:paraId="3E9CE8C0">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A669F6">
            <w:pPr>
              <w:spacing w:line="300" w:lineRule="exact"/>
              <w:jc w:val="left"/>
              <w:rPr>
                <w:rFonts w:ascii="宋体" w:hAnsi="宋体" w:cs="宋体"/>
                <w:color w:val="000000"/>
                <w:sz w:val="24"/>
              </w:rPr>
            </w:pPr>
          </w:p>
        </w:tc>
      </w:tr>
      <w:tr w14:paraId="4AD716D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8FE5F">
            <w:pPr>
              <w:spacing w:line="300" w:lineRule="exact"/>
              <w:rPr>
                <w:rFonts w:ascii="宋体" w:hAnsi="宋体" w:cs="宋体"/>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C0DE8">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2132D9">
            <w:pPr>
              <w:spacing w:line="300" w:lineRule="exact"/>
              <w:jc w:val="left"/>
              <w:rPr>
                <w:rFonts w:ascii="宋体" w:hAnsi="宋体" w:cs="宋体"/>
                <w:color w:val="000000"/>
                <w:sz w:val="24"/>
              </w:rPr>
            </w:pPr>
          </w:p>
        </w:tc>
      </w:tr>
      <w:tr w14:paraId="4F4AB46D">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5E574">
            <w:pPr>
              <w:spacing w:line="300" w:lineRule="exact"/>
              <w:rPr>
                <w:rFonts w:ascii="宋体" w:hAnsi="宋体" w:cs="宋体"/>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C699F">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C724">
            <w:pPr>
              <w:widowControl/>
              <w:spacing w:line="300" w:lineRule="exact"/>
              <w:jc w:val="left"/>
              <w:textAlignment w:val="center"/>
              <w:rPr>
                <w:rFonts w:ascii="Wingdings 2" w:hAnsi="Wingdings 2" w:eastAsia="Wingdings 2" w:cs="Wingdings 2"/>
                <w:color w:val="000000"/>
                <w:sz w:val="24"/>
              </w:rPr>
            </w:pPr>
            <w:r>
              <w:rPr>
                <w:rFonts w:ascii="Wingdings 2" w:hAnsi="Wingdings 2" w:eastAsia="Wingdings 2" w:cs="Wingdings 2"/>
                <w:color w:val="000000"/>
                <w:kern w:val="0"/>
                <w:sz w:val="24"/>
              </w:rPr>
              <w:t></w:t>
            </w:r>
            <w:r>
              <w:rPr>
                <w:rFonts w:ascii="宋体" w:hAnsi="宋体" w:cs="宋体"/>
                <w:color w:val="000000"/>
                <w:kern w:val="0"/>
                <w:sz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122CD">
            <w:pPr>
              <w:widowControl/>
              <w:spacing w:line="300" w:lineRule="exact"/>
              <w:jc w:val="center"/>
              <w:textAlignment w:val="center"/>
              <w:rPr>
                <w:rFonts w:ascii="Wingdings 2" w:hAnsi="Wingdings 2" w:eastAsia="Wingdings 2" w:cs="Wingdings 2"/>
                <w:color w:val="000000"/>
                <w:sz w:val="24"/>
              </w:rPr>
            </w:pPr>
            <w:r>
              <w:rPr>
                <w:rFonts w:ascii="Wingdings 2" w:hAnsi="Wingdings 2" w:eastAsia="Wingdings 2" w:cs="Wingdings 2"/>
                <w:color w:val="000000"/>
                <w:kern w:val="0"/>
                <w:sz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7EC2">
            <w:pPr>
              <w:widowControl/>
              <w:spacing w:line="300" w:lineRule="exact"/>
              <w:jc w:val="center"/>
              <w:textAlignment w:val="center"/>
              <w:rPr>
                <w:rFonts w:ascii="Wingdings 2" w:hAnsi="Wingdings 2" w:eastAsia="Wingdings 2" w:cs="Wingdings 2"/>
                <w:color w:val="000000"/>
                <w:sz w:val="24"/>
              </w:rPr>
            </w:pPr>
            <w:r>
              <w:rPr>
                <w:rFonts w:ascii="Wingdings 2" w:hAnsi="Wingdings 2" w:eastAsia="Wingdings 2" w:cs="Wingdings 2"/>
                <w:color w:val="000000"/>
                <w:kern w:val="0"/>
                <w:sz w:val="24"/>
              </w:rPr>
              <w:sym w:font="Wingdings 2" w:char="0052"/>
            </w:r>
            <w:r>
              <w:rPr>
                <w:rFonts w:ascii="宋体" w:hAnsi="宋体" w:cs="宋体"/>
                <w:color w:val="000000"/>
                <w:kern w:val="0"/>
                <w:sz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624C">
            <w:pPr>
              <w:widowControl/>
              <w:spacing w:line="300" w:lineRule="exact"/>
              <w:jc w:val="center"/>
              <w:textAlignment w:val="center"/>
              <w:rPr>
                <w:rFonts w:ascii="Wingdings 2" w:hAnsi="Wingdings 2" w:eastAsia="Wingdings 2" w:cs="Wingdings 2"/>
                <w:color w:val="000000"/>
                <w:sz w:val="24"/>
              </w:rPr>
            </w:pPr>
            <w:r>
              <w:rPr>
                <w:rFonts w:ascii="Wingdings 2" w:hAnsi="Wingdings 2" w:eastAsia="Wingdings 2" w:cs="Wingdings 2"/>
                <w:color w:val="000000"/>
                <w:kern w:val="0"/>
                <w:sz w:val="24"/>
              </w:rPr>
              <w:t></w:t>
            </w:r>
            <w:r>
              <w:rPr>
                <w:rFonts w:ascii="宋体" w:hAnsi="宋体" w:cs="宋体"/>
                <w:color w:val="000000"/>
                <w:kern w:val="0"/>
                <w:sz w:val="24"/>
              </w:rPr>
              <w:t>因素法与项目法相结合</w:t>
            </w:r>
          </w:p>
        </w:tc>
      </w:tr>
      <w:tr w14:paraId="4058BC0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E6C3E">
            <w:pPr>
              <w:spacing w:line="300" w:lineRule="exact"/>
              <w:rPr>
                <w:rFonts w:ascii="宋体" w:hAnsi="宋体" w:cs="宋体"/>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2048AF">
            <w:pPr>
              <w:widowControl/>
              <w:spacing w:line="300" w:lineRule="exact"/>
              <w:jc w:val="left"/>
              <w:textAlignment w:val="center"/>
              <w:rPr>
                <w:rFonts w:ascii="宋体" w:hAnsi="宋体" w:cs="宋体"/>
                <w:color w:val="000000"/>
                <w:szCs w:val="21"/>
              </w:rPr>
            </w:pPr>
            <w:r>
              <w:rPr>
                <w:rFonts w:ascii="宋体" w:hAnsi="宋体" w:cs="宋体"/>
                <w:color w:val="000000"/>
                <w:kern w:val="0"/>
                <w:sz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FADB23">
            <w:pPr>
              <w:spacing w:line="300" w:lineRule="exact"/>
              <w:jc w:val="left"/>
              <w:rPr>
                <w:rFonts w:ascii="宋体" w:hAnsi="宋体" w:cs="宋体"/>
                <w:color w:val="000000"/>
                <w:szCs w:val="21"/>
              </w:rPr>
            </w:pPr>
          </w:p>
        </w:tc>
      </w:tr>
      <w:tr w14:paraId="1C39B1D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A8891">
            <w:pPr>
              <w:spacing w:line="300" w:lineRule="exact"/>
              <w:rPr>
                <w:rFonts w:ascii="宋体" w:hAnsi="宋体" w:cs="宋体"/>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C9350">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2BBCC9">
            <w:pPr>
              <w:spacing w:line="300" w:lineRule="exact"/>
              <w:jc w:val="left"/>
              <w:rPr>
                <w:rFonts w:ascii="宋体" w:hAnsi="宋体" w:cs="宋体"/>
                <w:color w:val="000000"/>
                <w:sz w:val="24"/>
              </w:rPr>
            </w:pPr>
          </w:p>
        </w:tc>
      </w:tr>
      <w:tr w14:paraId="6E8F9ED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C1401">
            <w:pPr>
              <w:spacing w:line="300" w:lineRule="exact"/>
              <w:rPr>
                <w:rFonts w:ascii="宋体" w:hAnsi="宋体" w:cs="宋体"/>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7213C">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FDFCB">
            <w:pPr>
              <w:spacing w:line="300" w:lineRule="exact"/>
              <w:jc w:val="left"/>
              <w:rPr>
                <w:rFonts w:ascii="宋体" w:hAnsi="宋体" w:cs="宋体"/>
                <w:color w:val="000000"/>
                <w:sz w:val="24"/>
              </w:rPr>
            </w:pPr>
          </w:p>
        </w:tc>
      </w:tr>
      <w:tr w14:paraId="14CB93B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03EF">
            <w:pPr>
              <w:spacing w:line="300" w:lineRule="exact"/>
              <w:rPr>
                <w:rFonts w:ascii="宋体" w:hAnsi="宋体" w:cs="宋体"/>
                <w:color w:val="000000"/>
                <w:sz w:val="24"/>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C8B53C">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65A79C">
            <w:pPr>
              <w:spacing w:line="300" w:lineRule="exact"/>
              <w:rPr>
                <w:rFonts w:ascii="宋体" w:hAnsi="宋体" w:cs="宋体"/>
                <w:color w:val="000000"/>
                <w:sz w:val="24"/>
              </w:rPr>
            </w:pPr>
            <w:r>
              <w:rPr>
                <w:rFonts w:ascii="宋体" w:hAnsi="宋体" w:cs="宋体"/>
                <w:color w:val="000000"/>
                <w:kern w:val="0"/>
                <w:sz w:val="18"/>
                <w:szCs w:val="18"/>
              </w:rPr>
              <w:t>202</w:t>
            </w:r>
            <w:r>
              <w:rPr>
                <w:rFonts w:hint="eastAsia" w:ascii="宋体" w:hAnsi="宋体" w:cs="宋体"/>
                <w:color w:val="000000"/>
                <w:kern w:val="0"/>
                <w:sz w:val="18"/>
                <w:szCs w:val="18"/>
              </w:rPr>
              <w:t>4</w:t>
            </w:r>
            <w:r>
              <w:rPr>
                <w:rFonts w:ascii="宋体" w:hAnsi="宋体" w:cs="宋体"/>
                <w:color w:val="000000"/>
                <w:kern w:val="0"/>
                <w:sz w:val="18"/>
                <w:szCs w:val="18"/>
              </w:rPr>
              <w:t>-9999</w:t>
            </w:r>
          </w:p>
        </w:tc>
      </w:tr>
      <w:tr w14:paraId="3539EA7A">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E08E5">
            <w:pPr>
              <w:widowControl/>
              <w:spacing w:line="300" w:lineRule="exact"/>
              <w:jc w:val="center"/>
              <w:textAlignment w:val="center"/>
              <w:rPr>
                <w:rFonts w:ascii="宋体" w:hAnsi="宋体" w:cs="宋体"/>
                <w:color w:val="000000"/>
                <w:kern w:val="0"/>
                <w:sz w:val="24"/>
              </w:rPr>
            </w:pPr>
            <w:r>
              <w:rPr>
                <w:rFonts w:ascii="宋体" w:hAnsi="宋体" w:cs="宋体"/>
                <w:color w:val="000000"/>
                <w:kern w:val="0"/>
                <w:sz w:val="24"/>
              </w:rPr>
              <w:t>项目资金</w:t>
            </w:r>
          </w:p>
          <w:p w14:paraId="578149C6">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6305F2">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57DE59">
            <w:pPr>
              <w:tabs>
                <w:tab w:val="left" w:pos="617"/>
              </w:tabs>
              <w:spacing w:line="300" w:lineRule="exact"/>
              <w:jc w:val="left"/>
              <w:rPr>
                <w:rFonts w:ascii="宋体" w:hAnsi="宋体" w:cs="宋体"/>
                <w:color w:val="000000"/>
                <w:sz w:val="24"/>
              </w:rPr>
            </w:pPr>
            <w:r>
              <w:rPr>
                <w:rFonts w:hint="eastAsia" w:ascii="宋体" w:hAnsi="宋体" w:cs="宋体"/>
                <w:color w:val="000000"/>
                <w:sz w:val="24"/>
              </w:rPr>
              <w:t>97.2万元</w:t>
            </w:r>
          </w:p>
        </w:tc>
      </w:tr>
      <w:tr w14:paraId="2B27E1D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60930">
            <w:pPr>
              <w:spacing w:line="300" w:lineRule="exact"/>
              <w:rPr>
                <w:rFonts w:ascii="宋体" w:hAnsi="宋体" w:cs="宋体"/>
                <w:color w:val="000000"/>
                <w:sz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86AF69">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 xml:space="preserve"> </w:t>
            </w:r>
            <w:r>
              <w:rPr>
                <w:rFonts w:ascii="宋体" w:hAnsi="宋体" w:cs="宋体"/>
                <w:color w:val="000000"/>
                <w:kern w:val="0"/>
                <w:sz w:val="24"/>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150694">
            <w:pPr>
              <w:spacing w:line="300" w:lineRule="exact"/>
              <w:rPr>
                <w:rFonts w:ascii="宋体" w:hAnsi="宋体" w:cs="宋体"/>
                <w:color w:val="000000"/>
                <w:sz w:val="24"/>
              </w:rPr>
            </w:pPr>
            <w:r>
              <w:rPr>
                <w:rFonts w:hint="eastAsia" w:ascii="宋体" w:hAnsi="宋体" w:cs="宋体"/>
                <w:color w:val="000000"/>
                <w:sz w:val="24"/>
              </w:rPr>
              <w:t>97.2万元</w:t>
            </w:r>
          </w:p>
        </w:tc>
      </w:tr>
      <w:tr w14:paraId="1AF850AA">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15B05">
            <w:pPr>
              <w:spacing w:line="300" w:lineRule="exact"/>
              <w:rPr>
                <w:rFonts w:ascii="宋体" w:hAnsi="宋体" w:cs="宋体"/>
                <w:color w:val="000000"/>
                <w:sz w:val="24"/>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C3D9E">
            <w:pPr>
              <w:widowControl/>
              <w:spacing w:line="300" w:lineRule="exact"/>
              <w:jc w:val="left"/>
              <w:textAlignment w:val="center"/>
              <w:rPr>
                <w:rFonts w:ascii="宋体" w:hAnsi="宋体" w:cs="宋体"/>
                <w:color w:val="000000"/>
                <w:sz w:val="24"/>
              </w:rPr>
            </w:pPr>
            <w:r>
              <w:rPr>
                <w:rFonts w:ascii="宋体" w:hAnsi="宋体" w:cs="宋体"/>
                <w:color w:val="000000"/>
                <w:kern w:val="0"/>
                <w:sz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E1DE70">
            <w:pPr>
              <w:spacing w:line="300" w:lineRule="exact"/>
              <w:jc w:val="right"/>
              <w:rPr>
                <w:rFonts w:ascii="宋体" w:hAnsi="宋体" w:cs="宋体"/>
                <w:color w:val="000000"/>
                <w:sz w:val="24"/>
              </w:rPr>
            </w:pPr>
            <w:r>
              <w:rPr>
                <w:rFonts w:hint="eastAsia" w:ascii="宋体" w:hAnsi="宋体" w:cs="宋体"/>
                <w:color w:val="000000"/>
                <w:sz w:val="24"/>
              </w:rPr>
              <w:t>0</w:t>
            </w:r>
          </w:p>
        </w:tc>
      </w:tr>
      <w:tr w14:paraId="332ACF3E">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2C742">
            <w:pPr>
              <w:widowControl/>
              <w:spacing w:line="300" w:lineRule="exact"/>
              <w:jc w:val="center"/>
              <w:textAlignment w:val="center"/>
              <w:rPr>
                <w:rFonts w:ascii="宋体" w:hAnsi="宋体" w:cs="宋体"/>
                <w:color w:val="000000"/>
                <w:sz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01993E">
            <w:pPr>
              <w:widowControl/>
              <w:spacing w:line="300" w:lineRule="exact"/>
              <w:jc w:val="center"/>
              <w:textAlignment w:val="center"/>
              <w:rPr>
                <w:rFonts w:ascii="宋体" w:hAnsi="宋体" w:cs="宋体"/>
                <w:color w:val="000000"/>
                <w:sz w:val="24"/>
              </w:rPr>
            </w:pPr>
          </w:p>
        </w:tc>
      </w:tr>
      <w:tr w14:paraId="1975F27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E3A9F">
            <w:pPr>
              <w:spacing w:line="300" w:lineRule="exact"/>
              <w:rPr>
                <w:rFonts w:ascii="宋体" w:hAnsi="宋体" w:cs="宋体"/>
                <w:color w:val="000000"/>
                <w:sz w:val="24"/>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13CE39">
            <w:pPr>
              <w:spacing w:line="300" w:lineRule="exact"/>
              <w:rPr>
                <w:rFonts w:ascii="宋体" w:hAnsi="宋体" w:cs="宋体"/>
                <w:color w:val="000000"/>
                <w:sz w:val="24"/>
              </w:rPr>
            </w:pPr>
          </w:p>
        </w:tc>
      </w:tr>
      <w:tr w14:paraId="7DA4A18B">
        <w:tblPrEx>
          <w:tblCellMar>
            <w:top w:w="15" w:type="dxa"/>
            <w:left w:w="15" w:type="dxa"/>
            <w:bottom w:w="15" w:type="dxa"/>
            <w:right w:w="15" w:type="dxa"/>
          </w:tblCellMar>
        </w:tblPrEx>
        <w:trPr>
          <w:trHeight w:val="23" w:hRule="atLeast"/>
          <w:jc w:val="center"/>
        </w:trPr>
        <w:tc>
          <w:tcPr>
            <w:tcW w:w="652" w:type="dxa"/>
            <w:tcBorders>
              <w:top w:val="single" w:color="000000" w:sz="4" w:space="0"/>
              <w:left w:val="single" w:color="000000" w:sz="4" w:space="0"/>
              <w:bottom w:val="single" w:color="000000" w:sz="4" w:space="0"/>
            </w:tcBorders>
            <w:shd w:val="clear" w:color="auto" w:fill="auto"/>
            <w:vAlign w:val="center"/>
          </w:tcPr>
          <w:p w14:paraId="017B1871">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绩效 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550A">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9DE4">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5D6F">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5F2B">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91D9">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13E9">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6617">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权重</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CE46">
            <w:pPr>
              <w:widowControl/>
              <w:spacing w:line="300" w:lineRule="exact"/>
              <w:jc w:val="center"/>
              <w:textAlignment w:val="center"/>
              <w:rPr>
                <w:rFonts w:ascii="宋体" w:hAnsi="宋体" w:cs="宋体"/>
                <w:color w:val="000000"/>
                <w:sz w:val="24"/>
              </w:rPr>
            </w:pPr>
            <w:r>
              <w:rPr>
                <w:rFonts w:ascii="宋体" w:hAnsi="宋体" w:cs="宋体"/>
                <w:color w:val="000000"/>
                <w:kern w:val="0"/>
                <w:sz w:val="24"/>
              </w:rPr>
              <w:t>实际完成指标值</w:t>
            </w:r>
          </w:p>
        </w:tc>
      </w:tr>
      <w:tr w14:paraId="221A4EB7">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tcBorders>
            <w:shd w:val="clear" w:color="auto" w:fill="auto"/>
            <w:vAlign w:val="center"/>
          </w:tcPr>
          <w:p w14:paraId="24BDCA72">
            <w:pPr>
              <w:widowControl/>
              <w:spacing w:line="300" w:lineRule="exact"/>
              <w:jc w:val="center"/>
              <w:textAlignment w:val="center"/>
              <w:rPr>
                <w:rFonts w:ascii="宋体" w:hAnsi="宋体" w:cs="宋体"/>
                <w:color w:val="000000"/>
                <w:kern w:val="0"/>
                <w:sz w:val="24"/>
              </w:rPr>
            </w:pPr>
          </w:p>
          <w:p w14:paraId="1BB7D70B">
            <w:pPr>
              <w:widowControl/>
              <w:jc w:val="center"/>
              <w:textAlignment w:val="center"/>
              <w:rPr>
                <w:rFonts w:ascii="宋体" w:hAnsi="宋体" w:cs="宋体"/>
                <w:color w:val="000000"/>
                <w:kern w:val="0"/>
                <w:sz w:val="18"/>
                <w:szCs w:val="18"/>
              </w:rPr>
            </w:pPr>
          </w:p>
          <w:p w14:paraId="1EE7470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绩</w:t>
            </w:r>
          </w:p>
          <w:p w14:paraId="643316B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效</w:t>
            </w:r>
          </w:p>
          <w:p w14:paraId="523BD26D">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指</w:t>
            </w:r>
          </w:p>
          <w:p w14:paraId="1EBD4404">
            <w:pPr>
              <w:widowControl/>
              <w:jc w:val="center"/>
              <w:textAlignment w:val="center"/>
            </w:pPr>
            <w:r>
              <w:rPr>
                <w:rFonts w:hint="eastAsia" w:ascii="宋体" w:hAnsi="宋体" w:cs="宋体"/>
                <w:color w:val="000000"/>
                <w:kern w:val="0"/>
                <w:sz w:val="18"/>
                <w:szCs w:val="18"/>
              </w:rPr>
              <w:t>标</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60185">
            <w:pPr>
              <w:widowControl/>
              <w:jc w:val="center"/>
              <w:textAlignment w:val="center"/>
              <w:rPr>
                <w:rFonts w:ascii="宋体" w:hAnsi="宋体" w:cs="宋体"/>
                <w:color w:val="000000"/>
                <w:kern w:val="0"/>
                <w:sz w:val="24"/>
              </w:rPr>
            </w:pPr>
            <w:r>
              <w:rPr>
                <w:rFonts w:ascii="宋体" w:hAnsi="宋体" w:cs="宋体"/>
                <w:color w:val="000000"/>
                <w:kern w:val="0"/>
                <w:sz w:val="18"/>
                <w:szCs w:val="18"/>
              </w:rPr>
              <w:t>产出指标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2D66">
            <w:pPr>
              <w:widowControl/>
              <w:jc w:val="center"/>
              <w:textAlignment w:val="center"/>
              <w:rPr>
                <w:rFonts w:ascii="宋体" w:hAnsi="宋体" w:cs="宋体"/>
                <w:color w:val="000000"/>
                <w:kern w:val="0"/>
                <w:sz w:val="24"/>
              </w:rPr>
            </w:pPr>
            <w:r>
              <w:rPr>
                <w:rFonts w:ascii="宋体" w:hAnsi="宋体" w:cs="宋体"/>
                <w:color w:val="000000"/>
                <w:kern w:val="0"/>
                <w:sz w:val="18"/>
                <w:szCs w:val="18"/>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9676">
            <w:pPr>
              <w:widowControl/>
              <w:jc w:val="center"/>
              <w:textAlignment w:val="center"/>
              <w:rPr>
                <w:rFonts w:ascii="宋体" w:hAnsi="宋体" w:cs="宋体"/>
                <w:color w:val="000000"/>
                <w:kern w:val="0"/>
                <w:sz w:val="24"/>
              </w:rPr>
            </w:pPr>
            <w:r>
              <w:rPr>
                <w:rFonts w:hint="eastAsia" w:ascii="宋体" w:hAnsi="宋体" w:cs="宋体"/>
                <w:color w:val="000000"/>
                <w:kern w:val="0"/>
                <w:sz w:val="24"/>
              </w:rPr>
              <w:t>文化馆</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9433">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32C8">
            <w:pPr>
              <w:widowControl/>
              <w:jc w:val="center"/>
              <w:textAlignment w:val="center"/>
              <w:rPr>
                <w:rFonts w:ascii="宋体" w:hAnsi="宋体" w:cs="宋体"/>
                <w:color w:val="000000"/>
                <w:kern w:val="0"/>
                <w:sz w:val="24"/>
              </w:rPr>
            </w:pPr>
            <w:r>
              <w:rPr>
                <w:rFonts w:hint="eastAsia" w:ascii="宋体" w:hAnsi="宋体" w:cs="宋体"/>
                <w:color w:val="000000"/>
                <w:kern w:val="0"/>
                <w:sz w:val="24"/>
              </w:rPr>
              <w:t>1</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3D77">
            <w:pPr>
              <w:widowControl/>
              <w:jc w:val="center"/>
              <w:textAlignment w:val="center"/>
              <w:rPr>
                <w:rFonts w:ascii="宋体" w:hAnsi="宋体" w:cs="宋体"/>
                <w:color w:val="000000"/>
                <w:kern w:val="0"/>
                <w:sz w:val="24"/>
              </w:rPr>
            </w:pPr>
            <w:r>
              <w:rPr>
                <w:rFonts w:hint="eastAsia" w:ascii="宋体" w:hAnsi="宋体" w:cs="宋体"/>
                <w:color w:val="000000"/>
                <w:kern w:val="0"/>
                <w:sz w:val="24"/>
              </w:rPr>
              <w:t>座</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17C1">
            <w:pPr>
              <w:widowControl/>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D59A">
            <w:pPr>
              <w:widowControl/>
              <w:jc w:val="center"/>
              <w:textAlignment w:val="center"/>
              <w:rPr>
                <w:rFonts w:ascii="宋体" w:hAnsi="宋体" w:cs="宋体"/>
                <w:color w:val="000000"/>
                <w:kern w:val="0"/>
                <w:sz w:val="24"/>
              </w:rPr>
            </w:pPr>
          </w:p>
        </w:tc>
      </w:tr>
      <w:tr w14:paraId="48DEA368">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shd w:val="clear" w:color="auto" w:fill="auto"/>
            <w:vAlign w:val="center"/>
          </w:tcPr>
          <w:p w14:paraId="4ABCEA6C">
            <w:pPr>
              <w:widowControl/>
              <w:spacing w:line="300" w:lineRule="exact"/>
              <w:jc w:val="center"/>
              <w:textAlignment w:val="center"/>
              <w:rPr>
                <w:rFonts w:ascii="宋体" w:hAnsi="宋体" w:cs="宋体"/>
                <w:color w:val="000000"/>
                <w:kern w:val="0"/>
                <w:sz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D89E4">
            <w:pPr>
              <w:jc w:val="center"/>
              <w:rPr>
                <w:rFonts w:ascii="宋体" w:hAnsi="宋体" w:cs="宋体"/>
                <w:color w:val="000000"/>
                <w:kern w:val="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283F">
            <w:pPr>
              <w:widowControl/>
              <w:jc w:val="center"/>
              <w:textAlignment w:val="center"/>
              <w:rPr>
                <w:rFonts w:ascii="宋体" w:hAnsi="宋体" w:cs="宋体"/>
                <w:color w:val="000000"/>
                <w:kern w:val="0"/>
                <w:sz w:val="24"/>
              </w:rPr>
            </w:pPr>
            <w:r>
              <w:rPr>
                <w:rFonts w:ascii="宋体" w:hAnsi="宋体" w:cs="宋体"/>
                <w:color w:val="000000"/>
                <w:kern w:val="0"/>
                <w:sz w:val="18"/>
                <w:szCs w:val="18"/>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3719">
            <w:pPr>
              <w:widowControl/>
              <w:jc w:val="center"/>
              <w:textAlignment w:val="center"/>
              <w:rPr>
                <w:rFonts w:ascii="宋体" w:hAnsi="宋体" w:cs="宋体"/>
                <w:color w:val="000000"/>
                <w:kern w:val="0"/>
                <w:sz w:val="24"/>
              </w:rPr>
            </w:pPr>
            <w:r>
              <w:rPr>
                <w:rFonts w:hint="eastAsia" w:ascii="宋体" w:hAnsi="宋体" w:cs="宋体"/>
                <w:color w:val="000000"/>
                <w:kern w:val="0"/>
                <w:sz w:val="24"/>
              </w:rPr>
              <w:t>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7B036">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C71D">
            <w:pPr>
              <w:widowControl/>
              <w:jc w:val="center"/>
              <w:textAlignment w:val="center"/>
              <w:rPr>
                <w:rFonts w:ascii="宋体" w:hAnsi="宋体" w:cs="宋体"/>
                <w:color w:val="000000"/>
                <w:kern w:val="0"/>
                <w:sz w:val="24"/>
              </w:rPr>
            </w:pPr>
            <w:r>
              <w:rPr>
                <w:rFonts w:hint="eastAsia" w:ascii="宋体" w:hAnsi="宋体" w:cs="宋体"/>
                <w:color w:val="000000"/>
                <w:kern w:val="0"/>
                <w:sz w:val="24"/>
              </w:rPr>
              <w:t>99</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E967">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8312">
            <w:pPr>
              <w:widowControl/>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509A">
            <w:pPr>
              <w:widowControl/>
              <w:jc w:val="center"/>
              <w:textAlignment w:val="center"/>
              <w:rPr>
                <w:rFonts w:ascii="宋体" w:hAnsi="宋体" w:cs="宋体"/>
                <w:color w:val="000000"/>
                <w:kern w:val="0"/>
                <w:sz w:val="24"/>
              </w:rPr>
            </w:pPr>
          </w:p>
        </w:tc>
      </w:tr>
      <w:tr w14:paraId="553126CF">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shd w:val="clear" w:color="auto" w:fill="auto"/>
            <w:vAlign w:val="center"/>
          </w:tcPr>
          <w:p w14:paraId="632876BC">
            <w:pPr>
              <w:widowControl/>
              <w:spacing w:line="300" w:lineRule="exact"/>
              <w:jc w:val="center"/>
              <w:textAlignment w:val="center"/>
              <w:rPr>
                <w:rFonts w:ascii="宋体" w:hAnsi="宋体" w:cs="宋体"/>
                <w:color w:val="000000"/>
                <w:kern w:val="0"/>
                <w:sz w:val="24"/>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4B43C">
            <w:pPr>
              <w:jc w:val="center"/>
              <w:rPr>
                <w:rFonts w:ascii="宋体" w:hAnsi="宋体" w:cs="宋体"/>
                <w:color w:val="000000"/>
                <w:kern w:val="0"/>
                <w:sz w:val="24"/>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2423">
            <w:pPr>
              <w:widowControl/>
              <w:jc w:val="center"/>
              <w:textAlignment w:val="center"/>
              <w:rPr>
                <w:rFonts w:ascii="宋体" w:hAnsi="宋体" w:cs="宋体"/>
                <w:color w:val="000000"/>
                <w:kern w:val="0"/>
                <w:sz w:val="24"/>
              </w:rPr>
            </w:pPr>
            <w:r>
              <w:rPr>
                <w:rFonts w:ascii="宋体" w:hAnsi="宋体" w:cs="宋体"/>
                <w:color w:val="000000"/>
                <w:kern w:val="0"/>
                <w:sz w:val="18"/>
                <w:szCs w:val="18"/>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853B">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项目在规定时间内完成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16EE">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FB3F">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DD49">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C115">
            <w:pPr>
              <w:widowControl/>
              <w:jc w:val="center"/>
              <w:textAlignment w:val="center"/>
              <w:rPr>
                <w:rFonts w:ascii="宋体" w:hAnsi="宋体" w:cs="宋体"/>
                <w:color w:val="000000"/>
                <w:kern w:val="0"/>
                <w:sz w:val="24"/>
              </w:rPr>
            </w:pPr>
            <w:r>
              <w:rPr>
                <w:rFonts w:hint="eastAsia" w:ascii="宋体" w:hAnsi="宋体" w:cs="宋体"/>
                <w:color w:val="000000"/>
                <w:kern w:val="0"/>
                <w:sz w:val="24"/>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18FF">
            <w:pPr>
              <w:widowControl/>
              <w:jc w:val="center"/>
              <w:textAlignment w:val="center"/>
              <w:rPr>
                <w:rFonts w:ascii="宋体" w:hAnsi="宋体" w:cs="宋体"/>
                <w:color w:val="000000"/>
                <w:kern w:val="0"/>
                <w:sz w:val="24"/>
              </w:rPr>
            </w:pPr>
          </w:p>
        </w:tc>
      </w:tr>
      <w:tr w14:paraId="5DD46B1E">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shd w:val="clear" w:color="auto" w:fill="auto"/>
            <w:vAlign w:val="center"/>
          </w:tcPr>
          <w:p w14:paraId="0B20B4AE">
            <w:pPr>
              <w:widowControl/>
              <w:spacing w:line="300" w:lineRule="exact"/>
              <w:jc w:val="center"/>
              <w:textAlignment w:val="center"/>
              <w:rPr>
                <w:rFonts w:ascii="宋体" w:hAnsi="宋体" w:cs="宋体"/>
                <w:color w:val="000000"/>
                <w:kern w:val="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9ACB">
            <w:pPr>
              <w:widowControl/>
              <w:jc w:val="center"/>
              <w:textAlignment w:val="center"/>
              <w:rPr>
                <w:rFonts w:ascii="宋体" w:hAnsi="宋体" w:cs="宋体"/>
                <w:color w:val="000000"/>
                <w:kern w:val="0"/>
                <w:sz w:val="24"/>
              </w:rPr>
            </w:pPr>
            <w:r>
              <w:rPr>
                <w:rFonts w:ascii="宋体" w:hAnsi="宋体" w:cs="宋体"/>
                <w:color w:val="000000"/>
                <w:kern w:val="0"/>
                <w:sz w:val="18"/>
                <w:szCs w:val="18"/>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222C">
            <w:pPr>
              <w:widowControl/>
              <w:jc w:val="center"/>
              <w:textAlignment w:val="center"/>
              <w:rPr>
                <w:rFonts w:ascii="宋体" w:hAnsi="宋体" w:cs="宋体"/>
                <w:color w:val="000000"/>
                <w:kern w:val="0"/>
                <w:sz w:val="24"/>
              </w:rPr>
            </w:pPr>
            <w:r>
              <w:rPr>
                <w:rFonts w:hint="eastAsia" w:ascii="宋体" w:hAnsi="宋体" w:cs="宋体"/>
                <w:color w:val="000000"/>
                <w:kern w:val="0"/>
                <w:sz w:val="18"/>
                <w:szCs w:val="18"/>
              </w:rPr>
              <w:t>可持续发展指标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ED74">
            <w:pPr>
              <w:widowControl/>
              <w:jc w:val="center"/>
              <w:textAlignment w:val="center"/>
              <w:rPr>
                <w:rFonts w:ascii="宋体" w:hAnsi="宋体" w:cs="宋体"/>
                <w:color w:val="000000"/>
                <w:kern w:val="0"/>
                <w:sz w:val="24"/>
              </w:rPr>
            </w:pPr>
            <w:r>
              <w:rPr>
                <w:rFonts w:hint="eastAsia" w:ascii="宋体" w:hAnsi="宋体" w:cs="宋体"/>
                <w:color w:val="000000"/>
                <w:kern w:val="0"/>
                <w:sz w:val="24"/>
              </w:rPr>
              <w:t>全民看书率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7530">
            <w:pPr>
              <w:widowControl/>
              <w:jc w:val="center"/>
              <w:textAlignment w:val="center"/>
              <w:rPr>
                <w:rFonts w:ascii="宋体" w:hAnsi="宋体" w:cs="宋体"/>
                <w:color w:val="000000"/>
                <w:kern w:val="0"/>
                <w:sz w:val="24"/>
              </w:rPr>
            </w:pPr>
            <w:r>
              <w:rPr>
                <w:rFonts w:hint="eastAsia" w:ascii="宋体" w:hAnsi="宋体" w:cs="宋体"/>
                <w:color w:val="000000"/>
                <w:kern w:val="0"/>
                <w:sz w:val="24"/>
              </w:rPr>
              <w:t>定性</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38A5">
            <w:pPr>
              <w:widowControl/>
              <w:jc w:val="center"/>
              <w:textAlignment w:val="center"/>
              <w:rPr>
                <w:rFonts w:ascii="宋体" w:hAnsi="宋体" w:cs="宋体"/>
                <w:color w:val="000000"/>
                <w:kern w:val="0"/>
                <w:sz w:val="24"/>
              </w:rPr>
            </w:pPr>
            <w:r>
              <w:rPr>
                <w:rFonts w:hint="eastAsia" w:ascii="宋体" w:hAnsi="宋体" w:cs="宋体"/>
                <w:color w:val="000000"/>
                <w:kern w:val="0"/>
                <w:sz w:val="24"/>
              </w:rPr>
              <w:t>优</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A97B">
            <w:pPr>
              <w:widowControl/>
              <w:jc w:val="center"/>
              <w:textAlignment w:val="center"/>
              <w:rPr>
                <w:rFonts w:ascii="宋体" w:hAnsi="宋体" w:cs="宋体"/>
                <w:color w:val="000000"/>
                <w:kern w:val="0"/>
                <w:sz w:val="24"/>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3752">
            <w:pPr>
              <w:widowControl/>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39ED">
            <w:pPr>
              <w:widowControl/>
              <w:jc w:val="center"/>
              <w:textAlignment w:val="center"/>
              <w:rPr>
                <w:rFonts w:ascii="宋体" w:hAnsi="宋体" w:cs="宋体"/>
                <w:color w:val="000000"/>
                <w:kern w:val="0"/>
                <w:sz w:val="24"/>
              </w:rPr>
            </w:pPr>
          </w:p>
        </w:tc>
      </w:tr>
      <w:tr w14:paraId="3012BA36">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tcBorders>
            <w:shd w:val="clear" w:color="auto" w:fill="auto"/>
            <w:vAlign w:val="center"/>
          </w:tcPr>
          <w:p w14:paraId="35739E38">
            <w:pPr>
              <w:widowControl/>
              <w:spacing w:line="300" w:lineRule="exact"/>
              <w:jc w:val="center"/>
              <w:textAlignment w:val="center"/>
              <w:rPr>
                <w:rFonts w:ascii="宋体" w:hAnsi="宋体" w:cs="宋体"/>
                <w:color w:val="000000"/>
                <w:kern w:val="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B1A6">
            <w:pPr>
              <w:widowControl/>
              <w:jc w:val="center"/>
              <w:textAlignment w:val="center"/>
              <w:rPr>
                <w:rFonts w:ascii="宋体" w:hAnsi="宋体" w:cs="宋体"/>
                <w:color w:val="000000"/>
                <w:kern w:val="0"/>
                <w:sz w:val="24"/>
              </w:rPr>
            </w:pPr>
            <w:r>
              <w:rPr>
                <w:rFonts w:ascii="宋体" w:hAnsi="宋体" w:cs="宋体"/>
                <w:color w:val="000000"/>
                <w:kern w:val="0"/>
                <w:sz w:val="18"/>
                <w:szCs w:val="18"/>
              </w:rPr>
              <w:t>满意度指标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524C">
            <w:pPr>
              <w:widowControl/>
              <w:jc w:val="center"/>
              <w:textAlignment w:val="center"/>
              <w:rPr>
                <w:rFonts w:ascii="宋体" w:hAnsi="宋体" w:cs="宋体"/>
                <w:color w:val="000000"/>
                <w:kern w:val="0"/>
                <w:sz w:val="24"/>
              </w:rPr>
            </w:pPr>
            <w:r>
              <w:rPr>
                <w:rFonts w:ascii="宋体" w:hAnsi="宋体" w:cs="宋体"/>
                <w:color w:val="000000"/>
                <w:kern w:val="0"/>
                <w:sz w:val="18"/>
                <w:szCs w:val="18"/>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985C">
            <w:pPr>
              <w:widowControl/>
              <w:jc w:val="center"/>
              <w:textAlignment w:val="center"/>
              <w:rPr>
                <w:rFonts w:ascii="宋体" w:hAnsi="宋体" w:cs="宋体"/>
                <w:color w:val="000000"/>
                <w:kern w:val="0"/>
                <w:sz w:val="24"/>
              </w:rPr>
            </w:pPr>
            <w:r>
              <w:rPr>
                <w:rFonts w:hint="eastAsia" w:ascii="宋体" w:hAnsi="宋体" w:cs="宋体"/>
                <w:color w:val="000000"/>
                <w:kern w:val="0"/>
                <w:sz w:val="24"/>
              </w:rPr>
              <w:t>群众满意度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BD28">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E39E">
            <w:pPr>
              <w:widowControl/>
              <w:jc w:val="center"/>
              <w:textAlignment w:val="center"/>
              <w:rPr>
                <w:rFonts w:ascii="宋体" w:hAnsi="宋体" w:cs="宋体"/>
                <w:color w:val="000000"/>
                <w:kern w:val="0"/>
                <w:sz w:val="24"/>
              </w:rPr>
            </w:pPr>
            <w:r>
              <w:rPr>
                <w:rFonts w:hint="eastAsia" w:ascii="宋体" w:hAnsi="宋体" w:cs="宋体"/>
                <w:color w:val="000000"/>
                <w:kern w:val="0"/>
                <w:sz w:val="24"/>
              </w:rPr>
              <w:t>99</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09A3">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6B32">
            <w:pPr>
              <w:widowControl/>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F8EF">
            <w:pPr>
              <w:widowControl/>
              <w:jc w:val="center"/>
              <w:textAlignment w:val="center"/>
              <w:rPr>
                <w:rFonts w:ascii="宋体" w:hAnsi="宋体" w:cs="宋体"/>
                <w:color w:val="000000"/>
                <w:kern w:val="0"/>
                <w:sz w:val="24"/>
              </w:rPr>
            </w:pPr>
          </w:p>
        </w:tc>
      </w:tr>
      <w:tr w14:paraId="4797FF0E">
        <w:tblPrEx>
          <w:tblCellMar>
            <w:top w:w="15" w:type="dxa"/>
            <w:left w:w="15" w:type="dxa"/>
            <w:bottom w:w="15" w:type="dxa"/>
            <w:right w:w="15" w:type="dxa"/>
          </w:tblCellMar>
        </w:tblPrEx>
        <w:trPr>
          <w:trHeight w:val="23" w:hRule="atLeast"/>
          <w:jc w:val="center"/>
        </w:trPr>
        <w:tc>
          <w:tcPr>
            <w:tcW w:w="652" w:type="dxa"/>
            <w:vMerge w:val="continue"/>
            <w:tcBorders>
              <w:left w:val="single" w:color="000000" w:sz="4" w:space="0"/>
              <w:bottom w:val="single" w:color="000000" w:sz="4" w:space="0"/>
            </w:tcBorders>
            <w:shd w:val="clear" w:color="auto" w:fill="auto"/>
            <w:vAlign w:val="center"/>
          </w:tcPr>
          <w:p w14:paraId="77056215">
            <w:pPr>
              <w:widowControl/>
              <w:spacing w:line="300" w:lineRule="exact"/>
              <w:jc w:val="center"/>
              <w:textAlignment w:val="center"/>
              <w:rPr>
                <w:rFonts w:ascii="宋体" w:hAnsi="宋体" w:cs="宋体"/>
                <w:color w:val="000000"/>
                <w:kern w:val="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E052">
            <w:pPr>
              <w:widowControl/>
              <w:jc w:val="center"/>
              <w:textAlignment w:val="center"/>
              <w:rPr>
                <w:rFonts w:ascii="宋体" w:hAnsi="宋体" w:cs="宋体"/>
                <w:color w:val="000000"/>
                <w:kern w:val="0"/>
                <w:sz w:val="24"/>
              </w:rPr>
            </w:pPr>
            <w:r>
              <w:rPr>
                <w:rFonts w:ascii="宋体" w:hAnsi="宋体" w:cs="宋体"/>
                <w:color w:val="000000"/>
                <w:kern w:val="0"/>
                <w:sz w:val="18"/>
                <w:szCs w:val="18"/>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572F">
            <w:pPr>
              <w:widowControl/>
              <w:jc w:val="center"/>
              <w:textAlignment w:val="center"/>
              <w:rPr>
                <w:rFonts w:ascii="宋体" w:hAnsi="宋体" w:cs="宋体"/>
                <w:color w:val="000000"/>
                <w:kern w:val="0"/>
                <w:sz w:val="24"/>
              </w:rPr>
            </w:pPr>
            <w:r>
              <w:rPr>
                <w:rFonts w:ascii="宋体" w:hAnsi="宋体" w:cs="宋体"/>
                <w:color w:val="000000"/>
                <w:kern w:val="0"/>
                <w:sz w:val="18"/>
                <w:szCs w:val="18"/>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A9DD">
            <w:pPr>
              <w:widowControl/>
              <w:jc w:val="center"/>
              <w:textAlignment w:val="center"/>
              <w:rPr>
                <w:rFonts w:ascii="宋体" w:hAnsi="宋体" w:cs="宋体"/>
                <w:color w:val="000000"/>
                <w:kern w:val="0"/>
                <w:sz w:val="24"/>
              </w:rPr>
            </w:pPr>
            <w:r>
              <w:rPr>
                <w:rFonts w:hint="eastAsia" w:ascii="宋体" w:hAnsi="宋体" w:cs="宋体"/>
                <w:color w:val="000000"/>
                <w:kern w:val="0"/>
                <w:sz w:val="24"/>
              </w:rPr>
              <w:t>补助金额</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DF2D">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D3D2">
            <w:pPr>
              <w:widowControl/>
              <w:jc w:val="center"/>
              <w:textAlignment w:val="center"/>
              <w:rPr>
                <w:rFonts w:ascii="宋体" w:hAnsi="宋体" w:cs="宋体"/>
                <w:color w:val="000000"/>
                <w:kern w:val="0"/>
                <w:sz w:val="24"/>
              </w:rPr>
            </w:pPr>
            <w:r>
              <w:rPr>
                <w:rFonts w:hint="eastAsia" w:ascii="宋体" w:hAnsi="宋体" w:cs="宋体"/>
                <w:color w:val="000000"/>
                <w:kern w:val="0"/>
                <w:sz w:val="24"/>
              </w:rPr>
              <w:t>97.2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273E">
            <w:pPr>
              <w:widowControl/>
              <w:jc w:val="center"/>
              <w:textAlignment w:val="center"/>
              <w:rPr>
                <w:rFonts w:ascii="宋体" w:hAnsi="宋体" w:cs="宋体"/>
                <w:color w:val="000000"/>
                <w:kern w:val="0"/>
                <w:sz w:val="24"/>
              </w:rPr>
            </w:pPr>
            <w:r>
              <w:rPr>
                <w:rFonts w:hint="eastAsia" w:ascii="宋体" w:hAnsi="宋体" w:cs="宋体"/>
                <w:color w:val="000000"/>
                <w:kern w:val="0"/>
                <w:sz w:val="24"/>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1444">
            <w:pPr>
              <w:widowControl/>
              <w:jc w:val="center"/>
              <w:textAlignment w:val="center"/>
              <w:rPr>
                <w:rFonts w:ascii="宋体" w:hAnsi="宋体" w:cs="宋体"/>
                <w:color w:val="000000"/>
                <w:kern w:val="0"/>
                <w:sz w:val="24"/>
              </w:rPr>
            </w:pPr>
            <w:r>
              <w:rPr>
                <w:rFonts w:hint="eastAsia" w:ascii="宋体" w:hAnsi="宋体" w:cs="宋体"/>
                <w:color w:val="000000"/>
                <w:kern w:val="0"/>
                <w:sz w:val="24"/>
              </w:rPr>
              <w:t>20</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9C2D">
            <w:pPr>
              <w:widowControl/>
              <w:jc w:val="center"/>
              <w:textAlignment w:val="center"/>
              <w:rPr>
                <w:rFonts w:ascii="宋体" w:hAnsi="宋体" w:cs="宋体"/>
                <w:color w:val="000000"/>
                <w:kern w:val="0"/>
                <w:sz w:val="24"/>
              </w:rPr>
            </w:pPr>
          </w:p>
        </w:tc>
      </w:tr>
    </w:tbl>
    <w:p w14:paraId="0B1CFBDF">
      <w:pPr>
        <w:pStyle w:val="8"/>
        <w:spacing w:after="0" w:line="578" w:lineRule="exact"/>
        <w:ind w:left="0" w:leftChars="0" w:firstLine="0" w:firstLineChars="0"/>
        <w:rPr>
          <w:rFonts w:ascii="黑体" w:hAnsi="黑体" w:eastAsia="黑体" w:cs="黑体"/>
          <w:sz w:val="24"/>
          <w:szCs w:val="24"/>
        </w:rPr>
      </w:pPr>
    </w:p>
    <w:p w14:paraId="388FF45B">
      <w:pPr>
        <w:widowControl/>
        <w:jc w:val="center"/>
        <w:rPr>
          <w:rFonts w:hint="eastAsia" w:eastAsia="黑体"/>
          <w:sz w:val="44"/>
          <w:szCs w:val="44"/>
        </w:rPr>
      </w:pPr>
    </w:p>
    <w:p w14:paraId="26538F19">
      <w:pPr>
        <w:widowControl/>
        <w:jc w:val="center"/>
        <w:rPr>
          <w:rFonts w:hint="eastAsia" w:eastAsia="黑体"/>
          <w:sz w:val="44"/>
          <w:szCs w:val="44"/>
        </w:rPr>
      </w:pPr>
    </w:p>
    <w:p w14:paraId="09665B92">
      <w:pPr>
        <w:widowControl/>
        <w:jc w:val="center"/>
        <w:rPr>
          <w:rFonts w:hint="eastAsia" w:eastAsia="黑体"/>
          <w:sz w:val="44"/>
          <w:szCs w:val="44"/>
        </w:rPr>
      </w:pPr>
    </w:p>
    <w:p w14:paraId="1EDEEAE6">
      <w:pPr>
        <w:widowControl/>
        <w:jc w:val="center"/>
        <w:rPr>
          <w:rFonts w:eastAsia="仿宋"/>
        </w:rPr>
      </w:pPr>
      <w:r>
        <w:rPr>
          <w:rFonts w:hint="eastAsia" w:eastAsia="黑体"/>
          <w:sz w:val="44"/>
          <w:szCs w:val="44"/>
        </w:rPr>
        <w:t>第</w:t>
      </w:r>
      <w:r>
        <w:rPr>
          <w:rStyle w:val="31"/>
          <w:rFonts w:hint="eastAsia" w:eastAsia="黑体"/>
          <w:b w:val="0"/>
        </w:rPr>
        <w:t>五部分 附表</w:t>
      </w:r>
      <w:bookmarkEnd w:id="72"/>
      <w:bookmarkEnd w:id="74"/>
      <w:bookmarkStart w:id="76" w:name="_Toc15396619"/>
    </w:p>
    <w:p w14:paraId="1C0352E0">
      <w:pPr>
        <w:pStyle w:val="15"/>
        <w:adjustRightInd w:val="0"/>
        <w:snapToGrid w:val="0"/>
        <w:spacing w:line="560" w:lineRule="exact"/>
        <w:jc w:val="left"/>
        <w:rPr>
          <w:rFonts w:eastAsia="仿宋_GB2312" w:cs="仿宋_GB2312"/>
          <w:sz w:val="32"/>
          <w:szCs w:val="32"/>
        </w:rPr>
      </w:pPr>
    </w:p>
    <w:p w14:paraId="34864D7F">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76"/>
    </w:p>
    <w:p w14:paraId="21049633">
      <w:pPr>
        <w:pStyle w:val="15"/>
        <w:adjustRightInd w:val="0"/>
        <w:snapToGrid w:val="0"/>
        <w:spacing w:line="560" w:lineRule="exact"/>
        <w:jc w:val="left"/>
        <w:rPr>
          <w:rFonts w:eastAsia="仿宋_GB2312" w:cs="仿宋_GB2312"/>
          <w:sz w:val="32"/>
          <w:szCs w:val="32"/>
        </w:rPr>
      </w:pPr>
      <w:bookmarkStart w:id="77" w:name="_Toc15396620"/>
      <w:r>
        <w:rPr>
          <w:rFonts w:hint="eastAsia" w:eastAsia="仿宋_GB2312" w:cs="仿宋_GB2312"/>
          <w:sz w:val="32"/>
          <w:szCs w:val="32"/>
        </w:rPr>
        <w:t>二、收入决算表</w:t>
      </w:r>
      <w:bookmarkEnd w:id="77"/>
    </w:p>
    <w:p w14:paraId="6DB5F4CC">
      <w:pPr>
        <w:pStyle w:val="15"/>
        <w:adjustRightInd w:val="0"/>
        <w:snapToGrid w:val="0"/>
        <w:spacing w:line="560" w:lineRule="exact"/>
        <w:jc w:val="left"/>
        <w:rPr>
          <w:rFonts w:eastAsia="仿宋_GB2312" w:cs="仿宋_GB2312"/>
          <w:sz w:val="32"/>
          <w:szCs w:val="32"/>
        </w:rPr>
      </w:pPr>
      <w:bookmarkStart w:id="78" w:name="_Toc15396621"/>
      <w:r>
        <w:rPr>
          <w:rFonts w:hint="eastAsia" w:eastAsia="仿宋_GB2312" w:cs="仿宋_GB2312"/>
          <w:sz w:val="32"/>
          <w:szCs w:val="32"/>
        </w:rPr>
        <w:t>三、支出决算表</w:t>
      </w:r>
      <w:bookmarkEnd w:id="78"/>
    </w:p>
    <w:p w14:paraId="7855BE39">
      <w:pPr>
        <w:pStyle w:val="15"/>
        <w:adjustRightInd w:val="0"/>
        <w:snapToGrid w:val="0"/>
        <w:spacing w:line="560" w:lineRule="exact"/>
        <w:jc w:val="left"/>
        <w:rPr>
          <w:rFonts w:eastAsia="仿宋_GB2312" w:cs="仿宋_GB2312"/>
          <w:sz w:val="32"/>
          <w:szCs w:val="32"/>
        </w:rPr>
      </w:pPr>
      <w:bookmarkStart w:id="79" w:name="_Toc15396622"/>
      <w:r>
        <w:rPr>
          <w:rFonts w:hint="eastAsia" w:eastAsia="仿宋_GB2312" w:cs="仿宋_GB2312"/>
          <w:sz w:val="32"/>
          <w:szCs w:val="32"/>
        </w:rPr>
        <w:t>四、财政拨款收入支出决算总表</w:t>
      </w:r>
      <w:bookmarkEnd w:id="79"/>
    </w:p>
    <w:p w14:paraId="64419622">
      <w:pPr>
        <w:pStyle w:val="15"/>
        <w:adjustRightInd w:val="0"/>
        <w:snapToGrid w:val="0"/>
        <w:spacing w:line="560" w:lineRule="exact"/>
        <w:jc w:val="left"/>
        <w:rPr>
          <w:rFonts w:eastAsia="仿宋_GB2312" w:cs="仿宋_GB2312"/>
          <w:sz w:val="32"/>
          <w:szCs w:val="32"/>
        </w:rPr>
      </w:pPr>
      <w:bookmarkStart w:id="80" w:name="_Toc15396623"/>
      <w:r>
        <w:rPr>
          <w:rFonts w:hint="eastAsia" w:eastAsia="仿宋_GB2312" w:cs="仿宋_GB2312"/>
          <w:sz w:val="32"/>
          <w:szCs w:val="32"/>
        </w:rPr>
        <w:t>五、财政拨款支出决算明细表</w:t>
      </w:r>
      <w:bookmarkEnd w:id="80"/>
      <w:bookmarkStart w:id="81" w:name="_Toc15396624"/>
    </w:p>
    <w:p w14:paraId="5FFD3809">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81"/>
    </w:p>
    <w:p w14:paraId="3E41ED1B">
      <w:pPr>
        <w:pStyle w:val="15"/>
        <w:adjustRightInd w:val="0"/>
        <w:snapToGrid w:val="0"/>
        <w:spacing w:line="560" w:lineRule="exact"/>
        <w:jc w:val="left"/>
        <w:rPr>
          <w:rFonts w:eastAsia="仿宋_GB2312" w:cs="仿宋_GB2312"/>
          <w:sz w:val="32"/>
          <w:szCs w:val="32"/>
        </w:rPr>
      </w:pPr>
      <w:bookmarkStart w:id="82" w:name="_Toc15396625"/>
      <w:r>
        <w:rPr>
          <w:rFonts w:hint="eastAsia" w:eastAsia="仿宋_GB2312" w:cs="仿宋_GB2312"/>
          <w:sz w:val="32"/>
          <w:szCs w:val="32"/>
        </w:rPr>
        <w:t>七、一般公共预算财政拨款支出决算明细表</w:t>
      </w:r>
      <w:bookmarkEnd w:id="82"/>
    </w:p>
    <w:p w14:paraId="0CF48EC7">
      <w:pPr>
        <w:pStyle w:val="15"/>
        <w:adjustRightInd w:val="0"/>
        <w:snapToGrid w:val="0"/>
        <w:spacing w:line="560" w:lineRule="exact"/>
        <w:jc w:val="left"/>
        <w:rPr>
          <w:rFonts w:eastAsia="仿宋_GB2312" w:cs="仿宋_GB2312"/>
          <w:sz w:val="32"/>
          <w:szCs w:val="32"/>
        </w:rPr>
      </w:pPr>
      <w:bookmarkStart w:id="83" w:name="_Toc15396626"/>
      <w:r>
        <w:rPr>
          <w:rFonts w:hint="eastAsia" w:eastAsia="仿宋_GB2312" w:cs="仿宋_GB2312"/>
          <w:sz w:val="32"/>
          <w:szCs w:val="32"/>
        </w:rPr>
        <w:t>八、一般公共预算财政拨款基本支出决算表</w:t>
      </w:r>
      <w:bookmarkEnd w:id="83"/>
    </w:p>
    <w:p w14:paraId="2F54B720">
      <w:pPr>
        <w:pStyle w:val="15"/>
        <w:adjustRightInd w:val="0"/>
        <w:snapToGrid w:val="0"/>
        <w:spacing w:line="560" w:lineRule="exact"/>
        <w:jc w:val="left"/>
        <w:rPr>
          <w:rFonts w:eastAsia="仿宋_GB2312" w:cs="仿宋_GB2312"/>
          <w:sz w:val="32"/>
          <w:szCs w:val="32"/>
        </w:rPr>
      </w:pPr>
      <w:bookmarkStart w:id="84" w:name="_Toc15396627"/>
      <w:r>
        <w:rPr>
          <w:rFonts w:hint="eastAsia" w:eastAsia="仿宋_GB2312" w:cs="仿宋_GB2312"/>
          <w:sz w:val="32"/>
          <w:szCs w:val="32"/>
        </w:rPr>
        <w:t>九、一般公共预算财政拨款项目支出决算表</w:t>
      </w:r>
      <w:bookmarkEnd w:id="84"/>
    </w:p>
    <w:p w14:paraId="697E941F">
      <w:pPr>
        <w:pStyle w:val="15"/>
        <w:adjustRightInd w:val="0"/>
        <w:snapToGrid w:val="0"/>
        <w:spacing w:line="560" w:lineRule="exact"/>
        <w:jc w:val="left"/>
        <w:rPr>
          <w:rFonts w:eastAsia="仿宋_GB2312" w:cs="仿宋_GB2312"/>
          <w:sz w:val="32"/>
          <w:szCs w:val="32"/>
        </w:rPr>
      </w:pPr>
      <w:bookmarkStart w:id="85" w:name="_Toc15396628"/>
      <w:r>
        <w:rPr>
          <w:rFonts w:hint="eastAsia" w:eastAsia="仿宋_GB2312" w:cs="仿宋_GB2312"/>
          <w:sz w:val="32"/>
          <w:szCs w:val="32"/>
        </w:rPr>
        <w:t>十、</w:t>
      </w:r>
      <w:bookmarkEnd w:id="85"/>
      <w:r>
        <w:rPr>
          <w:rFonts w:hint="eastAsia" w:eastAsia="仿宋_GB2312" w:cs="仿宋_GB2312"/>
          <w:sz w:val="32"/>
          <w:szCs w:val="32"/>
        </w:rPr>
        <w:t>政府性基金预算财政拨款收入支出决算表</w:t>
      </w:r>
    </w:p>
    <w:p w14:paraId="0629DCB2">
      <w:pPr>
        <w:pStyle w:val="15"/>
        <w:adjustRightInd w:val="0"/>
        <w:snapToGrid w:val="0"/>
        <w:spacing w:line="560" w:lineRule="exact"/>
        <w:jc w:val="left"/>
        <w:rPr>
          <w:rFonts w:eastAsia="仿宋_GB2312" w:cs="仿宋_GB2312"/>
          <w:sz w:val="32"/>
          <w:szCs w:val="32"/>
        </w:rPr>
      </w:pPr>
      <w:bookmarkStart w:id="86" w:name="_Toc15396629"/>
      <w:r>
        <w:rPr>
          <w:rFonts w:hint="eastAsia" w:eastAsia="仿宋_GB2312" w:cs="仿宋_GB2312"/>
          <w:sz w:val="32"/>
          <w:szCs w:val="32"/>
        </w:rPr>
        <w:t>十一、</w:t>
      </w:r>
      <w:bookmarkEnd w:id="86"/>
      <w:r>
        <w:rPr>
          <w:rFonts w:hint="eastAsia" w:eastAsia="仿宋_GB2312" w:cs="仿宋_GB2312"/>
          <w:sz w:val="32"/>
          <w:szCs w:val="32"/>
        </w:rPr>
        <w:t>国有资本经营预算财政拨款收入支出决算表</w:t>
      </w:r>
    </w:p>
    <w:p w14:paraId="08A1594C">
      <w:pPr>
        <w:pStyle w:val="15"/>
        <w:adjustRightInd w:val="0"/>
        <w:snapToGrid w:val="0"/>
        <w:spacing w:line="560" w:lineRule="exact"/>
        <w:jc w:val="left"/>
        <w:rPr>
          <w:rFonts w:eastAsia="仿宋_GB2312" w:cs="仿宋_GB2312"/>
          <w:sz w:val="32"/>
          <w:szCs w:val="32"/>
        </w:rPr>
      </w:pPr>
      <w:bookmarkStart w:id="87" w:name="_Toc15396630"/>
      <w:r>
        <w:rPr>
          <w:rFonts w:hint="eastAsia" w:eastAsia="仿宋_GB2312" w:cs="仿宋_GB2312"/>
          <w:sz w:val="32"/>
          <w:szCs w:val="32"/>
        </w:rPr>
        <w:t>十二、</w:t>
      </w:r>
      <w:bookmarkEnd w:id="87"/>
      <w:r>
        <w:rPr>
          <w:rFonts w:hint="eastAsia" w:eastAsia="仿宋_GB2312" w:cs="仿宋_GB2312"/>
          <w:sz w:val="32"/>
          <w:szCs w:val="32"/>
        </w:rPr>
        <w:t>国有资本经营预算财政拨款支出决算表</w:t>
      </w:r>
    </w:p>
    <w:p w14:paraId="63ED819B">
      <w:pPr>
        <w:pStyle w:val="15"/>
        <w:adjustRightInd w:val="0"/>
        <w:snapToGrid w:val="0"/>
        <w:spacing w:line="560" w:lineRule="exact"/>
        <w:jc w:val="left"/>
        <w:rPr>
          <w:rFonts w:eastAsia="仿宋_GB2312" w:cs="仿宋_GB2312"/>
          <w:sz w:val="32"/>
          <w:szCs w:val="32"/>
        </w:rPr>
      </w:pPr>
      <w:bookmarkStart w:id="88" w:name="_Toc15396631"/>
      <w:r>
        <w:rPr>
          <w:rFonts w:hint="eastAsia" w:eastAsia="仿宋_GB2312" w:cs="仿宋_GB2312"/>
          <w:sz w:val="32"/>
          <w:szCs w:val="32"/>
        </w:rPr>
        <w:t>十三、</w:t>
      </w:r>
      <w:bookmarkEnd w:id="88"/>
      <w:r>
        <w:rPr>
          <w:rFonts w:hint="eastAsia" w:eastAsia="仿宋_GB2312" w:cs="仿宋_GB2312"/>
          <w:sz w:val="32"/>
          <w:szCs w:val="32"/>
        </w:rPr>
        <w:t>财政拨款“三公”经费支出决算表</w:t>
      </w:r>
    </w:p>
    <w:p w14:paraId="30118544"/>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6D6AA7-205B-40D4-98AE-A233D833A88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174456F8-DC18-41AF-AFD9-76A6691D4C85}"/>
  </w:font>
  <w:font w:name="仿宋">
    <w:panose1 w:val="02010609060101010101"/>
    <w:charset w:val="86"/>
    <w:family w:val="modern"/>
    <w:pitch w:val="default"/>
    <w:sig w:usb0="800002BF" w:usb1="38CF7CFA" w:usb2="00000016" w:usb3="00000000" w:csb0="00040001" w:csb1="00000000"/>
    <w:embedRegular r:id="rId3" w:fontKey="{A6B2E85F-D89B-474C-A779-515E05B5E5E3}"/>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微软雅黑"/>
    <w:panose1 w:val="00000000000000000000"/>
    <w:charset w:val="86"/>
    <w:family w:val="script"/>
    <w:pitch w:val="default"/>
    <w:sig w:usb0="00000000" w:usb1="00000000" w:usb2="00000000" w:usb3="00000000" w:csb0="00040000" w:csb1="00000000"/>
    <w:embedRegular r:id="rId4" w:fontKey="{54266BF4-2CBC-4F0E-876D-F504DE418BA4}"/>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embedRegular r:id="rId5" w:fontKey="{44FC1F94-BE93-4DFC-9997-0A37E07B0E78}"/>
  </w:font>
  <w:font w:name="AR PL UKai CN">
    <w:altName w:val="ksdb"/>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embedRegular r:id="rId6" w:fontKey="{9A932D61-BD94-4754-BBC2-2DD0856EDADB}"/>
  </w:font>
  <w:font w:name="方正小标宋_GBK">
    <w:panose1 w:val="02000000000000000000"/>
    <w:charset w:val="86"/>
    <w:family w:val="auto"/>
    <w:pitch w:val="default"/>
    <w:sig w:usb0="A00002BF" w:usb1="38CF7CFA" w:usb2="00082016" w:usb3="00000000" w:csb0="00040001" w:csb1="00000000"/>
    <w:embedRegular r:id="rId7" w:fontKey="{C42646EB-949A-44FA-9914-445FA79E5785}"/>
  </w:font>
  <w:font w:name="Wingdings 2">
    <w:altName w:val="Webdings"/>
    <w:panose1 w:val="00000000000000000000"/>
    <w:charset w:val="02"/>
    <w:family w:val="roman"/>
    <w:pitch w:val="default"/>
    <w:sig w:usb0="00000000" w:usb1="00000000" w:usb2="00000000" w:usb3="00000000" w:csb0="80000000" w:csb1="00000000"/>
    <w:embedRegular r:id="rId8" w:fontKey="{4A4DB447-26BD-4B8E-A482-EF8E7D7DE9DB}"/>
  </w:font>
  <w:font w:name="Webdings">
    <w:panose1 w:val="05030102010509060703"/>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ksdb">
    <w:panose1 w:val="02000500000000000000"/>
    <w:charset w:val="00"/>
    <w:family w:val="auto"/>
    <w:pitch w:val="default"/>
    <w:sig w:usb0="00000001"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72CEE">
    <w:pPr>
      <w:pStyle w:val="11"/>
      <w:jc w:val="center"/>
    </w:pPr>
  </w:p>
  <w:p w14:paraId="2FAE05B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2088618"/>
      <w:docPartObj>
        <w:docPartGallery w:val="autotext"/>
      </w:docPartObj>
    </w:sdtPr>
    <w:sdtContent>
      <w:p w14:paraId="5F1453E1">
        <w:pPr>
          <w:pStyle w:val="11"/>
          <w:jc w:val="center"/>
        </w:pPr>
        <w:r>
          <w:fldChar w:fldCharType="begin"/>
        </w:r>
        <w:r>
          <w:instrText xml:space="preserve"> PAGE   \* MERGEFORMAT </w:instrText>
        </w:r>
        <w:r>
          <w:fldChar w:fldCharType="separate"/>
        </w:r>
        <w:r>
          <w:rPr>
            <w:lang w:val="zh-CN"/>
          </w:rPr>
          <w:t>-</w:t>
        </w:r>
        <w:r>
          <w:t xml:space="preserve"> 34 -</w:t>
        </w:r>
        <w:r>
          <w:fldChar w:fldCharType="end"/>
        </w:r>
      </w:p>
    </w:sdtContent>
  </w:sdt>
  <w:p w14:paraId="35209AD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C6FA3">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DAFD0">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603EF"/>
    <w:multiLevelType w:val="singleLevel"/>
    <w:tmpl w:val="AAA603EF"/>
    <w:lvl w:ilvl="0" w:tentative="0">
      <w:start w:val="1"/>
      <w:numFmt w:val="decimal"/>
      <w:lvlText w:val="%1."/>
      <w:lvlJc w:val="left"/>
      <w:pPr>
        <w:tabs>
          <w:tab w:val="left" w:pos="312"/>
        </w:tabs>
      </w:pPr>
    </w:lvl>
  </w:abstractNum>
  <w:abstractNum w:abstractNumId="1">
    <w:nsid w:val="12CF29D1"/>
    <w:multiLevelType w:val="singleLevel"/>
    <w:tmpl w:val="12CF29D1"/>
    <w:lvl w:ilvl="0" w:tentative="0">
      <w:start w:val="5"/>
      <w:numFmt w:val="chineseCounting"/>
      <w:suff w:val="nothing"/>
      <w:lvlText w:val="%1、"/>
      <w:lvlJc w:val="left"/>
      <w:rPr>
        <w:rFonts w:hint="eastAsia" w:cs="Times New Roman"/>
      </w:rPr>
    </w:lvl>
  </w:abstractNum>
  <w:abstractNum w:abstractNumId="2">
    <w:nsid w:val="3AF99E20"/>
    <w:multiLevelType w:val="singleLevel"/>
    <w:tmpl w:val="3AF99E20"/>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F1361C"/>
    <w:rsid w:val="000222C6"/>
    <w:rsid w:val="0002549F"/>
    <w:rsid w:val="00026867"/>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86E55"/>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D4219"/>
    <w:rsid w:val="004E0A2D"/>
    <w:rsid w:val="004E206B"/>
    <w:rsid w:val="004E6DF7"/>
    <w:rsid w:val="004F0FBD"/>
    <w:rsid w:val="00505A47"/>
    <w:rsid w:val="00512FDA"/>
    <w:rsid w:val="00520DA0"/>
    <w:rsid w:val="0055573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0923"/>
    <w:rsid w:val="0075404D"/>
    <w:rsid w:val="0076182A"/>
    <w:rsid w:val="00767B7E"/>
    <w:rsid w:val="007770C3"/>
    <w:rsid w:val="00784D24"/>
    <w:rsid w:val="00785FBA"/>
    <w:rsid w:val="00786E4A"/>
    <w:rsid w:val="007875EB"/>
    <w:rsid w:val="0079426B"/>
    <w:rsid w:val="007D1682"/>
    <w:rsid w:val="007D18B8"/>
    <w:rsid w:val="007D312A"/>
    <w:rsid w:val="007D3F19"/>
    <w:rsid w:val="007E23B0"/>
    <w:rsid w:val="007E23E5"/>
    <w:rsid w:val="007F1991"/>
    <w:rsid w:val="007F2C2F"/>
    <w:rsid w:val="007F55FC"/>
    <w:rsid w:val="007F5665"/>
    <w:rsid w:val="00800112"/>
    <w:rsid w:val="00813348"/>
    <w:rsid w:val="00813DCD"/>
    <w:rsid w:val="008253BB"/>
    <w:rsid w:val="0083706E"/>
    <w:rsid w:val="008408F6"/>
    <w:rsid w:val="008423A5"/>
    <w:rsid w:val="00850625"/>
    <w:rsid w:val="00853718"/>
    <w:rsid w:val="00855221"/>
    <w:rsid w:val="00860645"/>
    <w:rsid w:val="00871F71"/>
    <w:rsid w:val="00872FD8"/>
    <w:rsid w:val="00885AF4"/>
    <w:rsid w:val="0089325D"/>
    <w:rsid w:val="008939CD"/>
    <w:rsid w:val="008B768C"/>
    <w:rsid w:val="008C4DB1"/>
    <w:rsid w:val="008C4EAF"/>
    <w:rsid w:val="008C5176"/>
    <w:rsid w:val="008C7FD0"/>
    <w:rsid w:val="008E1DE7"/>
    <w:rsid w:val="008E6EBB"/>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F1561"/>
    <w:rsid w:val="00AF3456"/>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D2C56"/>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3BFC"/>
    <w:rsid w:val="00D254F7"/>
    <w:rsid w:val="00D26091"/>
    <w:rsid w:val="00D2685C"/>
    <w:rsid w:val="00D34E7C"/>
    <w:rsid w:val="00D35489"/>
    <w:rsid w:val="00D36AFE"/>
    <w:rsid w:val="00D51276"/>
    <w:rsid w:val="00D7035F"/>
    <w:rsid w:val="00DA634F"/>
    <w:rsid w:val="00DA65AC"/>
    <w:rsid w:val="00DB1913"/>
    <w:rsid w:val="00DB30A2"/>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667"/>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2FFC"/>
    <w:rsid w:val="00F754A1"/>
    <w:rsid w:val="00F81FD9"/>
    <w:rsid w:val="00F841AA"/>
    <w:rsid w:val="00F84A94"/>
    <w:rsid w:val="00F87E96"/>
    <w:rsid w:val="00FA23E8"/>
    <w:rsid w:val="00FD3CC1"/>
    <w:rsid w:val="00FF1E02"/>
    <w:rsid w:val="00FF30B4"/>
    <w:rsid w:val="012A5EC2"/>
    <w:rsid w:val="01475D04"/>
    <w:rsid w:val="015975B8"/>
    <w:rsid w:val="02FEBE30"/>
    <w:rsid w:val="04916F1E"/>
    <w:rsid w:val="061E35DE"/>
    <w:rsid w:val="066E0107"/>
    <w:rsid w:val="07473673"/>
    <w:rsid w:val="07996F6E"/>
    <w:rsid w:val="07DFD8BA"/>
    <w:rsid w:val="09867E8F"/>
    <w:rsid w:val="0A05611E"/>
    <w:rsid w:val="0A2032A3"/>
    <w:rsid w:val="0C1E733C"/>
    <w:rsid w:val="0CA8290A"/>
    <w:rsid w:val="0D35B1ED"/>
    <w:rsid w:val="0E254B6B"/>
    <w:rsid w:val="0F98263C"/>
    <w:rsid w:val="101860EC"/>
    <w:rsid w:val="101F47CC"/>
    <w:rsid w:val="10C055FF"/>
    <w:rsid w:val="10DD5A17"/>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1626E0"/>
    <w:rsid w:val="32BD1EF1"/>
    <w:rsid w:val="3304709D"/>
    <w:rsid w:val="33A773CB"/>
    <w:rsid w:val="33F72303"/>
    <w:rsid w:val="349D6851"/>
    <w:rsid w:val="36AA5135"/>
    <w:rsid w:val="36BE0DA7"/>
    <w:rsid w:val="376B6AA6"/>
    <w:rsid w:val="376D39B2"/>
    <w:rsid w:val="37E16F03"/>
    <w:rsid w:val="37F53A3B"/>
    <w:rsid w:val="389B6C89"/>
    <w:rsid w:val="38D469F0"/>
    <w:rsid w:val="39627CCD"/>
    <w:rsid w:val="397BAF1F"/>
    <w:rsid w:val="3A5167B0"/>
    <w:rsid w:val="3AB79AF3"/>
    <w:rsid w:val="3AE02AC5"/>
    <w:rsid w:val="3AE70353"/>
    <w:rsid w:val="3AE834C0"/>
    <w:rsid w:val="3B7EF35A"/>
    <w:rsid w:val="3B9FDB6C"/>
    <w:rsid w:val="3BF5BC2F"/>
    <w:rsid w:val="3CEBA265"/>
    <w:rsid w:val="3D98207C"/>
    <w:rsid w:val="3DEE7CF3"/>
    <w:rsid w:val="3E740A63"/>
    <w:rsid w:val="3E78745D"/>
    <w:rsid w:val="3EE17838"/>
    <w:rsid w:val="3F055FB6"/>
    <w:rsid w:val="3F55381A"/>
    <w:rsid w:val="3F7F7599"/>
    <w:rsid w:val="3FF4CAE0"/>
    <w:rsid w:val="3FF7B227"/>
    <w:rsid w:val="431745FE"/>
    <w:rsid w:val="44103433"/>
    <w:rsid w:val="44E268DA"/>
    <w:rsid w:val="450D13D7"/>
    <w:rsid w:val="45506656"/>
    <w:rsid w:val="486A6C7A"/>
    <w:rsid w:val="4A627F82"/>
    <w:rsid w:val="4B0E749A"/>
    <w:rsid w:val="4B2477C4"/>
    <w:rsid w:val="4B2C3CC2"/>
    <w:rsid w:val="4B4F25DA"/>
    <w:rsid w:val="4BE068DB"/>
    <w:rsid w:val="4C87625C"/>
    <w:rsid w:val="4D577224"/>
    <w:rsid w:val="4DBF1CEB"/>
    <w:rsid w:val="4DF0007C"/>
    <w:rsid w:val="4EAB630A"/>
    <w:rsid w:val="4ECE2238"/>
    <w:rsid w:val="4F833267"/>
    <w:rsid w:val="4FE9BD67"/>
    <w:rsid w:val="4FFB052F"/>
    <w:rsid w:val="51C13FBE"/>
    <w:rsid w:val="537E6D0A"/>
    <w:rsid w:val="53F74C96"/>
    <w:rsid w:val="55170BA8"/>
    <w:rsid w:val="553218C9"/>
    <w:rsid w:val="567E1AA5"/>
    <w:rsid w:val="56E47B74"/>
    <w:rsid w:val="57175D52"/>
    <w:rsid w:val="57BD3DD4"/>
    <w:rsid w:val="5A9A1850"/>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5D435E"/>
    <w:rsid w:val="62BF3928"/>
    <w:rsid w:val="63B3701E"/>
    <w:rsid w:val="647F5392"/>
    <w:rsid w:val="65CF4C4B"/>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4F22DD"/>
    <w:rsid w:val="72734D90"/>
    <w:rsid w:val="73160E6D"/>
    <w:rsid w:val="7332FE48"/>
    <w:rsid w:val="73AB61DA"/>
    <w:rsid w:val="73AD73D5"/>
    <w:rsid w:val="73B6EB34"/>
    <w:rsid w:val="73FA497D"/>
    <w:rsid w:val="744731E5"/>
    <w:rsid w:val="74BBD01D"/>
    <w:rsid w:val="74ED5379"/>
    <w:rsid w:val="75703482"/>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0A3B3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spacing w:after="120" w:line="480" w:lineRule="auto"/>
      <w:ind w:left="420" w:leftChars="200"/>
    </w:pPr>
  </w:style>
  <w:style w:type="paragraph" w:styleId="6">
    <w:name w:val="Body Text"/>
    <w:basedOn w:val="1"/>
    <w:link w:val="28"/>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rPr>
  </w:style>
  <w:style w:type="table" w:styleId="18">
    <w:name w:val="Table Grid"/>
    <w:basedOn w:val="1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Hyperlink"/>
    <w:basedOn w:val="19"/>
    <w:unhideWhenUsed/>
    <w:qFormat/>
    <w:uiPriority w:val="99"/>
    <w:rPr>
      <w:color w:val="0000FF" w:themeColor="hyperlink"/>
      <w:u w:val="single"/>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6"/>
    <w:qFormat/>
    <w:locked/>
    <w:uiPriority w:val="99"/>
    <w:rPr>
      <w:rFonts w:ascii="仿宋_GB2312" w:hAnsi="Times New Roman" w:eastAsia="仿宋_GB2312"/>
      <w:sz w:val="24"/>
    </w:rPr>
  </w:style>
  <w:style w:type="paragraph" w:customStyle="1" w:styleId="29">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paragraph" w:customStyle="1" w:styleId="38">
    <w:name w:val="图表目录1"/>
    <w:basedOn w:val="1"/>
    <w:next w:val="1"/>
    <w:qFormat/>
    <w:uiPriority w:val="0"/>
    <w:pPr>
      <w:spacing w:before="100" w:beforeAutospacing="1" w:after="100" w:afterAutospacing="1"/>
      <w:ind w:left="200" w:leftChars="200" w:hanging="200" w:hanging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(4)'!$A$2</c:f>
              <c:strCache>
                <c:ptCount val="1"/>
                <c:pt idx="0">
                  <c:v>2024年</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3907.29</c:v>
                </c:pt>
                <c:pt idx="1">
                  <c:v>3907.29</c:v>
                </c:pt>
              </c:numCache>
            </c:numRef>
          </c:val>
        </c:ser>
        <c:ser>
          <c:idx val="1"/>
          <c:order val="1"/>
          <c:tx>
            <c:strRef>
              <c:f>'Sheet1 (4)'!$A$3</c:f>
              <c:strCache>
                <c:ptCount val="1"/>
                <c:pt idx="0">
                  <c:v>2023年</c:v>
                </c:pt>
              </c:strCache>
            </c:strRef>
          </c:tx>
          <c:spPr>
            <a:solidFill>
              <a:srgbClr val="C0504D"/>
            </a:solidFill>
            <a:ln>
              <a:noFill/>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en-US" altLang="zh-CN"/>
                      <a:t>4022.67</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en-US" altLang="zh-CN"/>
                      <a:t>4022.67</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4226.67</c:v>
                </c:pt>
                <c:pt idx="1">
                  <c:v>4226.67</c:v>
                </c:pt>
              </c:numCache>
            </c:numRef>
          </c:val>
        </c:ser>
        <c:dLbls>
          <c:showLegendKey val="0"/>
          <c:showVal val="1"/>
          <c:showCatName val="0"/>
          <c:showSerName val="0"/>
          <c:showPercent val="0"/>
          <c:showBubbleSize val="0"/>
        </c:dLbls>
        <c:gapWidth val="219"/>
        <c:overlap val="-27"/>
        <c:axId val="54239232"/>
        <c:axId val="54257152"/>
      </c:barChart>
      <c:catAx>
        <c:axId val="5423923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54257152"/>
        <c:crosses val="autoZero"/>
        <c:auto val="1"/>
        <c:lblAlgn val="ctr"/>
        <c:lblOffset val="100"/>
        <c:noMultiLvlLbl val="0"/>
      </c:catAx>
      <c:valAx>
        <c:axId val="5425715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5423923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14708215-38f8-47b8-b86c-f8dd2d5e79b3}"/>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一般公共预算财政拨款支出决算变动</c:v>
                </c:pt>
              </c:strCache>
            </c:strRef>
          </c:tx>
          <c:invertIfNegative val="0"/>
          <c:dLbls>
            <c:delete val="1"/>
          </c:dLbls>
          <c:cat>
            <c:strRef>
              <c:f>Sheet1!$A$2:$A$3</c:f>
              <c:strCache>
                <c:ptCount val="2"/>
                <c:pt idx="0">
                  <c:v>2024年</c:v>
                </c:pt>
                <c:pt idx="1">
                  <c:v>2023年</c:v>
                </c:pt>
              </c:strCache>
            </c:strRef>
          </c:cat>
          <c:val>
            <c:numRef>
              <c:f>Sheet1!$B$2:$B$3</c:f>
              <c:numCache>
                <c:formatCode>General</c:formatCode>
                <c:ptCount val="2"/>
                <c:pt idx="0">
                  <c:v>3907.29</c:v>
                </c:pt>
                <c:pt idx="1">
                  <c:v>4022.67</c:v>
                </c:pt>
              </c:numCache>
            </c:numRef>
          </c:val>
        </c:ser>
        <c:dLbls>
          <c:showLegendKey val="0"/>
          <c:showVal val="0"/>
          <c:showCatName val="0"/>
          <c:showSerName val="0"/>
          <c:showPercent val="0"/>
          <c:showBubbleSize val="0"/>
        </c:dLbls>
        <c:gapWidth val="150"/>
        <c:axId val="54654848"/>
        <c:axId val="54685056"/>
      </c:barChart>
      <c:catAx>
        <c:axId val="546548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685056"/>
        <c:crosses val="autoZero"/>
        <c:auto val="1"/>
        <c:lblAlgn val="ctr"/>
        <c:lblOffset val="100"/>
        <c:noMultiLvlLbl val="0"/>
      </c:catAx>
      <c:valAx>
        <c:axId val="5468505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6548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3443280-6796-4211-8c40-d1e32f223e40}"/>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0" vertOverflow="ellipsis" vert="horz" wrap="square" anchor="ctr" anchorCtr="1"/>
          <a:lstStyle/>
          <a:p>
            <a:pPr defTabSz="914400">
              <a:defRPr lang="zh-CN" sz="1600" b="1" i="0" u="none" strike="noStrike" kern="1200" spc="0" normalizeH="0" baseline="0">
                <a:solidFill>
                  <a:schemeClr val="dk1">
                    <a:lumMod val="50000"/>
                    <a:lumOff val="50000"/>
                  </a:schemeClr>
                </a:solidFill>
                <a:latin typeface="+mj-lt"/>
                <a:ea typeface="+mj-ea"/>
                <a:cs typeface="+mj-cs"/>
              </a:defRPr>
            </a:pPr>
            <a:r>
              <a:rPr lang="zh-CN" altLang="en-US"/>
              <a:t>图表标题</a:t>
            </a:r>
            <a:endParaRPr lang="zh-CN" altLang="en-US"/>
          </a:p>
        </c:rich>
      </c:tx>
      <c:layout>
        <c:manualLayout>
          <c:xMode val="edge"/>
          <c:yMode val="edge"/>
          <c:x val="0.0296296296296296"/>
          <c:y val="0.0264583333333333"/>
        </c:manualLayout>
      </c:layout>
      <c:overlay val="0"/>
      <c:spPr>
        <a:noFill/>
        <a:ln>
          <a:noFill/>
        </a:ln>
        <a:effectLst/>
      </c:spPr>
    </c:title>
    <c:autoTitleDeleted val="0"/>
    <c:plotArea>
      <c:layout>
        <c:manualLayout>
          <c:layoutTarget val="inner"/>
          <c:xMode val="edge"/>
          <c:yMode val="edge"/>
          <c:x val="0.281884975342857"/>
          <c:y val="0.113829744986242"/>
          <c:w val="0.463007407407407"/>
          <c:h val="0.781325"/>
        </c:manualLayout>
      </c:layout>
      <c:pieChart>
        <c:varyColors val="1"/>
        <c:ser>
          <c:idx val="0"/>
          <c:order val="0"/>
          <c:tx>
            <c:strRef>
              <c:f>Sheet1!$B$1</c:f>
              <c:strCache>
                <c:ptCount val="1"/>
                <c:pt idx="0">
                  <c:v>系列 1</c:v>
                </c:pt>
              </c:strCache>
            </c:strRef>
          </c:tx>
          <c:explosion val="72"/>
          <c:dPt>
            <c:idx val="0"/>
            <c:bubble3D val="0"/>
            <c:spPr>
              <a:gradFill>
                <a:gsLst>
                  <a:gs pos="100000">
                    <a:schemeClr val="accent5">
                      <a:shade val="47500"/>
                      <a:lumMod val="60000"/>
                      <a:lumOff val="40000"/>
                    </a:schemeClr>
                  </a:gs>
                  <a:gs pos="0">
                    <a:schemeClr val="accent5">
                      <a:shade val="47500"/>
                    </a:schemeClr>
                  </a:gs>
                </a:gsLst>
                <a:lin ang="5400000" scaled="0"/>
              </a:gradFill>
              <a:ln w="19050">
                <a:solidFill>
                  <a:schemeClr val="lt1"/>
                </a:solidFill>
              </a:ln>
              <a:effectLst/>
            </c:spPr>
          </c:dPt>
          <c:dPt>
            <c:idx val="1"/>
            <c:bubble3D val="0"/>
            <c:spPr>
              <a:gradFill>
                <a:gsLst>
                  <a:gs pos="100000">
                    <a:schemeClr val="accent5">
                      <a:shade val="65000"/>
                      <a:lumMod val="60000"/>
                      <a:lumOff val="40000"/>
                    </a:schemeClr>
                  </a:gs>
                  <a:gs pos="0">
                    <a:schemeClr val="accent5">
                      <a:shade val="65000"/>
                    </a:schemeClr>
                  </a:gs>
                </a:gsLst>
                <a:lin ang="5400000" scaled="0"/>
              </a:gradFill>
              <a:ln w="19050">
                <a:solidFill>
                  <a:schemeClr val="lt1"/>
                </a:solidFill>
              </a:ln>
              <a:effectLst/>
            </c:spPr>
          </c:dPt>
          <c:dPt>
            <c:idx val="2"/>
            <c:bubble3D val="0"/>
            <c:spPr>
              <a:gradFill>
                <a:gsLst>
                  <a:gs pos="100000">
                    <a:schemeClr val="accent5">
                      <a:shade val="82500"/>
                      <a:lumMod val="60000"/>
                      <a:lumOff val="40000"/>
                    </a:schemeClr>
                  </a:gs>
                  <a:gs pos="0">
                    <a:schemeClr val="accent5">
                      <a:shade val="82500"/>
                    </a:schemeClr>
                  </a:gs>
                </a:gsLst>
                <a:lin ang="5400000" scaled="0"/>
              </a:gradFill>
              <a:ln w="19050">
                <a:solidFill>
                  <a:schemeClr val="lt1"/>
                </a:solidFill>
              </a:ln>
              <a:effectLst/>
            </c:spPr>
          </c:dPt>
          <c:dPt>
            <c:idx val="3"/>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4"/>
            <c:bubble3D val="0"/>
            <c:spPr>
              <a:gradFill>
                <a:gsLst>
                  <a:gs pos="100000">
                    <a:schemeClr val="accent5">
                      <a:tint val="82500"/>
                      <a:lumMod val="60000"/>
                      <a:lumOff val="40000"/>
                    </a:schemeClr>
                  </a:gs>
                  <a:gs pos="0">
                    <a:schemeClr val="accent5">
                      <a:tint val="82500"/>
                    </a:schemeClr>
                  </a:gs>
                </a:gsLst>
                <a:lin ang="5400000" scaled="0"/>
              </a:gradFill>
              <a:ln w="19050">
                <a:solidFill>
                  <a:schemeClr val="lt1"/>
                </a:solidFill>
              </a:ln>
              <a:effectLst/>
            </c:spPr>
          </c:dPt>
          <c:dPt>
            <c:idx val="5"/>
            <c:bubble3D val="0"/>
            <c:spPr>
              <a:gradFill>
                <a:gsLst>
                  <a:gs pos="100000">
                    <a:schemeClr val="accent5">
                      <a:tint val="65000"/>
                      <a:lumMod val="60000"/>
                      <a:lumOff val="40000"/>
                    </a:schemeClr>
                  </a:gs>
                  <a:gs pos="0">
                    <a:schemeClr val="accent5">
                      <a:tint val="65000"/>
                    </a:schemeClr>
                  </a:gs>
                </a:gsLst>
                <a:lin ang="5400000" scaled="0"/>
              </a:gradFill>
              <a:ln w="19050">
                <a:solidFill>
                  <a:schemeClr val="lt1"/>
                </a:solidFill>
              </a:ln>
              <a:effectLst/>
            </c:spPr>
          </c:dPt>
          <c:dLbls>
            <c:dLbl>
              <c:idx val="0"/>
              <c:layout/>
              <c:dLblPos val="ctr"/>
              <c:showLegendKey val="0"/>
              <c:showVal val="0"/>
              <c:showCatName val="0"/>
              <c:showSerName val="0"/>
              <c:showPercent val="1"/>
              <c:showBubbleSize val="0"/>
              <c:extLst>
                <c:ext xmlns:c15="http://schemas.microsoft.com/office/drawing/2012/chart" uri="{CE6537A1-D6FC-4f65-9D91-7224C49458BB}"/>
              </c:extLst>
            </c:dLbl>
            <c:dLbl>
              <c:idx val="1"/>
              <c:layout/>
              <c:dLblPos val="ctr"/>
              <c:showLegendKey val="0"/>
              <c:showVal val="0"/>
              <c:showCatName val="0"/>
              <c:showSerName val="0"/>
              <c:showPercent val="1"/>
              <c:showBubbleSize val="0"/>
              <c:extLst>
                <c:ext xmlns:c15="http://schemas.microsoft.com/office/drawing/2012/chart" uri="{CE6537A1-D6FC-4f65-9D91-7224C49458BB}"/>
              </c:extLst>
            </c:dLbl>
            <c:dLbl>
              <c:idx val="2"/>
              <c:layout/>
              <c:dLblPos val="ctr"/>
              <c:showLegendKey val="0"/>
              <c:showVal val="0"/>
              <c:showCatName val="0"/>
              <c:showSerName val="0"/>
              <c:showPercent val="1"/>
              <c:showBubbleSize val="0"/>
              <c:extLst>
                <c:ext xmlns:c15="http://schemas.microsoft.com/office/drawing/2012/chart" uri="{CE6537A1-D6FC-4f65-9D91-7224C49458BB}"/>
              </c:extLst>
            </c:dLbl>
            <c:dLbl>
              <c:idx val="3"/>
              <c:layout/>
              <c:dLblPos val="ctr"/>
              <c:showLegendKey val="0"/>
              <c:showVal val="0"/>
              <c:showCatName val="0"/>
              <c:showSerName val="0"/>
              <c:showPercent val="1"/>
              <c:showBubbleSize val="0"/>
              <c:extLst>
                <c:ext xmlns:c15="http://schemas.microsoft.com/office/drawing/2012/chart" uri="{CE6537A1-D6FC-4f65-9D91-7224C49458BB}"/>
              </c:extLst>
            </c:dLbl>
            <c:dLbl>
              <c:idx val="4"/>
              <c:layout/>
              <c:dLblPos val="ctr"/>
              <c:showLegendKey val="0"/>
              <c:showVal val="0"/>
              <c:showCatName val="0"/>
              <c:showSerName val="0"/>
              <c:showPercent val="1"/>
              <c:showBubbleSize val="0"/>
              <c:extLst>
                <c:ext xmlns:c15="http://schemas.microsoft.com/office/drawing/2012/chart" uri="{CE6537A1-D6FC-4f65-9D91-7224C49458BB}"/>
              </c:extLst>
            </c:dLbl>
            <c:dLbl>
              <c:idx val="5"/>
              <c:layout/>
              <c:dLblPos val="ctr"/>
              <c:showLegendKey val="0"/>
              <c:showVal val="0"/>
              <c:showCatName val="0"/>
              <c:showSerName val="0"/>
              <c:showPercent val="1"/>
              <c:showBubbleSize val="0"/>
              <c:extLs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ext>
            </c:extLst>
          </c:dLbls>
          <c:cat>
            <c:strRef>
              <c:f>Sheet1!$A$2:$A$7</c:f>
              <c:strCache>
                <c:ptCount val="6"/>
                <c:pt idx="0">
                  <c:v>文化旅游体育与传媒支出</c:v>
                </c:pt>
                <c:pt idx="1">
                  <c:v>社会保障和就业支出</c:v>
                </c:pt>
                <c:pt idx="2">
                  <c:v>卫生健康支出</c:v>
                </c:pt>
                <c:pt idx="3">
                  <c:v>农林水支出</c:v>
                </c:pt>
                <c:pt idx="4">
                  <c:v>住房保障支出</c:v>
                </c:pt>
                <c:pt idx="5">
                  <c:v>其他支出</c:v>
                </c:pt>
              </c:strCache>
            </c:strRef>
          </c:cat>
          <c:val>
            <c:numRef>
              <c:f>Sheet1!$B$2:$B$7</c:f>
              <c:numCache>
                <c:formatCode>0.00_ </c:formatCode>
                <c:ptCount val="6"/>
                <c:pt idx="0">
                  <c:v>2981.36</c:v>
                </c:pt>
                <c:pt idx="1">
                  <c:v>20.59</c:v>
                </c:pt>
                <c:pt idx="2">
                  <c:v>13.49</c:v>
                </c:pt>
                <c:pt idx="3">
                  <c:v>840.72</c:v>
                </c:pt>
                <c:pt idx="4">
                  <c:v>10.21</c:v>
                </c:pt>
                <c:pt idx="5">
                  <c:v>360.31</c:v>
                </c:pt>
              </c:numCache>
            </c:numRef>
          </c:val>
        </c:ser>
        <c:ser>
          <c:idx val="1"/>
          <c:order val="1"/>
          <c:tx>
            <c:strRef>
              <c:f>Sheet1!#REF!</c:f>
              <c:strCache>
                <c:ptCount val="1"/>
                <c:pt idx="0">
                  <c:v/>
                </c:pt>
              </c:strCache>
            </c:strRef>
          </c:tx>
          <c:explosion val="0"/>
          <c:dPt>
            <c:idx val="0"/>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Sheet1!$A$2:$A$7</c:f>
              <c:strCache>
                <c:ptCount val="6"/>
                <c:pt idx="0">
                  <c:v>文化旅游体育与传媒支出</c:v>
                </c:pt>
                <c:pt idx="1">
                  <c:v>社会保障和就业支出</c:v>
                </c:pt>
                <c:pt idx="2">
                  <c:v>卫生健康支出</c:v>
                </c:pt>
                <c:pt idx="3">
                  <c:v>农林水支出</c:v>
                </c:pt>
                <c:pt idx="4">
                  <c:v>住房保障支出</c:v>
                </c:pt>
                <c:pt idx="5">
                  <c:v>其他支出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explosion val="0"/>
          <c:dPt>
            <c:idx val="0"/>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Sheet1!$A$2:$A$7</c:f>
              <c:strCache>
                <c:ptCount val="6"/>
                <c:pt idx="0">
                  <c:v>文化旅游体育与传媒支出</c:v>
                </c:pt>
                <c:pt idx="1">
                  <c:v>社会保障和就业支出</c:v>
                </c:pt>
                <c:pt idx="2">
                  <c:v>卫生健康支出</c:v>
                </c:pt>
                <c:pt idx="3">
                  <c:v>农林水支出</c:v>
                </c:pt>
                <c:pt idx="4">
                  <c:v>住房保障支出</c:v>
                </c:pt>
                <c:pt idx="5">
                  <c:v>其他支出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8246753246753"/>
          <c:y val="0.345415266442631"/>
        </c:manualLayout>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b9762f88-a98d-4e5c-9f5d-0b0d8a13fb33}"/>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8625</Words>
  <Characters>9837</Characters>
  <Lines>96</Lines>
  <Paragraphs>27</Paragraphs>
  <TotalTime>1</TotalTime>
  <ScaleCrop>false</ScaleCrop>
  <LinksUpToDate>false</LinksUpToDate>
  <CharactersWithSpaces>9925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2025-08-14T08:49:00Z</dcterms:created>
  <dc:creator>曹颖</dc:creator>
  <cp:lastModifiedBy>WPS_1509202544</cp:lastModifiedBy>
  <cp:lastPrinted>2025-08-06T17:34:00Z</cp:lastPrinted>
  <dcterms:modified xsi:type="dcterms:W3CDTF">2025-08-29T09:27:49Z</dcterms:modified>
  <dc:title>四川省***</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eyJoZGlkIjoiNzA4Mzc3Nzk5Mzk3ZjM3ZmU5MzM5ZmFkNWJlYmY5ODgiLCJ1c2VySWQiOiIzMTc3OTY2ODMifQ==</vt:lpwstr>
  </property>
</Properties>
</file>