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2023年，我单位部门预算</w:t>
      </w:r>
      <w:r>
        <w:rPr>
          <w:rFonts w:ascii="仿宋_GB2312" w:eastAsia="仿宋_GB2312" w:cs="仿宋_GB2312"/>
          <w:sz w:val="32"/>
          <w:szCs w:val="32"/>
        </w:rPr>
        <w:t>11</w:t>
      </w:r>
      <w:r>
        <w:rPr>
          <w:rFonts w:ascii="仿宋_GB2312" w:eastAsia="仿宋_GB2312" w:cs="仿宋_GB2312" w:hint="eastAsia"/>
          <w:sz w:val="32"/>
          <w:szCs w:val="32"/>
        </w:rPr>
        <w:t>1.88万元 ，均严格按绩效管理要求实现项目绩效目标管理，其中重点项目预算2个，现将情况说明如下：</w:t>
      </w:r>
    </w:p>
    <w:p>
      <w:pPr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p>
      <w:pPr>
        <w:widowControl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1.拟订文化、体育、旅游、广播电视和文物政策措施，起草文化、体育、旅游、广播电视和文物地方性法规规章草案，负责本部门依法行政工作。</w:t>
        <w:br/>
        <w:t xml:space="preserve">    2.组织推动全市文化事业、文化产业、体育事业、体育产业和旅游业发展，拟订并组织实施全市文化、体育、旅游、广播电视发展和文物保护利用规划，推进所属行业的体制机制改革和行业融合发展。</w:t>
        <w:br/>
        <w:t xml:space="preserve">    3.管理所属行业的全市重大活动，指导所属行业重点设施建设，组织全市文化和旅游整体形象推广，促进行业产业对外交流合作和国际市场推广，制定旅游市场开发战略并组织实施，推进全域旅游。</w:t>
        <w:br/>
        <w:t xml:space="preserve">    4.指导管理文艺事业，推动艺术创作生产，扶持体现社会主义核心价值观、具有导向性代表性示范性的文艺作品，推动各门类艺术、各艺术品种发展，推动中华优秀传统文化和巴文化传承发展。</w:t>
        <w:br/>
        <w:t xml:space="preserve">    5.负责公共文化事业发展，推进全市公共文化服务体系建设和旅游公共服务建设，深入实施文化惠民工程，统筹推进基本公共文化服务标准化、均等化。</w:t>
        <w:br/>
        <w:t xml:space="preserve">    6.推进文化、体育、旅游、广播电视和文物科技创新发展，推进本行业信息化、标准化建设。</w:t>
        <w:br/>
        <w:t xml:space="preserve">    7.负责非物质文化遗产保护，推动非物质文化遗产的保护、传承、普及、弘扬和振兴。</w:t>
        <w:br/>
        <w:t xml:space="preserve">    8.组织实施所属行业资源普查、挖掘、保护与利用工作，促进行业的产业发展。</w:t>
        <w:br/>
        <w:t xml:space="preserve">    9.指导文化、体育、旅游、广播电视和文物市场发展，并进行行业监管，推进行业信用体系建设，依法规范行业市场。</w:t>
        <w:br/>
        <w:t xml:space="preserve">    10.统筹全市文化市场综合执法，组织查处全市性、跨区域文化、文物、出版、广播电视、电影、旅游市场领域的违法行为，督查督办大案要案，维护市场秩序。</w:t>
        <w:br/>
        <w:t xml:space="preserve">    11.负责管理文化、体育、旅游、广播电视和文物对外及对港澳台交流合作与宣传推广工作，组织大型文化、体育、旅游、广播电视和文物对外及对港澳台交流活动，推动中华文化走出去。</w:t>
        <w:br/>
        <w:t xml:space="preserve">    12.负责全市文化、体育、旅游、广播电视和文物市场安全生产工作的综合协调与监督管理，对文化旅游园区的安全生产和职业健康工作实施行业监督管理。制定职责范围内的安全生产年度监督检查计划并组织实施。</w:t>
        <w:br/>
        <w:t xml:space="preserve">    13.负责统筹协调全市竞技体育、群众体育和青少年体育发展工作。推行全民健身计划、监督实施国家体育锻炼标准，推动全市国民体质监测和社会体育指导工作队伍制度建设。组织、指导体育训练、体育竞赛工作，组织协调省级或市级综合性运动会，负责组织、协调、监督体育运动中的反兴奋剂和运动员社会保障工作。协助体育彩票销售工作的监督管理，负责公共体育设施的建设指导、监督管理。</w:t>
      </w:r>
    </w:p>
    <w:p>
      <w:pPr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重点项目1：旅游发展专项资金1</w:t>
      </w:r>
      <w:r>
        <w:rPr>
          <w:rFonts w:ascii="仿宋_GB2312" w:eastAsia="仿宋_GB2312" w:cs="仿宋_GB2312"/>
          <w:sz w:val="32"/>
          <w:szCs w:val="32"/>
        </w:rPr>
        <w:t>00万</w:t>
      </w:r>
      <w:r>
        <w:rPr>
          <w:rFonts w:ascii="仿宋_GB2312" w:eastAsia="仿宋_GB2312" w:cs="仿宋_GB2312" w:hint="eastAsia"/>
          <w:sz w:val="32"/>
          <w:szCs w:val="32"/>
        </w:rPr>
        <w:t>元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项目年度绩效目标：金川县创建省级全域旅游示范区软件资料汇编及佐证资料归档。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绩效指标设置情况：细化指标7个，包括产出指标、成本指标、效益指标和满意度指标。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重点项目2： “两馆一站”免费开放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项目年度绩效目标：为加强我县预算绩效管理工作，增强支出责任意识、提高财政资金使用效益和管理水平，按照</w:t>
      </w:r>
      <w:r>
        <w:rPr>
          <w:rFonts w:ascii="仿宋_GB2312" w:eastAsia="仿宋_GB2312" w:cs="仿宋_GB2312"/>
          <w:sz w:val="32"/>
          <w:szCs w:val="32"/>
        </w:rPr>
        <w:t>《中华人民共和国预算法》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、《中央对地方公共图书馆、美术馆、文化馆（站）免费开放补助资金管理办法》(财教[2020] 156号)相关规定，加强资金管理，专款专用，提高使用效率。202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年两馆一站免费开放经费11</w:t>
      </w:r>
      <w:r>
        <w:rPr>
          <w:rFonts w:ascii="仿宋_GB2312" w:eastAsia="仿宋_GB2312" w:cs="仿宋_GB2312"/>
          <w:sz w:val="32"/>
          <w:szCs w:val="32"/>
        </w:rPr>
        <w:t>.</w:t>
      </w:r>
      <w:r>
        <w:rPr>
          <w:rFonts w:ascii="仿宋_GB2312" w:eastAsia="仿宋_GB2312" w:cs="仿宋_GB2312" w:hint="eastAsia"/>
          <w:sz w:val="32"/>
          <w:szCs w:val="32"/>
        </w:rPr>
        <w:t>88万元．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绩效指标设置情况：细化指标7个，包括产出指标、成本指标、效益指标和满意度指标。</w:t>
      </w:r>
    </w:p>
    <w:p>
      <w:pPr>
        <w:rPr>
          <w:rFonts w:ascii="仿宋_GB2312" w:eastAsia="仿宋_GB2312" w:cs="仿宋_GB2312"/>
          <w:sz w:val="32"/>
          <w:szCs w:val="32"/>
        </w:rPr>
      </w:pPr>
    </w:p>
    <w:p>
      <w:pPr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  <w:docVars>
    <w:docVar w:name="commondata" w:val="eyJoZGlkIjoiYzcxODc5YzgyODBkOGU4ZTgyZTIyN2RhMmQzYWRhN2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7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</TotalTime>
  <Application>Yozo_Office27021597764231179</Application>
  <Pages>4</Pages>
  <Words>1436</Words>
  <Characters>1480</Characters>
  <Lines>70</Lines>
  <Paragraphs>13</Paragraphs>
  <CharactersWithSpaces>1544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7</cp:revision>
  <dcterms:created xsi:type="dcterms:W3CDTF">2023-02-06T06:46:00Z</dcterms:created>
  <dcterms:modified xsi:type="dcterms:W3CDTF">2024-03-13T07:59:09Z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2052-11.1.0.13703</vt:lpwstr>
  </property>
  <property fmtid="{D5CDD505-2E9C-101B-9397-08002B2CF9AE}" pid="3" name="ICV">
    <vt:lpwstr>AF255DAA03784B80A9508A678B58FFBA</vt:lpwstr>
  </property>
</Properties>
</file>