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7193"/>
      <w:bookmarkStart w:id="1" w:name="_Toc15396597"/>
      <w:bookmarkStart w:id="2" w:name="_Toc15377425"/>
      <w:bookmarkStart w:id="3" w:name="_Toc15378441"/>
      <w:bookmarkStart w:id="4" w:name="_Toc15396475"/>
      <w:bookmarkStart w:id="5" w:name="_Toc15306267"/>
    </w:p>
    <w:p>
      <w:pPr>
        <w:pStyle w:val="16"/>
        <w:ind w:firstLine="0"/>
      </w:pPr>
    </w:p>
    <w:p>
      <w:pPr>
        <w:jc w:val="center"/>
        <w:rPr>
          <w:rFonts w:ascii="宋体" w:eastAsia="宋体"/>
          <w:b/>
          <w:sz w:val="72"/>
          <w:szCs w:val="72"/>
        </w:rPr>
      </w:pPr>
      <w:r>
        <w:rPr>
          <w:rFonts w:ascii="宋体" w:eastAsia="宋体" w:hint="eastAsia"/>
          <w:b/>
          <w:sz w:val="72"/>
          <w:szCs w:val="72"/>
        </w:rPr>
        <w:t>2022</w:t>
      </w:r>
      <w:r>
        <w:rPr>
          <w:b/>
          <w:sz w:val="72"/>
          <w:u w:color="auto"/>
        </w:rPr>
        <w:t>年度</w:t>
      </w:r>
      <w:bookmarkEnd w:id="0"/>
      <w:bookmarkEnd w:id="1"/>
      <w:bookmarkEnd w:id="2"/>
      <w:bookmarkEnd w:id="3"/>
      <w:bookmarkEnd w:id="4"/>
    </w:p>
    <w:p>
      <w:pPr>
        <w:jc w:val="center"/>
        <w:rPr>
          <w:rFonts w:ascii="宋体" w:eastAsia="宋体"/>
          <w:b/>
          <w:sz w:val="72"/>
          <w:szCs w:val="72"/>
        </w:rPr>
      </w:pPr>
      <w:bookmarkStart w:id="6" w:name="_Toc15396598"/>
      <w:bookmarkStart w:id="7" w:name="_Toc15396476"/>
      <w:bookmarkStart w:id="8" w:name="_Toc15377194"/>
      <w:bookmarkStart w:id="9" w:name="_Toc15377426"/>
      <w:bookmarkStart w:id="10" w:name="_Toc15378442"/>
      <w:bookmarkStart w:id="11" w:name="_Toc15306268"/>
      <w:bookmarkEnd w:id="5"/>
      <w:r>
        <w:rPr>
          <w:rFonts w:ascii="宋体" w:eastAsia="宋体"/>
          <w:b/>
          <w:sz w:val="72"/>
          <w:szCs w:val="72"/>
        </w:rPr>
        <w:t>阿坝州金川县文化体育和旅游局</w:t>
      </w:r>
      <w:r>
        <w:rPr>
          <w:rFonts w:ascii="宋体" w:eastAsia="宋体" w:hint="eastAsia"/>
          <w:b/>
          <w:sz w:val="72"/>
          <w:szCs w:val="72"/>
        </w:rPr>
        <w:t>部门决算</w:t>
      </w:r>
      <w:bookmarkEnd w:id="6"/>
      <w:bookmarkEnd w:id="7"/>
      <w:bookmarkEnd w:id="8"/>
      <w:bookmarkEnd w:id="9"/>
      <w:bookmarkEnd w:id="10"/>
      <w:bookmarkEnd w:id="11"/>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tabs>
          <w:tab w:val="left" w:pos="3600"/>
        </w:tabs>
      </w:pPr>
      <w:r>
        <w:tab/>
      </w: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2" w:name="_Toc15377196"/>
    </w:p>
    <w:p>
      <w:pPr>
        <w:pStyle w:val="23"/>
        <w:tabs>
          <w:tab w:val="clear" w:pos="8296"/>
          <w:tab w:val="right" w:leader="dot" w:pos="830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_Toc28280 </w:instrText>
      </w:r>
      <w:r>
        <w:rPr>
          <w:caps w:val="0"/>
          <w:smallCaps/>
          <w:szCs w:val="20"/>
        </w:rPr>
        <w:fldChar w:fldCharType="separate"/>
      </w:r>
      <w:r>
        <w:rPr>
          <w:rFonts w:ascii="黑体" w:eastAsia="黑体" w:cs="黑体" w:hint="eastAsia"/>
        </w:rPr>
        <w:t xml:space="preserve">第一部分 </w:t>
      </w:r>
      <w:r>
        <w:rPr>
          <w:rFonts w:ascii="黑体" w:eastAsia="黑体" w:cs="黑体" w:hint="eastAsia"/>
          <w:bCs w:val="0"/>
        </w:rPr>
        <w:t>部门概况</w:t>
      </w:r>
      <w:r>
        <w:tab/>
      </w:r>
      <w:r>
        <w:fldChar w:fldCharType="begin"/>
      </w:r>
      <w:r>
        <w:instrText xml:space="preserve"> PAGEREF _Toc28280 \h </w:instrText>
      </w:r>
      <w:r>
        <w:fldChar w:fldCharType="separate"/>
      </w:r>
      <w:r>
        <w:t>3</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_Toc29382 </w:instrText>
      </w:r>
      <w:r>
        <w:rPr>
          <w:caps w:val="0"/>
          <w:smallCaps/>
          <w:szCs w:val="20"/>
        </w:rPr>
        <w:fldChar w:fldCharType="separate"/>
      </w:r>
      <w:r>
        <w:rPr>
          <w:rFonts w:ascii="黑体" w:eastAsia="黑体" w:cs="Times New Roman" w:hint="eastAsia"/>
          <w:bCs w:val="0"/>
        </w:rPr>
        <w:t>一、部门职责</w:t>
      </w:r>
      <w:r>
        <w:tab/>
      </w:r>
      <w:r>
        <w:fldChar w:fldCharType="begin"/>
      </w:r>
      <w:r>
        <w:instrText xml:space="preserve"> PAGEREF _Toc29382 \h </w:instrText>
      </w:r>
      <w:r>
        <w:fldChar w:fldCharType="separate"/>
      </w:r>
      <w:r>
        <w:t>3</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_Toc7982 </w:instrText>
      </w:r>
      <w:r>
        <w:rPr>
          <w:caps w:val="0"/>
          <w:smallCaps/>
          <w:szCs w:val="20"/>
        </w:rPr>
        <w:fldChar w:fldCharType="separate"/>
      </w:r>
      <w:r>
        <w:rPr>
          <w:rFonts w:ascii="黑体" w:eastAsia="黑体" w:cs="Times New Roman" w:hint="eastAsia"/>
          <w:bCs w:val="0"/>
        </w:rPr>
        <w:t>二、机构设置</w:t>
      </w:r>
      <w:r>
        <w:tab/>
      </w:r>
      <w:r>
        <w:fldChar w:fldCharType="begin"/>
      </w:r>
      <w:r>
        <w:instrText xml:space="preserve"> PAGEREF _Toc7982 \h </w:instrText>
      </w:r>
      <w:r>
        <w:fldChar w:fldCharType="separate"/>
      </w:r>
      <w:r>
        <w:t>4</w:t>
      </w:r>
      <w:r>
        <w:fldChar w:fldCharType="end"/>
      </w:r>
      <w:r>
        <w:rPr>
          <w:caps w:val="0"/>
          <w:smallCaps/>
          <w:szCs w:val="20"/>
        </w:rPr>
        <w:fldChar w:fldCharType="end"/>
      </w:r>
    </w:p>
    <w:p>
      <w:pPr>
        <w:pStyle w:val="23"/>
        <w:tabs>
          <w:tab w:val="clear" w:pos="8296"/>
          <w:tab w:val="right" w:leader="dot" w:pos="8306"/>
        </w:tabs>
      </w:pPr>
      <w:r>
        <w:rPr>
          <w:caps w:val="0"/>
          <w:smallCaps/>
          <w:szCs w:val="20"/>
        </w:rPr>
        <w:fldChar w:fldCharType="begin"/>
      </w:r>
      <w:r>
        <w:rPr>
          <w:caps w:val="0"/>
          <w:smallCaps/>
          <w:szCs w:val="20"/>
        </w:rPr>
        <w:instrText xml:space="preserve"> HYPERLINK \l _Toc3119 </w:instrText>
      </w:r>
      <w:r>
        <w:rPr>
          <w:caps w:val="0"/>
          <w:smallCaps/>
          <w:szCs w:val="20"/>
        </w:rPr>
        <w:fldChar w:fldCharType="separate"/>
      </w:r>
      <w:r>
        <w:rPr>
          <w:rFonts w:ascii="黑体" w:eastAsia="黑体" w:cs="黑体" w:hint="eastAsia"/>
        </w:rPr>
        <w:t>第二部分</w:t>
      </w:r>
      <w:r>
        <w:rPr>
          <w:rFonts w:ascii="黑体" w:eastAsia="黑体" w:cs="黑体"/>
        </w:rPr>
        <w:t xml:space="preserve"> </w:t>
      </w:r>
      <w:r>
        <w:rPr>
          <w:rFonts w:ascii="黑体" w:eastAsia="黑体" w:cs="黑体" w:hint="eastAsia"/>
        </w:rPr>
        <w:t>2022</w:t>
      </w:r>
      <w:r>
        <w:rPr>
          <w:rFonts w:ascii="黑体" w:eastAsia="黑体" w:cs="黑体"/>
          <w:u w:color="auto"/>
        </w:rPr>
        <w:t>年度部门决算情况说明</w:t>
      </w:r>
      <w:r>
        <w:tab/>
      </w:r>
      <w:r>
        <w:fldChar w:fldCharType="begin"/>
      </w:r>
      <w:r>
        <w:instrText xml:space="preserve"> PAGEREF _Toc3119 \h </w:instrText>
      </w:r>
      <w:r>
        <w:fldChar w:fldCharType="separate"/>
      </w:r>
      <w:r>
        <w:t>6</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_Toc21486 </w:instrText>
      </w:r>
      <w:r>
        <w:rPr>
          <w:caps w:val="0"/>
          <w:smallCaps/>
          <w:szCs w:val="20"/>
        </w:rPr>
        <w:fldChar w:fldCharType="separate"/>
      </w:r>
      <w:r>
        <w:rPr>
          <w:rFonts w:ascii="黑体" w:eastAsia="黑体" w:cs="Times New Roman" w:hint="eastAsia"/>
          <w:bCs w:val="0"/>
        </w:rPr>
        <w:t>一、收入支出决算总体情况说明</w:t>
      </w:r>
      <w:r>
        <w:tab/>
      </w:r>
      <w:r>
        <w:fldChar w:fldCharType="begin"/>
      </w:r>
      <w:r>
        <w:instrText xml:space="preserve"> PAGEREF _Toc21486 \h </w:instrText>
      </w:r>
      <w:r>
        <w:fldChar w:fldCharType="separate"/>
      </w:r>
      <w:r>
        <w:t>6</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_Toc24609 </w:instrText>
      </w:r>
      <w:r>
        <w:rPr>
          <w:caps w:val="0"/>
          <w:smallCaps/>
          <w:szCs w:val="20"/>
        </w:rPr>
        <w:fldChar w:fldCharType="separate"/>
      </w:r>
      <w:r>
        <w:rPr>
          <w:rFonts w:ascii="黑体" w:eastAsia="黑体" w:cs="Times New Roman" w:hint="eastAsia"/>
          <w:bCs w:val="0"/>
        </w:rPr>
        <w:t>二、收入决算情况说明</w:t>
      </w:r>
      <w:r>
        <w:tab/>
      </w:r>
      <w:r>
        <w:fldChar w:fldCharType="begin"/>
      </w:r>
      <w:r>
        <w:instrText xml:space="preserve"> PAGEREF _Toc24609 \h </w:instrText>
      </w:r>
      <w:r>
        <w:fldChar w:fldCharType="separate"/>
      </w:r>
      <w:r>
        <w:t>6</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_Toc8745 </w:instrText>
      </w:r>
      <w:r>
        <w:rPr>
          <w:caps w:val="0"/>
          <w:smallCaps/>
          <w:szCs w:val="20"/>
        </w:rPr>
        <w:fldChar w:fldCharType="separate"/>
      </w:r>
      <w:r>
        <w:rPr>
          <w:rFonts w:ascii="黑体" w:eastAsia="黑体" w:cs="Times New Roman" w:hint="eastAsia"/>
          <w:bCs w:val="0"/>
        </w:rPr>
        <w:t>三、支出决算情况说明</w:t>
      </w:r>
      <w:r>
        <w:tab/>
      </w:r>
      <w:r>
        <w:fldChar w:fldCharType="begin"/>
      </w:r>
      <w:r>
        <w:instrText xml:space="preserve"> PAGEREF _Toc8745 \h </w:instrText>
      </w:r>
      <w:r>
        <w:fldChar w:fldCharType="separate"/>
      </w:r>
      <w:r>
        <w:t>7</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_Toc13661 </w:instrText>
      </w:r>
      <w:r>
        <w:rPr>
          <w:caps w:val="0"/>
          <w:smallCaps/>
          <w:szCs w:val="20"/>
        </w:rPr>
        <w:fldChar w:fldCharType="separate"/>
      </w:r>
      <w:r>
        <w:rPr>
          <w:rFonts w:ascii="黑体" w:eastAsia="黑体" w:cs="Times New Roman" w:hint="eastAsia"/>
          <w:bCs w:val="0"/>
        </w:rPr>
        <w:t>四、财政拨款收入支出决算总体情况说明</w:t>
      </w:r>
      <w:r>
        <w:tab/>
      </w:r>
      <w:r>
        <w:fldChar w:fldCharType="begin"/>
      </w:r>
      <w:r>
        <w:instrText xml:space="preserve"> PAGEREF _Toc13661 \h </w:instrText>
      </w:r>
      <w:r>
        <w:fldChar w:fldCharType="separate"/>
      </w:r>
      <w:r>
        <w:t>8</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_Toc2126 </w:instrText>
      </w:r>
      <w:r>
        <w:rPr>
          <w:caps w:val="0"/>
          <w:smallCaps/>
          <w:szCs w:val="20"/>
        </w:rPr>
        <w:fldChar w:fldCharType="separate"/>
      </w:r>
      <w:r>
        <w:rPr>
          <w:rFonts w:ascii="黑体" w:eastAsia="黑体" w:cs="Times New Roman" w:hint="eastAsia"/>
          <w:bCs w:val="0"/>
        </w:rPr>
        <w:t>五、一般公共预算财政拨款支出决算情况说明</w:t>
      </w:r>
      <w:r>
        <w:tab/>
      </w:r>
      <w:r>
        <w:fldChar w:fldCharType="begin"/>
      </w:r>
      <w:r>
        <w:instrText xml:space="preserve"> PAGEREF _Toc2126 \h </w:instrText>
      </w:r>
      <w:r>
        <w:fldChar w:fldCharType="separate"/>
      </w:r>
      <w:r>
        <w:t>9</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_Toc24703 </w:instrText>
      </w:r>
      <w:r>
        <w:rPr>
          <w:caps w:val="0"/>
          <w:smallCaps/>
          <w:szCs w:val="20"/>
        </w:rPr>
        <w:fldChar w:fldCharType="separate"/>
      </w:r>
      <w:r>
        <w:rPr>
          <w:rFonts w:ascii="黑体" w:eastAsia="黑体" w:cs="Times New Roman" w:hint="eastAsia"/>
          <w:bCs w:val="0"/>
        </w:rPr>
        <w:t>六、一般公共预算财政拨款基本支出决算情况说明</w:t>
      </w:r>
      <w:r>
        <w:tab/>
      </w:r>
      <w:r>
        <w:fldChar w:fldCharType="begin"/>
      </w:r>
      <w:r>
        <w:instrText xml:space="preserve"> PAGEREF _Toc24703 \h </w:instrText>
      </w:r>
      <w:r>
        <w:fldChar w:fldCharType="separate"/>
      </w:r>
      <w:r>
        <w:t>13</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_Toc16585 </w:instrText>
      </w:r>
      <w:r>
        <w:rPr>
          <w:caps w:val="0"/>
          <w:smallCaps/>
          <w:szCs w:val="20"/>
        </w:rPr>
        <w:fldChar w:fldCharType="separate"/>
      </w:r>
      <w:r>
        <w:rPr>
          <w:rFonts w:ascii="黑体" w:eastAsia="黑体" w:cs="Times New Roman" w:hint="eastAsia"/>
          <w:bCs w:val="0"/>
        </w:rPr>
        <w:t>七、“三公”经费财政拨款支出决算情况说明</w:t>
      </w:r>
      <w:r>
        <w:tab/>
      </w:r>
      <w:r>
        <w:fldChar w:fldCharType="begin"/>
      </w:r>
      <w:r>
        <w:instrText xml:space="preserve"> PAGEREF _Toc16585 \h </w:instrText>
      </w:r>
      <w:r>
        <w:fldChar w:fldCharType="separate"/>
      </w:r>
      <w:r>
        <w:t>14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_Toc4484 </w:instrText>
      </w:r>
      <w:r>
        <w:rPr>
          <w:caps w:val="0"/>
          <w:smallCaps/>
          <w:szCs w:val="20"/>
        </w:rPr>
        <w:fldChar w:fldCharType="separate"/>
      </w:r>
      <w:r>
        <w:rPr>
          <w:rFonts w:ascii="黑体" w:eastAsia="黑体" w:cs="Times New Roman" w:hint="eastAsia"/>
          <w:bCs w:val="0"/>
        </w:rPr>
        <w:t>八、政府性基金预算支出决算情况说明</w:t>
      </w:r>
      <w:r>
        <w:tab/>
      </w:r>
      <w:r>
        <w:fldChar w:fldCharType="begin"/>
      </w:r>
      <w:r>
        <w:instrText xml:space="preserve"> PAGEREF _Toc4484 \h </w:instrText>
      </w:r>
      <w:r>
        <w:fldChar w:fldCharType="separate"/>
      </w:r>
      <w:r>
        <w:t>15</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_Toc1532 </w:instrText>
      </w:r>
      <w:r>
        <w:rPr>
          <w:caps w:val="0"/>
          <w:smallCaps/>
          <w:szCs w:val="20"/>
        </w:rPr>
        <w:fldChar w:fldCharType="separate"/>
      </w:r>
      <w:r>
        <w:rPr>
          <w:rFonts w:ascii="黑体" w:eastAsia="黑体" w:cs="Times New Roman" w:hint="eastAsia"/>
          <w:bCs w:val="0"/>
        </w:rPr>
        <w:t>九、国有资本经营预算支出决算情况说明</w:t>
      </w:r>
      <w:r>
        <w:tab/>
      </w:r>
      <w:r>
        <w:fldChar w:fldCharType="begin"/>
      </w:r>
      <w:r>
        <w:instrText xml:space="preserve"> PAGEREF _Toc1532 \h </w:instrText>
      </w:r>
      <w:r>
        <w:fldChar w:fldCharType="separate"/>
      </w:r>
      <w:r>
        <w:t>15</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_Toc587 </w:instrText>
      </w:r>
      <w:r>
        <w:rPr>
          <w:caps w:val="0"/>
          <w:smallCaps/>
          <w:szCs w:val="20"/>
        </w:rPr>
        <w:fldChar w:fldCharType="separate"/>
      </w:r>
      <w:r>
        <w:rPr>
          <w:rFonts w:ascii="黑体" w:eastAsia="黑体" w:cs="Times New Roman" w:hint="eastAsia"/>
          <w:bCs w:val="0"/>
        </w:rPr>
        <w:t>十、其他重要事项的情况说明</w:t>
      </w:r>
      <w:r>
        <w:tab/>
      </w:r>
      <w:r>
        <w:fldChar w:fldCharType="begin"/>
      </w:r>
      <w:r>
        <w:instrText xml:space="preserve"> PAGEREF _Toc587 \h </w:instrText>
      </w:r>
      <w:r>
        <w:fldChar w:fldCharType="separate"/>
      </w:r>
      <w:r>
        <w:t>15</w:t>
      </w:r>
      <w:r>
        <w:fldChar w:fldCharType="end"/>
      </w:r>
      <w:r>
        <w:rPr>
          <w:caps w:val="0"/>
          <w:smallCaps/>
          <w:szCs w:val="20"/>
        </w:rPr>
        <w:fldChar w:fldCharType="end"/>
      </w:r>
    </w:p>
    <w:p>
      <w:pPr>
        <w:pStyle w:val="23"/>
        <w:tabs>
          <w:tab w:val="clear" w:pos="8296"/>
          <w:tab w:val="right" w:leader="dot" w:pos="8306"/>
        </w:tabs>
      </w:pPr>
      <w:r>
        <w:rPr>
          <w:caps w:val="0"/>
          <w:smallCaps/>
          <w:szCs w:val="20"/>
        </w:rPr>
        <w:fldChar w:fldCharType="begin"/>
      </w:r>
      <w:r>
        <w:rPr>
          <w:caps w:val="0"/>
          <w:smallCaps/>
          <w:szCs w:val="20"/>
        </w:rPr>
        <w:instrText xml:space="preserve"> HYPERLINK \l _Toc5924 </w:instrText>
      </w:r>
      <w:r>
        <w:rPr>
          <w:caps w:val="0"/>
          <w:smallCaps/>
          <w:szCs w:val="20"/>
        </w:rPr>
        <w:fldChar w:fldCharType="separate"/>
      </w:r>
      <w:r>
        <w:rPr>
          <w:rFonts w:ascii="黑体" w:eastAsia="黑体" w:cs="黑体" w:hint="eastAsia"/>
        </w:rPr>
        <w:t>第三部分 名词解释</w:t>
      </w:r>
      <w:r>
        <w:tab/>
      </w:r>
      <w:r>
        <w:fldChar w:fldCharType="begin"/>
      </w:r>
      <w:r>
        <w:instrText xml:space="preserve"> PAGEREF _Toc5924 \h </w:instrText>
      </w:r>
      <w:r>
        <w:fldChar w:fldCharType="separate"/>
      </w:r>
      <w:r>
        <w:t>17</w:t>
      </w:r>
      <w:r>
        <w:fldChar w:fldCharType="end"/>
      </w:r>
      <w:r>
        <w:rPr>
          <w:caps w:val="0"/>
          <w:smallCaps/>
          <w:szCs w:val="20"/>
        </w:rPr>
        <w:fldChar w:fldCharType="end"/>
      </w:r>
    </w:p>
    <w:p>
      <w:pPr>
        <w:pStyle w:val="23"/>
        <w:tabs>
          <w:tab w:val="clear" w:pos="8296"/>
          <w:tab w:val="right" w:leader="dot" w:pos="8306"/>
        </w:tabs>
      </w:pPr>
      <w:r>
        <w:rPr>
          <w:caps w:val="0"/>
          <w:smallCaps/>
          <w:szCs w:val="20"/>
        </w:rPr>
        <w:fldChar w:fldCharType="begin"/>
      </w:r>
      <w:r>
        <w:rPr>
          <w:caps w:val="0"/>
          <w:smallCaps/>
          <w:szCs w:val="20"/>
        </w:rPr>
        <w:instrText xml:space="preserve"> HYPERLINK \l _Toc13946 </w:instrText>
      </w:r>
      <w:r>
        <w:rPr>
          <w:caps w:val="0"/>
          <w:smallCaps/>
          <w:szCs w:val="20"/>
        </w:rPr>
        <w:fldChar w:fldCharType="separate"/>
      </w:r>
      <w:r>
        <w:rPr>
          <w:rFonts w:ascii="黑体" w:eastAsia="黑体" w:cs="黑体" w:hint="eastAsia"/>
        </w:rPr>
        <w:t>第四部分 附件</w:t>
      </w:r>
      <w:r>
        <w:tab/>
      </w:r>
      <w:r>
        <w:fldChar w:fldCharType="begin"/>
      </w:r>
      <w:r>
        <w:instrText xml:space="preserve"> PAGEREF _Toc13946 \h </w:instrText>
      </w:r>
      <w:r>
        <w:fldChar w:fldCharType="separate"/>
      </w:r>
      <w:r>
        <w:t>22</w:t>
      </w:r>
      <w:r>
        <w:fldChar w:fldCharType="end"/>
      </w:r>
      <w:r>
        <w:rPr>
          <w:caps w:val="0"/>
          <w:smallCaps/>
          <w:szCs w:val="20"/>
        </w:rPr>
        <w:fldChar w:fldCharType="end"/>
      </w:r>
    </w:p>
    <w:p>
      <w:pPr>
        <w:pStyle w:val="23"/>
        <w:tabs>
          <w:tab w:val="clear" w:pos="8296"/>
          <w:tab w:val="right" w:leader="dot" w:pos="8306"/>
        </w:tabs>
      </w:pPr>
      <w:r>
        <w:rPr>
          <w:caps w:val="0"/>
          <w:smallCaps/>
          <w:szCs w:val="20"/>
        </w:rPr>
        <w:fldChar w:fldCharType="begin"/>
      </w:r>
      <w:r>
        <w:rPr>
          <w:caps w:val="0"/>
          <w:smallCaps/>
          <w:szCs w:val="20"/>
        </w:rPr>
        <w:instrText xml:space="preserve"> HYPERLINK \l _Toc3397 </w:instrText>
      </w:r>
      <w:r>
        <w:rPr>
          <w:caps w:val="0"/>
          <w:smallCaps/>
          <w:szCs w:val="20"/>
        </w:rPr>
        <w:fldChar w:fldCharType="separate"/>
      </w:r>
      <w:r>
        <w:rPr>
          <w:rFonts w:ascii="黑体" w:eastAsia="黑体" w:cs="黑体" w:hint="eastAsia"/>
        </w:rPr>
        <w:t>第五部分 附表</w:t>
      </w:r>
      <w:r>
        <w:tab/>
      </w:r>
      <w:r>
        <w:fldChar w:fldCharType="begin"/>
      </w:r>
      <w:r>
        <w:instrText xml:space="preserve"> PAGEREF _Toc3397 \h </w:instrText>
      </w:r>
      <w:r>
        <w:fldChar w:fldCharType="separate"/>
      </w:r>
      <w:r>
        <w:t>27</w:t>
      </w:r>
      <w:r>
        <w:fldChar w:fldCharType="end"/>
      </w:r>
      <w:r>
        <w:rPr>
          <w:caps w:val="0"/>
          <w:smallCaps/>
          <w:szCs w:val="20"/>
        </w:rPr>
        <w:fldChar w:fldCharType="end"/>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_Toc16172 </w:instrText>
      </w:r>
      <w:r>
        <w:rPr>
          <w:caps w:val="0"/>
          <w:smallCaps/>
          <w:szCs w:val="20"/>
        </w:rPr>
        <w:fldChar w:fldCharType="separate"/>
      </w:r>
      <w:r>
        <w:rPr>
          <w:rFonts w:ascii="黑体" w:eastAsia="黑体" w:cs="Times New Roman" w:hint="eastAsia"/>
          <w:bCs w:val="0"/>
        </w:rPr>
        <w:t>一、收入支出决算总表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_Toc18577 </w:instrText>
      </w:r>
      <w:r>
        <w:rPr>
          <w:caps w:val="0"/>
          <w:smallCaps/>
          <w:szCs w:val="20"/>
        </w:rPr>
        <w:fldChar w:fldCharType="separate"/>
      </w:r>
      <w:r>
        <w:rPr>
          <w:rFonts w:ascii="黑体" w:eastAsia="黑体" w:cs="Times New Roman" w:hint="eastAsia"/>
          <w:bCs w:val="0"/>
        </w:rPr>
        <w:t>二、收入决算表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_Toc18759 </w:instrText>
      </w:r>
      <w:r>
        <w:rPr>
          <w:caps w:val="0"/>
          <w:smallCaps/>
          <w:szCs w:val="20"/>
        </w:rPr>
        <w:fldChar w:fldCharType="separate"/>
      </w:r>
      <w:r>
        <w:rPr>
          <w:rFonts w:ascii="黑体" w:eastAsia="黑体" w:cs="Times New Roman" w:hint="eastAsia"/>
          <w:bCs w:val="0"/>
        </w:rPr>
        <w:t>三、支出决算表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_Toc16869 </w:instrText>
      </w:r>
      <w:r>
        <w:rPr>
          <w:caps w:val="0"/>
          <w:smallCaps/>
          <w:szCs w:val="20"/>
        </w:rPr>
        <w:fldChar w:fldCharType="separate"/>
      </w:r>
      <w:r>
        <w:rPr>
          <w:rFonts w:ascii="黑体" w:eastAsia="黑体" w:cs="Times New Roman" w:hint="eastAsia"/>
          <w:bCs w:val="0"/>
        </w:rPr>
        <w:t>四、财政拨款收入支出决算总表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_Toc13179 </w:instrText>
      </w:r>
      <w:r>
        <w:rPr>
          <w:caps w:val="0"/>
          <w:smallCaps/>
          <w:szCs w:val="20"/>
        </w:rPr>
        <w:fldChar w:fldCharType="separate"/>
      </w:r>
      <w:r>
        <w:rPr>
          <w:rFonts w:ascii="黑体" w:eastAsia="黑体" w:cs="Times New Roman" w:hint="eastAsia"/>
          <w:bCs w:val="0"/>
        </w:rPr>
        <w:t>五、财政拨款支出决算明细表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_Toc10578 </w:instrText>
      </w:r>
      <w:r>
        <w:rPr>
          <w:caps w:val="0"/>
          <w:smallCaps/>
          <w:szCs w:val="20"/>
        </w:rPr>
        <w:fldChar w:fldCharType="separate"/>
      </w:r>
      <w:r>
        <w:rPr>
          <w:rFonts w:ascii="黑体" w:eastAsia="黑体" w:cs="Times New Roman" w:hint="eastAsia"/>
          <w:bCs w:val="0"/>
        </w:rPr>
        <w:t>六、一般公共预算财政拨款支出决算表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_Toc4404 </w:instrText>
      </w:r>
      <w:r>
        <w:rPr>
          <w:caps w:val="0"/>
          <w:smallCaps/>
          <w:szCs w:val="20"/>
        </w:rPr>
        <w:fldChar w:fldCharType="separate"/>
      </w:r>
      <w:r>
        <w:rPr>
          <w:rFonts w:ascii="黑体" w:eastAsia="黑体" w:cs="Times New Roman" w:hint="eastAsia"/>
          <w:bCs w:val="0"/>
        </w:rPr>
        <w:t>七、一般公共预算财政拨款支出决算明细表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_Toc16845 </w:instrText>
      </w:r>
      <w:r>
        <w:rPr>
          <w:caps w:val="0"/>
          <w:smallCaps/>
          <w:szCs w:val="20"/>
        </w:rPr>
        <w:fldChar w:fldCharType="separate"/>
      </w:r>
      <w:r>
        <w:rPr>
          <w:rFonts w:ascii="黑体" w:eastAsia="黑体" w:cs="Times New Roman" w:hint="eastAsia"/>
          <w:bCs w:val="0"/>
        </w:rPr>
        <w:t>八、一般公共预算财政拨款基本支出决算表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_Toc27130 </w:instrText>
      </w:r>
      <w:r>
        <w:rPr>
          <w:caps w:val="0"/>
          <w:smallCaps/>
          <w:szCs w:val="20"/>
        </w:rPr>
        <w:fldChar w:fldCharType="separate"/>
      </w:r>
      <w:r>
        <w:rPr>
          <w:rFonts w:ascii="黑体" w:eastAsia="黑体" w:cs="Times New Roman" w:hint="eastAsia"/>
          <w:bCs w:val="0"/>
        </w:rPr>
        <w:t>九、一般公共预算财政拨款项目支出决算表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_Toc11127 </w:instrText>
      </w:r>
      <w:r>
        <w:rPr>
          <w:caps w:val="0"/>
          <w:smallCaps/>
          <w:szCs w:val="20"/>
        </w:rPr>
        <w:fldChar w:fldCharType="separate"/>
      </w:r>
      <w:r>
        <w:rPr>
          <w:rFonts w:ascii="黑体" w:eastAsia="黑体" w:cs="Times New Roman" w:hint="eastAsia"/>
          <w:bCs w:val="0"/>
        </w:rPr>
        <w:t>十、一般公共预算财政拨款“三公”经费支出决算表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_Toc16676 </w:instrText>
      </w:r>
      <w:r>
        <w:rPr>
          <w:caps w:val="0"/>
          <w:smallCaps/>
          <w:szCs w:val="20"/>
        </w:rPr>
        <w:fldChar w:fldCharType="separate"/>
      </w:r>
      <w:r>
        <w:rPr>
          <w:rFonts w:ascii="黑体" w:eastAsia="黑体" w:cs="Times New Roman" w:hint="eastAsia"/>
          <w:bCs w:val="0"/>
        </w:rPr>
        <w:t>十一、政府性基金预算财政拨款收入支出决算表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_Toc4035 </w:instrText>
      </w:r>
      <w:r>
        <w:rPr>
          <w:caps w:val="0"/>
          <w:smallCaps/>
          <w:szCs w:val="20"/>
        </w:rPr>
        <w:fldChar w:fldCharType="separate"/>
      </w:r>
      <w:r>
        <w:rPr>
          <w:rFonts w:ascii="黑体" w:eastAsia="黑体" w:cs="Times New Roman" w:hint="eastAsia"/>
          <w:bCs w:val="0"/>
        </w:rPr>
        <w:t>十</w:t>
      </w:r>
      <w:r>
        <w:rPr>
          <w:rFonts w:ascii="黑体" w:eastAsia="黑体" w:cs="Times New Roman"/>
          <w:bCs w:val="0"/>
        </w:rPr>
        <w:t>二</w:t>
      </w:r>
      <w:r>
        <w:rPr>
          <w:rFonts w:ascii="黑体" w:eastAsia="黑体" w:cs="Times New Roman" w:hint="eastAsia"/>
          <w:bCs w:val="0"/>
        </w:rPr>
        <w:t>、国有资本经营预算财政拨款收入支出决算表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24"/>
        <w:tabs>
          <w:tab w:val="clear" w:pos="8296"/>
          <w:tab w:val="right" w:leader="dot" w:pos="8306"/>
        </w:tabs>
        <w:rPr>
          <w:rFonts w:eastAsia="宋体" w:hint="eastAsia"/>
          <w:lang w:val="en-US" w:eastAsia="zh-CN"/>
        </w:rPr>
      </w:pPr>
      <w:r>
        <w:rPr>
          <w:caps w:val="0"/>
          <w:smallCaps/>
          <w:szCs w:val="20"/>
        </w:rPr>
        <w:fldChar w:fldCharType="begin"/>
      </w:r>
      <w:r>
        <w:rPr>
          <w:caps w:val="0"/>
          <w:smallCaps/>
          <w:szCs w:val="20"/>
        </w:rPr>
        <w:instrText xml:space="preserve"> HYPERLINK \l _Toc4862 </w:instrText>
      </w:r>
      <w:r>
        <w:rPr>
          <w:caps w:val="0"/>
          <w:smallCaps/>
          <w:szCs w:val="20"/>
        </w:rPr>
        <w:fldChar w:fldCharType="separate"/>
      </w:r>
      <w:r>
        <w:rPr>
          <w:rFonts w:ascii="黑体" w:eastAsia="黑体" w:cs="Times New Roman" w:hint="eastAsia"/>
          <w:bCs w:val="0"/>
        </w:rPr>
        <w:t>十</w:t>
      </w:r>
      <w:r>
        <w:rPr>
          <w:rFonts w:ascii="黑体" w:eastAsia="黑体" w:cs="Times New Roman"/>
          <w:bCs w:val="0"/>
        </w:rPr>
        <w:t>三</w:t>
      </w:r>
      <w:r>
        <w:rPr>
          <w:rFonts w:ascii="黑体" w:eastAsia="黑体" w:cs="Times New Roman" w:hint="eastAsia"/>
          <w:bCs w:val="0"/>
        </w:rPr>
        <w:t>、国有资本经营预算财政拨款支出决算表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16"/>
      </w:pPr>
      <w:r>
        <w:rPr>
          <w:caps w:val="0"/>
          <w:smallCaps/>
          <w:szCs w:val="20"/>
        </w:rPr>
        <w:fldChar w:fldCharType="end"/>
      </w:r>
    </w:p>
    <w:p>
      <w:pPr>
        <w:pStyle w:val="1"/>
        <w:jc w:val="center"/>
        <w:rPr>
          <w:rFonts w:ascii="黑体" w:eastAsia="黑体" w:cs="黑体"/>
          <w:b w:val="0"/>
          <w:bCs w:val="0"/>
        </w:rPr>
      </w:pPr>
      <w:bookmarkStart w:id="13" w:name="_Toc28280"/>
      <w:bookmarkStart w:id="14" w:name="_Toc111208495"/>
      <w:r>
        <w:rPr>
          <w:rFonts w:ascii="黑体" w:eastAsia="黑体" w:cs="黑体" w:hint="eastAsia"/>
        </w:rPr>
        <w:t xml:space="preserve">第一部分 </w:t>
      </w:r>
      <w:r>
        <w:rPr>
          <w:rStyle w:val="1Char"/>
          <w:rFonts w:ascii="黑体" w:eastAsia="黑体" w:cs="黑体" w:hint="eastAsia"/>
          <w:b/>
          <w:bCs w:val="0"/>
        </w:rPr>
        <w:t>部门概况</w:t>
      </w:r>
      <w:bookmarkEnd w:id="12"/>
      <w:bookmarkEnd w:id="13"/>
      <w:bookmarkEnd w:id="14"/>
    </w:p>
    <w:p>
      <w:pPr>
        <w:pStyle w:val="2"/>
        <w:ind w:firstLineChars="200" w:firstLine="640"/>
        <w:rPr>
          <w:rFonts w:ascii="黑体" w:eastAsia="黑体" w:cs="Times New Roman"/>
          <w:bCs w:val="0"/>
          <w:color w:val="000000"/>
        </w:rPr>
      </w:pPr>
      <w:bookmarkStart w:id="15" w:name="_Toc111208496"/>
      <w:bookmarkStart w:id="16" w:name="_Toc15377197"/>
      <w:bookmarkStart w:id="17" w:name="_Toc29382"/>
      <w:r>
        <w:rPr>
          <w:rFonts w:ascii="黑体" w:eastAsia="黑体" w:cs="Times New Roman" w:hint="eastAsia"/>
          <w:bCs w:val="0"/>
          <w:color w:val="000000"/>
        </w:rPr>
        <w:t>一、</w:t>
      </w:r>
      <w:bookmarkStart w:id="18" w:name="_Toc15377198"/>
      <w:bookmarkStart w:id="19" w:name="_Toc15378445"/>
      <w:bookmarkEnd w:id="15"/>
      <w:bookmarkEnd w:id="16"/>
      <w:r>
        <w:rPr>
          <w:rFonts w:ascii="黑体" w:eastAsia="黑体" w:cs="Times New Roman" w:hint="eastAsia"/>
          <w:bCs w:val="0"/>
          <w:color w:val="000000"/>
        </w:rPr>
        <w:t>部门职责</w:t>
      </w:r>
      <w:bookmarkStart w:id="20" w:name="_GoBack"/>
      <w:bookmarkEnd w:id="17"/>
      <w:bookmarkEnd w:id="20"/>
    </w:p>
    <w:p>
      <w:pPr>
        <w:rPr>
          <w:rFonts w:ascii="仿宋" w:eastAsia="仿宋"/>
          <w:color w:val="000000"/>
          <w:sz w:val="32"/>
          <w:szCs w:val="32"/>
        </w:rPr>
      </w:pPr>
      <w:bookmarkEnd w:id="18"/>
      <w:bookmarkEnd w:id="19"/>
      <w:r>
        <w:rPr>
          <w:rFonts w:ascii="仿宋" w:eastAsia="仿宋"/>
          <w:color w:val="000000"/>
          <w:sz w:val="32"/>
          <w:szCs w:val="32"/>
        </w:rPr>
        <w:t>（一）主要职能</w:t>
        <w:cr/>
        <w:t>2022年在县委、县政府的正确领导下，在县级有关部门及其他兄弟乡镇的大力支持和帮助下，贯彻执行党和国家关于预算、税收、行政事业单位国有资产、财务、会计等法律法规、规章和方针、政策。根据我局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ascii="仿宋" w:eastAsia="仿宋" w:hint="eastAsia"/>
          <w:color w:val="000000"/>
          <w:sz w:val="32"/>
          <w:szCs w:val="32"/>
          <w:lang w:eastAsia="zh-CN"/>
        </w:rPr>
        <w:t>开辟</w:t>
      </w:r>
      <w:r>
        <w:rPr>
          <w:rFonts w:ascii="仿宋" w:eastAsia="仿宋"/>
          <w:color w:val="000000"/>
          <w:sz w:val="32"/>
          <w:szCs w:val="32"/>
        </w:rPr>
        <w:t>发展的新空间，努力开创金川县文化体育和旅游局发展的新局面。</w:t>
        <w:cr/>
        <w:t>（二）2022年重点工作完成情况</w:t>
        <w:cr/>
        <w:t>2022年是我局发展进程中极为困难、充满挑战的一年，也是奋发有为、满载收获的一年。一年来，全局面临着疫情防控、护林防火、地灾防范等重重困难带来的挑战，始终坚持以习近平新时代中国特色社会主义思想为指引，坚持稳中求进工作总基调</w:t>
      </w:r>
      <w:r>
        <w:rPr>
          <w:rFonts w:ascii="仿宋" w:eastAsia="仿宋" w:hint="eastAsia"/>
          <w:color w:val="000000"/>
          <w:sz w:val="32"/>
          <w:szCs w:val="32"/>
          <w:lang w:eastAsia="zh-CN"/>
        </w:rPr>
        <w:t>，</w:t>
      </w:r>
      <w:r>
        <w:rPr>
          <w:rFonts w:ascii="仿宋" w:eastAsia="仿宋"/>
          <w:color w:val="000000"/>
          <w:sz w:val="32"/>
          <w:szCs w:val="32"/>
        </w:rPr>
        <w:t>以脱贫攻坚、环境整治、文明创建、党的建设、疫情防控、防汛救灾等重点任务为抓手</w:t>
      </w:r>
      <w:r>
        <w:rPr>
          <w:rFonts w:ascii="仿宋" w:eastAsia="仿宋" w:hint="eastAsia"/>
          <w:color w:val="000000"/>
          <w:sz w:val="32"/>
          <w:szCs w:val="32"/>
          <w:lang w:eastAsia="zh-CN"/>
        </w:rPr>
        <w:t>，</w:t>
      </w:r>
      <w:r>
        <w:rPr>
          <w:rFonts w:ascii="仿宋" w:eastAsia="仿宋"/>
          <w:color w:val="000000"/>
          <w:sz w:val="32"/>
          <w:szCs w:val="32"/>
        </w:rPr>
        <w:t>重精准、补短板，主动适应社会经济发展新常态</w:t>
      </w:r>
      <w:r>
        <w:rPr>
          <w:rFonts w:ascii="仿宋" w:eastAsia="仿宋" w:hint="eastAsia"/>
          <w:color w:val="000000"/>
          <w:sz w:val="32"/>
          <w:szCs w:val="32"/>
          <w:lang w:eastAsia="zh-CN"/>
        </w:rPr>
        <w:t>，</w:t>
      </w:r>
      <w:r>
        <w:rPr>
          <w:rFonts w:ascii="仿宋" w:eastAsia="仿宋"/>
          <w:color w:val="000000"/>
          <w:sz w:val="32"/>
          <w:szCs w:val="32"/>
        </w:rPr>
        <w:t>解决了一个又一个发展难题</w:t>
      </w:r>
      <w:r>
        <w:rPr>
          <w:rFonts w:ascii="仿宋" w:eastAsia="仿宋" w:hint="eastAsia"/>
          <w:color w:val="000000"/>
          <w:sz w:val="32"/>
          <w:szCs w:val="32"/>
          <w:lang w:eastAsia="zh-CN"/>
        </w:rPr>
        <w:t>，</w:t>
      </w:r>
      <w:r>
        <w:rPr>
          <w:rFonts w:ascii="仿宋" w:eastAsia="仿宋"/>
          <w:color w:val="000000"/>
          <w:sz w:val="32"/>
          <w:szCs w:val="32"/>
        </w:rPr>
        <w:t>圆满完成了各项年度目标任务，交出了一份上级认可、社会肯定、群众满意的答卷。</w:t>
        <w:cr/>
        <w:t>一、在冲击和危机面前，我们逆势求变、稳中求进，保住了势头、促进了发展。</w:t>
        <w:cr/>
        <w:t>“坚奋进之志、谋创业之策”面临具有极强扩散性的新冠感染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cr/>
        <w:t>奏好“振兴曲”，农业发展纵深延续。自乡村振兴战略实施以来，全局始终坚持党管农村工作、农业农村优先发展，坚持农民主体地位、因地制宜的工作原则，全力推进金川县文体体育和旅游局“面子</w:t>
      </w:r>
      <w:r>
        <w:rPr>
          <w:rFonts w:ascii="仿宋" w:eastAsia="仿宋" w:hint="eastAsia"/>
          <w:color w:val="000000"/>
          <w:sz w:val="32"/>
          <w:szCs w:val="32"/>
          <w:lang w:eastAsia="zh-CN"/>
        </w:rPr>
        <w:t>”“</w:t>
      </w:r>
      <w:r>
        <w:rPr>
          <w:rFonts w:ascii="仿宋" w:eastAsia="仿宋"/>
          <w:color w:val="000000"/>
          <w:sz w:val="32"/>
          <w:szCs w:val="32"/>
        </w:rPr>
        <w:t>里子”工程的大提升。以产业振兴为支撑，壮大镇域经济。</w:t>
      </w:r>
      <w:bookmarkStart w:id="21" w:name="_Toc15377200"/>
    </w:p>
    <w:p>
      <w:pPr>
        <w:pStyle w:val="2"/>
        <w:ind w:firstLineChars="200" w:firstLine="640"/>
        <w:rPr>
          <w:rFonts w:ascii="黑体" w:eastAsia="黑体" w:cs="Times New Roman"/>
          <w:bCs w:val="0"/>
          <w:color w:val="000000"/>
        </w:rPr>
      </w:pPr>
      <w:bookmarkStart w:id="22" w:name="_Toc7982"/>
      <w:bookmarkStart w:id="23" w:name="_Toc111208497"/>
      <w:r>
        <w:rPr>
          <w:rFonts w:ascii="黑体" w:eastAsia="黑体" w:cs="Times New Roman" w:hint="eastAsia"/>
          <w:bCs w:val="0"/>
          <w:color w:val="000000"/>
        </w:rPr>
        <w:t>二、机构设置</w:t>
      </w:r>
      <w:bookmarkEnd w:id="21"/>
      <w:bookmarkEnd w:id="22"/>
      <w:bookmarkEnd w:id="23"/>
    </w:p>
    <w:p>
      <w:pPr>
        <w:rPr>
          <w:rFonts w:ascii="仿宋" w:eastAsia="仿宋"/>
          <w:color w:val="000000"/>
          <w:sz w:val="32"/>
          <w:szCs w:val="32"/>
        </w:rPr>
      </w:pPr>
      <w:r>
        <w:rPr>
          <w:rFonts w:ascii="仿宋" w:eastAsia="仿宋"/>
          <w:color w:val="000000"/>
          <w:sz w:val="32"/>
          <w:szCs w:val="32"/>
        </w:rPr>
        <w:t>1、机构情况：</w:t>
        <w:cr/>
        <w:t>金川县文化体育和旅游局属于独立核算机构。</w:t>
        <w:cr/>
        <w:t>2、人员情况：</w:t>
        <w:cr/>
        <w:t>2022年末在职33人（参公人员7人，公务员5人，机关工勤1人，参公工勤5人，事业人员14人，事业工勤1人。）</w:t>
        <w:cr/>
      </w:r>
    </w:p>
    <w:p>
      <w:pPr>
        <w:widowControl/>
        <w:jc w:val="left"/>
        <w:rPr>
          <w:rFonts w:ascii="仿宋_GB2312" w:eastAsia="仿宋_GB2312"/>
          <w:b/>
          <w:bCs/>
          <w:color w:val="000000"/>
          <w:kern w:val="44"/>
          <w:sz w:val="44"/>
          <w:szCs w:val="44"/>
        </w:rPr>
      </w:pPr>
      <w:bookmarkStart w:id="24" w:name="_Toc15377204"/>
      <w:r>
        <w:rPr>
          <w:rFonts w:ascii="仿宋_GB2312" w:eastAsia="仿宋_GB2312"/>
          <w:color w:val="000000"/>
        </w:rPr>
        <w:br w:type="page"/>
      </w:r>
    </w:p>
    <w:p>
      <w:pPr>
        <w:pStyle w:val="1"/>
        <w:jc w:val="center"/>
        <w:rPr>
          <w:rFonts w:ascii="黑体" w:eastAsia="黑体" w:cs="黑体"/>
        </w:rPr>
      </w:pPr>
      <w:bookmarkStart w:id="25" w:name="_Toc111208498"/>
      <w:bookmarkStart w:id="26" w:name="_Toc3119"/>
      <w:r>
        <w:rPr>
          <w:rFonts w:ascii="黑体" w:eastAsia="黑体" w:cs="黑体" w:hint="eastAsia"/>
        </w:rPr>
        <w:t>第二部分</w:t>
      </w:r>
      <w:r>
        <w:rPr>
          <w:rFonts w:ascii="黑体" w:eastAsia="黑体" w:cs="黑体"/>
        </w:rPr>
        <w:t xml:space="preserve"> </w:t>
      </w:r>
      <w:r>
        <w:rPr>
          <w:rFonts w:ascii="黑体" w:eastAsia="黑体" w:cs="黑体" w:hint="eastAsia"/>
        </w:rPr>
        <w:t>2022</w:t>
      </w:r>
      <w:r>
        <w:rPr>
          <w:rFonts w:ascii="黑体" w:eastAsia="黑体" w:cs="黑体"/>
          <w:u w:color="auto"/>
        </w:rPr>
        <w:t>年度部门决算情况说明</w:t>
      </w:r>
      <w:bookmarkEnd w:id="24"/>
      <w:bookmarkEnd w:id="25"/>
      <w:bookmarkEnd w:id="26"/>
    </w:p>
    <w:p>
      <w:pPr>
        <w:pStyle w:val="2"/>
        <w:ind w:firstLineChars="200" w:firstLine="640"/>
        <w:rPr>
          <w:rFonts w:ascii="黑体" w:eastAsia="黑体" w:cs="Times New Roman"/>
          <w:bCs w:val="0"/>
          <w:color w:val="000000"/>
        </w:rPr>
      </w:pPr>
      <w:bookmarkStart w:id="27" w:name="_Toc15377205"/>
      <w:bookmarkStart w:id="28" w:name="_Toc21486"/>
      <w:bookmarkStart w:id="29" w:name="_Toc111208499"/>
      <w:r>
        <w:rPr>
          <w:rFonts w:ascii="黑体" w:eastAsia="黑体" w:cs="Times New Roman" w:hint="eastAsia"/>
          <w:bCs w:val="0"/>
          <w:color w:val="000000"/>
        </w:rPr>
        <w:t>一、收入支出决算总体情况说</w:t>
      </w:r>
      <w:bookmarkEnd w:id="27"/>
      <w:r>
        <w:rPr>
          <w:rFonts w:ascii="黑体" w:eastAsia="黑体" w:cs="Times New Roman" w:hint="eastAsia"/>
          <w:bCs w:val="0"/>
          <w:color w:val="000000"/>
        </w:rPr>
        <w:t>明</w:t>
      </w:r>
      <w:bookmarkEnd w:id="28"/>
      <w:bookmarkEnd w:id="29"/>
    </w:p>
    <w:p>
      <w:pPr>
        <w:spacing w:line="600" w:lineRule="exact"/>
        <w:ind w:firstLineChars="200" w:firstLine="640"/>
        <w:rPr>
          <w:rFonts w:ascii="仿宋_GB2312" w:eastAsia="仿宋_GB2312"/>
          <w:color w:val="00B0F0"/>
          <w:sz w:val="32"/>
          <w:szCs w:val="32"/>
        </w:rPr>
      </w:pPr>
      <w:r>
        <w:rPr>
          <w:rFonts w:ascii="仿宋" w:eastAsia="仿宋"/>
          <w:color w:val="000000"/>
          <w:sz w:val="32"/>
          <w:szCs w:val="32"/>
        </w:rPr>
        <w:t>2022</w:t>
      </w:r>
      <w:r>
        <w:rPr>
          <w:rFonts w:ascii="仿宋" w:eastAsia="仿宋" w:hint="eastAsia"/>
          <w:color w:val="000000"/>
          <w:sz w:val="32"/>
          <w:szCs w:val="32"/>
        </w:rPr>
        <w:t>年度收、支总计</w:t>
      </w:r>
      <w:r>
        <w:rPr>
          <w:rFonts w:ascii="仿宋" w:eastAsia="仿宋"/>
          <w:color w:val="000000"/>
          <w:sz w:val="32"/>
          <w:szCs w:val="32"/>
        </w:rPr>
        <w:t>2989.55</w:t>
      </w:r>
      <w:r>
        <w:rPr>
          <w:rFonts w:ascii="仿宋" w:eastAsia="仿宋" w:hint="eastAsia"/>
          <w:color w:val="000000"/>
          <w:sz w:val="32"/>
          <w:szCs w:val="32"/>
        </w:rPr>
        <w:t>万元。与</w:t>
      </w:r>
      <w:r>
        <w:rPr>
          <w:rFonts w:ascii="仿宋" w:eastAsia="仿宋"/>
          <w:color w:val="000000"/>
          <w:sz w:val="32"/>
          <w:szCs w:val="32"/>
        </w:rPr>
        <w:t>2021</w:t>
      </w:r>
      <w:r>
        <w:rPr>
          <w:rFonts w:ascii="仿宋" w:eastAsia="仿宋" w:hint="eastAsia"/>
          <w:color w:val="000000"/>
          <w:sz w:val="32"/>
          <w:szCs w:val="32"/>
        </w:rPr>
        <w:t>年相比，收、支总计各</w:t>
      </w:r>
      <w:r>
        <w:rPr>
          <w:rFonts w:ascii="仿宋" w:eastAsia="仿宋"/>
          <w:color w:val="000000"/>
          <w:sz w:val="32"/>
          <w:szCs w:val="32"/>
        </w:rPr>
        <w:t>减少775.41</w:t>
      </w:r>
      <w:r>
        <w:rPr>
          <w:rFonts w:ascii="仿宋" w:eastAsia="仿宋" w:hint="eastAsia"/>
          <w:color w:val="000000"/>
          <w:sz w:val="32"/>
          <w:szCs w:val="32"/>
        </w:rPr>
        <w:t>万元，</w:t>
      </w:r>
      <w:r>
        <w:rPr>
          <w:rFonts w:ascii="仿宋" w:eastAsia="仿宋"/>
          <w:color w:val="000000"/>
          <w:sz w:val="32"/>
          <w:szCs w:val="32"/>
        </w:rPr>
        <w:t>减少20.60</w:t>
      </w:r>
      <w:r>
        <w:rPr>
          <w:rFonts w:ascii="仿宋" w:eastAsia="仿宋" w:hint="eastAsia"/>
          <w:color w:val="000000"/>
          <w:sz w:val="32"/>
          <w:szCs w:val="32"/>
        </w:rPr>
        <w:t xml:space="preserve"> %。</w:t>
      </w:r>
      <w:r>
        <w:rPr>
          <w:rFonts w:ascii="仿宋" w:eastAsia="仿宋"/>
          <w:color w:val="000000"/>
          <w:sz w:val="32"/>
          <w:u w:color="auto"/>
        </w:rPr>
        <w:t xml:space="preserve"> </w:t>
      </w:r>
    </w:p>
    <w:p>
      <w:pPr>
        <w:spacing w:line="600" w:lineRule="exact"/>
        <w:ind w:firstLineChars="200" w:firstLine="640"/>
        <w:jc w:val="right"/>
        <w:rPr>
          <w:rFonts w:ascii="仿宋_GB2312" w:eastAsia="仿宋_GB2312"/>
          <w:color w:val="000000"/>
          <w:sz w:val="28"/>
          <w:szCs w:val="28"/>
        </w:rPr>
      </w:pPr>
      <w:r>
        <w:rPr>
          <w:rFonts w:ascii="仿宋" w:eastAsia="仿宋" w:hint="eastAsia"/>
          <w:color w:val="000000"/>
          <w:sz w:val="32"/>
          <w:szCs w:val="32"/>
        </w:rPr>
        <w:t>（图1：收、支决算总计变动情况图）</w:t>
      </w:r>
    </w:p>
    <w:p>
      <w:pPr>
        <w:spacing w:line="600" w:lineRule="exact"/>
        <w:ind w:firstLineChars="200" w:firstLine="560"/>
        <w:jc w:val="center"/>
        <w:rPr>
          <w:rFonts w:ascii="仿宋_GB2312" w:eastAsia="仿宋_GB2312"/>
          <w:color w:val="000000"/>
          <w:sz w:val="28"/>
          <w:szCs w:val="28"/>
        </w:rPr>
      </w:pPr>
    </w:p>
    <w:p>
      <w:pPr>
        <w:pStyle w:val="16"/>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0" w:name="_Toc15377206"/>
      <w:bookmarkStart w:id="31" w:name="_Toc111208500"/>
      <w:bookmarkStart w:id="32" w:name="_Toc24609"/>
      <w:r>
        <w:rPr>
          <w:rFonts w:ascii="黑体" w:eastAsia="黑体" w:cs="Times New Roman" w:hint="eastAsia"/>
          <w:bCs w:val="0"/>
          <w:color w:val="000000"/>
        </w:rPr>
        <w:t>二、收入决算情况说明</w:t>
      </w:r>
      <w:bookmarkEnd w:id="30"/>
      <w:bookmarkEnd w:id="31"/>
      <w:bookmarkEnd w:id="32"/>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2022</w:t>
      </w:r>
      <w:r>
        <w:rPr>
          <w:rFonts w:ascii="仿宋" w:eastAsia="仿宋"/>
          <w:color w:val="000000"/>
          <w:sz w:val="32"/>
          <w:u w:color="auto"/>
        </w:rPr>
        <w:t>年本年收入合计2989.55万元，其中：一般公共预算财政拨款收入2858.40万元，占95.61%；政府性基金预算财政拨款收入131.15万元，占4.39%；国有资本经营预算财政拨款收入0.00万元，占0.00%；上级补助收入0.00万元，占0.00%；事业收入0.00万元，占%；经营收入0.00万元，占0.00%；附属单位上缴收入0.00万元，占0.00%；其他收入0.00万元，占0.00%。</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15"/>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3" w:name="_Toc15377207"/>
      <w:bookmarkStart w:id="34" w:name="_Toc111208501"/>
      <w:bookmarkStart w:id="35" w:name="_Toc8745"/>
      <w:r>
        <w:rPr>
          <w:rFonts w:ascii="黑体" w:eastAsia="黑体" w:cs="Times New Roman" w:hint="eastAsia"/>
          <w:bCs w:val="0"/>
          <w:color w:val="000000"/>
        </w:rPr>
        <w:t>三、支出决算情况说明</w:t>
      </w:r>
      <w:bookmarkEnd w:id="33"/>
      <w:bookmarkEnd w:id="34"/>
      <w:bookmarkEnd w:id="35"/>
    </w:p>
    <w:p>
      <w:pPr>
        <w:pStyle w:val="16"/>
        <w:rPr>
          <w:rFonts w:ascii="仿宋" w:eastAsia="仿宋"/>
          <w:color w:val="000000"/>
          <w:sz w:val="32"/>
          <w:szCs w:val="32"/>
        </w:rPr>
      </w:pPr>
      <w:r>
        <w:rPr>
          <w:rFonts w:ascii="仿宋" w:eastAsia="仿宋" w:hint="eastAsia"/>
          <w:color w:val="000000"/>
          <w:sz w:val="32"/>
          <w:szCs w:val="32"/>
        </w:rPr>
        <w:t>2022</w:t>
      </w:r>
      <w:r>
        <w:rPr>
          <w:rFonts w:ascii="仿宋" w:eastAsia="仿宋"/>
          <w:color w:val="000000"/>
          <w:sz w:val="32"/>
          <w:szCs w:val="32"/>
        </w:rPr>
        <w:t>年本年支出合计</w:t>
      </w:r>
      <w:r>
        <w:rPr>
          <w:rFonts w:ascii="仿宋" w:eastAsia="仿宋" w:hint="eastAsia"/>
          <w:color w:val="000000"/>
          <w:sz w:val="32"/>
          <w:szCs w:val="32"/>
        </w:rPr>
        <w:t>2989.55</w:t>
      </w:r>
      <w:r>
        <w:rPr>
          <w:rFonts w:ascii="仿宋" w:eastAsia="仿宋"/>
          <w:color w:val="000000"/>
          <w:sz w:val="32"/>
          <w:szCs w:val="32"/>
        </w:rPr>
        <w:t>万元，其中：基本支出</w:t>
      </w:r>
      <w:r>
        <w:rPr>
          <w:rFonts w:ascii="仿宋" w:eastAsia="仿宋" w:hint="eastAsia"/>
          <w:color w:val="000000"/>
          <w:sz w:val="32"/>
          <w:szCs w:val="32"/>
        </w:rPr>
        <w:t>728.69</w:t>
      </w:r>
      <w:r>
        <w:rPr>
          <w:rFonts w:ascii="仿宋" w:eastAsia="仿宋"/>
          <w:color w:val="000000"/>
          <w:sz w:val="32"/>
          <w:szCs w:val="32"/>
        </w:rPr>
        <w:t>万元，占</w:t>
      </w:r>
      <w:r>
        <w:rPr>
          <w:rFonts w:ascii="仿宋" w:eastAsia="仿宋" w:hint="eastAsia"/>
          <w:color w:val="000000"/>
          <w:sz w:val="32"/>
          <w:szCs w:val="32"/>
        </w:rPr>
        <w:t>24.37</w:t>
      </w:r>
      <w:r>
        <w:rPr>
          <w:rFonts w:ascii="仿宋" w:eastAsia="仿宋"/>
          <w:color w:val="000000"/>
          <w:sz w:val="32"/>
          <w:szCs w:val="32"/>
        </w:rPr>
        <w:t>%；项目支出</w:t>
      </w:r>
      <w:r>
        <w:rPr>
          <w:rFonts w:ascii="仿宋" w:eastAsia="仿宋" w:hint="eastAsia"/>
          <w:color w:val="000000"/>
          <w:sz w:val="32"/>
          <w:szCs w:val="32"/>
        </w:rPr>
        <w:t>2260.86</w:t>
      </w:r>
      <w:r>
        <w:rPr>
          <w:rFonts w:ascii="仿宋" w:eastAsia="仿宋"/>
          <w:color w:val="000000"/>
          <w:sz w:val="32"/>
          <w:szCs w:val="32"/>
        </w:rPr>
        <w:t>万元，占</w:t>
      </w:r>
      <w:r>
        <w:rPr>
          <w:rFonts w:ascii="仿宋" w:eastAsia="仿宋" w:hint="eastAsia"/>
          <w:color w:val="000000"/>
          <w:sz w:val="32"/>
          <w:szCs w:val="32"/>
        </w:rPr>
        <w:t>75.63</w:t>
      </w:r>
      <w:r>
        <w:rPr>
          <w:rFonts w:ascii="仿宋" w:eastAsia="仿宋"/>
          <w:color w:val="000000"/>
          <w:sz w:val="32"/>
          <w:szCs w:val="32"/>
        </w:rPr>
        <w:t>%；上缴上级支出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%；经营支出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%；对附属单位补助支出</w:t>
      </w:r>
      <w:r>
        <w:rPr>
          <w:rFonts w:ascii="仿宋" w:eastAsia="仿宋" w:hint="eastAsia"/>
          <w:color w:val="000000"/>
          <w:sz w:val="32"/>
          <w:szCs w:val="32"/>
        </w:rPr>
        <w:t>0.00</w:t>
      </w:r>
      <w:r>
        <w:rPr>
          <w:rFonts w:ascii="仿宋" w:eastAsia="仿宋"/>
          <w:color w:val="000000"/>
          <w:sz w:val="32"/>
          <w:szCs w:val="32"/>
        </w:rPr>
        <w:t>万元，占</w:t>
      </w:r>
      <w:r>
        <w:rPr>
          <w:rFonts w:ascii="仿宋" w:eastAsia="仿宋" w:hint="eastAsia"/>
          <w:color w:val="000000"/>
          <w:sz w:val="32"/>
          <w:szCs w:val="32"/>
        </w:rPr>
        <w:t>0.00</w:t>
      </w:r>
      <w:r>
        <w:rPr>
          <w:rFonts w:ascii="仿宋" w:eastAsia="仿宋"/>
          <w:color w:val="000000"/>
          <w:sz w:val="32"/>
          <w:szCs w:val="32"/>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3520"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6"/>
      </w:pPr>
    </w:p>
    <w:p>
      <w:pPr>
        <w:pStyle w:val="2"/>
        <w:ind w:firstLineChars="200" w:firstLine="640"/>
        <w:rPr>
          <w:rFonts w:ascii="黑体" w:eastAsia="黑体" w:cs="Times New Roman"/>
          <w:bCs w:val="0"/>
          <w:color w:val="000000"/>
        </w:rPr>
      </w:pPr>
      <w:bookmarkStart w:id="36" w:name="_Toc13661"/>
      <w:bookmarkStart w:id="37" w:name="_Toc111208502"/>
      <w:bookmarkStart w:id="38" w:name="_Toc15377208"/>
      <w:r>
        <w:rPr>
          <w:rFonts w:ascii="黑体" w:eastAsia="黑体" w:cs="Times New Roman" w:hint="eastAsia"/>
          <w:bCs w:val="0"/>
          <w:color w:val="000000"/>
        </w:rPr>
        <w:t>四、财政拨款收入支出决算总体情况说明</w:t>
      </w:r>
      <w:bookmarkEnd w:id="36"/>
      <w:bookmarkEnd w:id="37"/>
      <w:bookmarkEnd w:id="38"/>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2022</w:t>
      </w:r>
      <w:r>
        <w:rPr>
          <w:rFonts w:ascii="仿宋" w:eastAsia="仿宋"/>
          <w:color w:val="000000"/>
          <w:sz w:val="32"/>
          <w:u w:color="auto"/>
        </w:rPr>
        <w:t xml:space="preserve">年财政拨款收、支总计2989.55万元。与2021年相比，财政拨款收、支总计各减少775.41万元，减少20.60 %。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6"/>
        <w:ind w:firstLine="0"/>
      </w:pPr>
    </w:p>
    <w:p>
      <w:pPr>
        <w:pStyle w:val="16"/>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6"/>
        <w:jc w:val="center"/>
      </w:pPr>
    </w:p>
    <w:p>
      <w:pPr>
        <w:pStyle w:val="2"/>
        <w:ind w:firstLineChars="200" w:firstLine="640"/>
        <w:rPr>
          <w:rFonts w:ascii="黑体" w:eastAsia="黑体" w:cs="Times New Roman"/>
          <w:bCs w:val="0"/>
          <w:color w:val="000000"/>
        </w:rPr>
      </w:pPr>
      <w:bookmarkStart w:id="39" w:name="_Toc15377209"/>
      <w:bookmarkStart w:id="40" w:name="_Toc2126"/>
      <w:bookmarkStart w:id="41" w:name="_Toc111208503"/>
      <w:r>
        <w:rPr>
          <w:rFonts w:ascii="黑体" w:eastAsia="黑体" w:cs="Times New Roman" w:hint="eastAsia"/>
          <w:bCs w:val="0"/>
          <w:color w:val="000000"/>
        </w:rPr>
        <w:t>五、一般公共预算财政拨款支出决算情况说</w:t>
      </w:r>
      <w:bookmarkEnd w:id="39"/>
      <w:r>
        <w:rPr>
          <w:rFonts w:ascii="黑体" w:eastAsia="黑体" w:cs="Times New Roman" w:hint="eastAsia"/>
          <w:bCs w:val="0"/>
          <w:color w:val="000000"/>
        </w:rPr>
        <w:t>明</w:t>
      </w:r>
      <w:bookmarkEnd w:id="40"/>
      <w:bookmarkEnd w:id="41"/>
    </w:p>
    <w:p>
      <w:pPr>
        <w:spacing w:line="600" w:lineRule="exact"/>
        <w:ind w:firstLineChars="200" w:firstLine="640"/>
        <w:outlineLvl w:val="2"/>
        <w:rPr>
          <w:rFonts w:ascii="仿宋" w:eastAsia="仿宋"/>
          <w:b/>
          <w:color w:val="000000"/>
          <w:sz w:val="32"/>
          <w:szCs w:val="32"/>
        </w:rPr>
      </w:pPr>
      <w:bookmarkStart w:id="42" w:name="_Toc15377210"/>
      <w:r>
        <w:rPr>
          <w:rFonts w:ascii="仿宋" w:eastAsia="仿宋" w:hint="eastAsia"/>
          <w:b/>
          <w:color w:val="000000"/>
          <w:sz w:val="32"/>
          <w:szCs w:val="32"/>
        </w:rPr>
        <w:t>（一）一般公共预算财政拨款支出决算总体情况</w:t>
      </w:r>
      <w:bookmarkEnd w:id="42"/>
    </w:p>
    <w:p>
      <w:pPr>
        <w:spacing w:line="600" w:lineRule="exact"/>
        <w:ind w:firstLineChars="200" w:firstLine="640"/>
        <w:rPr>
          <w:rFonts w:ascii="仿宋_GB2312" w:eastAsia="仿宋_GB2312"/>
          <w:color w:val="000000"/>
          <w:sz w:val="32"/>
          <w:szCs w:val="32"/>
        </w:rPr>
      </w:pPr>
      <w:bookmarkStart w:id="43" w:name="_Toc15377211"/>
      <w:r>
        <w:rPr>
          <w:rFonts w:ascii="仿宋" w:eastAsia="仿宋" w:hint="eastAsia"/>
          <w:color w:val="000000"/>
          <w:sz w:val="32"/>
          <w:szCs w:val="32"/>
        </w:rPr>
        <w:t>2022</w:t>
      </w:r>
      <w:r>
        <w:rPr>
          <w:rFonts w:ascii="仿宋" w:eastAsia="仿宋"/>
          <w:color w:val="000000"/>
          <w:sz w:val="32"/>
          <w:u w:color="auto"/>
        </w:rPr>
        <w:t>年一般公共预算财政拨款支出2858.40</w:t>
      </w:r>
      <w:r>
        <w:rPr>
          <w:rFonts w:ascii="仿宋" w:eastAsia="仿宋" w:hint="eastAsia"/>
          <w:color w:val="000000"/>
          <w:sz w:val="32"/>
          <w:szCs w:val="32"/>
        </w:rPr>
        <w:t>万元，占本年支出合计的</w:t>
      </w:r>
      <w:r>
        <w:rPr>
          <w:rFonts w:ascii="仿宋" w:eastAsia="仿宋"/>
          <w:color w:val="000000"/>
          <w:sz w:val="32"/>
          <w:u w:color="auto"/>
        </w:rPr>
        <w:t>95.61</w:t>
      </w:r>
      <w:r>
        <w:rPr>
          <w:rFonts w:ascii="仿宋" w:eastAsia="仿宋" w:hint="eastAsia"/>
          <w:color w:val="000000"/>
          <w:sz w:val="32"/>
          <w:szCs w:val="32"/>
        </w:rPr>
        <w:t>%。与</w:t>
      </w:r>
      <w:r>
        <w:rPr>
          <w:rFonts w:ascii="仿宋" w:eastAsia="仿宋"/>
          <w:color w:val="000000"/>
          <w:sz w:val="32"/>
          <w:u w:color="auto"/>
        </w:rPr>
        <w:t>2021相比，一般公共预算财政拨款减少894.50</w:t>
      </w:r>
      <w:r>
        <w:rPr>
          <w:rFonts w:ascii="仿宋" w:eastAsia="仿宋" w:hint="eastAsia"/>
          <w:color w:val="000000"/>
          <w:sz w:val="32"/>
          <w:szCs w:val="32"/>
        </w:rPr>
        <w:t>万元，</w:t>
      </w:r>
      <w:r>
        <w:rPr>
          <w:rFonts w:ascii="仿宋" w:eastAsia="仿宋"/>
          <w:color w:val="000000"/>
          <w:sz w:val="32"/>
          <w:u w:color="auto"/>
        </w:rPr>
        <w:t>减少23.83</w:t>
      </w:r>
      <w:r>
        <w:rPr>
          <w:rFonts w:ascii="仿宋" w:eastAsia="仿宋" w:hint="eastAsia"/>
          <w:color w:val="000000"/>
          <w:sz w:val="32"/>
          <w:szCs w:val="32"/>
        </w:rPr>
        <w:t xml:space="preserve"> %。</w:t>
      </w:r>
      <w:r>
        <w:rPr>
          <w:rFonts w:ascii="仿宋" w:eastAsia="仿宋"/>
          <w:color w:val="000000"/>
          <w:sz w:val="32"/>
          <w:u w:color="auto"/>
        </w:rPr>
        <w:t xml:space="preserve">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6"/>
        <w:ind w:firstLine="0"/>
        <w:rPr>
          <w:rFonts w:ascii="仿宋_GB2312" w:eastAsia="仿宋_GB2312"/>
          <w:b/>
          <w:color w:val="000000"/>
          <w:sz w:val="32"/>
          <w:szCs w:val="32"/>
        </w:rPr>
      </w:pPr>
    </w:p>
    <w:p>
      <w:pPr>
        <w:pStyle w:val="16"/>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4740"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6"/>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3"/>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2022</w:t>
      </w:r>
      <w:r>
        <w:rPr>
          <w:rFonts w:ascii="仿宋" w:eastAsia="仿宋"/>
          <w:color w:val="000000"/>
          <w:sz w:val="32"/>
          <w:u w:color="auto"/>
        </w:rPr>
        <w:t>年一般公共预算财政拨款支出2858.40</w:t>
      </w:r>
      <w:r>
        <w:rPr>
          <w:rFonts w:ascii="仿宋" w:eastAsia="仿宋" w:hint="eastAsia"/>
          <w:color w:val="000000"/>
          <w:sz w:val="32"/>
          <w:szCs w:val="32"/>
        </w:rPr>
        <w:t>万元，主要用于以下方面</w:t>
      </w:r>
      <w:r>
        <w:rPr>
          <w:rFonts w:ascii="仿宋" w:eastAsia="仿宋" w:hint="eastAsia"/>
          <w:color w:val="000000"/>
          <w:sz w:val="32"/>
          <w:szCs w:val="32"/>
          <w:lang w:eastAsia="zh-CN"/>
        </w:rPr>
        <w:t>：</w:t>
      </w:r>
      <w:r>
        <w:rPr>
          <w:rFonts w:ascii="仿宋" w:eastAsia="仿宋" w:hint="eastAsia"/>
          <w:color w:val="000000"/>
          <w:sz w:val="32"/>
          <w:szCs w:val="32"/>
        </w:rPr>
        <w:t xml:space="preserve"> </w:t>
      </w:r>
      <w:r>
        <w:rPr>
          <w:rFonts w:ascii="仿宋" w:eastAsia="仿宋"/>
          <w:color w:val="000000"/>
          <w:sz w:val="32"/>
          <w:u w:color="auto"/>
        </w:rPr>
        <w:t>文化旅游体育与传媒支出1742.06万元，占60.95%；社会保障和就业支出81.47万元，占2.85%；卫生健康支出35.48万元，占1.24%；农林水支出889.20万元，占31.11%；住房保障支出45.31万元，占1.59%；其他支出64.88万元，占2.26%。</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4" w:name="_Toc15377212"/>
    </w:p>
    <w:p>
      <w:pPr>
        <w:pStyle w:val="16"/>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4"/>
    </w:p>
    <w:p>
      <w:pPr>
        <w:spacing w:line="600" w:lineRule="exact"/>
        <w:ind w:firstLine="640"/>
        <w:rPr>
          <w:rFonts w:ascii="仿宋" w:eastAsia="仿宋"/>
          <w:color w:val="000000"/>
          <w:sz w:val="32"/>
          <w:szCs w:val="32"/>
        </w:rPr>
      </w:pPr>
      <w:bookmarkStart w:id="45" w:name="_Toc15377213"/>
      <w:bookmarkStart w:id="46" w:name="_Toc15377444"/>
      <w:bookmarkStart w:id="47" w:name="_Toc15378460"/>
      <w:r>
        <w:rPr>
          <w:rFonts w:ascii="仿宋" w:eastAsia="仿宋" w:hint="eastAsia"/>
          <w:color w:val="000000"/>
          <w:sz w:val="32"/>
          <w:szCs w:val="32"/>
        </w:rPr>
        <w:t>2022</w:t>
      </w:r>
      <w:r>
        <w:rPr>
          <w:rFonts w:ascii="仿宋" w:eastAsia="仿宋"/>
          <w:color w:val="000000"/>
          <w:sz w:val="32"/>
          <w:u w:color="auto"/>
        </w:rPr>
        <w:t>年一般公共预算支出决算数为2858.40</w:t>
      </w:r>
      <w:r>
        <w:rPr>
          <w:rFonts w:ascii="仿宋" w:eastAsia="仿宋" w:hint="eastAsia"/>
          <w:color w:val="000000"/>
          <w:sz w:val="32"/>
          <w:szCs w:val="32"/>
        </w:rPr>
        <w:t>万，完成预算100%。其中：</w:t>
      </w:r>
      <w:bookmarkEnd w:id="45"/>
      <w:bookmarkEnd w:id="46"/>
      <w:bookmarkEnd w:id="47"/>
    </w:p>
    <w:p>
      <w:pPr>
        <w:spacing w:line="600" w:lineRule="exact"/>
        <w:ind w:firstLine="640"/>
        <w:rPr>
          <w:rFonts w:ascii="仿宋" w:eastAsia="仿宋"/>
          <w:color w:val="000000"/>
          <w:sz w:val="32"/>
          <w:szCs w:val="32"/>
        </w:rPr>
      </w:pPr>
      <w:r>
        <w:rPr>
          <w:rFonts w:ascii="仿宋" w:eastAsia="仿宋" w:hint="eastAsia"/>
          <w:color w:val="000000"/>
          <w:sz w:val="32"/>
          <w:szCs w:val="32"/>
        </w:rPr>
        <w:t>1.文化旅游体育与传媒支出（207）文化和旅游（20701）行政运行（2070101）支出决算325.32万元，完成预算100%。</w:t>
        <w:cr/>
        <w:t>2.文化旅游体育与传媒支出（207）文化和旅游（20701）一般行政管理事务（2070102）支出决算380.00万元，完成预算100%。</w:t>
        <w:cr/>
        <w:t>3.文化旅游体育与传媒支出（207）文化和旅游（20701）机关服务（2070103）支出决算216.26万元，完成预算100%。</w:t>
        <w:cr/>
        <w:t>4.文化旅游体育与传媒支出（207）文化和旅游（20701）图书馆（2070104）支出决算66.01万元，完成预算100%。</w:t>
        <w:cr/>
        <w:t>5.文化旅游体育与传媒支出（207）文化和旅游（20701）文化活动（2070108）支出决算38.48万元，完成预算100%。</w:t>
        <w:cr/>
        <w:t>6.文化旅游体育与传媒支出（207）文化和旅游（20701）群众文化（2070109）支出决算84.50万元，完成预算100%。</w:t>
        <w:cr/>
        <w:t>7.文化旅游体育与传媒支出（207）文化和旅游（20701）文化创作与保护（2070111）支出决算7.50万元，完成预算100%。</w:t>
        <w:cr/>
        <w:t>8.文化旅游体育与传媒支出（207）文化和旅游（20701）其他文化和旅游支出（2070199）支出决算571.73万元，完成预算100%。</w:t>
        <w:cr/>
        <w:t>9.文化旅游体育与传媒支出（207）体育（20703）其他体育支出（2070399）支出决算23.06万元，完成预算100%。</w:t>
        <w:cr/>
        <w:t>10.文化旅游体育与传媒支出（207）广播电视（20708）一般行政管理事务（2070802）支出决算3.41万元，完成预算100%。</w:t>
        <w:cr/>
        <w:t>11.文化旅游体育与传媒支出（207）其他文化旅游体育与传媒支出（20799）其他文化旅游体育与传媒支出（2079999）支出决算25.80万元，完成预算100%。</w:t>
        <w:cr/>
        <w:t>12.社会保障和就业支出（208）行政事业单位养老支出（20805）机关事业单位基本养老保险缴费支出（2080505）支出决算54.31万元，完成预算100%。</w:t>
        <w:cr/>
        <w:t>13.社会保障和就业支出（208）行政事业单位养老支出（20805）机关事业单位职业年金缴费支出（2080506）支出决算27.16万元，完成预算100%。</w:t>
        <w:cr/>
        <w:t>14.卫生健康支出（210）行政事业单位医疗（21011）行政单位医疗（2101101）支出决算17.54万元，完成预算100%。</w:t>
        <w:cr/>
        <w:t>15.卫生健康支出（210）行政事业单位医疗（21011）事业单位医疗（2101102）支出决算7.29万元，完成预算100%。</w:t>
        <w:cr/>
        <w:t>16.卫生健康支出（210）行政事业单位医疗（21011）公务员医疗补助（2101103）支出决算8.44万元，完成预算100%。</w:t>
        <w:cr/>
        <w:t>17.卫生健康支出（210）行政事业单位医疗（21011）其他行政事业单位医疗支出（2101199）支出决算2.20万元，完成预算100%。</w:t>
        <w:cr/>
        <w:t>18.农林水支出（213）巩固脱贫衔接乡村振兴（21305）生产发展（2130505）支出决算876.00万元，完成预算100%。</w:t>
        <w:cr/>
        <w:t>19.农林水支出（213）巩固脱贫衔接乡村振兴（21305）社会发展（2130506）支出决算13.20万元，完成预算100%。</w:t>
        <w:cr/>
        <w:t>20.住房保障支出（221）住房改革支出（22102）住房公积金（2210201）支出决算45.31万元，完成预算100%。</w:t>
        <w:cr/>
        <w:t>21.其他支出（229）其他支出（22999）其他支出（2299999）支出决算64.88万元，完成预算100%。</w:t>
      </w:r>
    </w:p>
    <w:p>
      <w:pPr>
        <w:pStyle w:val="2"/>
        <w:ind w:firstLineChars="200" w:firstLine="640"/>
        <w:rPr>
          <w:rFonts w:ascii="黑体" w:eastAsia="黑体" w:cs="Times New Roman"/>
          <w:b w:val="0"/>
          <w:color w:val="000000"/>
        </w:rPr>
      </w:pPr>
      <w:bookmarkStart w:id="48" w:name="_Toc15377214"/>
      <w:bookmarkStart w:id="49" w:name="_Toc24703"/>
      <w:bookmarkStart w:id="50" w:name="_Toc111208504"/>
      <w:r>
        <w:rPr>
          <w:rFonts w:ascii="黑体" w:eastAsia="黑体" w:cs="Times New Roman" w:hint="eastAsia"/>
          <w:bCs w:val="0"/>
          <w:color w:val="000000"/>
        </w:rPr>
        <w:t>六、一般公共预算财政拨款基本支出决算情况说</w:t>
      </w:r>
      <w:bookmarkEnd w:id="48"/>
      <w:r>
        <w:rPr>
          <w:rFonts w:ascii="黑体" w:eastAsia="黑体" w:cs="Times New Roman" w:hint="eastAsia"/>
          <w:bCs w:val="0"/>
          <w:color w:val="000000"/>
        </w:rPr>
        <w:t>明</w:t>
      </w:r>
      <w:bookmarkEnd w:id="49"/>
      <w:bookmarkEnd w:id="50"/>
    </w:p>
    <w:p>
      <w:pPr>
        <w:spacing w:line="600" w:lineRule="exact"/>
        <w:ind w:firstLine="640"/>
        <w:rPr>
          <w:rFonts w:ascii="仿宋" w:eastAsia="仿宋"/>
          <w:color w:val="000000"/>
          <w:sz w:val="32"/>
          <w:szCs w:val="32"/>
        </w:rPr>
      </w:pPr>
      <w:r>
        <w:rPr>
          <w:rFonts w:ascii="仿宋" w:eastAsia="仿宋" w:hint="eastAsia"/>
          <w:color w:val="000000"/>
          <w:sz w:val="32"/>
          <w:szCs w:val="32"/>
        </w:rPr>
        <w:t>2022</w:t>
      </w:r>
      <w:r>
        <w:rPr>
          <w:rFonts w:ascii="仿宋" w:eastAsia="仿宋"/>
          <w:color w:val="000000"/>
          <w:sz w:val="32"/>
          <w:u w:color="auto"/>
        </w:rPr>
        <w:t>年一般公共预算财政拨款基本支出728.69</w:t>
      </w:r>
      <w:r>
        <w:rPr>
          <w:rFonts w:ascii="仿宋" w:eastAsia="仿宋" w:hint="eastAsia"/>
          <w:color w:val="000000"/>
          <w:sz w:val="32"/>
          <w:szCs w:val="32"/>
        </w:rPr>
        <w:t>万元，其中：</w:t>
      </w:r>
    </w:p>
    <w:p>
      <w:pPr>
        <w:spacing w:line="600" w:lineRule="exact"/>
        <w:ind w:firstLine="640"/>
        <w:rPr>
          <w:rFonts w:ascii="仿宋" w:eastAsia="仿宋"/>
          <w:color w:val="000000"/>
          <w:sz w:val="32"/>
          <w:szCs w:val="32"/>
        </w:rPr>
      </w:pPr>
      <w:r>
        <w:rPr>
          <w:rFonts w:ascii="仿宋" w:eastAsia="仿宋" w:hint="eastAsia"/>
          <w:color w:val="000000"/>
          <w:sz w:val="32"/>
          <w:szCs w:val="32"/>
        </w:rPr>
        <w:t>人员经费</w:t>
      </w:r>
      <w:r>
        <w:rPr>
          <w:rFonts w:ascii="仿宋" w:eastAsia="仿宋"/>
          <w:color w:val="000000"/>
          <w:sz w:val="32"/>
          <w:u w:color="auto"/>
        </w:rPr>
        <w:t>676.37</w:t>
      </w:r>
      <w:r>
        <w:rPr>
          <w:rFonts w:ascii="仿宋" w:eastAsia="仿宋" w:hint="eastAsia"/>
          <w:color w:val="000000"/>
          <w:sz w:val="32"/>
          <w:szCs w:val="32"/>
        </w:rPr>
        <w:t>万元，主要包括：</w:t>
      </w:r>
      <w:r>
        <w:rPr>
          <w:rFonts w:ascii="仿宋" w:eastAsia="仿宋"/>
          <w:color w:val="000000"/>
          <w:sz w:val="32"/>
          <w:u w:color="auto"/>
        </w:rPr>
        <w:t>基本工资140.52万元、津贴补贴132.56万元、奖金113.63万元、绩效工资27.66万元、机关事业单位基本养老保险缴费54.31万元、职业年金缴费27.16万元、职工基本医疗保险缴费24.83万元、公务员医疗补助缴费8.44万元、其他社会保障缴费6.89万元、住房公积金45.31万元、生活补助27.55万元、奖励金67.49万元。</w:t>
      </w:r>
    </w:p>
    <w:p>
      <w:pPr>
        <w:spacing w:line="600" w:lineRule="exact"/>
        <w:ind w:firstLine="640"/>
        <w:rPr>
          <w:rFonts w:ascii="仿宋" w:eastAsia="仿宋"/>
          <w:color w:val="000000"/>
          <w:sz w:val="32"/>
          <w:szCs w:val="32"/>
        </w:rPr>
      </w:pPr>
      <w:r>
        <w:rPr>
          <w:rFonts w:ascii="仿宋" w:eastAsia="仿宋" w:hint="eastAsia"/>
          <w:color w:val="000000"/>
          <w:sz w:val="32"/>
          <w:szCs w:val="32"/>
        </w:rPr>
        <w:t>公用经费</w:t>
      </w:r>
      <w:r>
        <w:rPr>
          <w:rFonts w:ascii="仿宋" w:eastAsia="仿宋"/>
          <w:color w:val="000000"/>
          <w:sz w:val="32"/>
          <w:u w:color="auto"/>
        </w:rPr>
        <w:t>52.32</w:t>
      </w:r>
      <w:r>
        <w:rPr>
          <w:rFonts w:ascii="仿宋" w:eastAsia="仿宋" w:hint="eastAsia"/>
          <w:color w:val="000000"/>
          <w:sz w:val="32"/>
          <w:szCs w:val="32"/>
        </w:rPr>
        <w:t>万元，主要包括：</w:t>
      </w:r>
      <w:r>
        <w:rPr>
          <w:rFonts w:ascii="仿宋" w:eastAsia="仿宋"/>
          <w:color w:val="000000"/>
          <w:sz w:val="32"/>
          <w:u w:color="auto"/>
        </w:rPr>
        <w:t>办公费29.74万元、印刷费2.00万元、水费0.50万元、电费1.80万元、邮电费1.36万元、差旅费6.40万元、维修（护）费2.00万元、劳务费5.52万元、其他交通费用3.00万元</w:t>
      </w:r>
      <w:r>
        <w:rPr>
          <w:rFonts w:ascii="仿宋" w:eastAsia="仿宋" w:hint="eastAsia"/>
          <w:color w:val="000000"/>
          <w:sz w:val="32"/>
          <w:szCs w:val="32"/>
        </w:rPr>
        <w:t>。</w:t>
      </w:r>
    </w:p>
    <w:p>
      <w:pPr>
        <w:pStyle w:val="2"/>
        <w:ind w:firstLineChars="200" w:firstLine="640"/>
        <w:rPr>
          <w:rFonts w:ascii="黑体" w:eastAsia="黑体" w:cs="Times New Roman"/>
          <w:bCs w:val="0"/>
          <w:color w:val="000000"/>
        </w:rPr>
      </w:pPr>
      <w:bookmarkStart w:id="51" w:name="_Toc15377215"/>
      <w:bookmarkStart w:id="52" w:name="_Toc16585"/>
      <w:bookmarkStart w:id="53" w:name="_Toc111208505"/>
      <w:r>
        <w:rPr>
          <w:rFonts w:ascii="黑体" w:eastAsia="黑体" w:cs="Times New Roman" w:hint="eastAsia"/>
          <w:bCs w:val="0"/>
          <w:color w:val="000000"/>
        </w:rPr>
        <w:t>七、“三公”经费财政拨款支出决算情况说明</w:t>
      </w:r>
      <w:bookmarkEnd w:id="51"/>
      <w:bookmarkEnd w:id="52"/>
      <w:bookmarkEnd w:id="53"/>
    </w:p>
    <w:p>
      <w:pPr>
        <w:spacing w:line="600" w:lineRule="exact"/>
        <w:ind w:firstLineChars="200" w:firstLine="640"/>
        <w:outlineLvl w:val="2"/>
        <w:rPr>
          <w:rFonts w:ascii="仿宋" w:eastAsia="仿宋"/>
          <w:b/>
          <w:color w:val="000000"/>
          <w:sz w:val="32"/>
          <w:szCs w:val="32"/>
        </w:rPr>
      </w:pPr>
      <w:bookmarkStart w:id="54" w:name="_Toc15377216"/>
      <w:r>
        <w:rPr>
          <w:rFonts w:ascii="仿宋" w:eastAsia="仿宋" w:hint="eastAsia"/>
          <w:b/>
          <w:color w:val="000000"/>
          <w:sz w:val="32"/>
          <w:szCs w:val="32"/>
        </w:rPr>
        <w:t>（一）“三公”经费财政拨款支出决算总体情况说明</w:t>
      </w:r>
      <w:bookmarkEnd w:id="54"/>
    </w:p>
    <w:p>
      <w:pPr>
        <w:spacing w:line="600" w:lineRule="exact"/>
        <w:ind w:firstLine="640"/>
        <w:rPr>
          <w:rFonts w:ascii="仿宋" w:eastAsia="仿宋"/>
          <w:color w:val="000000"/>
          <w:sz w:val="32"/>
          <w:szCs w:val="32"/>
        </w:rPr>
      </w:pPr>
      <w:r>
        <w:rPr>
          <w:rFonts w:ascii="仿宋" w:eastAsia="仿宋" w:hint="eastAsia"/>
          <w:color w:val="000000"/>
          <w:sz w:val="32"/>
          <w:szCs w:val="32"/>
        </w:rPr>
        <w:t>2022</w:t>
      </w:r>
      <w:r>
        <w:rPr>
          <w:rFonts w:ascii="仿宋" w:eastAsia="仿宋"/>
          <w:color w:val="000000"/>
          <w:sz w:val="32"/>
          <w:u w:color="auto"/>
        </w:rPr>
        <w:t>年“三公”经费财政拨款支出决算为</w:t>
      </w:r>
      <w:r>
        <w:rPr>
          <w:rFonts w:ascii="仿宋" w:eastAsia="仿宋" w:hint="eastAsia"/>
          <w:color w:val="000000"/>
          <w:sz w:val="32"/>
          <w:u w:color="auto"/>
          <w:lang w:val="en-US" w:eastAsia="zh-CN"/>
        </w:rPr>
        <w:t>3.00</w:t>
      </w:r>
      <w:r>
        <w:rPr>
          <w:rFonts w:ascii="仿宋" w:eastAsia="仿宋" w:hint="eastAsia"/>
          <w:color w:val="000000"/>
          <w:sz w:val="32"/>
          <w:szCs w:val="32"/>
        </w:rPr>
        <w:t>万元，完成预算</w:t>
      </w:r>
      <w:r>
        <w:rPr>
          <w:rFonts w:ascii="仿宋" w:eastAsia="仿宋" w:hint="eastAsia"/>
          <w:color w:val="000000"/>
          <w:sz w:val="32"/>
          <w:szCs w:val="32"/>
          <w:lang w:val="en-US" w:eastAsia="zh-CN"/>
        </w:rPr>
        <w:t>10</w:t>
      </w:r>
      <w:r>
        <w:rPr>
          <w:rFonts w:ascii="仿宋" w:eastAsia="仿宋"/>
          <w:color w:val="000000"/>
          <w:sz w:val="32"/>
          <w:u w:color="auto"/>
        </w:rPr>
        <w:t>0.00</w:t>
      </w:r>
      <w:r>
        <w:rPr>
          <w:rFonts w:ascii="仿宋" w:eastAsia="仿宋" w:hint="eastAsia"/>
          <w:color w:val="000000"/>
          <w:sz w:val="32"/>
          <w:szCs w:val="32"/>
        </w:rPr>
        <w:t>%。</w:t>
      </w:r>
      <w:bookmarkStart w:id="55"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5"/>
    </w:p>
    <w:p>
      <w:pPr>
        <w:spacing w:line="600" w:lineRule="exact"/>
        <w:ind w:firstLineChars="200" w:firstLine="640"/>
        <w:rPr>
          <w:rFonts w:ascii="仿宋_GB2312" w:eastAsia="仿宋_GB2312"/>
          <w:color w:val="000000"/>
          <w:sz w:val="32"/>
          <w:szCs w:val="32"/>
        </w:rPr>
      </w:pPr>
      <w:r>
        <w:rPr>
          <w:rFonts w:ascii="仿宋" w:eastAsia="仿宋" w:hint="eastAsia"/>
          <w:color w:val="000000"/>
          <w:sz w:val="32"/>
          <w:szCs w:val="32"/>
        </w:rPr>
        <w:t>2022</w:t>
      </w:r>
      <w:r>
        <w:rPr>
          <w:rFonts w:ascii="仿宋" w:eastAsia="仿宋"/>
          <w:color w:val="000000"/>
          <w:sz w:val="32"/>
          <w:u w:color="auto"/>
        </w:rPr>
        <w:t>年“三公”经费财政拨款支出</w:t>
      </w:r>
      <w:r>
        <w:rPr>
          <w:rFonts w:ascii="仿宋" w:eastAsia="仿宋" w:hint="eastAsia"/>
          <w:color w:val="000000"/>
          <w:sz w:val="32"/>
          <w:u w:color="auto"/>
          <w:lang w:val="en-US" w:eastAsia="zh-CN"/>
        </w:rPr>
        <w:t>3</w:t>
      </w:r>
      <w:r>
        <w:rPr>
          <w:rFonts w:ascii="仿宋" w:eastAsia="仿宋"/>
          <w:color w:val="000000"/>
          <w:sz w:val="32"/>
          <w:u w:color="auto"/>
        </w:rPr>
        <w:t>.00</w:t>
      </w:r>
      <w:r>
        <w:rPr>
          <w:rFonts w:ascii="仿宋" w:eastAsia="仿宋" w:hint="eastAsia"/>
          <w:color w:val="000000"/>
          <w:sz w:val="32"/>
          <w:u w:val="none" w:color="auto"/>
          <w:lang w:eastAsia="zh-CN"/>
        </w:rPr>
        <w:t>万</w:t>
      </w:r>
      <w:r>
        <w:rPr>
          <w:rFonts w:ascii="仿宋" w:eastAsia="仿宋" w:hint="eastAsia"/>
          <w:color w:val="000000"/>
          <w:sz w:val="32"/>
          <w:szCs w:val="32"/>
          <w:lang w:eastAsia="zh-CN"/>
        </w:rPr>
        <w:t>元</w:t>
      </w:r>
      <w:r>
        <w:rPr>
          <w:rFonts w:ascii="仿宋" w:eastAsia="仿宋" w:hint="eastAsia"/>
          <w:color w:val="000000"/>
          <w:sz w:val="32"/>
          <w:szCs w:val="32"/>
        </w:rPr>
        <w:t>，因公出国（境）费支出决算</w:t>
      </w:r>
      <w:r>
        <w:rPr>
          <w:rFonts w:ascii="仿宋" w:eastAsia="仿宋"/>
          <w:color w:val="000000"/>
          <w:sz w:val="32"/>
          <w:u w:color="auto"/>
        </w:rPr>
        <w:t>0.00</w:t>
      </w:r>
      <w:r>
        <w:rPr>
          <w:rFonts w:ascii="仿宋" w:eastAsia="仿宋" w:hint="eastAsia"/>
          <w:color w:val="000000"/>
          <w:sz w:val="32"/>
          <w:szCs w:val="32"/>
        </w:rPr>
        <w:t>万元，占</w:t>
      </w:r>
      <w:r>
        <w:rPr>
          <w:rFonts w:ascii="仿宋" w:eastAsia="仿宋"/>
          <w:color w:val="000000"/>
          <w:sz w:val="32"/>
          <w:u w:color="auto"/>
        </w:rPr>
        <w:t>0.00</w:t>
      </w:r>
      <w:r>
        <w:rPr>
          <w:rFonts w:ascii="仿宋" w:eastAsia="仿宋" w:hint="eastAsia"/>
          <w:color w:val="000000"/>
          <w:sz w:val="32"/>
          <w:szCs w:val="32"/>
        </w:rPr>
        <w:t>%；公务用车购置及运行维护费支出决算</w:t>
      </w:r>
      <w:r>
        <w:rPr>
          <w:rFonts w:ascii="仿宋" w:eastAsia="仿宋" w:hint="eastAsia"/>
          <w:color w:val="000000"/>
          <w:sz w:val="32"/>
          <w:u w:color="auto"/>
          <w:lang w:val="en-US" w:eastAsia="zh-CN"/>
        </w:rPr>
        <w:t>3.00</w:t>
      </w:r>
      <w:r>
        <w:rPr>
          <w:rFonts w:ascii="仿宋" w:eastAsia="仿宋" w:hint="eastAsia"/>
          <w:color w:val="000000"/>
          <w:sz w:val="32"/>
          <w:szCs w:val="32"/>
        </w:rPr>
        <w:t>万元，占</w:t>
      </w:r>
      <w:r>
        <w:rPr>
          <w:rFonts w:ascii="仿宋" w:eastAsia="仿宋" w:hint="eastAsia"/>
          <w:color w:val="000000"/>
          <w:sz w:val="32"/>
          <w:szCs w:val="32"/>
          <w:lang w:val="en-US" w:eastAsia="zh-CN"/>
        </w:rPr>
        <w:t>10</w:t>
      </w:r>
      <w:r>
        <w:rPr>
          <w:rFonts w:ascii="仿宋" w:eastAsia="仿宋"/>
          <w:color w:val="000000"/>
          <w:sz w:val="32"/>
          <w:u w:color="auto"/>
        </w:rPr>
        <w:t>0.00</w:t>
      </w:r>
      <w:r>
        <w:rPr>
          <w:rFonts w:ascii="仿宋" w:eastAsia="仿宋" w:hint="eastAsia"/>
          <w:color w:val="000000"/>
          <w:sz w:val="32"/>
          <w:szCs w:val="32"/>
        </w:rPr>
        <w:t>%；公务接待费支出决算</w:t>
      </w:r>
      <w:r>
        <w:rPr>
          <w:rFonts w:ascii="仿宋" w:eastAsia="仿宋"/>
          <w:color w:val="000000"/>
          <w:sz w:val="32"/>
          <w:u w:color="auto"/>
        </w:rPr>
        <w:t>0.00</w:t>
      </w:r>
      <w:r>
        <w:rPr>
          <w:rFonts w:ascii="仿宋" w:eastAsia="仿宋" w:hint="eastAsia"/>
          <w:color w:val="000000"/>
          <w:sz w:val="32"/>
          <w:szCs w:val="32"/>
        </w:rPr>
        <w:t>万元，占</w:t>
      </w:r>
      <w:r>
        <w:rPr>
          <w:rFonts w:ascii="仿宋" w:eastAsia="仿宋"/>
          <w:color w:val="000000"/>
          <w:sz w:val="32"/>
          <w:u w:color="auto"/>
        </w:rPr>
        <w:t>0.00</w:t>
      </w:r>
      <w:r>
        <w:rPr>
          <w:rFonts w:ascii="仿宋" w:eastAsia="仿宋" w:hint="eastAsia"/>
          <w:color w:val="000000"/>
          <w:sz w:val="32"/>
          <w:szCs w:val="32"/>
        </w:rPr>
        <w:t>%。</w:t>
      </w:r>
    </w:p>
    <w:p>
      <w:pPr>
        <w:spacing w:line="600" w:lineRule="exact"/>
        <w:ind w:firstLine="640"/>
        <w:rPr>
          <w:rFonts w:ascii="仿宋" w:eastAsia="仿宋"/>
          <w:color w:val="000000"/>
          <w:sz w:val="32"/>
          <w:szCs w:val="32"/>
        </w:rPr>
      </w:pPr>
      <w:r>
        <w:rPr>
          <w:rFonts w:ascii="仿宋" w:eastAsia="仿宋" w:hint="eastAsia"/>
          <w:color w:val="000000"/>
          <w:sz w:val="32"/>
          <w:szCs w:val="32"/>
        </w:rPr>
        <w:t>1.因公出国（境）经费支出</w:t>
      </w:r>
      <w:r>
        <w:rPr>
          <w:rFonts w:ascii="仿宋" w:eastAsia="仿宋"/>
          <w:color w:val="000000"/>
          <w:sz w:val="32"/>
          <w:u w:color="auto"/>
        </w:rPr>
        <w:t>0.00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完成预算100%。全年安排因公出国（境）团组</w:t>
      </w:r>
      <w:r>
        <w:rPr>
          <w:rFonts w:ascii="仿宋" w:eastAsia="仿宋"/>
          <w:color w:val="000000"/>
          <w:sz w:val="32"/>
          <w:u w:color="auto"/>
        </w:rPr>
        <w:t>0</w:t>
      </w:r>
      <w:r>
        <w:rPr>
          <w:rFonts w:ascii="仿宋" w:eastAsia="仿宋" w:hint="eastAsia"/>
          <w:color w:val="000000"/>
          <w:sz w:val="32"/>
          <w:szCs w:val="32"/>
        </w:rPr>
        <w:t>次，出国（境）</w:t>
      </w:r>
      <w:r>
        <w:rPr>
          <w:rFonts w:ascii="仿宋" w:eastAsia="仿宋"/>
          <w:color w:val="000000"/>
          <w:sz w:val="32"/>
          <w:u w:color="auto"/>
        </w:rPr>
        <w:t>0</w:t>
      </w:r>
      <w:r>
        <w:rPr>
          <w:rFonts w:ascii="仿宋" w:eastAsia="仿宋" w:hint="eastAsia"/>
          <w:color w:val="000000"/>
          <w:sz w:val="32"/>
          <w:szCs w:val="32"/>
        </w:rPr>
        <w:t>人。因公出国（境）支出决算比</w:t>
      </w:r>
      <w:r>
        <w:rPr>
          <w:rFonts w:ascii="仿宋" w:eastAsia="仿宋"/>
          <w:color w:val="000000"/>
          <w:sz w:val="32"/>
          <w:u w:color="auto"/>
        </w:rPr>
        <w:t>2021年增加0.00</w:t>
      </w:r>
      <w:r>
        <w:rPr>
          <w:rFonts w:ascii="仿宋" w:eastAsia="仿宋" w:hint="eastAsia"/>
          <w:color w:val="000000"/>
          <w:sz w:val="32"/>
          <w:szCs w:val="32"/>
        </w:rPr>
        <w:t>万元，</w:t>
      </w:r>
      <w:r>
        <w:rPr>
          <w:rFonts w:ascii="仿宋" w:eastAsia="仿宋"/>
          <w:color w:val="000000"/>
          <w:sz w:val="32"/>
          <w:u w:color="auto"/>
        </w:rPr>
        <w:t>增加100.00</w:t>
      </w:r>
      <w:r>
        <w:rPr>
          <w:rFonts w:ascii="仿宋" w:eastAsia="仿宋" w:hint="eastAsia"/>
          <w:color w:val="000000"/>
          <w:sz w:val="32"/>
          <w:szCs w:val="32"/>
        </w:rPr>
        <w:t xml:space="preserve"> %。</w:t>
      </w:r>
      <w:r>
        <w:rPr>
          <w:rFonts w:ascii="仿宋" w:eastAsia="仿宋"/>
          <w:color w:val="000000"/>
          <w:sz w:val="32"/>
          <w:u w:color="auto"/>
        </w:rPr>
        <w:t xml:space="preserve"> </w:t>
      </w:r>
    </w:p>
    <w:p>
      <w:pPr>
        <w:spacing w:line="600" w:lineRule="exact"/>
        <w:ind w:firstLine="640"/>
        <w:rPr>
          <w:rFonts w:ascii="仿宋" w:eastAsia="仿宋"/>
          <w:color w:val="000000"/>
          <w:sz w:val="32"/>
          <w:szCs w:val="32"/>
        </w:rPr>
      </w:pPr>
      <w:r>
        <w:rPr>
          <w:rFonts w:ascii="仿宋" w:eastAsia="仿宋" w:hint="eastAsia"/>
          <w:color w:val="000000"/>
          <w:sz w:val="32"/>
          <w:szCs w:val="32"/>
        </w:rPr>
        <w:t>2.公务用车购置及运行维护费支出</w:t>
      </w:r>
      <w:r>
        <w:rPr>
          <w:rFonts w:ascii="仿宋" w:eastAsia="仿宋" w:hint="eastAsia"/>
          <w:color w:val="000000"/>
          <w:sz w:val="32"/>
          <w:u w:color="auto"/>
          <w:lang w:val="en-US" w:eastAsia="zh-CN"/>
        </w:rPr>
        <w:t>3.00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完成预算</w:t>
      </w:r>
      <w:r>
        <w:rPr>
          <w:rFonts w:ascii="仿宋" w:eastAsia="仿宋" w:hint="eastAsia"/>
          <w:color w:val="000000"/>
          <w:sz w:val="32"/>
          <w:szCs w:val="32"/>
          <w:lang w:val="en-US" w:eastAsia="zh-CN"/>
        </w:rPr>
        <w:t>10</w:t>
      </w:r>
      <w:r>
        <w:rPr>
          <w:rFonts w:ascii="仿宋" w:eastAsia="仿宋"/>
          <w:color w:val="000000"/>
          <w:sz w:val="32"/>
          <w:u w:color="auto"/>
        </w:rPr>
        <w:t>0.00</w:t>
      </w:r>
      <w:r>
        <w:rPr>
          <w:rFonts w:ascii="仿宋" w:eastAsia="仿宋" w:hint="eastAsia"/>
          <w:color w:val="000000"/>
          <w:sz w:val="32"/>
          <w:szCs w:val="32"/>
        </w:rPr>
        <w:t>%。公务用车购置及运行维护费支出决算比</w:t>
      </w:r>
      <w:r>
        <w:rPr>
          <w:rFonts w:ascii="仿宋" w:eastAsia="仿宋"/>
          <w:color w:val="000000"/>
          <w:sz w:val="32"/>
          <w:u w:color="auto"/>
        </w:rPr>
        <w:t>2021年减少</w:t>
      </w:r>
      <w:r>
        <w:rPr>
          <w:rFonts w:ascii="仿宋" w:eastAsia="仿宋" w:hint="eastAsia"/>
          <w:color w:val="000000"/>
          <w:sz w:val="32"/>
          <w:u w:color="auto"/>
          <w:lang w:val="en-US" w:eastAsia="zh-CN"/>
        </w:rPr>
        <w:t>2</w:t>
      </w:r>
      <w:r>
        <w:rPr>
          <w:rFonts w:ascii="仿宋" w:eastAsia="仿宋"/>
          <w:color w:val="000000"/>
          <w:sz w:val="32"/>
          <w:u w:color="auto"/>
        </w:rPr>
        <w:t>.98</w:t>
      </w:r>
      <w:r>
        <w:rPr>
          <w:rFonts w:ascii="仿宋" w:eastAsia="仿宋" w:hint="eastAsia"/>
          <w:color w:val="000000"/>
          <w:sz w:val="32"/>
          <w:szCs w:val="32"/>
        </w:rPr>
        <w:t>万元，</w:t>
      </w:r>
      <w:r>
        <w:rPr>
          <w:rFonts w:ascii="仿宋" w:eastAsia="仿宋"/>
          <w:color w:val="000000"/>
          <w:sz w:val="32"/>
          <w:u w:color="auto"/>
        </w:rPr>
        <w:t>减少</w:t>
      </w:r>
      <w:r>
        <w:rPr>
          <w:rFonts w:ascii="仿宋" w:eastAsia="仿宋" w:hint="eastAsia"/>
          <w:color w:val="000000"/>
          <w:sz w:val="32"/>
          <w:u w:color="auto"/>
          <w:lang w:val="en-US" w:eastAsia="zh-CN"/>
        </w:rPr>
        <w:t>49.8</w:t>
      </w:r>
      <w:r>
        <w:rPr>
          <w:rFonts w:ascii="仿宋" w:eastAsia="仿宋" w:hint="eastAsia"/>
          <w:color w:val="000000"/>
          <w:sz w:val="32"/>
          <w:szCs w:val="32"/>
        </w:rPr>
        <w:t>%。</w:t>
      </w:r>
      <w:r>
        <w:rPr>
          <w:rFonts w:ascii="仿宋" w:eastAsia="仿宋"/>
          <w:color w:val="000000"/>
          <w:sz w:val="32"/>
          <w:u w:color="auto"/>
        </w:rPr>
        <w:t xml:space="preserve"> </w:t>
      </w:r>
    </w:p>
    <w:p>
      <w:pPr>
        <w:spacing w:line="600" w:lineRule="exact"/>
        <w:ind w:firstLineChars="200" w:firstLine="640"/>
        <w:rPr>
          <w:rFonts w:ascii="仿宋" w:eastAsia="仿宋"/>
          <w:color w:val="000000"/>
          <w:sz w:val="32"/>
          <w:szCs w:val="32"/>
          <w14:textFill>
            <w14:solidFill>
              <w14:srgbClr w14:val="000000"/>
            </w14:solidFill>
          </w14:textFill>
        </w:rPr>
      </w:pPr>
      <w:r>
        <w:rPr>
          <w:rFonts w:ascii="仿宋" w:eastAsia="仿宋" w:hint="eastAsia"/>
          <w:color w:val="000000"/>
          <w:sz w:val="32"/>
          <w:szCs w:val="32"/>
        </w:rPr>
        <w:t>其中：公务用车购置支出</w:t>
      </w:r>
      <w:r>
        <w:rPr>
          <w:rFonts w:ascii="仿宋" w:eastAsia="仿宋"/>
          <w:color w:val="000000"/>
          <w:sz w:val="32"/>
          <w:u w:color="auto"/>
        </w:rPr>
        <w:t>0.00万元。全年按规定更新</w:t>
      </w:r>
      <w:r>
        <w:rPr>
          <w:rFonts w:ascii="仿宋" w:eastAsia="仿宋"/>
          <w:color w:val="000000"/>
          <w:sz w:val="32"/>
          <w:u w:color="auto"/>
          <w14:textFill>
            <w14:solidFill>
              <w14:srgbClr w14:val="000000"/>
            </w14:solidFill>
          </w14:textFill>
        </w:rPr>
        <w:t>购置公务用车</w:t>
      </w:r>
      <w:r>
        <w:rPr>
          <w:rFonts w:ascii="仿宋" w:eastAsia="仿宋" w:hint="eastAsia"/>
          <w:color w:val="000000"/>
          <w:sz w:val="32"/>
          <w:u w:color="auto"/>
          <w14:textFill>
            <w14:solidFill>
              <w14:srgbClr w14:val="000000"/>
            </w14:solidFill>
          </w14:textFill>
          <w:lang w:val="en-US" w:eastAsia="zh-CN"/>
        </w:rPr>
        <w:t>0</w:t>
      </w:r>
      <w:r>
        <w:rPr>
          <w:rFonts w:ascii="仿宋" w:eastAsia="仿宋"/>
          <w:color w:val="000000"/>
          <w:sz w:val="32"/>
          <w:u w:color="auto"/>
          <w14:textFill>
            <w14:solidFill>
              <w14:srgbClr w14:val="000000"/>
            </w14:solidFill>
          </w14:textFill>
        </w:rPr>
        <w:t>辆，其中：轿车</w:t>
      </w:r>
      <w:r>
        <w:rPr>
          <w:rFonts w:ascii="仿宋" w:eastAsia="仿宋" w:hint="eastAsia"/>
          <w:color w:val="000000"/>
          <w:sz w:val="32"/>
          <w:u w:color="auto"/>
          <w14:textFill>
            <w14:solidFill>
              <w14:srgbClr w14:val="000000"/>
            </w14:solidFill>
          </w14:textFill>
          <w:lang w:val="en-US" w:eastAsia="zh-CN"/>
        </w:rPr>
        <w:t>0</w:t>
      </w:r>
      <w:r>
        <w:rPr>
          <w:rFonts w:ascii="仿宋" w:eastAsia="仿宋"/>
          <w:color w:val="000000"/>
          <w:sz w:val="32"/>
          <w:u w:color="auto"/>
          <w14:textFill>
            <w14:solidFill>
              <w14:srgbClr w14:val="000000"/>
            </w14:solidFill>
          </w14:textFill>
        </w:rPr>
        <w:t>辆、金额</w:t>
      </w:r>
      <w:r>
        <w:rPr>
          <w:rFonts w:ascii="仿宋" w:eastAsia="仿宋" w:hint="eastAsia"/>
          <w:color w:val="000000"/>
          <w:sz w:val="32"/>
          <w:u w:color="auto"/>
          <w14:textFill>
            <w14:solidFill>
              <w14:srgbClr w14:val="000000"/>
            </w14:solidFill>
          </w14:textFill>
          <w:lang w:val="en-US" w:eastAsia="zh-CN"/>
        </w:rPr>
        <w:t>0</w:t>
      </w:r>
      <w:r>
        <w:rPr>
          <w:rFonts w:ascii="仿宋" w:eastAsia="仿宋"/>
          <w:color w:val="000000"/>
          <w:sz w:val="32"/>
          <w:u w:color="auto"/>
          <w14:textFill>
            <w14:solidFill>
              <w14:srgbClr w14:val="000000"/>
            </w14:solidFill>
          </w14:textFill>
        </w:rPr>
        <w:t>万元，越野车0辆、金额0.00万元，载客汽车0辆、金额0.00万元。截至</w:t>
      </w: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rPr>
        <w:t>21年</w:t>
      </w:r>
      <w:r>
        <w:rPr>
          <w:rFonts w:ascii="仿宋" w:eastAsia="仿宋"/>
          <w:color w:val="000000"/>
          <w:sz w:val="32"/>
          <w:szCs w:val="32"/>
          <w14:textFill>
            <w14:solidFill>
              <w14:srgbClr w14:val="000000"/>
            </w14:solidFill>
          </w14:textFill>
        </w:rPr>
        <w:t>12</w:t>
      </w:r>
      <w:r>
        <w:rPr>
          <w:rFonts w:ascii="仿宋" w:eastAsia="仿宋" w:hint="eastAsia"/>
          <w:color w:val="000000"/>
          <w:sz w:val="32"/>
          <w:szCs w:val="32"/>
          <w14:textFill>
            <w14:solidFill>
              <w14:srgbClr w14:val="000000"/>
            </w14:solidFill>
          </w14:textFill>
        </w:rPr>
        <w:t>月底，单位共有公务用车</w:t>
      </w:r>
      <w:r>
        <w:rPr>
          <w:rFonts w:ascii="仿宋" w:eastAsia="仿宋" w:hint="eastAsia"/>
          <w:color w:val="000000"/>
          <w:sz w:val="32"/>
          <w:szCs w:val="32"/>
          <w14:textFill>
            <w14:solidFill>
              <w14:srgbClr w14:val="000000"/>
            </w14:solidFill>
          </w14:textFill>
          <w:lang w:val="en-US" w:eastAsia="zh-CN"/>
        </w:rPr>
        <w:t>1</w:t>
      </w:r>
      <w:r>
        <w:rPr>
          <w:rFonts w:ascii="仿宋" w:eastAsia="仿宋" w:hint="eastAsia"/>
          <w:color w:val="000000"/>
          <w:sz w:val="32"/>
          <w:szCs w:val="32"/>
          <w14:textFill>
            <w14:solidFill>
              <w14:srgbClr w14:val="000000"/>
            </w14:solidFill>
          </w14:textFill>
        </w:rPr>
        <w:t>辆，其中：轿车</w:t>
      </w:r>
      <w:r>
        <w:rPr>
          <w:rFonts w:ascii="仿宋" w:eastAsia="仿宋" w:hint="eastAsia"/>
          <w:color w:val="000000"/>
          <w:sz w:val="32"/>
          <w:u w:color="auto"/>
          <w14:textFill>
            <w14:solidFill>
              <w14:srgbClr w14:val="000000"/>
            </w14:solidFill>
          </w14:textFill>
          <w:lang w:val="en-US" w:eastAsia="zh-CN"/>
        </w:rPr>
        <w:t>1</w:t>
      </w:r>
      <w:r>
        <w:rPr>
          <w:rFonts w:ascii="仿宋" w:eastAsia="仿宋"/>
          <w:color w:val="000000"/>
          <w:sz w:val="32"/>
          <w:u w:color="auto"/>
          <w14:textFill>
            <w14:solidFill>
              <w14:srgbClr w14:val="000000"/>
            </w14:solidFill>
          </w14:textFill>
        </w:rPr>
        <w:t>辆、越野车</w:t>
      </w:r>
      <w:r>
        <w:rPr>
          <w:rFonts w:ascii="仿宋" w:eastAsia="仿宋" w:hint="eastAsia"/>
          <w:color w:val="000000"/>
          <w:sz w:val="32"/>
          <w:u w:color="auto"/>
          <w14:textFill>
            <w14:solidFill>
              <w14:srgbClr w14:val="000000"/>
            </w14:solidFill>
          </w14:textFill>
          <w:lang w:val="en-US" w:eastAsia="zh-CN"/>
        </w:rPr>
        <w:t>0</w:t>
      </w:r>
      <w:r>
        <w:rPr>
          <w:rFonts w:ascii="仿宋" w:eastAsia="仿宋"/>
          <w:color w:val="000000"/>
          <w:sz w:val="32"/>
          <w:u w:color="auto"/>
          <w14:textFill>
            <w14:solidFill>
              <w14:srgbClr w14:val="000000"/>
            </w14:solidFill>
          </w14:textFill>
        </w:rPr>
        <w:t>辆、载客汽车0辆。</w:t>
      </w:r>
    </w:p>
    <w:p>
      <w:pPr>
        <w:spacing w:line="600" w:lineRule="exact"/>
        <w:ind w:firstLine="640"/>
        <w:rPr>
          <w:rFonts w:ascii="仿宋_GB2312" w:eastAsia="仿宋_GB2312" w:hint="eastAsia"/>
          <w:color w:val="000000"/>
          <w:sz w:val="32"/>
          <w:szCs w:val="32"/>
        </w:rPr>
      </w:pPr>
      <w:r>
        <w:rPr>
          <w:rFonts w:ascii="仿宋" w:eastAsia="仿宋" w:hint="eastAsia"/>
          <w:color w:val="000000"/>
          <w:sz w:val="32"/>
          <w:szCs w:val="32"/>
          <w14:textFill>
            <w14:solidFill>
              <w14:srgbClr w14:val="000000"/>
            </w14:solidFill>
          </w14:textFill>
        </w:rPr>
        <w:t>公务用车运行维护费支出</w:t>
      </w:r>
      <w:r>
        <w:rPr>
          <w:rFonts w:ascii="仿宋" w:eastAsia="仿宋" w:hint="eastAsia"/>
          <w:color w:val="000000"/>
          <w:sz w:val="32"/>
          <w:szCs w:val="32"/>
          <w14:textFill>
            <w14:solidFill>
              <w14:srgbClr w14:val="000000"/>
            </w14:solidFill>
          </w14:textFill>
          <w:lang w:val="en-US" w:eastAsia="zh-CN"/>
        </w:rPr>
        <w:t>3</w:t>
      </w:r>
      <w:r>
        <w:rPr>
          <w:rFonts w:ascii="仿宋" w:eastAsia="仿宋"/>
          <w:color w:val="000000"/>
          <w:sz w:val="32"/>
          <w:u w:color="auto"/>
          <w14:textFill>
            <w14:solidFill>
              <w14:srgbClr w14:val="000000"/>
            </w14:solidFill>
          </w14:textFill>
        </w:rPr>
        <w:t>.00</w:t>
      </w:r>
      <w:r>
        <w:rPr>
          <w:rFonts w:ascii="仿宋" w:eastAsia="仿宋" w:hint="eastAsia"/>
          <w:color w:val="000000"/>
          <w:sz w:val="32"/>
          <w:szCs w:val="32"/>
          <w14:textFill>
            <w14:solidFill>
              <w14:srgbClr w14:val="000000"/>
            </w14:solidFill>
          </w14:textFill>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w:t>
      </w:r>
      <w:r>
        <w:rPr>
          <w:rFonts w:ascii="仿宋" w:eastAsia="仿宋"/>
          <w:color w:val="000000"/>
          <w:sz w:val="32"/>
          <w:u w:color="auto"/>
        </w:rPr>
        <w:t>0.00万元，完成预算0.00</w:t>
      </w:r>
      <w:r>
        <w:rPr>
          <w:rFonts w:ascii="仿宋" w:eastAsia="仿宋" w:hint="eastAsia"/>
          <w:color w:val="000000"/>
          <w:sz w:val="32"/>
          <w:szCs w:val="32"/>
        </w:rPr>
        <w:t>%。公务接待费支出决算比</w:t>
      </w:r>
      <w:r>
        <w:rPr>
          <w:rFonts w:ascii="仿宋" w:eastAsia="仿宋"/>
          <w:color w:val="000000"/>
          <w:sz w:val="32"/>
          <w:u w:color="auto"/>
        </w:rPr>
        <w:t>2021年增加0.00</w:t>
      </w:r>
      <w:r>
        <w:rPr>
          <w:rFonts w:ascii="仿宋" w:eastAsia="仿宋" w:hint="eastAsia"/>
          <w:color w:val="000000"/>
          <w:sz w:val="32"/>
          <w:szCs w:val="32"/>
        </w:rPr>
        <w:t>万元，</w:t>
      </w:r>
      <w:r>
        <w:rPr>
          <w:rFonts w:ascii="仿宋" w:eastAsia="仿宋"/>
          <w:color w:val="000000"/>
          <w:sz w:val="32"/>
          <w:u w:color="auto"/>
        </w:rPr>
        <w:t>增加0.00</w:t>
      </w:r>
      <w:r>
        <w:rPr>
          <w:rFonts w:ascii="仿宋" w:eastAsia="仿宋"/>
          <w:color w:val="000000"/>
          <w:sz w:val="32"/>
          <w:szCs w:val="32"/>
        </w:rPr>
        <w:t>%</w:t>
      </w:r>
      <w:r>
        <w:rPr>
          <w:rFonts w:ascii="仿宋" w:eastAsia="仿宋" w:hint="eastAsia"/>
          <w:color w:val="000000"/>
          <w:sz w:val="32"/>
          <w:szCs w:val="32"/>
        </w:rPr>
        <w:t>。</w:t>
      </w:r>
      <w:bookmarkStart w:id="56" w:name="_Toc15377218"/>
      <w:r>
        <w:rPr>
          <w:rFonts w:ascii="仿宋" w:eastAsia="仿宋" w:hint="eastAsia"/>
          <w:color w:val="000000"/>
          <w:sz w:val="32"/>
          <w:szCs w:val="32"/>
        </w:rPr>
        <w:t xml:space="preserve"> </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w:t>
      </w:r>
      <w:r>
        <w:rPr>
          <w:rFonts w:ascii="仿宋" w:eastAsia="仿宋"/>
          <w:color w:val="000000"/>
          <w:sz w:val="32"/>
          <w:u w:color="auto"/>
        </w:rPr>
        <w:t>0.00万元。国内公务接待0批次，0人次（不包括陪同人员），共计支出0.00万元。</w:t>
      </w:r>
    </w:p>
    <w:p>
      <w:pPr>
        <w:pStyle w:val="16"/>
        <w:rPr>
          <w:rFonts w:ascii="仿宋" w:eastAsia="仿宋"/>
          <w:color w:val="000000"/>
          <w:sz w:val="32"/>
          <w:szCs w:val="32"/>
        </w:rPr>
      </w:pPr>
      <w:r>
        <w:rPr>
          <w:rFonts w:ascii="仿宋" w:eastAsia="仿宋" w:hint="eastAsia"/>
          <w:color w:val="000000"/>
          <w:sz w:val="32"/>
          <w:szCs w:val="32"/>
        </w:rPr>
        <w:t>外事接待支出</w:t>
      </w:r>
      <w:r>
        <w:rPr>
          <w:rFonts w:ascii="仿宋" w:eastAsia="仿宋"/>
          <w:color w:val="000000"/>
          <w:sz w:val="32"/>
          <w:u w:color="auto"/>
        </w:rPr>
        <w:t>0.00万元，外事接待0批次，0人，共计支出0.00万元。</w:t>
      </w:r>
    </w:p>
    <w:p>
      <w:pPr>
        <w:pStyle w:val="2"/>
        <w:ind w:firstLineChars="200" w:firstLine="640"/>
        <w:rPr>
          <w:rFonts w:ascii="黑体" w:eastAsia="黑体" w:cs="Times New Roman"/>
          <w:bCs w:val="0"/>
          <w:color w:val="000000"/>
        </w:rPr>
      </w:pPr>
      <w:bookmarkStart w:id="57" w:name="_Toc111208506"/>
      <w:bookmarkStart w:id="58" w:name="_Toc4484"/>
      <w:r>
        <w:rPr>
          <w:rFonts w:ascii="黑体" w:eastAsia="黑体" w:cs="Times New Roman" w:hint="eastAsia"/>
          <w:bCs w:val="0"/>
          <w:color w:val="000000"/>
        </w:rPr>
        <w:t>八、政府性基金预算支出决算情况说明</w:t>
      </w:r>
      <w:bookmarkEnd w:id="56"/>
      <w:bookmarkEnd w:id="57"/>
      <w:bookmarkEnd w:id="58"/>
    </w:p>
    <w:p>
      <w:pPr>
        <w:spacing w:line="600" w:lineRule="exact"/>
        <w:ind w:firstLine="640"/>
        <w:rPr>
          <w:rFonts w:ascii="仿宋" w:eastAsia="仿宋"/>
        </w:rPr>
      </w:pPr>
      <w:r>
        <w:rPr>
          <w:rFonts w:ascii="仿宋" w:eastAsia="仿宋" w:hint="eastAsia"/>
          <w:color w:val="000000"/>
          <w:sz w:val="32"/>
          <w:szCs w:val="32"/>
        </w:rPr>
        <w:t>2022</w:t>
      </w:r>
      <w:r>
        <w:rPr>
          <w:rFonts w:ascii="仿宋" w:eastAsia="仿宋"/>
          <w:color w:val="000000"/>
          <w:sz w:val="32"/>
          <w:u w:color="auto"/>
        </w:rPr>
        <w:t>年政府性基金预算拨款支出131.15</w:t>
      </w:r>
      <w:r>
        <w:rPr>
          <w:rFonts w:ascii="仿宋" w:eastAsia="仿宋" w:hint="eastAsia"/>
          <w:color w:val="000000"/>
          <w:sz w:val="32"/>
          <w:szCs w:val="32"/>
        </w:rPr>
        <w:t>万元。</w:t>
      </w:r>
      <w:bookmarkStart w:id="59" w:name="_Toc15377219"/>
    </w:p>
    <w:p>
      <w:pPr>
        <w:pStyle w:val="2"/>
        <w:ind w:firstLineChars="200" w:firstLine="640"/>
        <w:rPr>
          <w:rFonts w:ascii="黑体" w:eastAsia="黑体" w:cs="Times New Roman"/>
          <w:bCs w:val="0"/>
          <w:color w:val="000000"/>
        </w:rPr>
      </w:pPr>
      <w:bookmarkStart w:id="60" w:name="_Toc111208507"/>
      <w:bookmarkStart w:id="61" w:name="_Toc1532"/>
      <w:r>
        <w:rPr>
          <w:rFonts w:ascii="黑体" w:eastAsia="黑体" w:cs="Times New Roman" w:hint="eastAsia"/>
          <w:bCs w:val="0"/>
          <w:color w:val="000000"/>
        </w:rPr>
        <w:t>九、国有资本经营预算支出决算情况说明</w:t>
      </w:r>
      <w:bookmarkEnd w:id="59"/>
      <w:bookmarkEnd w:id="60"/>
      <w:bookmarkEnd w:id="61"/>
    </w:p>
    <w:p>
      <w:pPr>
        <w:spacing w:line="600" w:lineRule="exact"/>
        <w:ind w:firstLine="640"/>
        <w:rPr>
          <w:rFonts w:ascii="仿宋" w:eastAsia="仿宋"/>
        </w:rPr>
      </w:pPr>
      <w:r>
        <w:rPr>
          <w:rFonts w:ascii="仿宋" w:eastAsia="仿宋" w:hint="eastAsia"/>
          <w:color w:val="000000"/>
          <w:sz w:val="32"/>
          <w:szCs w:val="32"/>
        </w:rPr>
        <w:t>2022</w:t>
      </w:r>
      <w:r>
        <w:rPr>
          <w:rFonts w:ascii="仿宋" w:eastAsia="仿宋"/>
          <w:color w:val="000000"/>
          <w:sz w:val="32"/>
          <w:u w:color="auto"/>
        </w:rPr>
        <w:t>年国有资本经营预算拨款支出0.00</w:t>
      </w:r>
      <w:r>
        <w:rPr>
          <w:rFonts w:ascii="仿宋" w:eastAsia="仿宋" w:hint="eastAsia"/>
          <w:color w:val="000000"/>
          <w:sz w:val="32"/>
          <w:szCs w:val="32"/>
        </w:rPr>
        <w:t>万元。</w:t>
      </w:r>
    </w:p>
    <w:p>
      <w:pPr>
        <w:pStyle w:val="2"/>
        <w:ind w:firstLineChars="200" w:firstLine="640"/>
        <w:rPr>
          <w:rFonts w:ascii="黑体" w:eastAsia="黑体" w:cs="Times New Roman"/>
          <w:bCs w:val="0"/>
          <w:color w:val="000000"/>
        </w:rPr>
      </w:pPr>
      <w:bookmarkStart w:id="62" w:name="_Toc15377221"/>
      <w:bookmarkStart w:id="63" w:name="_Toc111208508"/>
      <w:bookmarkStart w:id="64" w:name="_Toc587"/>
      <w:r>
        <w:rPr>
          <w:rFonts w:ascii="黑体" w:eastAsia="黑体" w:cs="Times New Roman" w:hint="eastAsia"/>
          <w:bCs w:val="0"/>
          <w:color w:val="000000"/>
        </w:rPr>
        <w:t>十、其他重要事项的情况说明</w:t>
      </w:r>
      <w:bookmarkEnd w:id="62"/>
      <w:bookmarkEnd w:id="63"/>
      <w:bookmarkEnd w:id="64"/>
    </w:p>
    <w:p>
      <w:pPr>
        <w:spacing w:line="600" w:lineRule="exact"/>
        <w:ind w:firstLineChars="200" w:firstLine="640"/>
        <w:outlineLvl w:val="2"/>
        <w:rPr>
          <w:rFonts w:ascii="仿宋" w:eastAsia="仿宋" w:hint="eastAsia"/>
          <w:b/>
          <w:color w:val="000000"/>
          <w:sz w:val="32"/>
          <w:szCs w:val="32"/>
          <w14:textFill>
            <w14:solidFill>
              <w14:srgbClr w14:val="000000"/>
            </w14:solidFill>
          </w14:textFill>
          <w:lang w:eastAsia="zh-CN"/>
        </w:rPr>
      </w:pPr>
      <w:bookmarkStart w:id="65" w:name="_Toc15377222"/>
      <w:r>
        <w:rPr>
          <w:rFonts w:ascii="仿宋" w:eastAsia="仿宋" w:hint="eastAsia"/>
          <w:b/>
          <w:color w:val="000000"/>
          <w:sz w:val="32"/>
          <w:szCs w:val="32"/>
          <w14:textFill>
            <w14:solidFill>
              <w14:srgbClr w14:val="000000"/>
            </w14:solidFill>
          </w14:textFill>
        </w:rPr>
        <w:t>（一）机关运行经费支出情况</w:t>
      </w:r>
      <w:bookmarkEnd w:id="65"/>
    </w:p>
    <w:p>
      <w:pPr>
        <w:spacing w:line="600" w:lineRule="exact"/>
        <w:ind w:firstLine="640"/>
        <w:rPr>
          <w:rFonts w:ascii="仿宋" w:eastAsia="仿宋"/>
          <w:color w:val="000000"/>
          <w:sz w:val="32"/>
          <w:szCs w:val="32"/>
        </w:rPr>
      </w:pPr>
      <w:r>
        <w:rPr>
          <w:rFonts w:ascii="仿宋" w:eastAsia="仿宋" w:hint="eastAsia"/>
          <w:color w:val="000000"/>
          <w:sz w:val="32"/>
          <w:szCs w:val="32"/>
        </w:rPr>
        <w:t>2022</w:t>
      </w:r>
      <w:r>
        <w:rPr>
          <w:rFonts w:ascii="仿宋" w:eastAsia="仿宋"/>
          <w:color w:val="000000"/>
          <w:sz w:val="32"/>
          <w:u w:color="auto"/>
        </w:rPr>
        <w:t>年，机关运行经费支出39.51</w:t>
      </w:r>
      <w:r>
        <w:rPr>
          <w:rFonts w:ascii="仿宋" w:eastAsia="仿宋" w:hint="eastAsia"/>
          <w:color w:val="000000"/>
          <w:sz w:val="32"/>
          <w:szCs w:val="32"/>
        </w:rPr>
        <w:t>万元，比</w:t>
      </w:r>
      <w:r>
        <w:rPr>
          <w:rFonts w:ascii="仿宋" w:eastAsia="仿宋"/>
          <w:color w:val="000000"/>
          <w:sz w:val="32"/>
          <w:u w:color="auto"/>
        </w:rPr>
        <w:t>2021年增加27.84</w:t>
      </w:r>
      <w:r>
        <w:rPr>
          <w:rFonts w:ascii="仿宋" w:eastAsia="仿宋" w:hint="eastAsia"/>
          <w:color w:val="000000"/>
          <w:sz w:val="32"/>
          <w:szCs w:val="32"/>
        </w:rPr>
        <w:t>万元，</w:t>
      </w:r>
      <w:r>
        <w:rPr>
          <w:rFonts w:ascii="仿宋" w:eastAsia="仿宋"/>
          <w:color w:val="000000"/>
          <w:sz w:val="32"/>
          <w:u w:color="auto"/>
        </w:rPr>
        <w:t>增加238.55 %</w:t>
      </w:r>
      <w:r>
        <w:rPr>
          <w:rFonts w:ascii="仿宋" w:eastAsia="仿宋" w:hint="eastAsia"/>
          <w:color w:val="000000"/>
          <w:sz w:val="32"/>
          <w:u w:color="auto"/>
          <w:lang w:eastAsia="zh-CN"/>
        </w:rPr>
        <w:t>，增加新进人员</w:t>
      </w:r>
      <w:r>
        <w:rPr>
          <w:rFonts w:ascii="仿宋" w:eastAsia="仿宋"/>
          <w:color w:val="000000"/>
          <w:sz w:val="32"/>
          <w:u w:color="auto"/>
        </w:rPr>
        <w:t xml:space="preserve">。 </w:t>
      </w:r>
    </w:p>
    <w:p>
      <w:pPr>
        <w:spacing w:line="600" w:lineRule="exact"/>
        <w:ind w:firstLineChars="200" w:firstLine="640"/>
        <w:outlineLvl w:val="2"/>
        <w:rPr>
          <w:rFonts w:ascii="仿宋" w:eastAsia="仿宋"/>
          <w:b/>
          <w:color w:val="000000"/>
          <w:sz w:val="32"/>
          <w:szCs w:val="32"/>
        </w:rPr>
      </w:pPr>
      <w:bookmarkStart w:id="66" w:name="_Toc15377223"/>
      <w:r>
        <w:rPr>
          <w:rFonts w:ascii="仿宋" w:eastAsia="仿宋" w:hint="eastAsia"/>
          <w:b/>
          <w:color w:val="000000"/>
          <w:sz w:val="32"/>
          <w:szCs w:val="32"/>
        </w:rPr>
        <w:t>（二）政府采购支出情况</w:t>
      </w:r>
      <w:bookmarkEnd w:id="66"/>
      <w:r>
        <w:rPr>
          <w:rFonts w:ascii="仿宋" w:eastAsia="仿宋" w:hint="eastAsia"/>
          <w:b/>
          <w:color w:val="000000"/>
          <w:sz w:val="32"/>
          <w:szCs w:val="32"/>
          <w:lang w:eastAsia="zh-CN"/>
        </w:rPr>
        <w:t>（</w:t>
      </w:r>
      <w:r>
        <w:rPr>
          <w:rFonts w:ascii="仿宋" w:eastAsia="仿宋" w:hint="eastAsia"/>
          <w:b/>
          <w:color w:val="000000"/>
          <w:sz w:val="32"/>
          <w:szCs w:val="32"/>
        </w:rPr>
        <w:t>机构运行信息表</w:t>
      </w:r>
      <w:r>
        <w:rPr>
          <w:rFonts w:ascii="仿宋" w:eastAsia="仿宋" w:hint="eastAsia"/>
          <w:b/>
          <w:color w:val="000000"/>
          <w:sz w:val="32"/>
          <w:szCs w:val="32"/>
          <w:lang w:eastAsia="zh-CN"/>
        </w:rPr>
        <w:t>）</w:t>
      </w:r>
    </w:p>
    <w:p>
      <w:pPr>
        <w:spacing w:line="600" w:lineRule="exact"/>
        <w:ind w:firstLine="640"/>
        <w:rPr>
          <w:rFonts w:ascii="仿宋_GB2312" w:eastAsia="仿宋_GB2312"/>
          <w:color w:val="000000"/>
          <w:sz w:val="32"/>
          <w:szCs w:val="32"/>
        </w:rPr>
      </w:pPr>
      <w:r>
        <w:rPr>
          <w:rFonts w:ascii="仿宋" w:eastAsia="仿宋" w:hint="eastAsia"/>
          <w:color w:val="000000"/>
          <w:sz w:val="32"/>
          <w:szCs w:val="32"/>
        </w:rPr>
        <w:t>2022</w:t>
      </w:r>
      <w:r>
        <w:rPr>
          <w:rFonts w:ascii="仿宋" w:eastAsia="仿宋"/>
          <w:color w:val="000000"/>
          <w:sz w:val="32"/>
          <w:u w:color="auto"/>
        </w:rPr>
        <w:t>年，政府采购支出总额8.60</w:t>
      </w:r>
      <w:r>
        <w:rPr>
          <w:rFonts w:ascii="仿宋" w:eastAsia="仿宋" w:hint="eastAsia"/>
          <w:color w:val="000000"/>
          <w:sz w:val="32"/>
          <w:szCs w:val="32"/>
        </w:rPr>
        <w:t>万元，其中：政府采购货物支出</w:t>
      </w:r>
      <w:r>
        <w:rPr>
          <w:rFonts w:ascii="仿宋" w:eastAsia="仿宋"/>
          <w:color w:val="000000"/>
          <w:sz w:val="32"/>
          <w:u w:color="auto"/>
        </w:rPr>
        <w:t>0.00</w:t>
      </w:r>
      <w:r>
        <w:rPr>
          <w:rFonts w:ascii="仿宋" w:eastAsia="仿宋" w:hint="eastAsia"/>
          <w:color w:val="000000"/>
          <w:sz w:val="32"/>
          <w:szCs w:val="32"/>
        </w:rPr>
        <w:t>万元、政府采购工程支出</w:t>
      </w:r>
      <w:r>
        <w:rPr>
          <w:rFonts w:ascii="仿宋" w:eastAsia="仿宋"/>
          <w:color w:val="000000"/>
          <w:sz w:val="32"/>
          <w:u w:color="auto"/>
        </w:rPr>
        <w:t>0.00</w:t>
      </w:r>
      <w:r>
        <w:rPr>
          <w:rFonts w:ascii="仿宋" w:eastAsia="仿宋" w:hint="eastAsia"/>
          <w:color w:val="000000"/>
          <w:sz w:val="32"/>
          <w:szCs w:val="32"/>
        </w:rPr>
        <w:t>万元、政府采购服务支出</w:t>
      </w:r>
      <w:r>
        <w:rPr>
          <w:rFonts w:ascii="仿宋" w:eastAsia="仿宋"/>
          <w:color w:val="000000"/>
          <w:sz w:val="32"/>
          <w:u w:color="auto"/>
        </w:rPr>
        <w:t>8.60</w:t>
      </w:r>
      <w:r>
        <w:rPr>
          <w:rFonts w:ascii="仿宋" w:eastAsia="仿宋" w:hint="eastAsia"/>
          <w:color w:val="000000"/>
          <w:sz w:val="32"/>
          <w:szCs w:val="32"/>
        </w:rPr>
        <w:t>万元。授予中小企业合同金额</w:t>
      </w:r>
      <w:r>
        <w:rPr>
          <w:rFonts w:ascii="仿宋" w:eastAsia="仿宋"/>
          <w:color w:val="000000"/>
          <w:sz w:val="32"/>
          <w:u w:color="auto"/>
        </w:rPr>
        <w:t>8.60</w:t>
      </w:r>
      <w:r>
        <w:rPr>
          <w:rFonts w:ascii="仿宋" w:eastAsia="仿宋" w:hint="eastAsia"/>
          <w:color w:val="000000"/>
          <w:sz w:val="32"/>
          <w:szCs w:val="32"/>
        </w:rPr>
        <w:t>万元，其中：授予小微企业合同金额</w:t>
      </w:r>
      <w:r>
        <w:rPr>
          <w:rFonts w:ascii="仿宋" w:eastAsia="仿宋"/>
          <w:color w:val="000000"/>
          <w:sz w:val="32"/>
          <w:u w:color="auto"/>
        </w:rPr>
        <w:t>0.00</w:t>
      </w:r>
      <w:r>
        <w:rPr>
          <w:rFonts w:ascii="仿宋" w:eastAsia="仿宋" w:hint="eastAsia"/>
          <w:color w:val="000000"/>
          <w:sz w:val="32"/>
          <w:szCs w:val="32"/>
        </w:rPr>
        <w:t>万元，占总合同的</w:t>
      </w:r>
      <w:r>
        <w:rPr>
          <w:rFonts w:ascii="仿宋" w:eastAsia="仿宋"/>
          <w:color w:val="000000"/>
          <w:sz w:val="32"/>
          <w:u w:color="auto"/>
        </w:rPr>
        <w:t>0.00</w:t>
      </w:r>
      <w:r>
        <w:rPr>
          <w:rFonts w:ascii="仿宋" w:eastAsia="仿宋" w:hint="eastAsia"/>
          <w:color w:val="000000"/>
          <w:sz w:val="32"/>
          <w:szCs w:val="32"/>
        </w:rPr>
        <w:t>%。</w:t>
      </w:r>
    </w:p>
    <w:p>
      <w:pPr>
        <w:spacing w:line="600" w:lineRule="exact"/>
        <w:ind w:firstLineChars="200" w:firstLine="640"/>
        <w:outlineLvl w:val="2"/>
        <w:rPr>
          <w:rFonts w:ascii="仿宋" w:eastAsia="仿宋"/>
          <w:b/>
          <w:color w:val="000000"/>
          <w:sz w:val="32"/>
          <w:szCs w:val="32"/>
        </w:rPr>
      </w:pPr>
      <w:bookmarkStart w:id="67" w:name="_Toc15377224"/>
      <w:r>
        <w:rPr>
          <w:rFonts w:ascii="仿宋" w:eastAsia="仿宋" w:hint="eastAsia"/>
          <w:b/>
          <w:color w:val="000000"/>
          <w:sz w:val="32"/>
          <w:szCs w:val="32"/>
        </w:rPr>
        <w:t>（三）国有资产占有使用情况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截至</w:t>
      </w:r>
      <w:r>
        <w:rPr>
          <w:rFonts w:ascii="仿宋" w:eastAsia="仿宋"/>
          <w:color w:val="000000"/>
          <w:sz w:val="32"/>
          <w:u w:color="auto"/>
        </w:rPr>
        <w:t>2022年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w:t>
      </w:r>
      <w:r>
        <w:rPr>
          <w:rFonts w:ascii="仿宋" w:eastAsia="仿宋" w:hint="eastAsia"/>
          <w:color w:val="000000"/>
          <w:sz w:val="32"/>
          <w:szCs w:val="32"/>
          <w:lang w:val="en-US" w:eastAsia="zh-CN"/>
        </w:rPr>
        <w:t>1</w:t>
      </w:r>
      <w:r>
        <w:rPr>
          <w:rFonts w:ascii="仿宋" w:eastAsia="仿宋"/>
          <w:color w:val="000000"/>
          <w:sz w:val="32"/>
          <w:u w:color="auto"/>
        </w:rPr>
        <w:t>辆，其中：主要领导干部用车</w:t>
      </w:r>
      <w:r>
        <w:rPr>
          <w:rFonts w:ascii="仿宋" w:eastAsia="仿宋" w:hint="eastAsia"/>
          <w:color w:val="000000"/>
          <w:sz w:val="32"/>
          <w:u w:color="auto"/>
          <w:lang w:val="en-US" w:eastAsia="zh-CN"/>
        </w:rPr>
        <w:t>1</w:t>
      </w:r>
      <w:r>
        <w:rPr>
          <w:rFonts w:ascii="仿宋" w:eastAsia="仿宋" w:hint="eastAsia"/>
          <w:color w:val="000000"/>
          <w:sz w:val="32"/>
          <w:szCs w:val="32"/>
        </w:rPr>
        <w:t>辆、机要通信用车</w:t>
      </w:r>
      <w:r>
        <w:rPr>
          <w:rFonts w:ascii="仿宋" w:eastAsia="仿宋"/>
          <w:color w:val="000000"/>
          <w:sz w:val="32"/>
          <w:u w:color="auto"/>
        </w:rPr>
        <w:t>0</w:t>
      </w:r>
      <w:r>
        <w:rPr>
          <w:rFonts w:ascii="仿宋" w:eastAsia="仿宋" w:hint="eastAsia"/>
          <w:color w:val="000000"/>
          <w:sz w:val="32"/>
          <w:szCs w:val="32"/>
        </w:rPr>
        <w:t>辆、应急保障用车</w:t>
      </w:r>
      <w:r>
        <w:rPr>
          <w:rFonts w:ascii="仿宋" w:eastAsia="仿宋"/>
          <w:color w:val="000000"/>
          <w:sz w:val="32"/>
          <w:u w:color="auto"/>
        </w:rPr>
        <w:t>0</w:t>
      </w:r>
      <w:r>
        <w:rPr>
          <w:rFonts w:ascii="仿宋" w:eastAsia="仿宋" w:hint="eastAsia"/>
          <w:color w:val="000000"/>
          <w:sz w:val="32"/>
          <w:szCs w:val="32"/>
        </w:rPr>
        <w:t>辆、其他用车</w:t>
      </w:r>
      <w:r>
        <w:rPr>
          <w:rFonts w:ascii="仿宋" w:eastAsia="仿宋"/>
          <w:color w:val="000000"/>
          <w:sz w:val="32"/>
          <w:u w:color="auto"/>
        </w:rPr>
        <w:t>0</w:t>
      </w:r>
      <w:r>
        <w:rPr>
          <w:rFonts w:ascii="仿宋" w:eastAsia="仿宋" w:hint="eastAsia"/>
          <w:color w:val="000000"/>
          <w:sz w:val="32"/>
          <w:szCs w:val="32"/>
        </w:rPr>
        <w:t>辆。单价</w:t>
      </w:r>
      <w:r>
        <w:rPr>
          <w:rFonts w:ascii="仿宋" w:eastAsia="仿宋"/>
          <w:color w:val="000000"/>
          <w:sz w:val="32"/>
          <w:szCs w:val="32"/>
        </w:rPr>
        <w:t>50</w:t>
      </w:r>
      <w:r>
        <w:rPr>
          <w:rFonts w:ascii="仿宋" w:eastAsia="仿宋" w:hint="eastAsia"/>
          <w:color w:val="000000"/>
          <w:sz w:val="32"/>
          <w:szCs w:val="32"/>
        </w:rPr>
        <w:t>万元以上通用设备</w:t>
      </w:r>
      <w:r>
        <w:rPr>
          <w:rFonts w:ascii="仿宋" w:eastAsia="仿宋"/>
          <w:color w:val="000000"/>
          <w:sz w:val="32"/>
          <w:u w:color="auto"/>
        </w:rPr>
        <w:t>0</w:t>
      </w:r>
      <w:r>
        <w:rPr>
          <w:rFonts w:ascii="仿宋" w:eastAsia="仿宋" w:hint="eastAsia"/>
          <w:color w:val="000000"/>
          <w:sz w:val="32"/>
          <w:szCs w:val="32"/>
        </w:rPr>
        <w:t>台（套），单价</w:t>
      </w:r>
      <w:r>
        <w:rPr>
          <w:rFonts w:ascii="仿宋" w:eastAsia="仿宋"/>
          <w:color w:val="000000"/>
          <w:sz w:val="32"/>
          <w:szCs w:val="32"/>
        </w:rPr>
        <w:t>100</w:t>
      </w:r>
      <w:r>
        <w:rPr>
          <w:rFonts w:ascii="仿宋" w:eastAsia="仿宋" w:hint="eastAsia"/>
          <w:color w:val="000000"/>
          <w:sz w:val="32"/>
          <w:szCs w:val="32"/>
        </w:rPr>
        <w:t>万元以上专用设备</w:t>
      </w:r>
      <w:r>
        <w:rPr>
          <w:rFonts w:ascii="仿宋" w:eastAsia="仿宋" w:hint="eastAsia"/>
          <w:color w:val="000000"/>
          <w:sz w:val="32"/>
          <w:szCs w:val="32"/>
          <w:lang w:val="en-US" w:eastAsia="zh-CN"/>
        </w:rPr>
        <w:t>0</w:t>
      </w:r>
      <w:r>
        <w:rPr>
          <w:rFonts w:ascii="仿宋" w:eastAsia="仿宋" w:hint="eastAsia"/>
          <w:color w:val="000000"/>
          <w:sz w:val="32"/>
          <w:szCs w:val="32"/>
        </w:rPr>
        <w:t>台（套）。</w:t>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（四）预算绩效管理情况</w:t>
      </w:r>
    </w:p>
    <w:p>
      <w:pPr>
        <w:pStyle w:val="16"/>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68" w:name="_Toc5924"/>
      <w:bookmarkStart w:id="69" w:name="_Toc111208509"/>
      <w:bookmarkStart w:id="70" w:name="_Toc15377225"/>
      <w:r>
        <w:rPr>
          <w:rFonts w:ascii="黑体" w:eastAsia="黑体" w:cs="黑体" w:hint="eastAsia"/>
        </w:rPr>
        <w:t>第三部分 名词解释</w:t>
      </w:r>
      <w:bookmarkEnd w:id="68"/>
      <w:bookmarkEnd w:id="69"/>
      <w:bookmarkEnd w:id="70"/>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ascii="仿宋" w:eastAsia="仿宋" w:hint="eastAsia"/>
          <w:color w:val="000000"/>
          <w:sz w:val="32"/>
          <w:szCs w:val="32"/>
        </w:rPr>
        <w:t>9.文化旅游体育与传媒支出（207）文化和旅游（20701）行政运行（2070101）：反映行政单位（包括实行公务员管理的事业单位）的基本支出。</w:t>
        <w:cr/>
        <w:t>10.文化旅游体育与传媒支出（207）文化和旅游（20701）一般行政管理事务（2070102）：反映行政单位（包括实行公务员管理的事业单位）未单独设置项级科目的其他项目支出。</w:t>
        <w:cr/>
        <w:t>11.文化旅游体育与传媒支出（207）文化和旅游（20701）机关服务（2070103）：反映为行政单位（包括实行公务员管理的事业单位）提供后勤服务的各类后勤服务</w:t>
      </w:r>
      <w:r>
        <w:rPr>
          <w:rFonts w:ascii="仿宋" w:eastAsia="仿宋" w:hint="eastAsia"/>
          <w:color w:val="000000"/>
          <w:sz w:val="32"/>
          <w:szCs w:val="32"/>
          <w:lang w:eastAsia="zh-CN"/>
        </w:rPr>
        <w:t>局</w:t>
      </w:r>
      <w:r>
        <w:rPr>
          <w:rFonts w:ascii="仿宋" w:eastAsia="仿宋" w:hint="eastAsia"/>
          <w:color w:val="000000"/>
          <w:sz w:val="32"/>
          <w:szCs w:val="32"/>
        </w:rPr>
        <w:t>、医务室等附属事业单位的支出。其他事业单位的支出，凡单独设置了项级科目的，在单独设置的项级科目中反映。未单设项级科目的，在“其他”项级科目中反映。</w:t>
        <w:cr/>
        <w:t>12.文化旅游体育与传媒支出（207）文化和旅游（20701）图书馆（2070104）：反映图书馆的支出。</w:t>
        <w:cr/>
        <w:t>13.文化旅游体育与传媒支出（207）文化和旅游（20701）文化活动（2070108）：反映举办大型文化艺术活动的支出。</w:t>
        <w:cr/>
        <w:t>14.文化旅游体育与传媒支出（207）文化和旅游（20701）群众文化（2070109）：反映群众文化方面的支出，包括基层文化馆（站）、群众艺术馆支出等。</w:t>
        <w:cr/>
        <w:t>15.文化旅游体育与传媒支出（207）文化和旅游（20701）文化创作与保护（2070111）：反映鼓励文学、艺术创作和优秀传统文化保护方面的支出。</w:t>
        <w:cr/>
        <w:t>16.文化旅游体育与传媒支出（207）文化和旅游（20701）其他文化和旅游支出（2070199）：反映除上述项目以外其他用于文化和旅游方面的支出。</w:t>
        <w:cr/>
        <w:t>17.文化旅游体育与传媒支出（207）体育（20703）其他体育支出（2070399）：反映除上述项目以外其他用于体育方面的支出。</w:t>
        <w:cr/>
        <w:t>18.文化旅游体育与传媒支出（207）广播电视（20708）一般行政管理事务（2070802）：反映行政单位（包括实行公务员管理的事业单位）未单独设置项级科目的其他项目支出。</w:t>
        <w:cr/>
        <w:t>19.文化旅游体育与传媒支出（207）其他文化旅游体育与传媒支出（20799）其他文化旅游体育与传媒支出（2079999）：反映除上述项目以外其他用于文化旅游体育与传媒方面的支出。</w:t>
        <w:cr/>
        <w:t>20.社会保障和就业支出（208）行政事业单位养老支出（20805）机关事业单位基本养老保险缴费支出（2080505）：反映机关事业单位实施养老保险制度由单位缴纳的基本养老保险费支出。</w:t>
        <w:cr/>
        <w:t>21.社会保障和就业支出（208）行政事业单位养老支出（20805）机关事业单位职业年金缴费支出（2080506）：反映机关事业单位实施养老保险制度由单位实际缴纳的职业年金支出。</w:t>
        <w:cr/>
        <w:t>22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cr/>
        <w:t>23.卫生健康支出（210）行政事业单位医疗（21011）事业单位医疗（2101102）：反映财政部门安排的事业单位基本医疗保险缴费经费，未参加医疗保险的事业单位的公费医疗经费，按国家规定享受离休人员待遇的医疗经费。</w:t>
        <w:cr/>
        <w:t>24.卫生健康支出（210）行政事业单位医疗（21011）公务员医疗补助（2101103）：反映财政部门安排的公务员医疗补助经费。</w:t>
        <w:cr/>
        <w:t>25.卫生健康支出（210）行政事业单位医疗（21011）其他行政事业单位医疗支出（2101199）：反映除上述项目以外的其他用于行政事业单位医疗方面的支出。</w:t>
        <w:cr/>
        <w:t>26.农林水支出（213）巩固脱贫衔接乡村振兴（21305）生产发展（2130505）：反映用于农村贫困地区发展种植业、养殖业、畜牧业、农副产品加工、林果</w:t>
      </w:r>
      <w:r>
        <w:rPr>
          <w:rFonts w:ascii="仿宋" w:eastAsia="仿宋" w:hint="eastAsia"/>
          <w:color w:val="000000"/>
          <w:sz w:val="32"/>
          <w:szCs w:val="32"/>
          <w:lang w:eastAsia="zh-CN"/>
        </w:rPr>
        <w:t>的</w:t>
      </w:r>
      <w:r>
        <w:rPr>
          <w:rFonts w:ascii="仿宋" w:eastAsia="仿宋" w:hint="eastAsia"/>
          <w:color w:val="000000"/>
          <w:sz w:val="32"/>
          <w:szCs w:val="32"/>
        </w:rPr>
        <w:t>建设等生产发展项目以及相关技术推广等方面的项目支出。</w:t>
        <w:cr/>
        <w:t>27.农林水支出（213）巩固脱贫衔接乡村振兴（21305）社会发展（2130506）：反映用于农村贫困地区中小学教育、文化、广播、电视、医疗、卫生等方面的项目支出。</w:t>
        <w:cr/>
        <w:t>28.住房保障支出（221）住房改革支出（22102）住房公积金（2210201）：反映行政事业单位按人力资源和社会保障部、财政部规定的基本工资和津贴补贴以及规定比例为职工缴纳的住房公积金。</w:t>
        <w:cr/>
        <w:t>29.其他支出（229）其他支出（22999）其他支出（2299999）：无文字说明。</w:t>
      </w:r>
    </w:p>
    <w:p>
      <w:pPr>
        <w:spacing w:line="600" w:lineRule="exact"/>
        <w:ind w:firstLine="640"/>
        <w:rPr>
          <w:rFonts w:ascii="仿宋" w:eastAsia="仿宋"/>
          <w:color w:val="000000"/>
          <w:sz w:val="32"/>
          <w:szCs w:val="32"/>
        </w:rPr>
      </w:pPr>
      <w:r>
        <w:rPr>
          <w:rFonts w:ascii="仿宋" w:eastAsia="仿宋" w:hint="eastAsia"/>
          <w:color w:val="000000"/>
          <w:sz w:val="32"/>
          <w:szCs w:val="32"/>
        </w:rPr>
        <w:t>30.基本支出：指为保障机构正常运转、完成日常工作任务而发生的人员支出和公用支出。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31.经营支出：指事业单位在专业业务活动及其辅助活动之外开展非独立核算经营活动发生的支出。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32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33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34.财政应返还额度：为行政事业单位会计核算科目，用于核算实行国库集中支付的行政事业单位应收财政返还的资金额度。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numPr>
          <w:ilvl w:val="0"/>
          <w:numId w:val="1"/>
        </w:numPr>
        <w:jc w:val="center"/>
        <w:rPr>
          <w:rFonts w:ascii="黑体" w:eastAsia="黑体" w:cs="黑体" w:hint="eastAsia"/>
        </w:rPr>
      </w:pPr>
      <w:bookmarkStart w:id="71" w:name="_Toc13946"/>
      <w:bookmarkStart w:id="72" w:name="_Toc111208510"/>
      <w:r>
        <w:rPr>
          <w:rFonts w:ascii="黑体" w:eastAsia="黑体" w:cs="黑体" w:hint="eastAsia"/>
        </w:rPr>
        <w:t>附件</w:t>
      </w:r>
      <w:bookmarkEnd w:id="71"/>
      <w:bookmarkEnd w:id="72"/>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73" w:name="_Toc26843624"/>
      <w:r>
        <w:rPr>
          <w:rFonts w:ascii="Times New Roman" w:eastAsia="黑体" w:cs="Times New Roman" w:hAnsi="Times New Roman"/>
          <w:sz w:val="32"/>
          <w:szCs w:val="32"/>
        </w:rPr>
        <w:t>附件</w:t>
      </w:r>
      <w:bookmarkEnd w:id="73"/>
    </w:p>
    <w:p>
      <w:pPr>
        <w:pageBreakBefore w:val="0"/>
        <w:widowControl w:val="0"/>
        <w:kinsoku/>
        <w:wordWrap/>
        <w:overflowPunct/>
        <w:topLinePunct w:val="0"/>
        <w:bidi w:val="0"/>
        <w:spacing w:line="576" w:lineRule="exact"/>
        <w:jc w:val="center"/>
        <w:rPr>
          <w:rFonts w:eastAsia="方正小标宋简体" w:cs="Times New Roman"/>
          <w:kern w:val="0"/>
          <w:sz w:val="40"/>
          <w:szCs w:val="44"/>
          <w:lang w:val="en-US" w:eastAsia="zh-CN"/>
        </w:rPr>
      </w:pPr>
      <w:r>
        <w:rPr>
          <w:rFonts w:eastAsia="方正小标宋简体" w:cs="Times New Roman" w:hint="eastAsia"/>
          <w:kern w:val="0"/>
          <w:sz w:val="40"/>
          <w:szCs w:val="44"/>
          <w:lang w:val="en-US" w:eastAsia="zh-CN"/>
        </w:rPr>
        <w:t>金川县文化体育和旅游局</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b/>
          <w:bCs/>
          <w:snapToGrid/>
          <w:color w:val="000000"/>
          <w:spacing w:val="34"/>
          <w:w w:val="100"/>
          <w:kern w:val="2"/>
          <w:szCs w:val="32"/>
          <w:lang w:val="zh-CN"/>
        </w:rPr>
      </w:pPr>
      <w:bookmarkStart w:id="74" w:name="_Toc12355"/>
      <w:r>
        <w:rPr>
          <w:rFonts w:ascii="Mongolian Baiti" w:eastAsia="黑体" w:cs="Mongolian Baiti" w:hAnsi="Mongolian Baiti"/>
          <w:color w:val="auto"/>
          <w:kern w:val="2"/>
          <w:sz w:val="32"/>
          <w:szCs w:val="32"/>
          <w:u w:val="none"/>
          <w:vertAlign w:val="baseline"/>
          <w:lang w:val="en-US" w:eastAsia="zh-CN" w:bidi="ar-SA"/>
        </w:rPr>
        <w:t>一、部门整体概况</w:t>
      </w:r>
      <w:bookmarkEnd w:id="74"/>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bookmarkStart w:id="75" w:name="_Toc13050"/>
      <w:r>
        <w:rPr>
          <w:rFonts w:ascii="仿宋_GB2312" w:eastAsia="仿宋_GB2312" w:cs="仿宋_GB2312" w:hint="eastAsia"/>
          <w:b/>
          <w:bCs/>
          <w:snapToGrid/>
          <w:color w:val="000000"/>
          <w:spacing w:val="34"/>
          <w:w w:val="100"/>
          <w:kern w:val="2"/>
          <w:sz w:val="32"/>
          <w:szCs w:val="32"/>
          <w:lang w:val="zh-CN"/>
        </w:rPr>
        <w:t>（一）机构组成</w:t>
      </w:r>
      <w:bookmarkEnd w:id="75"/>
    </w:p>
    <w:p>
      <w:pPr>
        <w:spacing w:line="600" w:lineRule="exact"/>
        <w:ind w:firstLineChars="200" w:firstLine="632"/>
        <w:outlineLvl w:val="1"/>
        <w:rPr>
          <w:rFonts w:ascii="仿宋_GB2312" w:eastAsia="仿宋_GB2312" w:cs="Times New Roman" w:hint="eastAsia"/>
          <w:color w:val="000000"/>
          <w:spacing w:val="-2"/>
          <w:sz w:val="32"/>
          <w:szCs w:val="32"/>
          <w:lang w:eastAsia="zh-CN"/>
        </w:rPr>
      </w:pPr>
      <w:r>
        <w:rPr>
          <w:rFonts w:ascii="仿宋_GB2312" w:eastAsia="仿宋_GB2312" w:cs="Times New Roman" w:hint="eastAsia"/>
          <w:color w:val="000000"/>
          <w:spacing w:val="-2"/>
          <w:sz w:val="32"/>
          <w:szCs w:val="32"/>
          <w:lang w:eastAsia="zh-CN"/>
        </w:rPr>
        <w:t>金川县文化体育和旅游局统一社会信用代码为：</w:t>
      </w:r>
      <w:r>
        <w:rPr>
          <w:rFonts w:ascii="仿宋_GB2312" w:eastAsia="仿宋_GB2312" w:cs="Times New Roman" w:hint="eastAsia"/>
          <w:color w:val="000000"/>
          <w:spacing w:val="-2"/>
          <w:sz w:val="32"/>
          <w:szCs w:val="32"/>
          <w:lang w:val="en-US" w:eastAsia="zh-CN"/>
        </w:rPr>
        <w:t>11513226326962218B</w:t>
      </w:r>
      <w:r>
        <w:rPr>
          <w:rFonts w:ascii="仿宋_GB2312" w:eastAsia="仿宋_GB2312" w:cs="Times New Roman" w:hint="eastAsia"/>
          <w:color w:val="000000"/>
          <w:spacing w:val="-2"/>
          <w:sz w:val="32"/>
          <w:szCs w:val="32"/>
          <w:lang w:eastAsia="zh-CN"/>
        </w:rPr>
        <w:t>，机构地址：金川县勒乌镇新街</w:t>
      </w:r>
      <w:r>
        <w:rPr>
          <w:rFonts w:ascii="仿宋_GB2312" w:eastAsia="仿宋_GB2312" w:cs="Times New Roman" w:hint="eastAsia"/>
          <w:color w:val="000000"/>
          <w:spacing w:val="-2"/>
          <w:sz w:val="32"/>
          <w:szCs w:val="32"/>
          <w:lang w:val="en-US" w:eastAsia="zh-CN"/>
        </w:rPr>
        <w:t>37号</w:t>
      </w:r>
      <w:r>
        <w:rPr>
          <w:rFonts w:ascii="仿宋_GB2312" w:eastAsia="仿宋_GB2312" w:cs="Times New Roman" w:hint="eastAsia"/>
          <w:color w:val="000000"/>
          <w:spacing w:val="-2"/>
          <w:sz w:val="32"/>
          <w:szCs w:val="32"/>
          <w:lang w:eastAsia="zh-CN"/>
        </w:rPr>
        <w:t>，负责人：钟明文。金川县文化体育和旅游局共有机构数</w:t>
      </w:r>
      <w:r>
        <w:rPr>
          <w:rFonts w:ascii="仿宋_GB2312" w:eastAsia="仿宋_GB2312" w:cs="Times New Roman" w:hint="eastAsia"/>
          <w:color w:val="000000"/>
          <w:spacing w:val="-2"/>
          <w:sz w:val="32"/>
          <w:szCs w:val="32"/>
          <w:lang w:val="en-US" w:eastAsia="zh-CN"/>
        </w:rPr>
        <w:t>3</w:t>
      </w:r>
      <w:r>
        <w:rPr>
          <w:rFonts w:ascii="仿宋_GB2312" w:eastAsia="仿宋_GB2312" w:cs="Times New Roman" w:hint="eastAsia"/>
          <w:color w:val="000000"/>
          <w:spacing w:val="-2"/>
          <w:sz w:val="32"/>
          <w:szCs w:val="32"/>
          <w:lang w:eastAsia="zh-CN"/>
        </w:rPr>
        <w:t>个，其中全额预算单位</w:t>
      </w:r>
      <w:r>
        <w:rPr>
          <w:rFonts w:ascii="仿宋_GB2312" w:eastAsia="仿宋_GB2312" w:cs="Times New Roman" w:hint="eastAsia"/>
          <w:color w:val="000000"/>
          <w:spacing w:val="-2"/>
          <w:sz w:val="32"/>
          <w:szCs w:val="32"/>
          <w:lang w:val="en-US" w:eastAsia="zh-CN"/>
        </w:rPr>
        <w:t>3</w:t>
      </w:r>
      <w:r>
        <w:rPr>
          <w:rFonts w:ascii="仿宋_GB2312" w:eastAsia="仿宋_GB2312" w:cs="Times New Roman" w:hint="eastAsia"/>
          <w:color w:val="000000"/>
          <w:spacing w:val="-2"/>
          <w:sz w:val="32"/>
          <w:szCs w:val="32"/>
          <w:lang w:eastAsia="zh-CN"/>
        </w:rPr>
        <w:t>个，单位内设机构有办公室、业务股、旅游股、非遗股、体育股、财务股。</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r>
        <w:rPr>
          <w:rFonts w:ascii="仿宋_GB2312" w:eastAsia="仿宋_GB2312" w:cs="仿宋_GB2312" w:hint="eastAsia"/>
          <w:b/>
          <w:bCs/>
          <w:snapToGrid/>
          <w:color w:val="000000"/>
          <w:spacing w:val="34"/>
          <w:w w:val="100"/>
          <w:kern w:val="2"/>
          <w:sz w:val="32"/>
          <w:szCs w:val="32"/>
          <w:lang w:val="zh-CN"/>
        </w:rPr>
        <w:t>（二）机构职能</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bookmarkStart w:id="76" w:name="_Toc28385"/>
      <w:r>
        <w:rPr>
          <w:rFonts w:ascii="仿宋_GB2312" w:eastAsia="仿宋_GB2312" w:cs="Times New Roman" w:hint="eastAsia"/>
          <w:color w:val="000000"/>
          <w:spacing w:val="-2"/>
          <w:sz w:val="32"/>
          <w:szCs w:val="32"/>
          <w:lang w:val="en-US" w:eastAsia="zh-CN"/>
        </w:rPr>
        <w:t>1.贯彻国家有关文化体育和旅游管理的法律法规和方针政策,制定我单位的各项管理制度,统一管理；</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2.负责对外联络和协调工作,及时反映职工意见,提供准确信息,做好上传下达工作；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3.负责文秘、文书档案,政务信息,保密等工作；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4.负责会议的准备、组织、总务、后勤管理工作；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5.负责局支部日常工作,党风廉政建设、纪检工作；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6.工会工作；负责财务工作,负责组织、人事和社会保障,档案管理工作；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7.负责机密文电、信件的传递工作；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8.负责受理和接待群众的来信来访,转办和协调来访案件;</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9.负责社会治安综合治理及精神文明建设日常工作;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10.维护景区和社会稳定工作;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11.负责游客关于景区情况的咨询介绍工作；</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12.负责协调或处理在景区内发生的旅游投诉事宜。</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Mongolian Baiti" w:eastAsia="黑体" w:cs="Mongolian Baiti" w:hAnsi="Mongolian Baiti" w:hint="eastAsia"/>
          <w:color w:val="auto"/>
          <w:kern w:val="2"/>
          <w:sz w:val="32"/>
          <w:szCs w:val="32"/>
          <w:u w:val="none"/>
          <w:vertAlign w:val="baseline"/>
          <w:lang w:val="en-US" w:eastAsia="zh-CN" w:bidi="ar-SA"/>
        </w:rPr>
      </w:pPr>
      <w:r>
        <w:rPr>
          <w:rFonts w:ascii="仿宋_GB2312" w:eastAsia="仿宋_GB2312" w:cs="仿宋_GB2312" w:hint="eastAsia"/>
          <w:b/>
          <w:bCs/>
          <w:snapToGrid/>
          <w:color w:val="000000"/>
          <w:spacing w:val="34"/>
          <w:w w:val="100"/>
          <w:kern w:val="2"/>
          <w:sz w:val="32"/>
          <w:szCs w:val="32"/>
          <w:lang w:val="zh-CN"/>
        </w:rPr>
        <w:t>（三）人员概况</w:t>
      </w:r>
      <w:bookmarkEnd w:id="76"/>
    </w:p>
    <w:p>
      <w:pPr>
        <w:keepNext w:val="0"/>
        <w:keepLines w:val="0"/>
        <w:pageBreakBefore w:val="0"/>
        <w:widowControl w:val="0"/>
        <w:suppressLineNumbers w:val="0"/>
        <w:tabs>
          <w:tab w:val="left" w:pos="0"/>
        </w:tabs>
        <w:suppressAutoHyphens w:val="0"/>
        <w:kinsoku/>
        <w:wordWrap/>
        <w:overflowPunct/>
        <w:topLinePunct w:val="0"/>
        <w:autoSpaceDE/>
        <w:autoSpaceDN w:val="0"/>
        <w:bidi w:val="0"/>
        <w:adjustRightInd/>
        <w:snapToGrid/>
        <w:spacing w:before="0" w:beforeAutospacing="0" w:after="0" w:afterAutospacing="0" w:line="576" w:lineRule="exact"/>
        <w:ind w:leftChars="200" w:left="420" w:right="0"/>
        <w:jc w:val="both"/>
        <w:textAlignment w:val="auto"/>
        <w:outlineLvl w:val="0"/>
        <w:rPr>
          <w:rFonts w:ascii="仿宋" w:eastAsia="仿宋"/>
          <w:color w:val="000000"/>
          <w:sz w:val="32"/>
          <w:szCs w:val="32"/>
        </w:rPr>
      </w:pPr>
      <w:r>
        <w:rPr>
          <w:rFonts w:ascii="仿宋" w:eastAsia="仿宋"/>
          <w:color w:val="000000"/>
          <w:sz w:val="32"/>
          <w:szCs w:val="32"/>
        </w:rPr>
        <w:t>2022年末在职33人（参公人员7人，公务员5人，机关工勤1人，参公工勤5人，事业人员14人，事业工勤1人。）</w:t>
      </w:r>
    </w:p>
    <w:p>
      <w:pPr>
        <w:keepNext w:val="0"/>
        <w:keepLines w:val="0"/>
        <w:pageBreakBefore w:val="0"/>
        <w:widowControl w:val="0"/>
        <w:suppressLineNumbers w:val="0"/>
        <w:tabs>
          <w:tab w:val="left" w:pos="0"/>
        </w:tabs>
        <w:suppressAutoHyphens w:val="0"/>
        <w:kinsoku/>
        <w:wordWrap/>
        <w:overflowPunct/>
        <w:topLinePunct w:val="0"/>
        <w:autoSpaceDE/>
        <w:autoSpaceDN w:val="0"/>
        <w:bidi w:val="0"/>
        <w:adjustRightInd/>
        <w:snapToGrid/>
        <w:spacing w:before="0" w:beforeAutospacing="0" w:after="0" w:afterAutospacing="0" w:line="576" w:lineRule="exact"/>
        <w:ind w:leftChars="200" w:left="420" w:right="0"/>
        <w:jc w:val="both"/>
        <w:textAlignment w:val="auto"/>
        <w:outlineLvl w:val="0"/>
        <w:rPr>
          <w:rFonts w:ascii="Mongolian Baiti" w:eastAsia="黑体" w:cs="Mongolian Baiti" w:hAnsi="Mongolian Baiti" w:hint="eastAsia"/>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部门财政资金收支情况</w:t>
      </w:r>
    </w:p>
    <w:p>
      <w:pPr>
        <w:keepNext w:val="0"/>
        <w:keepLines w:val="0"/>
        <w:pageBreakBefore w:val="0"/>
        <w:widowControl/>
        <w:numPr>
          <w:ilvl w:val="0"/>
          <w:numId w:val="2"/>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部分财政资金收入情况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cs="Times New Roman" w:hint="eastAsia"/>
          <w:color w:val="000000"/>
          <w:sz w:val="32"/>
          <w:szCs w:val="32"/>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2</w:t>
      </w:r>
      <w:r>
        <w:rPr>
          <w:rFonts w:ascii="仿宋" w:eastAsia="仿宋" w:cs="Times New Roman" w:hint="eastAsia"/>
          <w:color w:val="000000"/>
          <w:sz w:val="32"/>
          <w:szCs w:val="32"/>
        </w:rPr>
        <w:t>年预算收入合计</w:t>
      </w:r>
      <w:r>
        <w:rPr>
          <w:rFonts w:ascii="仿宋" w:eastAsia="仿宋" w:cs="Times New Roman" w:hint="eastAsia"/>
          <w:color w:val="000000"/>
          <w:sz w:val="32"/>
          <w:szCs w:val="32"/>
          <w:lang w:val="en-US" w:eastAsia="zh-CN"/>
        </w:rPr>
        <w:t>2989.55</w:t>
      </w:r>
      <w:r>
        <w:rPr>
          <w:rFonts w:ascii="仿宋" w:eastAsia="仿宋" w:cs="Times New Roman" w:hint="eastAsia"/>
          <w:color w:val="000000"/>
          <w:sz w:val="32"/>
          <w:szCs w:val="32"/>
        </w:rPr>
        <w:t>万元（其中，本年一般公共预算拨款收入</w:t>
      </w:r>
      <w:r>
        <w:rPr>
          <w:rFonts w:ascii="仿宋" w:eastAsia="仿宋" w:cs="Times New Roman" w:hint="eastAsia"/>
          <w:color w:val="000000"/>
          <w:sz w:val="32"/>
          <w:szCs w:val="32"/>
          <w:lang w:val="en-US" w:eastAsia="zh-CN"/>
        </w:rPr>
        <w:t>2858.40</w:t>
      </w:r>
      <w:r>
        <w:rPr>
          <w:rFonts w:ascii="仿宋" w:eastAsia="仿宋" w:cs="Times New Roman" w:hint="eastAsia"/>
          <w:color w:val="000000"/>
          <w:sz w:val="32"/>
          <w:szCs w:val="32"/>
        </w:rPr>
        <w:t>万元，上年结转一般公共预算拨款收入0.00万元）。</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cs="Times New Roman" w:hint="eastAsia"/>
          <w:color w:val="000000"/>
          <w:sz w:val="32"/>
          <w:szCs w:val="32"/>
        </w:rPr>
      </w:pPr>
      <w:r>
        <w:rPr>
          <w:rFonts w:ascii="仿宋" w:eastAsia="仿宋" w:cs="Times New Roman" w:hint="eastAsia"/>
          <w:color w:val="000000"/>
          <w:sz w:val="32"/>
          <w:szCs w:val="32"/>
        </w:rPr>
        <w:t>决算收入总计</w:t>
      </w:r>
      <w:r>
        <w:rPr>
          <w:rFonts w:ascii="仿宋" w:eastAsia="仿宋" w:cs="Times New Roman" w:hint="eastAsia"/>
          <w:color w:val="000000"/>
          <w:sz w:val="32"/>
          <w:szCs w:val="32"/>
          <w:lang w:val="en-US" w:eastAsia="zh-CN"/>
        </w:rPr>
        <w:t>2989.55</w:t>
      </w:r>
      <w:r>
        <w:rPr>
          <w:rFonts w:ascii="仿宋" w:eastAsia="仿宋" w:cs="Times New Roman" w:hint="eastAsia"/>
          <w:color w:val="000000"/>
          <w:sz w:val="32"/>
          <w:szCs w:val="32"/>
        </w:rPr>
        <w:t>万元，其中本年收入合计</w:t>
      </w:r>
      <w:r>
        <w:rPr>
          <w:rFonts w:ascii="仿宋" w:eastAsia="仿宋" w:cs="Times New Roman" w:hint="eastAsia"/>
          <w:color w:val="000000"/>
          <w:sz w:val="32"/>
          <w:szCs w:val="32"/>
          <w:lang w:val="en-US" w:eastAsia="zh-CN"/>
        </w:rPr>
        <w:t>2989.55</w:t>
      </w:r>
      <w:r>
        <w:rPr>
          <w:rFonts w:ascii="仿宋" w:eastAsia="仿宋" w:cs="Times New Roman" w:hint="eastAsia"/>
          <w:color w:val="000000"/>
          <w:sz w:val="32"/>
          <w:szCs w:val="32"/>
        </w:rPr>
        <w:t>万元（本年收入中：一般预算拨款收入</w:t>
      </w:r>
      <w:r>
        <w:rPr>
          <w:rFonts w:ascii="仿宋" w:eastAsia="仿宋" w:cs="Times New Roman" w:hint="eastAsia"/>
          <w:color w:val="000000"/>
          <w:sz w:val="32"/>
          <w:szCs w:val="32"/>
          <w:lang w:val="en-US" w:eastAsia="zh-CN"/>
        </w:rPr>
        <w:t>2858.40</w:t>
      </w:r>
      <w:r>
        <w:rPr>
          <w:rFonts w:ascii="仿宋" w:eastAsia="仿宋" w:cs="Times New Roman" w:hint="eastAsia"/>
          <w:color w:val="000000"/>
          <w:sz w:val="32"/>
          <w:szCs w:val="32"/>
        </w:rPr>
        <w:t>万元，政府性基金预算财政拨款收入0.00万元）。调整职业年金基数、年中调整住房公积金等缴费基数，所以决算数比预算数高</w:t>
      </w:r>
    </w:p>
    <w:p>
      <w:pPr>
        <w:keepNext w:val="0"/>
        <w:keepLines w:val="0"/>
        <w:pageBreakBefore w:val="0"/>
        <w:widowControl/>
        <w:numPr>
          <w:ilvl w:val="0"/>
          <w:numId w:val="2"/>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zh-CN" w:eastAsia="zh-CN"/>
        </w:rPr>
      </w:pPr>
      <w:r>
        <w:rPr>
          <w:rFonts w:ascii="仿宋_GB2312" w:eastAsia="仿宋_GB2312" w:cs="仿宋_GB2312" w:hint="eastAsia"/>
          <w:b/>
          <w:bCs/>
          <w:snapToGrid/>
          <w:color w:val="000000"/>
          <w:spacing w:val="34"/>
          <w:w w:val="100"/>
          <w:kern w:val="2"/>
          <w:sz w:val="32"/>
          <w:szCs w:val="32"/>
          <w:lang w:val="en-US" w:eastAsia="zh-CN"/>
        </w:rPr>
        <w:t>部门财政资金</w:t>
      </w:r>
      <w:r>
        <w:rPr>
          <w:rFonts w:ascii="仿宋_GB2312" w:eastAsia="仿宋_GB2312" w:cs="仿宋_GB2312" w:hint="eastAsia"/>
          <w:b/>
          <w:bCs/>
          <w:snapToGrid/>
          <w:color w:val="000000"/>
          <w:spacing w:val="34"/>
          <w:w w:val="100"/>
          <w:kern w:val="2"/>
          <w:sz w:val="32"/>
          <w:szCs w:val="32"/>
          <w:lang w:val="zh-CN" w:eastAsia="zh-CN"/>
        </w:rPr>
        <w:t>支出情况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cs="Times New Roman" w:hint="eastAsia"/>
          <w:color w:val="000000"/>
          <w:sz w:val="32"/>
          <w:szCs w:val="32"/>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2</w:t>
      </w:r>
      <w:r>
        <w:rPr>
          <w:rFonts w:ascii="仿宋" w:eastAsia="仿宋" w:cs="Times New Roman" w:hint="eastAsia"/>
          <w:color w:val="000000"/>
          <w:sz w:val="32"/>
          <w:szCs w:val="32"/>
        </w:rPr>
        <w:t>年决算支出合计</w:t>
      </w:r>
      <w:r>
        <w:rPr>
          <w:rFonts w:ascii="仿宋" w:eastAsia="仿宋" w:cs="Times New Roman" w:hint="eastAsia"/>
          <w:color w:val="000000"/>
          <w:sz w:val="32"/>
          <w:szCs w:val="32"/>
          <w:lang w:val="en-US" w:eastAsia="zh-CN"/>
        </w:rPr>
        <w:t>2989.55</w:t>
      </w:r>
      <w:r>
        <w:rPr>
          <w:rFonts w:ascii="仿宋" w:eastAsia="仿宋" w:cs="Times New Roman" w:hint="eastAsia"/>
          <w:color w:val="000000"/>
          <w:sz w:val="32"/>
          <w:szCs w:val="32"/>
        </w:rPr>
        <w:t>万元，其中基本支出</w:t>
      </w:r>
      <w:r>
        <w:rPr>
          <w:rFonts w:ascii="仿宋" w:eastAsia="仿宋" w:cs="Times New Roman" w:hint="eastAsia"/>
          <w:color w:val="000000"/>
          <w:sz w:val="32"/>
          <w:szCs w:val="32"/>
          <w:lang w:val="en-US" w:eastAsia="zh-CN"/>
        </w:rPr>
        <w:t>728.69</w:t>
      </w:r>
      <w:r>
        <w:rPr>
          <w:rFonts w:ascii="仿宋" w:eastAsia="仿宋" w:cs="Times New Roman" w:hint="eastAsia"/>
          <w:color w:val="000000"/>
          <w:sz w:val="32"/>
          <w:szCs w:val="32"/>
        </w:rPr>
        <w:t>万元。</w:t>
      </w:r>
    </w:p>
    <w:p>
      <w:pPr>
        <w:keepNext w:val="0"/>
        <w:keepLines w:val="0"/>
        <w:pageBreakBefore w:val="0"/>
        <w:widowControl w:val="0"/>
        <w:numPr>
          <w:ilvl w:val="0"/>
          <w:numId w:val="3"/>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部门整体预算绩效管理情况</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（一）预算编制情况。</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严格按照县级部门预算编制通知和有关要求，按时完成基础库、项目库报送工作，按时完成2022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en-US" w:eastAsia="zh-CN"/>
        </w:rPr>
        <w:t xml:space="preserve">  </w:t>
      </w:r>
      <w:r>
        <w:rPr>
          <w:rFonts w:ascii="仿宋_GB2312" w:eastAsia="仿宋_GB2312" w:cs="Times New Roman" w:hint="eastAsia"/>
          <w:color w:val="000000"/>
          <w:spacing w:val="-2"/>
          <w:sz w:val="32"/>
          <w:szCs w:val="32"/>
          <w:lang w:val="zh-CN" w:eastAsia="zh-CN"/>
        </w:rPr>
        <w:t>（二）执行管理情况。</w:t>
        <w:tab/>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我局</w:t>
      </w:r>
      <w:r>
        <w:rPr>
          <w:rFonts w:ascii="仿宋_GB2312" w:eastAsia="仿宋_GB2312" w:cs="Times New Roman" w:hint="eastAsia"/>
          <w:color w:val="000000"/>
          <w:spacing w:val="-2"/>
          <w:sz w:val="32"/>
          <w:szCs w:val="32"/>
          <w:lang w:val="en-US" w:eastAsia="zh-CN"/>
        </w:rPr>
        <w:t>2022年</w:t>
      </w:r>
      <w:r>
        <w:rPr>
          <w:rFonts w:ascii="仿宋_GB2312" w:eastAsia="仿宋_GB2312" w:cs="Times New Roman" w:hint="eastAsia"/>
          <w:color w:val="000000"/>
          <w:spacing w:val="-2"/>
          <w:sz w:val="32"/>
          <w:szCs w:val="32"/>
          <w:lang w:val="zh-CN" w:eastAsia="zh-CN"/>
        </w:rPr>
        <w:t>按要求严格预算执行管理，按规定及时分配财力专项预算，按规定在一个月内分配上级专款，严格执行“三公经费”预算，</w:t>
      </w:r>
      <w:r>
        <w:rPr>
          <w:rFonts w:ascii="仿宋_GB2312" w:eastAsia="仿宋_GB2312" w:cs="Times New Roman" w:hint="eastAsia"/>
          <w:color w:val="000000"/>
          <w:spacing w:val="-2"/>
          <w:sz w:val="32"/>
          <w:szCs w:val="32"/>
          <w:lang w:val="en-US" w:eastAsia="zh-CN"/>
        </w:rPr>
        <w:t>，2022年共计3.0万元公务用车运行维护费。主要用于车胎更换，旅游环境资源普查、景区统计加油及下乡出差加油</w:t>
      </w:r>
      <w:r>
        <w:rPr>
          <w:rFonts w:ascii="仿宋_GB2312" w:eastAsia="仿宋_GB2312" w:cs="Times New Roman" w:hint="eastAsia"/>
          <w:color w:val="000000"/>
          <w:spacing w:val="-2"/>
          <w:sz w:val="32"/>
          <w:szCs w:val="32"/>
          <w:lang w:val="zh-CN" w:eastAsia="zh-CN"/>
        </w:rPr>
        <w:t>无超预算支出，</w:t>
      </w:r>
      <w:r>
        <w:rPr>
          <w:rFonts w:ascii="仿宋_GB2312" w:eastAsia="仿宋_GB2312" w:cs="Times New Roman" w:hint="eastAsia"/>
          <w:color w:val="000000"/>
          <w:spacing w:val="-2"/>
          <w:sz w:val="32"/>
          <w:szCs w:val="32"/>
          <w:lang w:val="en-US" w:eastAsia="zh-CN"/>
        </w:rPr>
        <w:t>无公务接待费支出。</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（三）综合管理情况。</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202</w:t>
      </w: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val="zh-CN" w:eastAsia="zh-CN"/>
        </w:rPr>
        <w:t>年我</w:t>
      </w:r>
      <w:r>
        <w:rPr>
          <w:rFonts w:ascii="仿宋_GB2312" w:eastAsia="仿宋_GB2312" w:cs="Times New Roman" w:hint="eastAsia"/>
          <w:color w:val="000000"/>
          <w:spacing w:val="-2"/>
          <w:sz w:val="32"/>
          <w:szCs w:val="32"/>
          <w:lang w:val="en-US" w:eastAsia="zh-CN"/>
        </w:rPr>
        <w:t>单位</w:t>
      </w:r>
      <w:r>
        <w:rPr>
          <w:rFonts w:ascii="仿宋_GB2312" w:eastAsia="仿宋_GB2312" w:cs="Times New Roman" w:hint="eastAsia"/>
          <w:color w:val="000000"/>
          <w:spacing w:val="-2"/>
          <w:sz w:val="32"/>
          <w:szCs w:val="32"/>
          <w:lang w:val="zh-CN" w:eastAsia="zh-CN"/>
        </w:rPr>
        <w:t>建立健全了内部控制制度，并严格执行；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202</w:t>
      </w: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val="zh-CN" w:eastAsia="zh-CN"/>
        </w:rPr>
        <w:t>年我单位根据部门职能职责，认真完成县委县政府安排的各项专项工作任务及其他年度重点工作任务。</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（四）整体绩效。</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2022年我局全面完成各项绩效目标，具体如下：</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贯彻国家、省、州有关旅游业的法律法规规章政策，制定旅游发展政策规划，并组织实施；研究拟订旅游市场开发战略，培育完善旅游开发市场；组织全县旅游行业整体形象宣传；组织全县的旅游资源的普查，规划指导协调旅游资源开发保护，负责全县旅游统计工作；监督旅游市场秩序和服务质量，负责重大旅游安全事故的救援与处理，协同有关部门协调交通运输；规划指导全县的旅游教育培训工作，贯彻实施旅游从业人员的职业资格制度和等级制度等。</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四、评价结论及建议</w:t>
      </w:r>
    </w:p>
    <w:p>
      <w:pPr>
        <w:spacing w:line="600" w:lineRule="exact"/>
        <w:ind w:firstLineChars="200" w:firstLine="632"/>
        <w:outlineLvl w:val="1"/>
        <w:rPr>
          <w:rFonts w:ascii="仿宋_GB2312" w:eastAsia="仿宋_GB2312" w:cs="Times New Roman"/>
          <w:color w:val="000000"/>
          <w:spacing w:val="-2"/>
          <w:sz w:val="32"/>
          <w:szCs w:val="32"/>
          <w:lang w:val="en-US" w:eastAsia="zh-CN"/>
        </w:rPr>
      </w:pPr>
      <w:r>
        <w:rPr>
          <w:rFonts w:ascii="仿宋_GB2312" w:eastAsia="仿宋_GB2312" w:cs="Times New Roman" w:hint="eastAsia"/>
          <w:color w:val="000000"/>
          <w:spacing w:val="-2"/>
          <w:sz w:val="32"/>
          <w:szCs w:val="32"/>
          <w:lang w:val="zh-CN" w:eastAsia="zh-CN"/>
        </w:rPr>
        <w:t>一、</w:t>
      </w:r>
      <w:r>
        <w:rPr>
          <w:rFonts w:ascii="仿宋_GB2312" w:eastAsia="仿宋_GB2312" w:cs="Times New Roman" w:hint="eastAsia"/>
          <w:color w:val="000000"/>
          <w:spacing w:val="-2"/>
          <w:sz w:val="32"/>
          <w:szCs w:val="32"/>
          <w:lang w:val="en-US" w:eastAsia="zh-CN"/>
        </w:rPr>
        <w:t>评价结论</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我单位严格执行支出绩效评价，自评打分96分，部门整体绩效运行良好。</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存在问题</w:t>
      </w:r>
    </w:p>
    <w:p>
      <w:pPr>
        <w:spacing w:line="600" w:lineRule="exact"/>
        <w:ind w:firstLineChars="200" w:firstLine="632"/>
        <w:outlineLvl w:val="1"/>
        <w:rPr>
          <w:rFonts w:ascii="仿宋_GB2312" w:eastAsia="仿宋_GB2312" w:cs="Times New Roman"/>
          <w:color w:val="000000"/>
          <w:spacing w:val="-2"/>
          <w:sz w:val="32"/>
          <w:szCs w:val="32"/>
          <w:lang w:val="en-US" w:eastAsia="zh-CN"/>
        </w:rPr>
      </w:pPr>
      <w:r>
        <w:rPr>
          <w:rFonts w:ascii="仿宋_GB2312" w:eastAsia="仿宋_GB2312" w:cs="Times New Roman" w:hint="eastAsia"/>
          <w:color w:val="000000"/>
          <w:spacing w:val="-2"/>
          <w:sz w:val="32"/>
          <w:szCs w:val="32"/>
          <w:lang w:val="zh-CN" w:eastAsia="zh-CN"/>
        </w:rPr>
        <w:t>整体绩效目标不够完整，数量指标不易准确量化年初编制的整体绩效目标编制要素不够完善，缺少成本控制等指标，目标编制不够科学合理；数量指标不易准确量化且偏少。</w:t>
      </w:r>
    </w:p>
    <w:p>
      <w:pPr>
        <w:spacing w:line="600" w:lineRule="exact"/>
        <w:ind w:firstLineChars="200" w:firstLine="632"/>
        <w:outlineLvl w:val="1"/>
        <w:rPr>
          <w:rFonts w:ascii="仿宋_GB2312" w:eastAsia="仿宋_GB2312" w:cs="Times New Roman"/>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三、改进建议</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预算编制还需进一步细化，针对我局预算存在的问题，提出以下建议：</w:t>
      </w:r>
    </w:p>
    <w:p>
      <w:pPr>
        <w:spacing w:line="600" w:lineRule="exact"/>
        <w:ind w:firstLineChars="200" w:firstLine="632"/>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要提高决算人员的业务水平，各地要将业务骨干充实到决算工作队伍来，加强学习、培训，提高业务水平；二是在人力、财力、物力等方面给予充分保障，为完成决算工作提供坚强有力的组织保障；三是要提升单位财务人员的业务素质，财政部门要开展多渠道，多形式的业务知识培训，使单位编制决算的财务人员熟练掌握编报方法和内容，为做好决算工作打下扎实基础。</w:t>
      </w: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val="zh-CN" w:eastAsia="zh-CN"/>
        </w:rPr>
        <w:t>、遵循先有预算、后有支出的原则，加强财务管理和内部控制监督制度。严禁超预算和无预算安排支出，严格开支范围和标准，严格支出报销审核，不报销任何超范围、超标准的费用。 </w:t>
      </w:r>
    </w:p>
    <w:p>
      <w:r>
        <w:rPr>
          <w:rFonts w:ascii="仿宋_GB2312" w:eastAsia="仿宋_GB2312" w:cs="Times New Roman" w:hint="eastAsia"/>
          <w:color w:val="000000"/>
          <w:spacing w:val="-2"/>
          <w:sz w:val="32"/>
          <w:szCs w:val="32"/>
          <w:lang w:val="en-US" w:eastAsia="zh-CN"/>
        </w:rPr>
        <w:t xml:space="preserve">   3</w:t>
      </w:r>
      <w:r>
        <w:rPr>
          <w:rFonts w:ascii="仿宋_GB2312" w:eastAsia="仿宋_GB2312" w:cs="Times New Roman" w:hint="eastAsia"/>
          <w:color w:val="000000"/>
          <w:spacing w:val="-2"/>
          <w:sz w:val="32"/>
          <w:szCs w:val="32"/>
          <w:lang w:val="zh-CN" w:eastAsia="zh-CN"/>
        </w:rPr>
        <w:t>、严格控制“三公”经费。认真贯彻落实中央、省委省政府和县委县政府相关规定，严格“三公”经费支出的审核和审批，合理压缩“三公”经费支出。</w:t>
      </w:r>
    </w:p>
    <w:p>
      <w:pPr>
        <w:pStyle w:val="16"/>
      </w:pPr>
      <w:r>
        <w:rPr>
          <w:rFonts w:hint="eastAsia"/>
        </w:rPr>
        <w:t xml:space="preserve"> </w:t>
      </w:r>
    </w:p>
    <w:p>
      <w:pPr>
        <w:pStyle w:val="1"/>
        <w:jc w:val="center"/>
        <w:rPr>
          <w:rFonts w:ascii="黑体" w:eastAsia="黑体" w:cs="黑体"/>
        </w:rPr>
      </w:pPr>
      <w:bookmarkStart w:id="77" w:name="_Toc111208512"/>
      <w:bookmarkStart w:id="78" w:name="_Toc79163635"/>
      <w:bookmarkStart w:id="79" w:name="_Toc3397"/>
      <w:bookmarkStart w:id="80" w:name="_Toc79163885"/>
      <w:r>
        <w:rPr>
          <w:rFonts w:ascii="黑体" w:eastAsia="黑体" w:cs="黑体" w:hint="eastAsia"/>
        </w:rPr>
        <w:t>第五部分 附表</w:t>
      </w:r>
      <w:bookmarkEnd w:id="77"/>
      <w:bookmarkEnd w:id="78"/>
      <w:bookmarkEnd w:id="79"/>
      <w:bookmarkEnd w:id="80"/>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一、收入支出决算总表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二、收入决算表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三、支出决算表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四、财政拨款收入支出决算总表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五、财政拨款支出决算明细表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六、一般公共预算财政拨款支出决算表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七、一般公共预算财政拨款支出决算明细表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八、一般公共预算财政拨款基本支出决算表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九、一般公共预算财政拨款项目支出决算表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十、政府性基金预算财政拨款收入支出决算表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十一、国有资本经营预算财政拨款收入支出决算表</w:t>
      </w:r>
    </w:p>
    <w:p>
      <w:pPr>
        <w:pStyle w:val="2"/>
        <w:ind w:firstLineChars="200" w:firstLine="640"/>
        <w:rPr>
          <w:rFonts w:ascii="黑体" w:eastAsia="黑体" w:cs="Times New Roman" w:hint="eastAsia"/>
          <w:bCs w:val="0"/>
          <w:color w:val="000000"/>
        </w:rPr>
      </w:pPr>
      <w:r>
        <w:rPr>
          <w:rFonts w:ascii="黑体" w:eastAsia="黑体" w:cs="Times New Roman" w:hint="eastAsia"/>
          <w:bCs w:val="0"/>
          <w:color w:val="000000"/>
        </w:rPr>
        <w:t>十二、国有资本经营预算财政拨款支出决算表</w:t>
      </w:r>
    </w:p>
    <w:p>
      <w:pPr>
        <w:pStyle w:val="2"/>
        <w:ind w:firstLineChars="200" w:firstLine="640"/>
        <w:rPr>
          <w:rFonts w:ascii="黑体" w:eastAsia="黑体" w:cs="Times New Roman"/>
          <w:b w:val="0"/>
          <w:color w:val="000000"/>
        </w:rPr>
      </w:pPr>
      <w:r>
        <w:rPr>
          <w:rFonts w:ascii="黑体" w:eastAsia="黑体" w:cs="Times New Roman" w:hint="eastAsia"/>
          <w:bCs w:val="0"/>
          <w:color w:val="000000"/>
        </w:rPr>
        <w:t>十三、财政拨款“三公”经费支出决算表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50"/>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方正小标宋简体">
    <w:altName w:val="AR PL UKai CN"/>
    <w:panose1 w:val="02000000000000000000"/>
    <w:charset w:val="86"/>
    <w:family w:val="script"/>
    <w:pitch w:val="variable"/>
    <w:sig w:usb0="00000001" w:usb1="08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Mongolian Baiti">
    <w:altName w:val="DejaVu Sans"/>
    <w:panose1 w:val="03000500000000000000"/>
    <w:charset w:val="00"/>
    <w:family w:val="auto"/>
    <w:pitch w:val="variable"/>
    <w:sig w:usb0="80000023" w:usb1="00000000" w:usb2="00020000" w:usb3="00000000" w:csb0="0000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297418129"/>
    </w:sdtPr>
    <w:sdtContent>
      <w:p>
        <w:pPr>
          <w:pStyle w:val="21"/>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3EA9BC8"/>
    <w:multiLevelType w:val="singleLevel"/>
    <w:tmpl w:val="A3EA9BC8"/>
    <w:lvl w:ilvl="0">
      <w:start w:val="4"/>
      <w:numFmt w:val="chineseCounting"/>
      <w:lvlRestart w:val="0"/>
      <w:suff w:val="space"/>
      <w:lvlText w:val="第%1部分"/>
      <w:lvlJc w:val="left"/>
      <w:pPr>
        <w:tabs>
          <w:tab w:val="num" w:pos="0"/>
        </w:tabs>
        <w:ind w:left="0" w:hanging="0"/>
      </w:pPr>
      <w:rPr>
        <w:rFonts w:hint="eastAsia"/>
      </w:rPr>
    </w:lvl>
  </w:abstractNum>
  <w:abstractNum w:abstractNumId="1">
    <w:nsid w:val="8BD8C466"/>
    <w:multiLevelType w:val="singleLevel"/>
    <w:tmpl w:val="8BD8C466"/>
    <w:lvl w:ilvl="0">
      <w:start w:val="1"/>
      <w:numFmt w:val="chineseCounting"/>
      <w:lvlRestart w:val="0"/>
      <w:suff w:val="nothing"/>
      <w:lvlText w:val="（%1）"/>
      <w:lvlJc w:val="left"/>
      <w:pPr>
        <w:tabs>
          <w:tab w:val="num" w:pos="0"/>
        </w:tabs>
        <w:ind w:left="0" w:hanging="0"/>
      </w:pPr>
      <w:rPr>
        <w:rFonts w:hint="eastAsia"/>
      </w:rPr>
    </w:lvl>
  </w:abstractNum>
  <w:abstractNum w:abstractNumId="2">
    <w:nsid w:val="02CAF503"/>
    <w:multiLevelType w:val="singleLevel"/>
    <w:tmpl w:val="02CAF503"/>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NzA4Mzc3Nzk5Mzk3ZjM3ZmU5MzM5ZmFkNWJlYmY5OD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Normal Indent"/>
    <w:basedOn w:val="0"/>
    <w:pPr>
      <w:ind w:firstLine="680"/>
    </w:pPr>
  </w:style>
  <w:style w:type="paragraph" w:styleId="17">
    <w:name w:val="annotation text"/>
    <w:basedOn w:val="0"/>
    <w:pPr>
      <w:jc w:val="left"/>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character" w:styleId="27">
    <w:name w:val="annotation reference"/>
    <w:basedOn w:val="10"/>
    <w:rPr>
      <w:sz w:val="21"/>
      <w:szCs w:val="21"/>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3764.97</c:v>
                </c:pt>
                <c:pt idx="1">
                  <c:v>2989.55</c:v>
                </c:pt>
              </c:numCache>
            </c:numRef>
          </c:val>
        </c:ser>
        <c:ser>
          <c:idx val="2"/>
          <c:order val="1"/>
          <c:tx>
            <c:v>支出</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3764.97</c:v>
                </c:pt>
                <c:pt idx="1">
                  <c:v>2989.55</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ln>
              <a:noFill/>
            </a:ln>
          </c:spPr>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2.858404387E7</c:v>
                </c:pt>
                <c:pt idx="1">
                  <c:v>1311500.0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ln>
              <a:noFill/>
            </a:ln>
          </c:spPr>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7286948.05</c:v>
                </c:pt>
                <c:pt idx="1">
                  <c:v>2.260859582E7</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3764.97</c:v>
                </c:pt>
                <c:pt idx="1">
                  <c:v>2989.55</c:v>
                </c:pt>
              </c:numCache>
            </c:numRef>
          </c:val>
        </c:ser>
        <c:ser>
          <c:idx val="2"/>
          <c:order val="1"/>
          <c:tx>
            <c:v>支出</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2021</c:v>
                </c:pt>
                <c:pt idx="1">
                  <c:v>2022</c:v>
                </c:pt>
              </c:numCache>
            </c:numRef>
          </c:cat>
          <c:val>
            <c:numRef>
              <c:f/>
              <c:numCache>
                <c:formatCode>General</c:formatCode>
                <c:ptCount val="2"/>
                <c:pt idx="0">
                  <c:v>3764.97</c:v>
                </c:pt>
                <c:pt idx="1">
                  <c:v>2989.55</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2021</c:v>
          </c:tx>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3752.91</c:v>
                </c:pt>
              </c:numCache>
            </c:numRef>
          </c:val>
        </c:ser>
        <c:ser>
          <c:idx val="2"/>
          <c:order val="1"/>
          <c:tx>
            <c:v>2022</c:v>
          </c:tx>
          <c:spPr>
            <a:solidFill>
              <a:srgbClr val="9BBB59"/>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2858.4</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a:ln>
              <a:noFill/>
            </a:ln>
          </c:spPr>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6"/>
              <c:pt idx="0">
                <c:v>文化旅游体育与传媒支出</c:v>
              </c:pt>
              <c:pt idx="1">
                <c:v>社会保障和就业支出</c:v>
              </c:pt>
              <c:pt idx="2">
                <c:v>卫生健康支出</c:v>
              </c:pt>
              <c:pt idx="3">
                <c:v>农林水支出</c:v>
              </c:pt>
              <c:pt idx="4">
                <c:v>住房保障支出</c:v>
              </c:pt>
              <c:pt idx="5">
                <c:v>其他支出</c:v>
              </c:pt>
            </c:strLit>
          </c:cat>
          <c:val>
            <c:numRef>
              <c:f/>
              <c:numCache>
                <c:formatCode>General</c:formatCode>
                <c:ptCount val="6"/>
                <c:pt idx="0">
                  <c:v>1742.06</c:v>
                </c:pt>
                <c:pt idx="1">
                  <c:v>81.47</c:v>
                </c:pt>
                <c:pt idx="2">
                  <c:v>35.48</c:v>
                </c:pt>
                <c:pt idx="3">
                  <c:v>889.2</c:v>
                </c:pt>
                <c:pt idx="4">
                  <c:v>45.31</c:v>
                </c:pt>
                <c:pt idx="5">
                  <c:v>64.88</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41</TotalTime>
  <Application>Yozo_Office27021597764231179</Application>
  <Pages>27</Pages>
  <Words>8893</Words>
  <Characters>10342</Characters>
  <Lines>503</Lines>
  <Paragraphs>169</Paragraphs>
  <CharactersWithSpaces>10408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pjf</dc:creator>
  <cp:lastModifiedBy>user</cp:lastModifiedBy>
  <cp:revision>42</cp:revision>
  <cp:lastPrinted>2023-08-30T07:14:00Z</cp:lastPrinted>
  <dcterms:created xsi:type="dcterms:W3CDTF">2023-08-18T07:28:00Z</dcterms:created>
  <dcterms:modified xsi:type="dcterms:W3CDTF">2023-09-21T02:13:22Z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2052-12.1.0.15404</vt:lpwstr>
  </property>
  <property fmtid="{D5CDD505-2E9C-101B-9397-08002B2CF9AE}" pid="3" name="ICV">
    <vt:lpwstr>B93CA6F4BEAD4F359769D1203595D585</vt:lpwstr>
  </property>
</Properties>
</file>