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8530"/>
      <w:bookmarkStart w:id="3" w:name="_Toc15396597"/>
      <w:bookmarkStart w:id="4" w:name="_Toc27643"/>
      <w:bookmarkStart w:id="5" w:name="_Toc15396475"/>
      <w:bookmarkStart w:id="6" w:name="_Toc15378441"/>
      <w:bookmarkStart w:id="7" w:name="_Toc15377425"/>
      <w:r>
        <w:rPr>
          <w:rFonts w:ascii="黑体" w:hAnsi="黑体" w:eastAsia="黑体"/>
          <w:color w:val="000000"/>
          <w:sz w:val="72"/>
          <w:szCs w:val="72"/>
        </w:rPr>
        <w:t>20</w:t>
      </w:r>
      <w:r>
        <w:rPr>
          <w:rFonts w:hint="eastAsia" w:ascii="黑体" w:hAnsi="黑体" w:eastAsia="黑体"/>
          <w:color w:val="000000"/>
          <w:sz w:val="72"/>
          <w:szCs w:val="72"/>
        </w:rPr>
        <w:t>20</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End w:id="7"/>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8" w:name="_Toc15396476"/>
      <w:bookmarkStart w:id="9" w:name="_Toc15306268"/>
      <w:bookmarkStart w:id="10" w:name="_Toc24702"/>
      <w:bookmarkStart w:id="11" w:name="_Toc15377194"/>
      <w:bookmarkStart w:id="12" w:name="_Toc28566"/>
      <w:bookmarkStart w:id="13" w:name="_Toc15377426"/>
      <w:bookmarkStart w:id="14" w:name="_Toc15396598"/>
      <w:bookmarkStart w:id="15" w:name="_Toc15378442"/>
      <w:r>
        <w:rPr>
          <w:rFonts w:hint="eastAsia" w:ascii="黑体" w:hAnsi="黑体" w:eastAsia="黑体"/>
          <w:color w:val="000000"/>
          <w:sz w:val="72"/>
          <w:szCs w:val="72"/>
        </w:rPr>
        <w:t xml:space="preserve">金川县文化体育和旅游局 </w:t>
      </w:r>
      <w:r>
        <w:rPr>
          <w:rFonts w:hint="eastAsia" w:ascii="方正小标宋简体" w:hAnsi="宋体" w:eastAsia="方正小标宋简体"/>
          <w:color w:val="000000"/>
          <w:sz w:val="72"/>
          <w:szCs w:val="72"/>
        </w:rPr>
        <w:t>部门决算</w:t>
      </w:r>
      <w:bookmarkEnd w:id="8"/>
      <w:bookmarkEnd w:id="9"/>
      <w:bookmarkEnd w:id="10"/>
      <w:bookmarkEnd w:id="11"/>
      <w:bookmarkEnd w:id="12"/>
      <w:bookmarkEnd w:id="13"/>
      <w:bookmarkEnd w:id="14"/>
      <w:bookmarkEnd w:id="15"/>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pStyle w:val="10"/>
      </w:pPr>
      <w:bookmarkStart w:id="16" w:name="_Toc15377196"/>
      <w:r>
        <w:rPr>
          <w:rFonts w:hint="eastAsia"/>
        </w:rPr>
        <w:fldChar w:fldCharType="begin"/>
      </w:r>
      <w:r>
        <w:rPr>
          <w:rFonts w:hint="eastAsia"/>
        </w:rPr>
        <w:instrText xml:space="preserve"> HYPERLINK \l "_Toc15396599" </w:instrText>
      </w:r>
      <w:r>
        <w:rPr>
          <w:rFonts w:hint="eastAsia"/>
        </w:rPr>
        <w:fldChar w:fldCharType="separate"/>
      </w:r>
      <w:r>
        <w:rPr>
          <w:rFonts w:hint="eastAsia"/>
        </w:rPr>
        <w:t>第一部分 部门概况</w:t>
      </w:r>
      <w:r>
        <w:rPr>
          <w:rFonts w:hint="eastAsia"/>
        </w:rPr>
        <w:tab/>
      </w:r>
      <w:r>
        <w:rPr>
          <w:rFonts w:hint="eastAsia"/>
        </w:rPr>
        <w:t>4</w:t>
      </w:r>
      <w:r>
        <w:rPr>
          <w:rFonts w:hint="eastAsia"/>
        </w:rPr>
        <w:fldChar w:fldCharType="end"/>
      </w:r>
    </w:p>
    <w:p>
      <w:pPr>
        <w:pStyle w:val="11"/>
        <w:rPr>
          <w:rFonts w:ascii="仿宋" w:hAnsi="仿宋" w:eastAsia="仿宋"/>
          <w:sz w:val="28"/>
          <w:szCs w:val="28"/>
        </w:rPr>
      </w:pPr>
      <w:r>
        <w:fldChar w:fldCharType="begin"/>
      </w:r>
      <w:r>
        <w:instrText xml:space="preserve"> HYPERLINK \l "_Toc15396600" </w:instrText>
      </w:r>
      <w:r>
        <w:fldChar w:fldCharType="separate"/>
      </w:r>
      <w:r>
        <w:rPr>
          <w:rFonts w:hint="eastAsia" w:ascii="仿宋" w:hAnsi="仿宋" w:eastAsia="仿宋"/>
          <w:sz w:val="28"/>
          <w:szCs w:val="28"/>
        </w:rPr>
        <w:t>一、基本职能及主要工作</w:t>
      </w:r>
      <w:r>
        <w:rPr>
          <w:rFonts w:hint="eastAsia"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"_Toc15396601" </w:instrText>
      </w:r>
      <w:r>
        <w:fldChar w:fldCharType="separate"/>
      </w:r>
      <w:r>
        <w:rPr>
          <w:rFonts w:hint="eastAsia" w:ascii="仿宋" w:hAnsi="仿宋" w:eastAsia="仿宋"/>
          <w:sz w:val="28"/>
          <w:szCs w:val="28"/>
        </w:rPr>
        <w:t>二、机构设置</w:t>
      </w:r>
      <w:r>
        <w:rPr>
          <w:rFonts w:hint="eastAsia" w:ascii="仿宋" w:hAnsi="仿宋" w:eastAsia="仿宋"/>
          <w:sz w:val="28"/>
          <w:szCs w:val="28"/>
        </w:rPr>
        <w:tab/>
      </w:r>
      <w:r>
        <w:rPr>
          <w:rFonts w:hint="eastAsia" w:ascii="仿宋" w:hAnsi="仿宋" w:eastAsia="仿宋"/>
          <w:sz w:val="28"/>
          <w:szCs w:val="28"/>
        </w:rPr>
        <w:t>5</w:t>
      </w:r>
      <w:r>
        <w:rPr>
          <w:rFonts w:hint="eastAsia"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Fonts w:hint="eastAsia"/>
        </w:rPr>
        <w:t>第二部分 部门决算情况说明</w:t>
      </w:r>
      <w:r>
        <w:rPr>
          <w:rFonts w:hint="eastAsia"/>
        </w:rPr>
        <w:tab/>
      </w:r>
      <w:r>
        <w:rPr>
          <w:rFonts w:hint="eastAsia"/>
        </w:rPr>
        <w:t>5</w:t>
      </w:r>
      <w:r>
        <w:rPr>
          <w:rFonts w:hint="eastAsia"/>
        </w:rPr>
        <w:fldChar w:fldCharType="end"/>
      </w:r>
    </w:p>
    <w:p>
      <w:pPr>
        <w:pStyle w:val="11"/>
        <w:rPr>
          <w:rFonts w:ascii="仿宋" w:hAnsi="仿宋" w:eastAsia="仿宋"/>
          <w:sz w:val="28"/>
          <w:szCs w:val="28"/>
        </w:rPr>
      </w:pPr>
      <w:r>
        <w:fldChar w:fldCharType="begin"/>
      </w:r>
      <w:r>
        <w:instrText xml:space="preserve"> HYPERLINK \l "_Toc15396603" </w:instrText>
      </w:r>
      <w:r>
        <w:fldChar w:fldCharType="separate"/>
      </w:r>
      <w:r>
        <w:rPr>
          <w:rFonts w:hint="eastAsia" w:ascii="仿宋" w:hAnsi="仿宋" w:eastAsia="仿宋"/>
          <w:sz w:val="28"/>
          <w:szCs w:val="28"/>
        </w:rPr>
        <w:t>一、收入支出决算总体情况说明</w:t>
      </w:r>
      <w:r>
        <w:rPr>
          <w:rFonts w:hint="eastAsia" w:ascii="仿宋" w:hAnsi="仿宋" w:eastAsia="仿宋"/>
          <w:sz w:val="28"/>
          <w:szCs w:val="28"/>
        </w:rPr>
        <w:tab/>
      </w:r>
      <w:r>
        <w:rPr>
          <w:rFonts w:hint="eastAsia" w:ascii="仿宋" w:hAnsi="仿宋" w:eastAsia="仿宋"/>
          <w:sz w:val="28"/>
          <w:szCs w:val="28"/>
        </w:rPr>
        <w:fldChar w:fldCharType="end"/>
      </w:r>
      <w:r>
        <w:rPr>
          <w:rFonts w:hint="eastAsia" w:ascii="仿宋" w:hAnsi="仿宋" w:eastAsia="仿宋"/>
          <w:sz w:val="28"/>
          <w:szCs w:val="28"/>
        </w:rPr>
        <w:t>5</w:t>
      </w:r>
    </w:p>
    <w:p>
      <w:pPr>
        <w:pStyle w:val="11"/>
        <w:rPr>
          <w:rFonts w:ascii="仿宋" w:hAnsi="仿宋" w:eastAsia="仿宋"/>
          <w:sz w:val="28"/>
          <w:szCs w:val="28"/>
        </w:rPr>
      </w:pPr>
      <w:r>
        <w:fldChar w:fldCharType="begin"/>
      </w:r>
      <w:r>
        <w:instrText xml:space="preserve"> HYPERLINK \l "_Toc15396604" </w:instrText>
      </w:r>
      <w:r>
        <w:fldChar w:fldCharType="separate"/>
      </w:r>
      <w:r>
        <w:rPr>
          <w:rFonts w:hint="eastAsia" w:ascii="仿宋" w:hAnsi="仿宋" w:eastAsia="仿宋"/>
          <w:sz w:val="28"/>
          <w:szCs w:val="28"/>
        </w:rPr>
        <w:t>二、收入决算情况说明</w:t>
      </w:r>
      <w:r>
        <w:rPr>
          <w:rFonts w:hint="eastAsia" w:ascii="仿宋" w:hAnsi="仿宋" w:eastAsia="仿宋"/>
          <w:sz w:val="28"/>
          <w:szCs w:val="28"/>
        </w:rPr>
        <w:tab/>
      </w:r>
      <w:r>
        <w:rPr>
          <w:rFonts w:hint="eastAsia" w:ascii="仿宋" w:hAnsi="仿宋" w:eastAsia="仿宋"/>
          <w:sz w:val="28"/>
          <w:szCs w:val="28"/>
        </w:rPr>
        <w:t>5</w:t>
      </w:r>
      <w:r>
        <w:rPr>
          <w:rFonts w:hint="eastAsia"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"_Toc15396605" </w:instrText>
      </w:r>
      <w:r>
        <w:fldChar w:fldCharType="separate"/>
      </w:r>
      <w:r>
        <w:rPr>
          <w:rFonts w:hint="eastAsia" w:ascii="仿宋" w:hAnsi="仿宋" w:eastAsia="仿宋"/>
          <w:sz w:val="28"/>
          <w:szCs w:val="28"/>
        </w:rPr>
        <w:t>三、支出决算情况说明</w:t>
      </w:r>
      <w:r>
        <w:rPr>
          <w:rFonts w:hint="eastAsia" w:ascii="仿宋" w:hAnsi="仿宋" w:eastAsia="仿宋"/>
          <w:sz w:val="28"/>
          <w:szCs w:val="28"/>
        </w:rPr>
        <w:tab/>
      </w:r>
      <w:r>
        <w:rPr>
          <w:rFonts w:hint="eastAsia" w:ascii="仿宋" w:hAnsi="仿宋" w:eastAsia="仿宋"/>
          <w:sz w:val="28"/>
          <w:szCs w:val="28"/>
        </w:rPr>
        <w:fldChar w:fldCharType="end"/>
      </w:r>
      <w:r>
        <w:rPr>
          <w:rFonts w:hint="eastAsia" w:ascii="仿宋" w:hAnsi="仿宋" w:eastAsia="仿宋"/>
          <w:sz w:val="28"/>
          <w:szCs w:val="28"/>
        </w:rPr>
        <w:t>7</w:t>
      </w:r>
    </w:p>
    <w:p>
      <w:pPr>
        <w:pStyle w:val="11"/>
        <w:rPr>
          <w:rFonts w:ascii="仿宋" w:hAnsi="仿宋" w:eastAsia="仿宋"/>
          <w:sz w:val="28"/>
          <w:szCs w:val="28"/>
        </w:rPr>
      </w:pPr>
      <w:r>
        <w:fldChar w:fldCharType="begin"/>
      </w:r>
      <w:r>
        <w:instrText xml:space="preserve"> HYPERLINK \l "_Toc15396606" </w:instrText>
      </w:r>
      <w:r>
        <w:fldChar w:fldCharType="separate"/>
      </w:r>
      <w:r>
        <w:rPr>
          <w:rFonts w:hint="eastAsia" w:ascii="仿宋" w:hAnsi="仿宋" w:eastAsia="仿宋"/>
          <w:sz w:val="28"/>
          <w:szCs w:val="28"/>
        </w:rPr>
        <w:t>四、财政拨款收入支出决算总体情况说明</w:t>
      </w:r>
      <w:r>
        <w:rPr>
          <w:rFonts w:hint="eastAsia" w:ascii="仿宋" w:hAnsi="仿宋" w:eastAsia="仿宋"/>
          <w:sz w:val="28"/>
          <w:szCs w:val="28"/>
        </w:rPr>
        <w:tab/>
      </w:r>
      <w:r>
        <w:rPr>
          <w:rFonts w:hint="eastAsia" w:ascii="仿宋" w:hAnsi="仿宋" w:eastAsia="仿宋"/>
          <w:sz w:val="28"/>
          <w:szCs w:val="28"/>
        </w:rPr>
        <w:t>7</w:t>
      </w:r>
      <w:r>
        <w:rPr>
          <w:rFonts w:hint="eastAsia"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"_Toc15396607" </w:instrText>
      </w:r>
      <w:r>
        <w:fldChar w:fldCharType="separate"/>
      </w:r>
      <w:r>
        <w:rPr>
          <w:rFonts w:hint="eastAsia" w:ascii="仿宋" w:hAnsi="仿宋" w:eastAsia="仿宋"/>
          <w:sz w:val="28"/>
          <w:szCs w:val="28"/>
        </w:rPr>
        <w:t>五、一般公共预算财政拨款支出决算情况说明</w:t>
      </w:r>
      <w:r>
        <w:rPr>
          <w:rFonts w:hint="eastAsia" w:ascii="仿宋" w:hAnsi="仿宋" w:eastAsia="仿宋"/>
          <w:sz w:val="28"/>
          <w:szCs w:val="28"/>
        </w:rPr>
        <w:tab/>
      </w:r>
      <w:r>
        <w:rPr>
          <w:rFonts w:hint="eastAsia" w:ascii="仿宋" w:hAnsi="仿宋" w:eastAsia="仿宋"/>
          <w:sz w:val="28"/>
          <w:szCs w:val="28"/>
        </w:rPr>
        <w:t>8</w:t>
      </w:r>
      <w:r>
        <w:rPr>
          <w:rFonts w:hint="eastAsia"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"_Toc15396608" </w:instrText>
      </w:r>
      <w:r>
        <w:fldChar w:fldCharType="separate"/>
      </w:r>
      <w:r>
        <w:rPr>
          <w:rFonts w:hint="eastAsia" w:ascii="仿宋" w:hAnsi="仿宋" w:eastAsia="仿宋"/>
          <w:sz w:val="28"/>
          <w:szCs w:val="28"/>
        </w:rPr>
        <w:t>六、一般公共预算财政拨款基本支出决算情况说明</w:t>
      </w:r>
      <w:r>
        <w:rPr>
          <w:rFonts w:hint="eastAsia" w:ascii="仿宋" w:hAnsi="仿宋" w:eastAsia="仿宋"/>
          <w:sz w:val="28"/>
          <w:szCs w:val="28"/>
        </w:rPr>
        <w:tab/>
      </w:r>
      <w:r>
        <w:rPr>
          <w:rFonts w:hint="eastAsia" w:ascii="仿宋" w:hAnsi="仿宋" w:eastAsia="仿宋"/>
          <w:sz w:val="28"/>
          <w:szCs w:val="28"/>
        </w:rPr>
        <w:fldChar w:fldCharType="end"/>
      </w:r>
      <w:r>
        <w:rPr>
          <w:rFonts w:hint="eastAsia" w:ascii="仿宋" w:hAnsi="仿宋" w:eastAsia="仿宋"/>
          <w:sz w:val="28"/>
          <w:szCs w:val="28"/>
        </w:rPr>
        <w:t>11</w:t>
      </w:r>
    </w:p>
    <w:p>
      <w:pPr>
        <w:pStyle w:val="11"/>
        <w:rPr>
          <w:rFonts w:ascii="仿宋" w:hAnsi="仿宋" w:eastAsia="仿宋"/>
          <w:sz w:val="28"/>
          <w:szCs w:val="28"/>
        </w:rPr>
      </w:pPr>
      <w:r>
        <w:fldChar w:fldCharType="begin"/>
      </w:r>
      <w:r>
        <w:instrText xml:space="preserve"> HYPERLINK \l "_Toc15396609" </w:instrText>
      </w:r>
      <w:r>
        <w:fldChar w:fldCharType="separate"/>
      </w:r>
      <w:r>
        <w:rPr>
          <w:rFonts w:hint="eastAsia" w:ascii="仿宋" w:hAnsi="仿宋" w:eastAsia="仿宋"/>
          <w:sz w:val="28"/>
          <w:szCs w:val="28"/>
        </w:rPr>
        <w:t>七、“三公”经费财政拨款支出决算情况说明</w:t>
      </w:r>
      <w:r>
        <w:rPr>
          <w:rFonts w:hint="eastAsia"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1</w:t>
      </w:r>
    </w:p>
    <w:p>
      <w:pPr>
        <w:pStyle w:val="11"/>
        <w:rPr>
          <w:rFonts w:ascii="仿宋" w:hAnsi="仿宋" w:eastAsia="仿宋"/>
          <w:sz w:val="28"/>
          <w:szCs w:val="28"/>
        </w:rPr>
      </w:pPr>
      <w:r>
        <w:fldChar w:fldCharType="begin"/>
      </w:r>
      <w:r>
        <w:instrText xml:space="preserve"> HYPERLINK \l "_Toc15396610" </w:instrText>
      </w:r>
      <w:r>
        <w:fldChar w:fldCharType="separate"/>
      </w:r>
      <w:r>
        <w:rPr>
          <w:rFonts w:hint="eastAsia" w:ascii="仿宋" w:hAnsi="仿宋" w:eastAsia="仿宋"/>
          <w:sz w:val="28"/>
          <w:szCs w:val="28"/>
        </w:rPr>
        <w:t>八、政府性基金预算支出决算情况说明</w:t>
      </w:r>
      <w:r>
        <w:rPr>
          <w:rFonts w:hint="eastAsia"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3</w:t>
      </w:r>
    </w:p>
    <w:p>
      <w:pPr>
        <w:pStyle w:val="11"/>
        <w:rPr>
          <w:rFonts w:ascii="仿宋" w:hAnsi="仿宋" w:eastAsia="仿宋"/>
          <w:sz w:val="28"/>
          <w:szCs w:val="28"/>
        </w:rPr>
      </w:pPr>
      <w:r>
        <w:fldChar w:fldCharType="begin"/>
      </w:r>
      <w:r>
        <w:instrText xml:space="preserve"> HYPERLINK \l "_Toc15396611" </w:instrText>
      </w:r>
      <w:r>
        <w:fldChar w:fldCharType="separate"/>
      </w:r>
      <w:r>
        <w:rPr>
          <w:rFonts w:hint="eastAsia" w:ascii="仿宋" w:hAnsi="仿宋" w:eastAsia="仿宋"/>
          <w:sz w:val="28"/>
          <w:szCs w:val="28"/>
        </w:rPr>
        <w:t>九、 国有资本经营预算支出决算情况说明</w:t>
      </w:r>
      <w:r>
        <w:rPr>
          <w:rFonts w:hint="eastAsia"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3</w:t>
      </w:r>
    </w:p>
    <w:p>
      <w:pPr>
        <w:pStyle w:val="24"/>
        <w:spacing w:line="580" w:lineRule="exact"/>
        <w:ind w:firstLine="0" w:firstLineChars="0"/>
        <w:rPr>
          <w:rFonts w:ascii="仿宋" w:hAnsi="仿宋" w:eastAsia="仿宋"/>
          <w:sz w:val="28"/>
          <w:szCs w:val="28"/>
        </w:rPr>
      </w:pPr>
      <w:r>
        <w:rPr>
          <w:rFonts w:hint="eastAsia" w:ascii="仿宋" w:hAnsi="仿宋" w:eastAsia="仿宋"/>
          <w:sz w:val="28"/>
          <w:szCs w:val="28"/>
        </w:rPr>
        <w:t xml:space="preserve">   十、预算绩效情况说明..................................13</w:t>
      </w:r>
    </w:p>
    <w:p>
      <w:pPr>
        <w:rPr>
          <w:rFonts w:ascii="仿宋" w:hAnsi="仿宋" w:eastAsia="仿宋"/>
          <w:sz w:val="28"/>
          <w:szCs w:val="28"/>
        </w:rPr>
      </w:pPr>
    </w:p>
    <w:p>
      <w:pPr>
        <w:pStyle w:val="11"/>
        <w:rPr>
          <w:rFonts w:ascii="仿宋" w:hAnsi="仿宋" w:eastAsia="仿宋"/>
          <w:sz w:val="28"/>
          <w:szCs w:val="28"/>
        </w:rPr>
      </w:pPr>
      <w:r>
        <w:fldChar w:fldCharType="begin"/>
      </w:r>
      <w:r>
        <w:instrText xml:space="preserve"> HYPERLINK \l "_Toc15396612" </w:instrText>
      </w:r>
      <w:r>
        <w:fldChar w:fldCharType="separate"/>
      </w:r>
      <w:r>
        <w:rPr>
          <w:rFonts w:hint="eastAsia" w:ascii="仿宋" w:hAnsi="仿宋" w:eastAsia="仿宋"/>
          <w:sz w:val="28"/>
          <w:szCs w:val="28"/>
        </w:rPr>
        <w:t>十一、其他重要事项的情况说明</w:t>
      </w:r>
      <w:r>
        <w:rPr>
          <w:rFonts w:hint="eastAsia" w:ascii="仿宋" w:hAnsi="仿宋" w:eastAsia="仿宋"/>
          <w:sz w:val="28"/>
          <w:szCs w:val="28"/>
        </w:rPr>
        <w:tab/>
      </w:r>
      <w:r>
        <w:rPr>
          <w:rFonts w:hint="eastAsia" w:ascii="仿宋" w:hAnsi="仿宋" w:eastAsia="仿宋"/>
          <w:sz w:val="28"/>
          <w:szCs w:val="28"/>
        </w:rPr>
        <w:fldChar w:fldCharType="end"/>
      </w:r>
      <w:r>
        <w:rPr>
          <w:rFonts w:hint="eastAsia" w:ascii="仿宋" w:hAnsi="仿宋" w:eastAsia="仿宋"/>
          <w:sz w:val="28"/>
          <w:szCs w:val="28"/>
        </w:rPr>
        <w:t>15</w:t>
      </w:r>
    </w:p>
    <w:p>
      <w:pPr>
        <w:pStyle w:val="10"/>
      </w:pPr>
      <w:r>
        <w:fldChar w:fldCharType="begin"/>
      </w:r>
      <w:r>
        <w:instrText xml:space="preserve"> HYPERLINK \l "_Toc15396613" </w:instrText>
      </w:r>
      <w:r>
        <w:fldChar w:fldCharType="separate"/>
      </w:r>
      <w:r>
        <w:rPr>
          <w:rFonts w:hint="eastAsia"/>
        </w:rPr>
        <w:t>第三部分 名词解释</w:t>
      </w:r>
      <w:r>
        <w:rPr>
          <w:rFonts w:hint="eastAsia"/>
        </w:rPr>
        <w:tab/>
      </w:r>
      <w:r>
        <w:rPr>
          <w:rFonts w:hint="eastAsia"/>
        </w:rPr>
        <w:t>16</w:t>
      </w:r>
      <w:r>
        <w:rPr>
          <w:rFonts w:hint="eastAsia"/>
        </w:rPr>
        <w:fldChar w:fldCharType="end"/>
      </w:r>
    </w:p>
    <w:p>
      <w:pPr>
        <w:pStyle w:val="10"/>
      </w:pPr>
      <w:r>
        <w:fldChar w:fldCharType="begin"/>
      </w:r>
      <w:r>
        <w:instrText xml:space="preserve"> HYPERLINK \l "_Toc15396614" </w:instrText>
      </w:r>
      <w:r>
        <w:fldChar w:fldCharType="separate"/>
      </w:r>
      <w:r>
        <w:rPr>
          <w:rFonts w:hint="eastAsia"/>
        </w:rPr>
        <w:t>第四部分 附件</w:t>
      </w:r>
      <w:r>
        <w:rPr>
          <w:rFonts w:hint="eastAsia"/>
        </w:rPr>
        <w:tab/>
      </w:r>
      <w:r>
        <w:rPr>
          <w:rFonts w:hint="eastAsia"/>
        </w:rPr>
        <w:t>19</w:t>
      </w:r>
      <w:r>
        <w:rPr>
          <w:rFonts w:hint="eastAsia"/>
        </w:rPr>
        <w:fldChar w:fldCharType="end"/>
      </w:r>
    </w:p>
    <w:p>
      <w:pPr>
        <w:pStyle w:val="11"/>
        <w:rPr>
          <w:rFonts w:ascii="仿宋" w:hAnsi="仿宋" w:eastAsia="仿宋"/>
          <w:sz w:val="28"/>
          <w:szCs w:val="28"/>
        </w:rPr>
      </w:pPr>
      <w:r>
        <w:fldChar w:fldCharType="begin"/>
      </w:r>
      <w:r>
        <w:instrText xml:space="preserve"> HYPERLINK \l "_Toc15396615" </w:instrText>
      </w:r>
      <w:r>
        <w:fldChar w:fldCharType="separate"/>
      </w:r>
      <w:r>
        <w:rPr>
          <w:rFonts w:hint="eastAsia" w:ascii="仿宋" w:hAnsi="仿宋" w:eastAsia="仿宋"/>
          <w:sz w:val="28"/>
          <w:szCs w:val="28"/>
        </w:rPr>
        <w:t>附件1</w:t>
      </w:r>
      <w:r>
        <w:rPr>
          <w:rFonts w:hint="eastAsia" w:ascii="仿宋" w:hAnsi="仿宋" w:eastAsia="仿宋"/>
          <w:sz w:val="28"/>
          <w:szCs w:val="28"/>
        </w:rPr>
        <w:tab/>
      </w:r>
      <w:r>
        <w:rPr>
          <w:rFonts w:hint="eastAsia" w:ascii="仿宋" w:hAnsi="仿宋" w:eastAsia="仿宋"/>
          <w:sz w:val="28"/>
          <w:szCs w:val="28"/>
        </w:rPr>
        <w:t>19</w:t>
      </w:r>
      <w:r>
        <w:rPr>
          <w:rFonts w:hint="eastAsia" w:ascii="仿宋" w:hAnsi="仿宋" w:eastAsia="仿宋"/>
          <w:sz w:val="28"/>
          <w:szCs w:val="28"/>
        </w:rPr>
        <w:fldChar w:fldCharType="end"/>
      </w:r>
    </w:p>
    <w:p>
      <w:pPr>
        <w:pStyle w:val="10"/>
      </w:pPr>
      <w:r>
        <w:fldChar w:fldCharType="begin"/>
      </w:r>
      <w:r>
        <w:instrText xml:space="preserve"> HYPERLINK \l "_Toc15396618" </w:instrText>
      </w:r>
      <w:r>
        <w:fldChar w:fldCharType="separate"/>
      </w:r>
      <w:r>
        <w:rPr>
          <w:rFonts w:hint="eastAsia"/>
        </w:rPr>
        <w:t>第五部分 附表</w:t>
      </w:r>
      <w:r>
        <w:rPr>
          <w:rFonts w:hint="eastAsia"/>
        </w:rPr>
        <w:tab/>
      </w:r>
      <w:r>
        <w:rPr>
          <w:rFonts w:hint="eastAsia"/>
        </w:rPr>
        <w:t>19</w:t>
      </w:r>
      <w:r>
        <w:rPr>
          <w:rFonts w:hint="eastAsia"/>
        </w:rPr>
        <w:fldChar w:fldCharType="end"/>
      </w:r>
    </w:p>
    <w:p>
      <w:pPr>
        <w:pStyle w:val="11"/>
        <w:rPr>
          <w:rFonts w:ascii="仿宋" w:hAnsi="仿宋" w:eastAsia="仿宋"/>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Fonts w:hint="eastAsia" w:ascii="仿宋" w:hAnsi="仿宋" w:eastAsia="仿宋"/>
          <w:sz w:val="28"/>
          <w:szCs w:val="28"/>
        </w:rPr>
        <w:t>收入支出决算总表</w:t>
      </w:r>
      <w:r>
        <w:rPr>
          <w:rFonts w:hint="eastAsia" w:ascii="仿宋" w:hAnsi="仿宋" w:eastAsia="仿宋"/>
          <w:sz w:val="28"/>
          <w:szCs w:val="28"/>
        </w:rPr>
        <w:tab/>
      </w:r>
      <w:r>
        <w:rPr>
          <w:rFonts w:hint="eastAsia" w:ascii="仿宋" w:hAnsi="仿宋" w:eastAsia="仿宋"/>
          <w:sz w:val="28"/>
          <w:szCs w:val="28"/>
        </w:rPr>
        <w:t>26</w:t>
      </w:r>
      <w:r>
        <w:rPr>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Fonts w:hint="eastAsia" w:ascii="仿宋" w:hAnsi="仿宋" w:eastAsia="仿宋"/>
          <w:sz w:val="28"/>
          <w:szCs w:val="28"/>
        </w:rPr>
        <w:t>收入总表</w:t>
      </w:r>
      <w:r>
        <w:rPr>
          <w:rFonts w:hint="eastAsia" w:ascii="仿宋" w:hAnsi="仿宋" w:eastAsia="仿宋"/>
          <w:sz w:val="28"/>
          <w:szCs w:val="28"/>
        </w:rPr>
        <w:tab/>
      </w:r>
      <w:r>
        <w:rPr>
          <w:rFonts w:hint="eastAsia" w:ascii="仿宋" w:hAnsi="仿宋" w:eastAsia="仿宋"/>
          <w:sz w:val="28"/>
          <w:szCs w:val="28"/>
        </w:rPr>
        <w:t>26</w:t>
      </w:r>
      <w:r>
        <w:rPr>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Fonts w:hint="eastAsia" w:ascii="仿宋" w:hAnsi="仿宋" w:eastAsia="仿宋"/>
          <w:sz w:val="28"/>
          <w:szCs w:val="28"/>
        </w:rPr>
        <w:t>支出总表</w:t>
      </w:r>
      <w:r>
        <w:rPr>
          <w:rFonts w:hint="eastAsia" w:ascii="仿宋" w:hAnsi="仿宋" w:eastAsia="仿宋"/>
          <w:sz w:val="28"/>
          <w:szCs w:val="28"/>
        </w:rPr>
        <w:tab/>
      </w:r>
      <w:r>
        <w:rPr>
          <w:rFonts w:hint="eastAsia" w:ascii="仿宋" w:hAnsi="仿宋" w:eastAsia="仿宋"/>
          <w:sz w:val="28"/>
          <w:szCs w:val="28"/>
        </w:rPr>
        <w:t>26</w:t>
      </w:r>
      <w:r>
        <w:rPr>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Fonts w:hint="eastAsia" w:ascii="仿宋" w:hAnsi="仿宋" w:eastAsia="仿宋"/>
          <w:sz w:val="28"/>
          <w:szCs w:val="28"/>
        </w:rPr>
        <w:t>财政拨款收入支出决算总表</w:t>
      </w:r>
      <w:r>
        <w:rPr>
          <w:rFonts w:hint="eastAsia" w:ascii="仿宋" w:hAnsi="仿宋" w:eastAsia="仿宋"/>
          <w:sz w:val="28"/>
          <w:szCs w:val="28"/>
        </w:rPr>
        <w:tab/>
      </w:r>
      <w:r>
        <w:rPr>
          <w:rFonts w:hint="eastAsia" w:ascii="仿宋" w:hAnsi="仿宋" w:eastAsia="仿宋"/>
          <w:sz w:val="28"/>
          <w:szCs w:val="28"/>
        </w:rPr>
        <w:t>26</w:t>
      </w:r>
      <w:r>
        <w:rPr>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hint="eastAsia" w:ascii="仿宋" w:hAnsi="仿宋" w:eastAsia="仿宋"/>
          <w:sz w:val="28"/>
          <w:szCs w:val="28"/>
        </w:rPr>
        <w:tab/>
      </w:r>
      <w:r>
        <w:rPr>
          <w:rFonts w:hint="eastAsia" w:ascii="仿宋" w:hAnsi="仿宋" w:eastAsia="仿宋"/>
          <w:sz w:val="28"/>
          <w:szCs w:val="28"/>
        </w:rPr>
        <w:t>26</w:t>
      </w:r>
      <w:r>
        <w:rPr>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Fonts w:hint="eastAsia" w:ascii="仿宋" w:hAnsi="仿宋" w:eastAsia="仿宋"/>
          <w:sz w:val="28"/>
          <w:szCs w:val="28"/>
        </w:rPr>
        <w:t>一般公共预算财政拨款支出决算表</w:t>
      </w:r>
      <w:r>
        <w:rPr>
          <w:rFonts w:hint="eastAsia" w:ascii="仿宋" w:hAnsi="仿宋" w:eastAsia="仿宋"/>
          <w:sz w:val="28"/>
          <w:szCs w:val="28"/>
        </w:rPr>
        <w:tab/>
      </w:r>
      <w:r>
        <w:rPr>
          <w:rFonts w:hint="eastAsia" w:ascii="仿宋" w:hAnsi="仿宋" w:eastAsia="仿宋"/>
          <w:sz w:val="28"/>
          <w:szCs w:val="28"/>
        </w:rPr>
        <w:t>26</w:t>
      </w:r>
      <w:r>
        <w:rPr>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Fonts w:hint="eastAsia" w:ascii="仿宋" w:hAnsi="仿宋" w:eastAsia="仿宋"/>
          <w:sz w:val="28"/>
          <w:szCs w:val="28"/>
        </w:rPr>
        <w:t>一般公共预算财政拨款支出决算明细表</w:t>
      </w:r>
      <w:r>
        <w:rPr>
          <w:rFonts w:hint="eastAsia" w:ascii="仿宋" w:hAnsi="仿宋" w:eastAsia="仿宋"/>
          <w:sz w:val="28"/>
          <w:szCs w:val="28"/>
        </w:rPr>
        <w:tab/>
      </w:r>
      <w:r>
        <w:rPr>
          <w:rFonts w:hint="eastAsia" w:ascii="仿宋" w:hAnsi="仿宋" w:eastAsia="仿宋"/>
          <w:sz w:val="28"/>
          <w:szCs w:val="28"/>
        </w:rPr>
        <w:t>26</w:t>
      </w:r>
      <w:r>
        <w:rPr>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Fonts w:hint="eastAsia" w:ascii="仿宋" w:hAnsi="仿宋" w:eastAsia="仿宋"/>
          <w:sz w:val="28"/>
          <w:szCs w:val="28"/>
        </w:rPr>
        <w:t>一般公共预算财政拨款基本支出决算表</w:t>
      </w:r>
      <w:r>
        <w:rPr>
          <w:rFonts w:hint="eastAsia" w:ascii="仿宋" w:hAnsi="仿宋" w:eastAsia="仿宋"/>
          <w:sz w:val="28"/>
          <w:szCs w:val="28"/>
        </w:rPr>
        <w:tab/>
      </w:r>
      <w:r>
        <w:rPr>
          <w:rFonts w:hint="eastAsia" w:ascii="仿宋" w:hAnsi="仿宋" w:eastAsia="仿宋"/>
          <w:sz w:val="28"/>
          <w:szCs w:val="28"/>
        </w:rPr>
        <w:t>26</w:t>
      </w:r>
      <w:r>
        <w:rPr>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Fonts w:hint="eastAsia" w:ascii="仿宋" w:hAnsi="仿宋" w:eastAsia="仿宋"/>
          <w:sz w:val="28"/>
          <w:szCs w:val="28"/>
        </w:rPr>
        <w:t>一般公共预算财政拨款项目支出决算表</w:t>
      </w:r>
      <w:r>
        <w:rPr>
          <w:rFonts w:hint="eastAsia" w:ascii="仿宋" w:hAnsi="仿宋" w:eastAsia="仿宋"/>
          <w:sz w:val="28"/>
          <w:szCs w:val="28"/>
        </w:rPr>
        <w:tab/>
      </w:r>
      <w:r>
        <w:rPr>
          <w:rFonts w:hint="eastAsia" w:ascii="仿宋" w:hAnsi="仿宋" w:eastAsia="仿宋"/>
          <w:sz w:val="28"/>
          <w:szCs w:val="28"/>
        </w:rPr>
        <w:t>26</w:t>
      </w:r>
      <w:r>
        <w:rPr>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Fonts w:hint="eastAsia" w:ascii="仿宋" w:hAnsi="仿宋" w:eastAsia="仿宋"/>
          <w:sz w:val="28"/>
          <w:szCs w:val="28"/>
        </w:rPr>
        <w:t>一般公共预算财政拨款“三公”经费支出决算表</w:t>
      </w:r>
      <w:r>
        <w:rPr>
          <w:rFonts w:hint="eastAsia" w:ascii="仿宋" w:hAnsi="仿宋" w:eastAsia="仿宋"/>
          <w:sz w:val="28"/>
          <w:szCs w:val="28"/>
        </w:rPr>
        <w:tab/>
      </w:r>
      <w:r>
        <w:rPr>
          <w:rFonts w:hint="eastAsia" w:ascii="仿宋" w:hAnsi="仿宋" w:eastAsia="仿宋"/>
          <w:sz w:val="28"/>
          <w:szCs w:val="28"/>
        </w:rPr>
        <w:t>26</w:t>
      </w:r>
      <w:r>
        <w:rPr>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Fonts w:hint="eastAsia" w:ascii="仿宋" w:hAnsi="仿宋" w:eastAsia="仿宋"/>
          <w:sz w:val="28"/>
          <w:szCs w:val="28"/>
        </w:rPr>
        <w:t>封面代码</w:t>
      </w:r>
      <w:r>
        <w:rPr>
          <w:rFonts w:hint="eastAsia" w:ascii="仿宋" w:hAnsi="仿宋" w:eastAsia="仿宋"/>
          <w:sz w:val="28"/>
          <w:szCs w:val="28"/>
        </w:rPr>
        <w:tab/>
      </w:r>
      <w:r>
        <w:rPr>
          <w:rFonts w:hint="eastAsia" w:ascii="仿宋" w:hAnsi="仿宋" w:eastAsia="仿宋"/>
          <w:sz w:val="28"/>
          <w:szCs w:val="28"/>
        </w:rPr>
        <w:fldChar w:fldCharType="end"/>
      </w:r>
      <w:r>
        <w:rPr>
          <w:rFonts w:hint="eastAsia" w:ascii="仿宋" w:hAnsi="仿宋" w:eastAsia="仿宋"/>
          <w:sz w:val="28"/>
          <w:szCs w:val="28"/>
        </w:rPr>
        <w:t>26</w:t>
      </w:r>
    </w:p>
    <w:p>
      <w:pPr>
        <w:widowControl/>
        <w:jc w:val="left"/>
        <w:rPr>
          <w:rFonts w:ascii="仿宋" w:hAnsi="仿宋" w:eastAsia="仿宋"/>
          <w:sz w:val="28"/>
          <w:szCs w:val="28"/>
        </w:rPr>
      </w:pPr>
      <w:r>
        <w:rPr>
          <w:rFonts w:hint="eastAsia" w:ascii="仿宋" w:hAnsi="仿宋" w:eastAsia="仿宋"/>
          <w:sz w:val="28"/>
          <w:szCs w:val="28"/>
        </w:rPr>
        <w:br w:type="page"/>
      </w:r>
    </w:p>
    <w:p>
      <w:pPr>
        <w:pStyle w:val="2"/>
        <w:jc w:val="center"/>
        <w:rPr>
          <w:rFonts w:ascii="黑体" w:eastAsia="黑体"/>
          <w:color w:val="000000"/>
          <w:sz w:val="32"/>
          <w:szCs w:val="32"/>
        </w:rPr>
      </w:pPr>
      <w:bookmarkStart w:id="17" w:name="_Toc16429"/>
      <w:r>
        <w:rPr>
          <w:rFonts w:hint="eastAsia" w:ascii="黑体" w:hAnsi="黑体" w:eastAsia="黑体"/>
          <w:b w:val="0"/>
        </w:rPr>
        <w:t xml:space="preserve">第一部分 </w:t>
      </w:r>
      <w:r>
        <w:rPr>
          <w:rStyle w:val="25"/>
          <w:rFonts w:hint="eastAsia" w:ascii="黑体" w:hAnsi="黑体" w:eastAsia="黑体"/>
          <w:b w:val="0"/>
          <w:bCs w:val="0"/>
        </w:rPr>
        <w:t>部门概况</w:t>
      </w:r>
      <w:bookmarkEnd w:id="16"/>
      <w:bookmarkEnd w:id="17"/>
    </w:p>
    <w:p>
      <w:pPr>
        <w:pStyle w:val="3"/>
        <w:spacing w:before="0" w:after="0" w:line="240" w:lineRule="auto"/>
        <w:ind w:left="640" w:hanging="640" w:hangingChars="200"/>
        <w:rPr>
          <w:rFonts w:ascii="楷体" w:hAnsi="楷体" w:eastAsia="楷体" w:cs="楷体"/>
          <w:color w:val="000000"/>
        </w:rPr>
      </w:pPr>
      <w:bookmarkStart w:id="18" w:name="_Toc21480"/>
      <w:bookmarkStart w:id="19" w:name="_Toc15377197"/>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8"/>
      <w:bookmarkEnd w:id="19"/>
      <w:bookmarkStart w:id="20" w:name="_Toc15377199"/>
      <w:bookmarkStart w:id="21" w:name="_Toc15378446"/>
    </w:p>
    <w:p>
      <w:pPr>
        <w:rPr>
          <w:rFonts w:ascii="仿宋_GB2312" w:hAnsi="仿宋_GB2312" w:eastAsia="仿宋_GB2312" w:cs="仿宋_GB2312"/>
          <w:sz w:val="32"/>
          <w:szCs w:val="32"/>
        </w:rPr>
      </w:pPr>
      <w:bookmarkStart w:id="22" w:name="_Toc32388"/>
      <w:r>
        <w:rPr>
          <w:rFonts w:hint="eastAsia" w:ascii="仿宋_GB2312" w:hAnsi="仿宋_GB2312" w:eastAsia="仿宋_GB2312" w:cs="仿宋_GB2312"/>
          <w:sz w:val="32"/>
          <w:szCs w:val="32"/>
        </w:rPr>
        <w:t>（一）文化体育和旅游局职能简介</w:t>
      </w:r>
    </w:p>
    <w:p>
      <w:pPr>
        <w:widowControl/>
        <w:ind w:left="-360"/>
        <w:jc w:val="left"/>
        <w:rPr>
          <w:rFonts w:ascii="仿宋_GB2312" w:hAnsi="仿宋_GB2312" w:eastAsia="仿宋_GB2312" w:cs="仿宋_GB2312"/>
          <w:sz w:val="32"/>
          <w:szCs w:val="32"/>
        </w:rPr>
      </w:pPr>
    </w:p>
    <w:p>
      <w:pPr>
        <w:widowControl/>
        <w:numPr>
          <w:ilvl w:val="0"/>
          <w:numId w:val="1"/>
        </w:numPr>
        <w:shd w:val="clear" w:color="auto" w:fill="FFFFFF"/>
        <w:spacing w:line="480" w:lineRule="exact"/>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xml:space="preserve">拟订文化、体育、旅游、广播电视和文物政策措施，起草文化、体育、旅游、广播电视和文物地方性法规、规章草案，负责本部门依法行政工作。 </w:t>
      </w:r>
    </w:p>
    <w:p>
      <w:pPr>
        <w:widowControl/>
        <w:shd w:val="clear" w:color="auto" w:fill="FFFFFF"/>
        <w:spacing w:line="480" w:lineRule="exact"/>
        <w:jc w:val="left"/>
        <w:rPr>
          <w:rFonts w:ascii="仿宋_GB2312" w:hAnsi="仿宋_GB2312" w:eastAsia="仿宋_GB2312" w:cs="仿宋_GB2312"/>
          <w:color w:val="333333"/>
          <w:sz w:val="32"/>
          <w:szCs w:val="32"/>
          <w:shd w:val="clear" w:color="auto" w:fill="FFFFFF"/>
        </w:rPr>
      </w:pPr>
    </w:p>
    <w:p>
      <w:pPr>
        <w:widowControl/>
        <w:shd w:val="clear" w:color="auto" w:fill="FFFFFF"/>
        <w:spacing w:line="480" w:lineRule="exact"/>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xml:space="preserve">（二）组织推动全市文化事业、文化产业、体育事业、体育产业和旅游业发展，拟订并组织实施全市文化、体育、旅游、广播电视发展和文物保护利用规划，推进所属行业的体制机制改革和行业融合发展。 </w:t>
      </w:r>
    </w:p>
    <w:p>
      <w:pPr>
        <w:widowControl/>
        <w:shd w:val="clear" w:color="auto" w:fill="FFFFFF"/>
        <w:spacing w:line="480" w:lineRule="exact"/>
        <w:jc w:val="left"/>
        <w:rPr>
          <w:rFonts w:ascii="仿宋_GB2312" w:hAnsi="仿宋_GB2312" w:eastAsia="仿宋_GB2312" w:cs="仿宋_GB2312"/>
          <w:color w:val="333333"/>
          <w:sz w:val="32"/>
          <w:szCs w:val="32"/>
          <w:shd w:val="clear" w:color="auto" w:fill="FFFFFF"/>
        </w:rPr>
      </w:pPr>
    </w:p>
    <w:p>
      <w:pPr>
        <w:widowControl/>
        <w:shd w:val="clear" w:color="auto" w:fill="FFFFFF"/>
        <w:spacing w:line="480" w:lineRule="exact"/>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xml:space="preserve">（三）管理所属行业的全市重大活动，指导所属行业重点设施建设，组织全市文化和旅游整体形象推广，促进行业产业对外交流合作和国际市场推广，制定旅游市场开发战略并组织实施，推进全域旅游。 </w:t>
      </w:r>
    </w:p>
    <w:p>
      <w:pPr>
        <w:widowControl/>
        <w:shd w:val="clear" w:color="auto" w:fill="FFFFFF"/>
        <w:spacing w:line="480" w:lineRule="exact"/>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xml:space="preserve">（四）指导管理文艺事业，推动艺术创作生产，扶持体现社会主义核心价值观、具有导向性代表性示范性的文艺作品，推动各门类艺术、各艺术品种发展，推动中华优秀传统文化和巴文化传承发展。 </w:t>
      </w:r>
    </w:p>
    <w:p>
      <w:pPr>
        <w:widowControl/>
        <w:shd w:val="clear" w:color="auto" w:fill="FFFFFF"/>
        <w:spacing w:line="480" w:lineRule="exact"/>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xml:space="preserve">（五）负责公共文化事业发展，推进全市公共文化服务体系建设和旅游公共服务建设，深入实施文化惠民工程，统筹推进基本公共文化服务标准化、均等化。 </w:t>
      </w:r>
    </w:p>
    <w:p>
      <w:pPr>
        <w:widowControl/>
        <w:shd w:val="clear" w:color="auto" w:fill="FFFFFF"/>
        <w:spacing w:line="480" w:lineRule="exact"/>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xml:space="preserve">（六）推进文化、体育、旅游、广播电视和文物科技创新发展，推进本行业信息化、标准化建设。 </w:t>
      </w:r>
    </w:p>
    <w:p>
      <w:pPr>
        <w:widowControl/>
        <w:shd w:val="clear" w:color="auto" w:fill="FFFFFF"/>
        <w:spacing w:line="480" w:lineRule="exact"/>
        <w:jc w:val="left"/>
        <w:rPr>
          <w:rFonts w:ascii="仿宋_GB2312" w:hAnsi="仿宋_GB2312" w:eastAsia="仿宋_GB2312" w:cs="仿宋_GB2312"/>
          <w:color w:val="333333"/>
          <w:sz w:val="32"/>
          <w:szCs w:val="32"/>
          <w:shd w:val="clear" w:color="auto" w:fill="FFFFFF"/>
        </w:rPr>
      </w:pPr>
    </w:p>
    <w:p>
      <w:pPr>
        <w:widowControl/>
        <w:shd w:val="clear" w:color="auto" w:fill="FFFFFF"/>
        <w:spacing w:line="480" w:lineRule="exact"/>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xml:space="preserve">（七）负责非物质文化遗产保护，推动非物质文化遗产的保护、传承、普及、弘扬和振兴。 </w:t>
      </w:r>
    </w:p>
    <w:p>
      <w:pPr>
        <w:widowControl/>
        <w:shd w:val="clear" w:color="auto" w:fill="FFFFFF"/>
        <w:spacing w:line="480" w:lineRule="exact"/>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xml:space="preserve">（八）组织实施所属行业资源普查、挖掘、保护与利用工作，促进行业的产业发展。 </w:t>
      </w:r>
    </w:p>
    <w:p>
      <w:pPr>
        <w:widowControl/>
        <w:shd w:val="clear" w:color="auto" w:fill="FFFFFF"/>
        <w:spacing w:line="480" w:lineRule="exact"/>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xml:space="preserve">（九）指导文化、体育、旅游、广播电视和文物市场发展，并进行行业监管，推进行业信用体系建设，依法规范行业市场。 </w:t>
      </w:r>
    </w:p>
    <w:p>
      <w:pPr>
        <w:widowControl/>
        <w:shd w:val="clear" w:color="auto" w:fill="FFFFFF"/>
        <w:spacing w:line="480" w:lineRule="exact"/>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xml:space="preserve">（十）统筹全市文化市场综合执法，组织查处全市性、跨区域文化、文物、出版、广播电视、电影、旅游市场领域的违法行为，督查督办大案要案，维护市场秩序。 </w:t>
      </w:r>
    </w:p>
    <w:p>
      <w:pPr>
        <w:widowControl/>
        <w:shd w:val="clear" w:color="auto" w:fill="FFFFFF"/>
        <w:spacing w:line="480" w:lineRule="exact"/>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xml:space="preserve">（十一）负责管理文化、体育、旅游、广播电视和文物对外及对港澳台交流合作与宣传推广工作，组织大型文化、体育、旅游、广播电视和文物对外及对港澳台交流活动，推动中华文化走出去。 </w:t>
      </w:r>
    </w:p>
    <w:p>
      <w:pPr>
        <w:widowControl/>
        <w:shd w:val="clear" w:color="auto" w:fill="FFFFFF"/>
        <w:spacing w:line="480" w:lineRule="exact"/>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xml:space="preserve">（十二）负责全市文化、体育、旅游、广播电视和文物市场安全生产工作的综合协调与监督管理，对文化旅游园区的安全生产和职业健康工作实施行业监督管理。制定职责范围内的安全生产年度监督检查计划并组织实施。 </w:t>
      </w:r>
    </w:p>
    <w:p>
      <w:pPr>
        <w:widowControl/>
        <w:shd w:val="clear" w:color="auto" w:fill="FFFFFF"/>
        <w:spacing w:line="480" w:lineRule="exact"/>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xml:space="preserve">（十三）负责统筹协调全市竞技体育、群众体育和青少年体育发展工作。推行全民健身计划、监督实施国家体育锻炼标准，推动全市国民体质监测和社会体育指导工作队伍制度建设。组织、指导体育训练、体育竞赛工作，组织协调省级或市级综合性运动会，负责组织、协调、监督体育运动中的反兴奋剂和运动员社会保障工作。协助体育彩票销售工作的监督管理，负责公共体育设施的建设指导、监督管理。 </w:t>
      </w:r>
    </w:p>
    <w:p>
      <w:pPr>
        <w:widowControl/>
        <w:shd w:val="clear" w:color="auto" w:fill="FFFFFF"/>
        <w:spacing w:line="480" w:lineRule="exact"/>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xml:space="preserve">（十四）加强广播电视阵地建设，把握正确的舆论导向和创作导向。推进广播电视基本公共服务标准化、均等化。指导、监督广播电视重点基础设施建设。负责对各类广播电视机构进行业务指导和行业监管，会同有关部门对网络视听节目服务机构进行管理。组织实施广播电视节目评价工作。指导、监管广播电视广告播放。负责指导、协调和管理全市广播电视媒体的宣传、发展、传输覆盖等重大事项。负责推进广播电视与新媒体新技术新业态融合发展，推进广电网与电信网、互联网三网融合。 </w:t>
      </w:r>
    </w:p>
    <w:p>
      <w:pPr>
        <w:widowControl/>
        <w:shd w:val="clear" w:color="auto" w:fill="FFFFFF"/>
        <w:spacing w:line="480" w:lineRule="exact"/>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xml:space="preserve">（十五）负责指导、协调全市文物的管理、保护、抢救、发掘、研究、宣传等工作。监督和管理文物市场。组织协调重大文物保护、考古项目的实施。指导博物馆建设管理和业务工作。指导和监督社会文物管理工作。 </w:t>
      </w:r>
    </w:p>
    <w:p>
      <w:pPr>
        <w:widowControl/>
        <w:shd w:val="clear" w:color="auto" w:fill="FFFFFF"/>
        <w:spacing w:line="480" w:lineRule="exact"/>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xml:space="preserve">（十六）负责职责范围内的安全生产和职业健康、生态环境保护、审批服务便民化等工作。 </w:t>
      </w:r>
    </w:p>
    <w:p>
      <w:pPr>
        <w:widowControl/>
        <w:shd w:val="clear" w:color="auto" w:fill="FFFFFF"/>
        <w:spacing w:line="480" w:lineRule="exact"/>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xml:space="preserve">（十七）完成市委、市政府交办的其他任务。 </w:t>
      </w:r>
    </w:p>
    <w:p>
      <w:pPr>
        <w:widowControl/>
        <w:shd w:val="clear" w:color="auto" w:fill="FFFFFF"/>
        <w:spacing w:line="480" w:lineRule="exact"/>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八）职能转变。以人民美好生活为引导，统筹推进文化、体育、旅游、广播电视和文物事业与产业的融合发展，用好文化创意、科技创新和社会投资等新动能。提升巩固旅游业的战略性支柱产业地位，提升文化软实力、旅游竞争力。将市文体旅游局下属事业单位所有行政职能交由市文体旅游局机关承担。</w:t>
      </w:r>
    </w:p>
    <w:p>
      <w:pPr>
        <w:pStyle w:val="5"/>
        <w:adjustRightInd w:val="0"/>
        <w:snapToGrid w:val="0"/>
        <w:spacing w:before="93" w:line="600" w:lineRule="exact"/>
        <w:rPr>
          <w:rFonts w:hAnsi="仿宋_GB2312" w:cs="仿宋_GB2312"/>
          <w:bCs/>
          <w:color w:val="000000"/>
          <w:sz w:val="32"/>
          <w:szCs w:val="32"/>
        </w:rPr>
      </w:pPr>
      <w:r>
        <w:rPr>
          <w:rFonts w:hint="eastAsia" w:hAnsi="仿宋_GB2312" w:cs="仿宋_GB2312"/>
          <w:bCs/>
          <w:color w:val="000000"/>
          <w:sz w:val="32"/>
          <w:szCs w:val="32"/>
        </w:rPr>
        <w:t>（二）2020年重点工作完成情况。</w:t>
      </w:r>
    </w:p>
    <w:p>
      <w:pPr>
        <w:widowControl/>
        <w:shd w:val="clear" w:color="auto" w:fill="FFFFFF"/>
        <w:spacing w:line="480" w:lineRule="exact"/>
        <w:ind w:firstLine="800" w:firstLineChars="250"/>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认真贯彻党的十八届三中全会精神，大力发展文化体育事业和产业，推动文化大发展大繁荣。积极争取上级资金和项目，进一步完善县、乡、村三级公共文化服务基础设施，全力实施文化惠民扶贫工程，进一步完善公共文化服务体系。全面完成全民健身活动中心项目（体育馆和梨花广场升级改造打捆项目），开工建设文化艺术中心改建项目</w:t>
      </w:r>
      <w:r>
        <w:rPr>
          <w:rFonts w:hint="eastAsia" w:ascii="仿宋_GB2312" w:hAnsi="仿宋_GB2312" w:eastAsia="仿宋_GB2312" w:cs="仿宋_GB2312"/>
          <w:kern w:val="0"/>
          <w:sz w:val="32"/>
          <w:szCs w:val="32"/>
          <w:shd w:val="clear" w:color="auto" w:fill="FFFFFF"/>
          <w:lang w:eastAsia="zh-CN"/>
        </w:rPr>
        <w:t>；</w:t>
      </w:r>
      <w:bookmarkStart w:id="60" w:name="_GoBack"/>
      <w:bookmarkEnd w:id="60"/>
      <w:r>
        <w:rPr>
          <w:rFonts w:hint="eastAsia" w:ascii="仿宋_GB2312" w:hAnsi="仿宋_GB2312" w:eastAsia="仿宋_GB2312" w:cs="仿宋_GB2312"/>
          <w:kern w:val="0"/>
          <w:sz w:val="32"/>
          <w:szCs w:val="32"/>
          <w:shd w:val="clear" w:color="auto" w:fill="FFFFFF"/>
        </w:rPr>
        <w:t> </w:t>
      </w:r>
    </w:p>
    <w:p>
      <w:pPr>
        <w:widowControl/>
        <w:shd w:val="clear" w:color="auto" w:fill="FFFFFF"/>
        <w:spacing w:line="480" w:lineRule="exact"/>
        <w:ind w:firstLine="64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rPr>
        <w:t>2.认真做好非遗项目、传承人申报及文物保护工作，广泛开展非遗进校园活动；出版有关非遗保护研究成果书籍。 </w:t>
      </w:r>
    </w:p>
    <w:p>
      <w:pPr>
        <w:widowControl/>
        <w:shd w:val="clear" w:color="auto" w:fill="FFFFFF"/>
        <w:spacing w:line="480" w:lineRule="exact"/>
        <w:ind w:firstLine="64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rPr>
        <w:t>3.进一步加大县级文化馆、图书馆对外开放，有效丰富群众文化生活。</w:t>
      </w:r>
    </w:p>
    <w:p>
      <w:pPr>
        <w:widowControl/>
        <w:shd w:val="clear" w:color="auto" w:fill="FFFFFF"/>
        <w:spacing w:line="480" w:lineRule="exact"/>
        <w:ind w:firstLine="642"/>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rPr>
        <w:t>4.认真开展文化市场管理工作和执法工作，坚持开展“扫黄打非”工作，切实加强演艺市场、网吧和娱乐场所监管力度，维护市场正常经营秩序；</w:t>
      </w:r>
    </w:p>
    <w:p>
      <w:pPr>
        <w:widowControl/>
        <w:shd w:val="clear" w:color="auto" w:fill="FFFFFF"/>
        <w:spacing w:line="480" w:lineRule="exact"/>
        <w:ind w:firstLine="642"/>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rPr>
        <w:t>7.实施好农村公益电影放映1440场，做好“村村通”日常维修工作；</w:t>
      </w:r>
    </w:p>
    <w:p>
      <w:pPr>
        <w:widowControl/>
        <w:shd w:val="clear" w:color="auto" w:fill="FFFFFF"/>
        <w:spacing w:line="480" w:lineRule="exact"/>
        <w:ind w:firstLine="642"/>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8.做好全县文化资源普查工作，对进一步加强文化挖掘、保护、传承、弘扬和科学运用打好坚实基础.</w:t>
      </w:r>
    </w:p>
    <w:p>
      <w:pPr>
        <w:pStyle w:val="12"/>
        <w:shd w:val="clear" w:color="auto" w:fill="FFFFFF"/>
        <w:spacing w:before="0" w:beforeAutospacing="0" w:after="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9、文化：我局积极组织开展群众文化活动，组织全县文艺大汇演，挖掘、开发民间传统文化，做好文物保护，非遗传承工作，</w:t>
      </w:r>
    </w:p>
    <w:p>
      <w:pPr>
        <w:widowControl/>
        <w:shd w:val="clear" w:color="auto" w:fill="FFFFFF"/>
        <w:spacing w:line="480" w:lineRule="exact"/>
        <w:ind w:firstLine="642"/>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sz w:val="32"/>
          <w:szCs w:val="32"/>
        </w:rPr>
        <w:t>10、体育：拟定全民健身实施计划，积极开展全民健身活动。开展了全县职工运动会及积极参加了全州大乐透运动会。对18个贫困村的体育健身广场进行了提升改造。</w:t>
      </w:r>
    </w:p>
    <w:p>
      <w:pPr>
        <w:pStyle w:val="3"/>
        <w:spacing w:before="0" w:after="0" w:line="240" w:lineRule="auto"/>
        <w:ind w:firstLine="643" w:firstLineChars="200"/>
        <w:rPr>
          <w:rFonts w:ascii="楷体" w:hAnsi="楷体" w:eastAsia="楷体" w:cs="楷体"/>
          <w:color w:val="0000FF"/>
        </w:rPr>
      </w:pPr>
    </w:p>
    <w:bookmarkEnd w:id="20"/>
    <w:bookmarkEnd w:id="21"/>
    <w:bookmarkEnd w:id="22"/>
    <w:p>
      <w:pPr>
        <w:spacing w:line="578" w:lineRule="exact"/>
        <w:ind w:firstLine="643" w:firstLineChars="200"/>
        <w:rPr>
          <w:rStyle w:val="26"/>
          <w:color w:val="0000FF"/>
        </w:rPr>
      </w:pPr>
      <w:bookmarkStart w:id="23" w:name="_Toc32147"/>
    </w:p>
    <w:bookmarkEnd w:id="23"/>
    <w:p>
      <w:pPr>
        <w:numPr>
          <w:ilvl w:val="0"/>
          <w:numId w:val="2"/>
        </w:numPr>
        <w:snapToGrid w:val="0"/>
        <w:spacing w:line="360" w:lineRule="auto"/>
        <w:ind w:firstLine="643" w:firstLineChars="200"/>
        <w:rPr>
          <w:rFonts w:ascii="仿宋_GB2312" w:hAnsi="仿宋_GB2312" w:eastAsia="仿宋_GB2312" w:cs="仿宋_GB2312"/>
          <w:b/>
          <w:bCs/>
          <w:color w:val="000000"/>
          <w:sz w:val="32"/>
          <w:szCs w:val="32"/>
        </w:rPr>
      </w:pPr>
      <w:bookmarkStart w:id="24" w:name="_Toc15377204"/>
      <w:r>
        <w:rPr>
          <w:rFonts w:hint="eastAsia" w:ascii="仿宋_GB2312" w:hAnsi="仿宋_GB2312" w:eastAsia="仿宋_GB2312" w:cs="仿宋_GB2312"/>
          <w:b/>
          <w:bCs/>
          <w:color w:val="000000"/>
          <w:sz w:val="32"/>
          <w:szCs w:val="32"/>
        </w:rPr>
        <w:t>机构设置</w:t>
      </w:r>
    </w:p>
    <w:p>
      <w:pPr>
        <w:pStyle w:val="12"/>
        <w:shd w:val="clear" w:color="auto" w:fill="FFFFFF"/>
        <w:spacing w:before="0" w:beforeAutospacing="0" w:after="0" w:afterAutospacing="0"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金川县文化体育和旅游局属于行政单位，执行的是行政单位会计制度，编制人数为17人，实有人数17人，退休人数28人，遗嘱3人。</w:t>
      </w:r>
    </w:p>
    <w:p>
      <w:pPr>
        <w:spacing w:line="600" w:lineRule="exact"/>
        <w:ind w:firstLine="320" w:firstLineChars="100"/>
        <w:rPr>
          <w:rFonts w:ascii="仿宋_GB2312" w:hAnsi="仿宋_GB2312" w:eastAsia="仿宋_GB2312" w:cs="仿宋_GB2312"/>
          <w:color w:val="000000"/>
          <w:sz w:val="32"/>
          <w:szCs w:val="32"/>
        </w:rPr>
      </w:pPr>
    </w:p>
    <w:p>
      <w:pPr>
        <w:pStyle w:val="2"/>
        <w:ind w:right="440"/>
        <w:jc w:val="right"/>
        <w:rPr>
          <w:rFonts w:ascii="黑体" w:hAnsi="黑体" w:eastAsia="黑体"/>
          <w:b w:val="0"/>
          <w:color w:val="000000"/>
        </w:rPr>
      </w:pPr>
    </w:p>
    <w:p>
      <w:pPr>
        <w:pStyle w:val="2"/>
        <w:ind w:right="440"/>
        <w:jc w:val="center"/>
      </w:pPr>
      <w:bookmarkStart w:id="25" w:name="_Toc18319"/>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2020年度部门决算情况说明</w:t>
      </w:r>
      <w:bookmarkEnd w:id="24"/>
      <w:bookmarkEnd w:id="25"/>
    </w:p>
    <w:p>
      <w:pPr>
        <w:pStyle w:val="24"/>
        <w:ind w:firstLine="640"/>
        <w:outlineLvl w:val="1"/>
        <w:rPr>
          <w:rStyle w:val="26"/>
          <w:rFonts w:ascii="黑体" w:hAnsi="黑体" w:eastAsia="黑体"/>
          <w:b w:val="0"/>
        </w:rPr>
      </w:pPr>
      <w:bookmarkStart w:id="26" w:name="_Toc15377205"/>
      <w:bookmarkStart w:id="27" w:name="_Toc19406"/>
      <w:r>
        <w:rPr>
          <w:rFonts w:hint="eastAsia" w:ascii="黑体" w:hAnsi="黑体" w:eastAsia="黑体"/>
          <w:color w:val="000000"/>
          <w:sz w:val="32"/>
          <w:szCs w:val="32"/>
        </w:rPr>
        <w:t>一、收</w:t>
      </w:r>
      <w:r>
        <w:rPr>
          <w:rStyle w:val="26"/>
          <w:rFonts w:hint="eastAsia" w:ascii="黑体" w:hAnsi="黑体" w:eastAsia="黑体"/>
          <w:b w:val="0"/>
        </w:rPr>
        <w:t>入支出决算总体情况说明</w:t>
      </w:r>
      <w:bookmarkEnd w:id="26"/>
      <w:bookmarkEnd w:id="27"/>
    </w:p>
    <w:p>
      <w:pPr>
        <w:snapToGrid w:val="0"/>
        <w:spacing w:line="520" w:lineRule="exact"/>
        <w:ind w:firstLine="632" w:firstLineChars="200"/>
        <w:rPr>
          <w:rFonts w:ascii="仿宋_GB2312" w:hAnsi="仿宋" w:eastAsia="仿宋_GB2312"/>
          <w:color w:val="000000" w:themeColor="text1"/>
          <w:spacing w:val="-2"/>
          <w:sz w:val="32"/>
          <w:szCs w:val="32"/>
        </w:rPr>
      </w:pPr>
      <w:r>
        <w:rPr>
          <w:rFonts w:hint="eastAsia" w:ascii="仿宋_GB2312" w:hAnsi="仿宋" w:eastAsia="仿宋_GB2312"/>
          <w:color w:val="000000" w:themeColor="text1"/>
          <w:spacing w:val="-2"/>
          <w:sz w:val="32"/>
          <w:szCs w:val="32"/>
        </w:rPr>
        <w:t>2020年度总收入</w:t>
      </w:r>
      <w:r>
        <w:rPr>
          <w:rFonts w:hint="eastAsia" w:ascii="仿宋_GB2312" w:eastAsia="仿宋_GB2312"/>
          <w:color w:val="000000"/>
          <w:sz w:val="32"/>
          <w:szCs w:val="32"/>
        </w:rPr>
        <w:t>3350.35</w:t>
      </w:r>
      <w:r>
        <w:rPr>
          <w:rFonts w:hint="eastAsia" w:ascii="仿宋_GB2312" w:hAnsi="仿宋" w:eastAsia="仿宋_GB2312"/>
          <w:color w:val="000000" w:themeColor="text1"/>
          <w:spacing w:val="-2"/>
          <w:sz w:val="32"/>
          <w:szCs w:val="32"/>
        </w:rPr>
        <w:t>万元，较上年收入减少3655.5万元，减少52%。减少的主要原因是2020年机构改革人员分流。</w:t>
      </w:r>
    </w:p>
    <w:p>
      <w:pPr>
        <w:snapToGrid w:val="0"/>
        <w:spacing w:line="520" w:lineRule="exact"/>
        <w:ind w:firstLine="632" w:firstLineChars="200"/>
        <w:rPr>
          <w:rFonts w:ascii="仿宋_GB2312" w:hAnsi="仿宋" w:eastAsia="仿宋_GB2312"/>
          <w:color w:val="000000" w:themeColor="text1"/>
          <w:spacing w:val="-2"/>
          <w:sz w:val="32"/>
          <w:szCs w:val="32"/>
        </w:rPr>
      </w:pPr>
      <w:r>
        <w:rPr>
          <w:rFonts w:hint="eastAsia" w:ascii="仿宋_GB2312" w:hAnsi="仿宋" w:eastAsia="仿宋_GB2312"/>
          <w:spacing w:val="-2"/>
          <w:sz w:val="32"/>
          <w:szCs w:val="32"/>
        </w:rPr>
        <w:t>2020年总支出3800.94万元，较上年支出增加12.87万元，增加0.33%。主要原因</w:t>
      </w:r>
      <w:r>
        <w:rPr>
          <w:rFonts w:hint="eastAsia" w:ascii="仿宋_GB2312" w:hAnsi="仿宋" w:eastAsia="仿宋_GB2312"/>
          <w:color w:val="000000" w:themeColor="text1"/>
          <w:spacing w:val="-2"/>
          <w:sz w:val="32"/>
          <w:szCs w:val="32"/>
        </w:rPr>
        <w:t>2020年机构改革人员变动。</w:t>
      </w:r>
    </w:p>
    <w:p>
      <w:pPr>
        <w:spacing w:line="600" w:lineRule="exact"/>
        <w:ind w:firstLine="320" w:firstLineChars="100"/>
        <w:rPr>
          <w:rStyle w:val="26"/>
          <w:rFonts w:ascii="黑体" w:hAnsi="黑体" w:eastAsia="黑体"/>
          <w:b w:val="0"/>
        </w:rPr>
      </w:pPr>
      <w:r>
        <w:rPr>
          <w:rFonts w:hint="eastAsia" w:ascii="黑体" w:hAnsi="黑体" w:eastAsia="黑体"/>
          <w:color w:val="000000"/>
          <w:sz w:val="32"/>
          <w:szCs w:val="32"/>
        </w:rPr>
        <w:drawing>
          <wp:anchor distT="0" distB="0" distL="114300" distR="114300" simplePos="0" relativeHeight="251659264" behindDoc="0" locked="0" layoutInCell="1" allowOverlap="1">
            <wp:simplePos x="0" y="0"/>
            <wp:positionH relativeFrom="column">
              <wp:posOffset>314960</wp:posOffset>
            </wp:positionH>
            <wp:positionV relativeFrom="paragraph">
              <wp:posOffset>45720</wp:posOffset>
            </wp:positionV>
            <wp:extent cx="5080000" cy="2582545"/>
            <wp:effectExtent l="4445" t="4445" r="20955" b="2286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8" w:name="_Toc15377206"/>
      <w:r>
        <w:rPr>
          <w:rFonts w:hint="eastAsia" w:ascii="黑体" w:hAnsi="黑体" w:eastAsia="黑体"/>
          <w:color w:val="000000"/>
          <w:sz w:val="32"/>
          <w:szCs w:val="32"/>
        </w:rPr>
        <w:t>二、收入决</w:t>
      </w:r>
      <w:r>
        <w:rPr>
          <w:rStyle w:val="26"/>
          <w:rFonts w:hint="eastAsia" w:ascii="黑体" w:hAnsi="黑体" w:eastAsia="黑体"/>
          <w:b w:val="0"/>
        </w:rPr>
        <w:t>算情况说明</w:t>
      </w:r>
      <w:bookmarkEnd w:id="28"/>
    </w:p>
    <w:p>
      <w:pPr>
        <w:spacing w:line="600" w:lineRule="exact"/>
        <w:ind w:firstLine="640" w:firstLineChars="200"/>
        <w:outlineLvl w:val="1"/>
        <w:rPr>
          <w:rFonts w:ascii="仿宋" w:hAnsi="仿宋" w:eastAsia="仿宋"/>
          <w:color w:val="000000"/>
          <w:sz w:val="32"/>
          <w:szCs w:val="32"/>
        </w:rPr>
      </w:pPr>
      <w:bookmarkStart w:id="29" w:name="_Toc12653"/>
      <w:r>
        <w:rPr>
          <w:rFonts w:ascii="仿宋" w:hAnsi="仿宋" w:eastAsia="仿宋"/>
          <w:color w:val="000000"/>
          <w:sz w:val="32"/>
          <w:szCs w:val="32"/>
        </w:rPr>
        <w:t>20</w:t>
      </w:r>
      <w:r>
        <w:rPr>
          <w:rFonts w:hint="eastAsia" w:ascii="仿宋" w:hAnsi="仿宋" w:eastAsia="仿宋"/>
          <w:color w:val="000000"/>
          <w:sz w:val="32"/>
          <w:szCs w:val="32"/>
        </w:rPr>
        <w:t>20年总收入</w:t>
      </w:r>
      <w:r>
        <w:rPr>
          <w:rFonts w:hint="eastAsia" w:ascii="仿宋_GB2312" w:eastAsia="仿宋_GB2312"/>
          <w:color w:val="000000"/>
          <w:sz w:val="32"/>
          <w:szCs w:val="32"/>
        </w:rPr>
        <w:t>3350.35</w:t>
      </w:r>
      <w:r>
        <w:rPr>
          <w:rFonts w:hint="eastAsia" w:ascii="仿宋_GB2312" w:hAnsi="仿宋" w:eastAsia="仿宋_GB2312"/>
          <w:color w:val="000000" w:themeColor="text1"/>
          <w:spacing w:val="-2"/>
          <w:sz w:val="32"/>
          <w:szCs w:val="32"/>
        </w:rPr>
        <w:t>万元</w:t>
      </w:r>
      <w:r>
        <w:rPr>
          <w:rFonts w:hint="eastAsia" w:ascii="仿宋" w:hAnsi="仿宋" w:eastAsia="仿宋"/>
          <w:color w:val="000000"/>
          <w:sz w:val="32"/>
          <w:szCs w:val="32"/>
        </w:rPr>
        <w:t>，其中：一般公共预算财政拨款收入3310.36万元，占98.8</w:t>
      </w:r>
      <w:r>
        <w:rPr>
          <w:rFonts w:ascii="仿宋" w:hAnsi="仿宋" w:eastAsia="仿宋"/>
          <w:color w:val="000000"/>
          <w:sz w:val="32"/>
          <w:szCs w:val="32"/>
        </w:rPr>
        <w:t>%</w:t>
      </w:r>
      <w:r>
        <w:rPr>
          <w:rFonts w:hint="eastAsia" w:ascii="仿宋" w:hAnsi="仿宋" w:eastAsia="仿宋"/>
          <w:color w:val="000000"/>
          <w:sz w:val="32"/>
          <w:szCs w:val="32"/>
        </w:rPr>
        <w:t>；政府性基金预算财政拨款收入40.19万元，占1.19</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w:t>
      </w:r>
      <w:r>
        <w:rPr>
          <w:rFonts w:hint="eastAsia" w:ascii="黑体" w:hAnsi="黑体" w:eastAsia="黑体"/>
          <w:color w:val="000000"/>
          <w:sz w:val="32"/>
          <w:szCs w:val="32"/>
        </w:rPr>
        <w:drawing>
          <wp:anchor distT="0" distB="0" distL="114300" distR="114300" simplePos="0" relativeHeight="251660288" behindDoc="0" locked="0" layoutInCell="1" allowOverlap="1">
            <wp:simplePos x="0" y="0"/>
            <wp:positionH relativeFrom="column">
              <wp:posOffset>196850</wp:posOffset>
            </wp:positionH>
            <wp:positionV relativeFrom="paragraph">
              <wp:posOffset>-6304915</wp:posOffset>
            </wp:positionV>
            <wp:extent cx="5373370" cy="2648585"/>
            <wp:effectExtent l="4445" t="4445" r="13335" b="1397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sz w:val="32"/>
          <w:szCs w:val="32"/>
        </w:rPr>
        <w:t>万元，占0%</w:t>
      </w:r>
      <w:bookmarkStart w:id="30" w:name="_Toc15377207"/>
      <w:r>
        <w:rPr>
          <w:rFonts w:hint="eastAsia" w:ascii="仿宋" w:hAnsi="仿宋" w:eastAsia="仿宋"/>
          <w:color w:val="000000"/>
          <w:sz w:val="32"/>
          <w:szCs w:val="32"/>
        </w:rPr>
        <w:t xml:space="preserve"> 。</w:t>
      </w:r>
      <w:bookmarkEnd w:id="29"/>
    </w:p>
    <w:p>
      <w:pPr>
        <w:spacing w:line="600" w:lineRule="exact"/>
        <w:ind w:firstLine="640" w:firstLineChars="200"/>
        <w:outlineLvl w:val="1"/>
        <w:rPr>
          <w:rStyle w:val="26"/>
          <w:rFonts w:ascii="黑体" w:hAnsi="黑体" w:eastAsia="黑体"/>
          <w:b w:val="0"/>
        </w:rPr>
      </w:pPr>
      <w:bookmarkStart w:id="31" w:name="_Toc7854"/>
      <w:r>
        <w:rPr>
          <w:rFonts w:hint="eastAsia" w:ascii="黑体" w:hAnsi="黑体" w:eastAsia="黑体"/>
          <w:color w:val="000000"/>
          <w:sz w:val="32"/>
          <w:szCs w:val="32"/>
        </w:rPr>
        <w:t>三、支出决</w:t>
      </w:r>
      <w:r>
        <w:rPr>
          <w:rStyle w:val="26"/>
          <w:rFonts w:hint="eastAsia" w:ascii="黑体" w:hAnsi="黑体" w:eastAsia="黑体"/>
          <w:b w:val="0"/>
        </w:rPr>
        <w:t>算情况说明</w:t>
      </w:r>
      <w:bookmarkEnd w:id="30"/>
      <w:bookmarkEnd w:id="31"/>
    </w:p>
    <w:p>
      <w:pPr>
        <w:spacing w:line="600" w:lineRule="exact"/>
        <w:ind w:firstLine="640"/>
        <w:rPr>
          <w:rFonts w:ascii="仿宋" w:hAnsi="仿宋" w:eastAsia="仿宋"/>
          <w:color w:val="000000"/>
          <w:sz w:val="32"/>
          <w:szCs w:val="32"/>
          <w:shd w:val="pct10" w:color="auto" w:fill="FFFFFF"/>
        </w:rPr>
      </w:pPr>
      <w:r>
        <w:rPr>
          <w:rFonts w:hint="eastAsia" w:ascii="仿宋" w:hAnsi="仿宋" w:eastAsia="仿宋"/>
          <w:color w:val="000000"/>
          <w:sz w:val="32"/>
          <w:szCs w:val="32"/>
        </w:rPr>
        <w:t>2020年本年总支出</w:t>
      </w:r>
      <w:r>
        <w:rPr>
          <w:rFonts w:hint="eastAsia" w:ascii="仿宋_GB2312" w:hAnsi="仿宋" w:eastAsia="仿宋_GB2312"/>
          <w:spacing w:val="-2"/>
          <w:sz w:val="32"/>
          <w:szCs w:val="32"/>
        </w:rPr>
        <w:t>3800.94</w:t>
      </w:r>
      <w:r>
        <w:rPr>
          <w:rFonts w:hint="eastAsia" w:ascii="仿宋" w:hAnsi="仿宋" w:eastAsia="仿宋"/>
          <w:color w:val="000000"/>
          <w:sz w:val="32"/>
          <w:szCs w:val="32"/>
        </w:rPr>
        <w:t>万元，其中：基本支出361.62万元，占9.5%；项目支出3439.32万元，占90.48%；上缴上级支出0万元，占0%；经营支出0万元，占0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Style w:val="26"/>
          <w:rFonts w:ascii="黑体" w:hAnsi="黑体" w:eastAsia="黑体"/>
          <w:b w:val="0"/>
        </w:rP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64770</wp:posOffset>
            </wp:positionH>
            <wp:positionV relativeFrom="paragraph">
              <wp:posOffset>117475</wp:posOffset>
            </wp:positionV>
            <wp:extent cx="5061585" cy="1984375"/>
            <wp:effectExtent l="4445" t="4445" r="20320" b="1143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bookmarkStart w:id="32" w:name="_Toc15377208"/>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2"/>
    </w:p>
    <w:p>
      <w:pPr>
        <w:snapToGrid w:val="0"/>
        <w:spacing w:line="520" w:lineRule="exact"/>
        <w:ind w:firstLine="640" w:firstLineChars="200"/>
        <w:rPr>
          <w:rFonts w:ascii="仿宋_GB2312" w:hAnsi="仿宋" w:eastAsia="仿宋_GB2312"/>
          <w:color w:val="000000" w:themeColor="text1"/>
          <w:spacing w:val="-2"/>
          <w:sz w:val="32"/>
          <w:szCs w:val="32"/>
        </w:rPr>
      </w:pPr>
      <w:r>
        <w:rPr>
          <w:rFonts w:hint="eastAsia" w:ascii="仿宋" w:hAnsi="仿宋" w:eastAsia="仿宋"/>
          <w:color w:val="000000"/>
          <w:sz w:val="32"/>
          <w:szCs w:val="32"/>
        </w:rPr>
        <w:t>2020年财政拨款收入</w:t>
      </w:r>
      <w:r>
        <w:rPr>
          <w:rFonts w:hint="eastAsia" w:ascii="仿宋_GB2312" w:eastAsia="仿宋_GB2312"/>
          <w:color w:val="000000"/>
          <w:sz w:val="32"/>
          <w:szCs w:val="32"/>
        </w:rPr>
        <w:t>3350.35</w:t>
      </w:r>
      <w:r>
        <w:rPr>
          <w:rFonts w:hint="eastAsia" w:ascii="仿宋" w:hAnsi="仿宋" w:eastAsia="仿宋"/>
          <w:color w:val="000000"/>
          <w:sz w:val="32"/>
          <w:szCs w:val="32"/>
        </w:rPr>
        <w:t>万元。与2019年相比，一般公共预算财政拨款收入较上年减少</w:t>
      </w:r>
      <w:r>
        <w:rPr>
          <w:rFonts w:hint="eastAsia" w:ascii="仿宋_GB2312" w:hAnsi="仿宋" w:eastAsia="仿宋_GB2312"/>
          <w:color w:val="000000" w:themeColor="text1"/>
          <w:spacing w:val="-2"/>
          <w:sz w:val="32"/>
          <w:szCs w:val="32"/>
        </w:rPr>
        <w:t>3655.5</w:t>
      </w:r>
      <w:r>
        <w:rPr>
          <w:rFonts w:hint="eastAsia" w:ascii="仿宋" w:hAnsi="仿宋" w:eastAsia="仿宋"/>
          <w:color w:val="000000"/>
          <w:sz w:val="32"/>
          <w:szCs w:val="32"/>
        </w:rPr>
        <w:t>万元，减少</w:t>
      </w:r>
      <w:r>
        <w:rPr>
          <w:rFonts w:hint="eastAsia" w:ascii="仿宋_GB2312" w:hAnsi="仿宋" w:eastAsia="仿宋_GB2312"/>
          <w:color w:val="000000" w:themeColor="text1"/>
          <w:spacing w:val="-2"/>
          <w:sz w:val="32"/>
          <w:szCs w:val="32"/>
        </w:rPr>
        <w:t>52</w:t>
      </w:r>
      <w:r>
        <w:rPr>
          <w:rFonts w:hint="eastAsia" w:ascii="仿宋" w:hAnsi="仿宋" w:eastAsia="仿宋"/>
          <w:color w:val="000000"/>
          <w:sz w:val="32"/>
          <w:szCs w:val="32"/>
        </w:rPr>
        <w:t>%。</w:t>
      </w:r>
      <w:r>
        <w:rPr>
          <w:rFonts w:hint="eastAsia" w:ascii="仿宋_GB2312" w:hAnsi="仿宋" w:eastAsia="仿宋_GB2312"/>
          <w:color w:val="000000" w:themeColor="text1"/>
          <w:spacing w:val="-2"/>
          <w:sz w:val="32"/>
          <w:szCs w:val="32"/>
        </w:rPr>
        <w:t>减少的主要原因是2020年机构改革人员分流。政府性基金预算财政拨款40.19万元，较上年减少76.45万元，减少65.54</w:t>
      </w:r>
      <w:r>
        <w:rPr>
          <w:rFonts w:hint="eastAsia" w:ascii="仿宋_GB2312" w:hAnsi="仿宋" w:eastAsia="仿宋_GB2312"/>
          <w:spacing w:val="-2"/>
          <w:sz w:val="32"/>
          <w:szCs w:val="32"/>
        </w:rPr>
        <w:t>%。总支出3800.94万元，较上年支出增加12.87万元，增加0.33%。主要原因</w:t>
      </w:r>
      <w:r>
        <w:rPr>
          <w:rFonts w:hint="eastAsia" w:ascii="仿宋_GB2312" w:hAnsi="仿宋" w:eastAsia="仿宋_GB2312"/>
          <w:color w:val="000000" w:themeColor="text1"/>
          <w:spacing w:val="-2"/>
          <w:sz w:val="32"/>
          <w:szCs w:val="32"/>
        </w:rPr>
        <w:t>2020年机构改革人员分流。</w:t>
      </w:r>
    </w:p>
    <w:p>
      <w:pPr>
        <w:spacing w:line="600" w:lineRule="exact"/>
        <w:ind w:firstLine="640" w:firstLineChars="200"/>
        <w:rPr>
          <w:rStyle w:val="26"/>
          <w:rFonts w:ascii="黑体" w:hAnsi="黑体" w:eastAsia="黑体"/>
          <w:b w:val="0"/>
        </w:rPr>
      </w:pPr>
      <w:r>
        <w:rPr>
          <w:rFonts w:hint="eastAsia" w:ascii="仿宋" w:hAnsi="仿宋" w:eastAsia="仿宋"/>
          <w:color w:val="000000" w:themeColor="text1"/>
          <w:sz w:val="32"/>
          <w:szCs w:val="32"/>
        </w:rPr>
        <w:drawing>
          <wp:anchor distT="0" distB="0" distL="114300" distR="114300" simplePos="0" relativeHeight="251662336" behindDoc="0" locked="0" layoutInCell="1" allowOverlap="1">
            <wp:simplePos x="0" y="0"/>
            <wp:positionH relativeFrom="column">
              <wp:posOffset>93345</wp:posOffset>
            </wp:positionH>
            <wp:positionV relativeFrom="paragraph">
              <wp:posOffset>222250</wp:posOffset>
            </wp:positionV>
            <wp:extent cx="5090160" cy="2953385"/>
            <wp:effectExtent l="4445" t="4445" r="10795" b="1397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napToGrid w:val="0"/>
        <w:spacing w:line="520" w:lineRule="exact"/>
        <w:ind w:firstLine="640" w:firstLineChars="200"/>
        <w:rPr>
          <w:rFonts w:ascii="仿宋_GB2312" w:hAnsi="仿宋" w:eastAsia="仿宋_GB2312"/>
          <w:color w:val="000000" w:themeColor="text1"/>
          <w:spacing w:val="-2"/>
          <w:sz w:val="32"/>
          <w:szCs w:val="32"/>
        </w:rPr>
      </w:pPr>
      <w:r>
        <w:rPr>
          <w:rFonts w:ascii="仿宋" w:hAnsi="仿宋" w:eastAsia="仿宋"/>
          <w:color w:val="000000"/>
          <w:sz w:val="32"/>
          <w:szCs w:val="32"/>
        </w:rPr>
        <w:t>20</w:t>
      </w:r>
      <w:r>
        <w:rPr>
          <w:rFonts w:hint="eastAsia" w:ascii="仿宋" w:hAnsi="仿宋" w:eastAsia="仿宋"/>
          <w:color w:val="000000"/>
          <w:sz w:val="32"/>
          <w:szCs w:val="32"/>
        </w:rPr>
        <w:t>20年</w:t>
      </w:r>
      <w:r>
        <w:rPr>
          <w:rFonts w:hint="eastAsia" w:ascii="仿宋_GB2312" w:hAnsi="仿宋" w:eastAsia="仿宋_GB2312"/>
          <w:spacing w:val="-2"/>
          <w:sz w:val="32"/>
          <w:szCs w:val="32"/>
        </w:rPr>
        <w:t>一般公共预算财政拨款支出3800.94万元，</w:t>
      </w:r>
      <w:r>
        <w:rPr>
          <w:rFonts w:hint="eastAsia" w:ascii="仿宋" w:hAnsi="仿宋" w:eastAsia="仿宋"/>
          <w:color w:val="000000"/>
          <w:sz w:val="32"/>
          <w:szCs w:val="32"/>
        </w:rPr>
        <w:t>占本年总支出的100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9年相比，一般公共预算财政拨款</w:t>
      </w:r>
      <w:r>
        <w:rPr>
          <w:rFonts w:hint="eastAsia" w:ascii="仿宋_GB2312" w:hAnsi="仿宋" w:eastAsia="仿宋_GB2312"/>
          <w:spacing w:val="-2"/>
          <w:sz w:val="32"/>
          <w:szCs w:val="32"/>
        </w:rPr>
        <w:t>支出增加4.12万元，增加0.11%。主要原因</w:t>
      </w:r>
      <w:r>
        <w:rPr>
          <w:rFonts w:hint="eastAsia" w:ascii="仿宋_GB2312" w:hAnsi="仿宋" w:eastAsia="仿宋_GB2312"/>
          <w:color w:val="000000" w:themeColor="text1"/>
          <w:spacing w:val="-2"/>
          <w:sz w:val="32"/>
          <w:szCs w:val="32"/>
        </w:rPr>
        <w:t>2020年机构改革人员变动。</w:t>
      </w:r>
    </w:p>
    <w:p>
      <w:pPr>
        <w:snapToGrid w:val="0"/>
        <w:spacing w:line="520" w:lineRule="exact"/>
        <w:ind w:firstLine="640" w:firstLineChars="200"/>
        <w:rPr>
          <w:rFonts w:ascii="仿宋" w:hAnsi="仿宋" w:eastAsia="仿宋"/>
          <w:b/>
          <w:color w:val="000000"/>
          <w:sz w:val="32"/>
          <w:szCs w:val="32"/>
        </w:rPr>
      </w:pPr>
      <w:r>
        <w:rPr>
          <w:rFonts w:hint="eastAsia" w:ascii="仿宋" w:hAnsi="仿宋" w:eastAsia="仿宋"/>
          <w:color w:val="000000" w:themeColor="text1"/>
          <w:sz w:val="32"/>
          <w:szCs w:val="32"/>
        </w:rPr>
        <w:drawing>
          <wp:anchor distT="0" distB="0" distL="114300" distR="114300" simplePos="0" relativeHeight="251663360" behindDoc="0" locked="0" layoutInCell="1" allowOverlap="1">
            <wp:simplePos x="0" y="0"/>
            <wp:positionH relativeFrom="column">
              <wp:posOffset>177800</wp:posOffset>
            </wp:positionH>
            <wp:positionV relativeFrom="paragraph">
              <wp:posOffset>328295</wp:posOffset>
            </wp:positionV>
            <wp:extent cx="4836160" cy="2752090"/>
            <wp:effectExtent l="4445" t="4445" r="17145" b="5715"/>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b/>
          <w:bCs/>
          <w:color w:val="000000" w:themeColor="text1"/>
          <w:sz w:val="32"/>
          <w:szCs w:val="32"/>
        </w:rPr>
      </w:pPr>
      <w:r>
        <w:rPr>
          <w:rFonts w:ascii="仿宋" w:hAnsi="仿宋" w:eastAsia="仿宋"/>
          <w:color w:val="000000"/>
          <w:sz w:val="32"/>
          <w:szCs w:val="32"/>
        </w:rPr>
        <w:t>20</w:t>
      </w:r>
      <w:r>
        <w:rPr>
          <w:rFonts w:hint="eastAsia" w:ascii="仿宋" w:hAnsi="仿宋" w:eastAsia="仿宋"/>
          <w:color w:val="000000"/>
          <w:sz w:val="32"/>
          <w:szCs w:val="32"/>
        </w:rPr>
        <w:t>20年一般公共预算财</w:t>
      </w:r>
      <w:r>
        <w:rPr>
          <w:rFonts w:hint="eastAsia" w:ascii="仿宋" w:hAnsi="仿宋" w:eastAsia="仿宋"/>
          <w:color w:val="000000" w:themeColor="text1"/>
          <w:sz w:val="32"/>
          <w:szCs w:val="32"/>
        </w:rPr>
        <w:t>政拨款支出3,742.03万元，主要用于以下方面</w:t>
      </w:r>
      <w:r>
        <w:rPr>
          <w:rFonts w:hint="eastAsia" w:ascii="仿宋" w:hAnsi="仿宋" w:eastAsia="仿宋"/>
          <w:color w:val="000000" w:themeColor="text1"/>
          <w:sz w:val="32"/>
          <w:szCs w:val="32"/>
          <w:lang w:eastAsia="zh-CN"/>
        </w:rPr>
        <w:t>：</w:t>
      </w:r>
      <w:r>
        <w:rPr>
          <w:rFonts w:hint="eastAsia" w:ascii="仿宋" w:hAnsi="仿宋" w:eastAsia="仿宋"/>
          <w:color w:val="000000" w:themeColor="text1"/>
          <w:sz w:val="32"/>
          <w:szCs w:val="32"/>
        </w:rPr>
        <w:t>文化旅游体育与传媒支出</w:t>
      </w:r>
      <w:r>
        <w:rPr>
          <w:rFonts w:hint="eastAsia" w:ascii="仿宋" w:hAnsi="仿宋" w:eastAsia="仿宋"/>
          <w:b/>
          <w:bCs/>
          <w:color w:val="000000" w:themeColor="text1"/>
          <w:sz w:val="32"/>
          <w:szCs w:val="32"/>
        </w:rPr>
        <w:t>2,186.99</w:t>
      </w:r>
      <w:r>
        <w:rPr>
          <w:rFonts w:hint="eastAsia" w:ascii="仿宋" w:hAnsi="仿宋" w:eastAsia="仿宋"/>
          <w:color w:val="000000" w:themeColor="text1"/>
          <w:sz w:val="32"/>
          <w:szCs w:val="32"/>
        </w:rPr>
        <w:t>万元，占58</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支出42.38万元，占0.55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卫生健康支出10.87</w:t>
      </w:r>
      <w:r>
        <w:rPr>
          <w:rFonts w:hint="eastAsia" w:ascii="仿宋" w:hAnsi="仿宋" w:eastAsia="仿宋"/>
          <w:color w:val="000000" w:themeColor="text1"/>
          <w:sz w:val="32"/>
          <w:szCs w:val="32"/>
        </w:rPr>
        <w:t>万元，占1.13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农林水支出</w:t>
      </w:r>
      <w:r>
        <w:rPr>
          <w:rFonts w:hint="eastAsia" w:ascii="仿宋" w:hAnsi="仿宋" w:eastAsia="仿宋"/>
          <w:color w:val="000000" w:themeColor="text1"/>
          <w:sz w:val="32"/>
          <w:szCs w:val="32"/>
        </w:rPr>
        <w:t>1255.03万元，占33.54%；</w:t>
      </w:r>
      <w:r>
        <w:rPr>
          <w:rFonts w:hint="eastAsia" w:ascii="仿宋" w:hAnsi="仿宋" w:eastAsia="仿宋"/>
          <w:b/>
          <w:bCs/>
          <w:color w:val="000000" w:themeColor="text1"/>
          <w:sz w:val="32"/>
          <w:szCs w:val="32"/>
        </w:rPr>
        <w:t>住房保障支出</w:t>
      </w:r>
      <w:r>
        <w:rPr>
          <w:rFonts w:hint="eastAsia" w:ascii="仿宋" w:hAnsi="仿宋" w:eastAsia="仿宋"/>
          <w:color w:val="000000" w:themeColor="text1"/>
          <w:sz w:val="32"/>
          <w:szCs w:val="32"/>
        </w:rPr>
        <w:t>26.64万元，占0.71</w:t>
      </w:r>
      <w:r>
        <w:rPr>
          <w:rFonts w:ascii="仿宋" w:hAnsi="仿宋" w:eastAsia="仿宋"/>
          <w:color w:val="000000" w:themeColor="text1"/>
          <w:sz w:val="32"/>
          <w:szCs w:val="32"/>
        </w:rPr>
        <w:t>%</w:t>
      </w:r>
      <w:r>
        <w:rPr>
          <w:rFonts w:hint="eastAsia" w:ascii="仿宋" w:hAnsi="仿宋" w:eastAsia="仿宋"/>
          <w:color w:val="000000" w:themeColor="text1"/>
          <w:sz w:val="32"/>
          <w:szCs w:val="32"/>
        </w:rPr>
        <w:t>。其他支出207.93万元，占5.55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color w:val="000000" w:themeColor="text1"/>
          <w:sz w:val="32"/>
          <w:szCs w:val="32"/>
        </w:rPr>
        <w:tab/>
      </w:r>
      <w:r>
        <w:rPr>
          <w:rFonts w:hint="eastAsia" w:ascii="仿宋" w:hAnsi="仿宋" w:eastAsia="仿宋"/>
          <w:color w:val="000000" w:themeColor="text1"/>
          <w:sz w:val="32"/>
          <w:szCs w:val="32"/>
        </w:rPr>
        <w:t>。</w:t>
      </w:r>
    </w:p>
    <w:p>
      <w:pPr>
        <w:spacing w:line="600" w:lineRule="exact"/>
        <w:ind w:firstLine="8320" w:firstLineChars="2600"/>
        <w:outlineLvl w:val="2"/>
        <w:rPr>
          <w:rFonts w:ascii="仿宋" w:hAnsi="仿宋" w:eastAsia="仿宋"/>
          <w:b/>
          <w:color w:val="000000" w:themeColor="text1"/>
          <w:sz w:val="32"/>
          <w:szCs w:val="32"/>
        </w:rPr>
      </w:pPr>
      <w:bookmarkStart w:id="36" w:name="_Toc15378460"/>
      <w:bookmarkStart w:id="37" w:name="_Toc15377444"/>
      <w:bookmarkStart w:id="38" w:name="_Toc15377213"/>
      <w:r>
        <w:rPr>
          <w:rFonts w:hint="eastAsia" w:ascii="仿宋" w:hAnsi="仿宋" w:eastAsia="仿宋"/>
          <w:color w:val="000000" w:themeColor="text1"/>
          <w:sz w:val="32"/>
          <w:szCs w:val="32"/>
        </w:rPr>
        <w:drawing>
          <wp:anchor distT="0" distB="0" distL="114300" distR="114300" simplePos="0" relativeHeight="251664384" behindDoc="0" locked="0" layoutInCell="1" allowOverlap="1">
            <wp:simplePos x="0" y="0"/>
            <wp:positionH relativeFrom="column">
              <wp:posOffset>549910</wp:posOffset>
            </wp:positionH>
            <wp:positionV relativeFrom="paragraph">
              <wp:posOffset>318770</wp:posOffset>
            </wp:positionV>
            <wp:extent cx="4572000" cy="2341245"/>
            <wp:effectExtent l="4445" t="4445" r="14605" b="1651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ascii="仿宋" w:hAnsi="仿宋" w:eastAsia="仿宋"/>
          <w:b/>
          <w:color w:val="000000" w:themeColor="text1"/>
          <w:sz w:val="32"/>
          <w:szCs w:val="32"/>
        </w:rPr>
      </w:pPr>
    </w:p>
    <w:bookmarkEnd w:id="36"/>
    <w:bookmarkEnd w:id="37"/>
    <w:bookmarkEnd w:id="38"/>
    <w:p>
      <w:pPr>
        <w:spacing w:line="600" w:lineRule="exact"/>
        <w:ind w:firstLine="640" w:firstLineChars="200"/>
        <w:rPr>
          <w:rStyle w:val="26"/>
        </w:rPr>
      </w:pPr>
      <w:bookmarkStart w:id="39"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39"/>
      <w:r>
        <w:rPr>
          <w:rStyle w:val="26"/>
          <w:rFonts w:ascii="黑体" w:hAnsi="黑体" w:eastAsia="黑体"/>
          <w:b w:val="0"/>
        </w:rPr>
        <w:tab/>
      </w:r>
    </w:p>
    <w:p>
      <w:pPr>
        <w:spacing w:line="600" w:lineRule="exact"/>
        <w:ind w:firstLine="645"/>
        <w:rPr>
          <w:rFonts w:ascii="仿宋_GB2312" w:eastAsia="仿宋_GB2312"/>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20年一般公共预算财政拨款基本支出361.62万元，</w:t>
      </w:r>
      <w:bookmarkStart w:id="40" w:name="_Toc15377215"/>
    </w:p>
    <w:p>
      <w:pPr>
        <w:spacing w:line="600" w:lineRule="exact"/>
        <w:ind w:firstLine="640" w:firstLineChars="200"/>
        <w:outlineLvl w:val="1"/>
        <w:rPr>
          <w:rFonts w:ascii="仿宋_GB2312" w:eastAsia="仿宋_GB2312"/>
          <w:color w:val="000000"/>
          <w:sz w:val="32"/>
          <w:szCs w:val="32"/>
        </w:rPr>
      </w:pPr>
      <w:bookmarkStart w:id="41" w:name="_Toc23811"/>
      <w:r>
        <w:rPr>
          <w:rFonts w:ascii="仿宋" w:hAnsi="仿宋" w:eastAsia="仿宋"/>
          <w:color w:val="000000"/>
          <w:sz w:val="32"/>
          <w:szCs w:val="32"/>
        </w:rPr>
        <w:t>20</w:t>
      </w:r>
      <w:r>
        <w:rPr>
          <w:rFonts w:hint="eastAsia" w:ascii="仿宋" w:hAnsi="仿宋" w:eastAsia="仿宋"/>
          <w:color w:val="000000"/>
          <w:sz w:val="32"/>
          <w:szCs w:val="32"/>
        </w:rPr>
        <w:t>20年一般公共预算财政拨款</w:t>
      </w:r>
      <w:r>
        <w:rPr>
          <w:rFonts w:hint="eastAsia" w:ascii="仿宋_GB2312" w:eastAsia="仿宋_GB2312"/>
          <w:color w:val="000000"/>
          <w:sz w:val="32"/>
          <w:szCs w:val="32"/>
        </w:rPr>
        <w:t>项目支出3380.41万元，</w:t>
      </w:r>
      <w:bookmarkEnd w:id="41"/>
    </w:p>
    <w:p>
      <w:pPr>
        <w:spacing w:line="600" w:lineRule="exact"/>
        <w:ind w:firstLine="640" w:firstLineChars="200"/>
        <w:outlineLvl w:val="1"/>
        <w:rPr>
          <w:rStyle w:val="26"/>
          <w:rFonts w:ascii="黑体" w:hAnsi="黑体" w:eastAsia="黑体"/>
          <w:b w:val="0"/>
        </w:rPr>
      </w:pPr>
      <w:bookmarkStart w:id="42" w:name="_Toc11884"/>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0"/>
      <w:bookmarkEnd w:id="42"/>
    </w:p>
    <w:p>
      <w:pPr>
        <w:spacing w:line="600" w:lineRule="exact"/>
        <w:ind w:firstLine="640"/>
        <w:outlineLvl w:val="2"/>
        <w:rPr>
          <w:rFonts w:ascii="仿宋" w:hAnsi="仿宋" w:eastAsia="仿宋"/>
          <w:b/>
          <w:color w:val="000000"/>
          <w:sz w:val="32"/>
          <w:szCs w:val="32"/>
        </w:rPr>
      </w:pPr>
      <w:bookmarkStart w:id="43" w:name="_Toc15377216"/>
      <w:r>
        <w:rPr>
          <w:rFonts w:hint="eastAsia" w:ascii="仿宋" w:hAnsi="仿宋" w:eastAsia="仿宋"/>
          <w:b/>
          <w:color w:val="000000"/>
          <w:sz w:val="32"/>
          <w:szCs w:val="32"/>
        </w:rPr>
        <w:t>（一）“三公”经费财政拨款支出决算总体情况说明</w:t>
      </w:r>
      <w:bookmarkEnd w:id="43"/>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20年“三公”经费财政拨款支出决算为3.4万元，完成预算100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4" w:name="_Toc15377217"/>
      <w:r>
        <w:rPr>
          <w:rFonts w:hint="eastAsia" w:ascii="仿宋" w:hAnsi="仿宋" w:eastAsia="仿宋"/>
          <w:b/>
          <w:color w:val="000000"/>
          <w:sz w:val="32"/>
          <w:szCs w:val="32"/>
        </w:rPr>
        <w:t>（二）“三公”经费财政拨款支出决算具体情况说明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20年“三公”经费财政拨款支出</w:t>
      </w:r>
      <w:r>
        <w:rPr>
          <w:rFonts w:hint="eastAsia" w:ascii="仿宋" w:hAnsi="仿宋" w:eastAsia="仿宋"/>
          <w:sz w:val="32"/>
          <w:szCs w:val="32"/>
        </w:rPr>
        <w:t>决算3.4万元</w:t>
      </w:r>
      <w:r>
        <w:rPr>
          <w:rFonts w:hint="eastAsia" w:ascii="仿宋" w:hAnsi="仿宋" w:eastAsia="仿宋"/>
          <w:color w:val="000000"/>
          <w:sz w:val="32"/>
          <w:szCs w:val="32"/>
        </w:rPr>
        <w:t>，其中：因公出国（境）费支出决算0万元，占0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；公务用车购置及运行维护费支出决算3.4万元，占100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5408" behindDoc="0" locked="0" layoutInCell="1" allowOverlap="1">
            <wp:simplePos x="0" y="0"/>
            <wp:positionH relativeFrom="column">
              <wp:posOffset>239395</wp:posOffset>
            </wp:positionH>
            <wp:positionV relativeFrom="paragraph">
              <wp:posOffset>147320</wp:posOffset>
            </wp:positionV>
            <wp:extent cx="5071110" cy="2591435"/>
            <wp:effectExtent l="4445" t="4445" r="10795" b="1397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3" w:firstLineChars="200"/>
        <w:rPr>
          <w:rStyle w:val="15"/>
          <w:rFonts w:ascii="仿宋" w:hAnsi="仿宋" w:eastAsia="仿宋"/>
          <w:b w:val="0"/>
          <w:bCs/>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autoSpaceDE w:val="0"/>
        <w:autoSpaceDN w:val="0"/>
        <w:adjustRightInd w:val="0"/>
        <w:spacing w:line="600" w:lineRule="exact"/>
        <w:ind w:firstLine="643" w:firstLineChars="200"/>
        <w:jc w:val="left"/>
        <w:rPr>
          <w:rFonts w:ascii="仿宋_GB2312" w:eastAsia="仿宋_GB2312"/>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3.4万元</w:t>
      </w:r>
      <w:r>
        <w:rPr>
          <w:rFonts w:hint="eastAsia" w:ascii="仿宋_GB2312" w:eastAsia="仿宋_GB2312"/>
          <w:color w:val="000000"/>
          <w:sz w:val="32"/>
          <w:szCs w:val="32"/>
          <w:lang w:eastAsia="zh-CN"/>
        </w:rPr>
        <w:t>，</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numPr>
          <w:ilvl w:val="0"/>
          <w:numId w:val="3"/>
        </w:numPr>
        <w:spacing w:line="600" w:lineRule="exact"/>
        <w:ind w:firstLine="640"/>
        <w:rPr>
          <w:rFonts w:ascii="仿宋_GB2312" w:eastAsia="仿宋_GB2312"/>
          <w:color w:val="000000" w:themeColor="text1"/>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hAnsi="仿宋" w:eastAsia="仿宋_GB2312" w:cs="仿宋"/>
          <w:color w:val="000000"/>
          <w:sz w:val="32"/>
          <w:szCs w:val="32"/>
        </w:rPr>
        <w:t>公务接待费0万元，较上年一致。</w:t>
      </w: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，外事接待0批次，0人，共计支出0万元。</w:t>
      </w:r>
      <w:bookmarkStart w:id="45" w:name="_Toc15377218"/>
    </w:p>
    <w:p>
      <w:pPr>
        <w:spacing w:line="600" w:lineRule="exact"/>
        <w:ind w:firstLine="640"/>
        <w:outlineLvl w:val="1"/>
        <w:rPr>
          <w:rStyle w:val="26"/>
          <w:rFonts w:ascii="黑体" w:hAnsi="黑体" w:eastAsia="黑体"/>
        </w:rPr>
      </w:pPr>
      <w:bookmarkStart w:id="46" w:name="_Toc30952"/>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5"/>
      <w:bookmarkEnd w:id="4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20年政府性基金预算拨款支出58.92万元。</w:t>
      </w:r>
    </w:p>
    <w:p>
      <w:pPr>
        <w:numPr>
          <w:ilvl w:val="0"/>
          <w:numId w:val="4"/>
        </w:numPr>
        <w:spacing w:line="600" w:lineRule="exact"/>
        <w:ind w:firstLine="640"/>
        <w:outlineLvl w:val="1"/>
        <w:rPr>
          <w:rStyle w:val="26"/>
          <w:rFonts w:ascii="黑体" w:hAnsi="黑体" w:eastAsia="黑体"/>
          <w:b w:val="0"/>
        </w:rPr>
      </w:pPr>
      <w:bookmarkStart w:id="47" w:name="_Toc29052"/>
      <w:bookmarkStart w:id="48" w:name="_Toc15377219"/>
      <w:r>
        <w:rPr>
          <w:rStyle w:val="26"/>
          <w:rFonts w:hint="eastAsia" w:ascii="黑体" w:hAnsi="黑体" w:eastAsia="黑体"/>
          <w:b w:val="0"/>
        </w:rPr>
        <w:t>国有资本经营预算支出决算情况说明</w:t>
      </w:r>
      <w:bookmarkEnd w:id="47"/>
      <w:bookmarkEnd w:id="4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4"/>
        <w:numPr>
          <w:ilvl w:val="0"/>
          <w:numId w:val="5"/>
        </w:numPr>
        <w:spacing w:line="580" w:lineRule="exact"/>
        <w:ind w:firstLineChars="0"/>
        <w:rPr>
          <w:rStyle w:val="26"/>
          <w:rFonts w:ascii="黑体" w:hAnsi="黑体" w:eastAsia="黑体"/>
          <w:b w:val="0"/>
        </w:rPr>
      </w:pPr>
      <w:bookmarkStart w:id="49" w:name="_Toc787"/>
      <w:r>
        <w:rPr>
          <w:rStyle w:val="26"/>
          <w:rFonts w:hint="eastAsia" w:ascii="黑体" w:hAnsi="黑体" w:eastAsia="黑体"/>
          <w:b w:val="0"/>
        </w:rPr>
        <w:t>预算绩效情况说明</w:t>
      </w:r>
    </w:p>
    <w:bookmarkEnd w:id="49"/>
    <w:p>
      <w:pPr>
        <w:numPr>
          <w:ilvl w:val="0"/>
          <w:numId w:val="6"/>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我单位在年初预算编制阶段，组织对项目开展了预算事前绩效评估，对1个项目编制了绩效目标，预算执行过程中，选取1个项目开展绩效监控，年终执行完毕后，对1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本部门按要求对2020年部门整体支出开展绩效自评，</w:t>
      </w:r>
      <w:r>
        <w:rPr>
          <w:rFonts w:hint="eastAsia" w:ascii="仿宋_GB2312" w:eastAsia="仿宋_GB2312"/>
          <w:sz w:val="32"/>
          <w:szCs w:val="32"/>
        </w:rPr>
        <w:t>经全面综合评价，我单位预算支出绩效自评得分92</w:t>
      </w:r>
      <w:r>
        <w:rPr>
          <w:rFonts w:hint="eastAsia" w:ascii="仿宋_GB2312" w:eastAsia="仿宋_GB2312"/>
          <w:color w:val="000000" w:themeColor="text1"/>
          <w:sz w:val="32"/>
          <w:szCs w:val="32"/>
        </w:rPr>
        <w:t>分</w:t>
      </w:r>
      <w:r>
        <w:rPr>
          <w:rFonts w:hint="eastAsia" w:ascii="仿宋_GB2312" w:eastAsia="仿宋_GB2312"/>
          <w:sz w:val="32"/>
          <w:szCs w:val="32"/>
        </w:rPr>
        <w:t>（扣除我单位不存在的评价指标分值</w:t>
      </w:r>
      <w:r>
        <w:rPr>
          <w:rFonts w:hint="eastAsia" w:ascii="仿宋_GB2312" w:eastAsia="仿宋_GB2312"/>
          <w:sz w:val="32"/>
          <w:szCs w:val="32"/>
          <w:lang w:eastAsia="zh-CN"/>
        </w:rPr>
        <w:t>，</w:t>
      </w:r>
      <w:r>
        <w:rPr>
          <w:rFonts w:hint="eastAsia" w:ascii="仿宋_GB2312" w:eastAsia="仿宋_GB2312"/>
          <w:sz w:val="32"/>
          <w:szCs w:val="32"/>
        </w:rPr>
        <w:t>总分为66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hAnsi="仿宋_GB2312" w:eastAsia="仿宋_GB2312" w:cs="仿宋_GB2312"/>
          <w:sz w:val="32"/>
          <w:szCs w:val="32"/>
        </w:rPr>
        <w:t>。本单位还自行组织了1个项目绩效评价，从评价情况来看我单位年初预算项目基本按照绩效目标完成支付，合同期限为3年分季度进行支付。</w:t>
      </w:r>
    </w:p>
    <w:p>
      <w:pPr>
        <w:numPr>
          <w:ilvl w:val="0"/>
          <w:numId w:val="6"/>
        </w:numPr>
        <w:spacing w:line="580" w:lineRule="exact"/>
        <w:ind w:firstLine="643" w:firstLineChars="200"/>
        <w:jc w:val="left"/>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本部门在2020年度部门决算中反映3个项目绩效目标实际完成情况。</w:t>
      </w:r>
    </w:p>
    <w:p>
      <w:pPr>
        <w:rPr>
          <w:rFonts w:ascii="Calibri" w:hAnsi="Calibri"/>
        </w:rPr>
      </w:pPr>
    </w:p>
    <w:p>
      <w:pPr>
        <w:numPr>
          <w:ilvl w:val="0"/>
          <w:numId w:val="6"/>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本部门按要求对2020年部门整体支出绩效评价情况开展自评，</w:t>
      </w:r>
      <w:r>
        <w:rPr>
          <w:rFonts w:hint="eastAsia" w:ascii="仿宋_GB2312" w:eastAsia="仿宋_GB2312"/>
          <w:sz w:val="32"/>
          <w:szCs w:val="32"/>
        </w:rPr>
        <w:t>《金川县文化体育和旅游局2020年部门预算整体支出绩效评价报告》</w:t>
      </w:r>
      <w:r>
        <w:rPr>
          <w:rFonts w:hint="eastAsia" w:ascii="仿宋_GB2312" w:hAnsi="仿宋_GB2312" w:eastAsia="仿宋_GB2312" w:cs="仿宋_GB2312"/>
          <w:sz w:val="32"/>
          <w:szCs w:val="32"/>
        </w:rPr>
        <w:t>见附件。</w:t>
      </w:r>
    </w:p>
    <w:p>
      <w:pPr>
        <w:spacing w:line="600" w:lineRule="exact"/>
        <w:ind w:firstLine="640" w:firstLineChars="200"/>
        <w:outlineLvl w:val="1"/>
        <w:rPr>
          <w:rStyle w:val="26"/>
          <w:rFonts w:ascii="黑体" w:hAnsi="黑体" w:eastAsia="黑体"/>
        </w:rPr>
      </w:pPr>
      <w:bookmarkStart w:id="50" w:name="_Toc15377221"/>
      <w:bookmarkStart w:id="51" w:name="_Toc4616"/>
      <w:r>
        <w:rPr>
          <w:rFonts w:hint="eastAsia" w:ascii="黑体" w:hAnsi="黑体" w:eastAsia="黑体"/>
          <w:color w:val="000000"/>
          <w:sz w:val="32"/>
          <w:szCs w:val="32"/>
        </w:rPr>
        <w:t>十</w:t>
      </w:r>
      <w:r>
        <w:rPr>
          <w:rStyle w:val="26"/>
          <w:rFonts w:hint="eastAsia" w:ascii="黑体" w:hAnsi="黑体" w:eastAsia="黑体"/>
        </w:rPr>
        <w:t>一、</w:t>
      </w:r>
      <w:r>
        <w:rPr>
          <w:rStyle w:val="26"/>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2020年</w:t>
      </w:r>
      <w:r>
        <w:rPr>
          <w:rFonts w:hint="eastAsia" w:ascii="仿宋_GB2312" w:eastAsia="仿宋_GB2312"/>
          <w:color w:val="000000"/>
          <w:sz w:val="32"/>
          <w:szCs w:val="32"/>
          <w:lang w:eastAsia="zh-CN"/>
        </w:rPr>
        <w:t>度</w:t>
      </w:r>
      <w:r>
        <w:rPr>
          <w:rFonts w:hint="eastAsia" w:ascii="仿宋_GB2312" w:eastAsia="仿宋_GB2312"/>
          <w:color w:val="000000"/>
          <w:sz w:val="32"/>
          <w:szCs w:val="32"/>
        </w:rPr>
        <w:t>机关运行经费支出85.35万元，2019年机关运行经费支出497.01万元，比2019年减少411.65万元，减少82.83%。主要是办公费、租赁费、邮电费、差旅费、公务用车运行维护费等。</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bookmarkStart w:id="54" w:name="_Toc15377224"/>
      <w:r>
        <w:rPr>
          <w:rFonts w:hint="eastAsia" w:ascii="仿宋_GB2312" w:eastAsia="仿宋_GB2312"/>
          <w:color w:val="000000"/>
          <w:sz w:val="32"/>
          <w:szCs w:val="32"/>
        </w:rPr>
        <w:t>2020年度，金川县人民政府办政府采购合同总价格879.37万元，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日，共有车辆3辆，为日常工作及应急保障用车。</w:t>
      </w:r>
      <w:r>
        <w:rPr>
          <w:rFonts w:hint="eastAsia" w:ascii="仿宋_GB2312" w:eastAsia="仿宋_GB2312"/>
          <w:b/>
          <w:color w:val="000000"/>
          <w:sz w:val="32"/>
          <w:szCs w:val="32"/>
        </w:rPr>
        <w:t xml:space="preserve">    </w:t>
      </w:r>
    </w:p>
    <w:p>
      <w:pPr>
        <w:numPr>
          <w:ilvl w:val="0"/>
          <w:numId w:val="7"/>
        </w:numPr>
        <w:spacing w:line="600" w:lineRule="exact"/>
        <w:ind w:firstLine="663" w:firstLineChars="150"/>
        <w:jc w:val="center"/>
        <w:outlineLvl w:val="0"/>
        <w:rPr>
          <w:rStyle w:val="25"/>
          <w:rFonts w:ascii="黑体" w:hAnsi="黑体" w:eastAsia="黑体"/>
          <w:b w:val="0"/>
        </w:rPr>
      </w:pPr>
      <w:bookmarkStart w:id="55" w:name="_Toc14568"/>
      <w:bookmarkStart w:id="56" w:name="_Toc15377225"/>
      <w:r>
        <w:rPr>
          <w:rFonts w:hint="eastAsia" w:ascii="黑体" w:hAnsi="黑体" w:eastAsia="黑体"/>
          <w:b/>
          <w:color w:val="000000"/>
          <w:sz w:val="44"/>
          <w:szCs w:val="44"/>
        </w:rPr>
        <w:t>名</w:t>
      </w:r>
      <w:r>
        <w:rPr>
          <w:rStyle w:val="25"/>
          <w:rFonts w:hint="eastAsia" w:ascii="黑体" w:hAnsi="黑体" w:eastAsia="黑体"/>
          <w:b w:val="0"/>
        </w:rPr>
        <w:t>词解释</w:t>
      </w:r>
      <w:bookmarkEnd w:id="55"/>
      <w:bookmarkEnd w:id="56"/>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hAnsi="Calibri"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hAnsi="Calibri"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hAnsi="Calibri"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hAnsi="Calibri"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hAnsi="Calibri"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hAnsi="黑体" w:eastAsia="黑体"/>
          <w:color w:val="000000"/>
          <w:sz w:val="44"/>
          <w:szCs w:val="44"/>
        </w:rPr>
      </w:pPr>
      <w:bookmarkStart w:id="57" w:name="_Toc15377226"/>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pStyle w:val="3"/>
        <w:rPr>
          <w:rStyle w:val="25"/>
          <w:rFonts w:ascii="仿宋" w:hAnsi="仿宋" w:eastAsia="仿宋"/>
          <w:b w:val="0"/>
          <w:bCs w:val="0"/>
          <w:sz w:val="32"/>
          <w:szCs w:val="32"/>
        </w:rPr>
      </w:pPr>
      <w:bookmarkStart w:id="58" w:name="_Toc11323"/>
      <w:r>
        <w:rPr>
          <w:rStyle w:val="25"/>
          <w:rFonts w:hint="eastAsia" w:ascii="仿宋" w:hAnsi="仿宋" w:eastAsia="仿宋"/>
          <w:b w:val="0"/>
          <w:bCs w:val="0"/>
          <w:sz w:val="32"/>
          <w:szCs w:val="32"/>
        </w:rPr>
        <w:t>附件1</w:t>
      </w:r>
      <w:bookmarkEnd w:id="58"/>
    </w:p>
    <w:p>
      <w:pPr>
        <w:numPr>
          <w:ilvl w:val="0"/>
          <w:numId w:val="7"/>
        </w:numPr>
        <w:spacing w:line="600" w:lineRule="exact"/>
        <w:ind w:firstLine="660" w:firstLineChars="150"/>
        <w:jc w:val="center"/>
        <w:outlineLvl w:val="0"/>
        <w:rPr>
          <w:rStyle w:val="25"/>
          <w:rFonts w:ascii="黑体" w:hAnsi="黑体" w:eastAsia="黑体"/>
          <w:b w:val="0"/>
        </w:rPr>
      </w:pPr>
      <w:bookmarkStart w:id="59" w:name="_Toc12508"/>
      <w:r>
        <w:rPr>
          <w:rStyle w:val="25"/>
          <w:rFonts w:hint="eastAsia" w:ascii="黑体" w:hAnsi="黑体" w:eastAsia="黑体"/>
          <w:b w:val="0"/>
        </w:rPr>
        <w:t>附件</w:t>
      </w:r>
      <w:bookmarkEnd w:id="59"/>
    </w:p>
    <w:bookmarkEnd w:id="57"/>
    <w:p>
      <w:pPr>
        <w:widowControl/>
        <w:spacing w:line="480" w:lineRule="exact"/>
        <w:jc w:val="left"/>
        <w:rPr>
          <w:rFonts w:ascii="黑体" w:hAnsi="黑体" w:eastAsia="黑体" w:cs="黑体"/>
        </w:rPr>
      </w:pPr>
    </w:p>
    <w:p>
      <w:pPr>
        <w:widowControl/>
        <w:spacing w:line="56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金川县文体旅游局</w:t>
      </w:r>
    </w:p>
    <w:p>
      <w:pPr>
        <w:widowControl/>
        <w:spacing w:line="56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2021年部门整体支出绩效报告</w:t>
      </w:r>
    </w:p>
    <w:p>
      <w:pPr>
        <w:widowControl/>
        <w:spacing w:line="560" w:lineRule="exact"/>
        <w:jc w:val="center"/>
        <w:rPr>
          <w:rFonts w:ascii="黑体" w:hAnsi="宋体" w:eastAsia="黑体" w:cs="宋体"/>
          <w:color w:val="000000"/>
          <w:kern w:val="0"/>
        </w:rPr>
      </w:pPr>
      <w:r>
        <w:rPr>
          <w:rFonts w:hint="eastAsia" w:ascii="仿宋_GB2312" w:hAnsi="宋体" w:cs="仿宋_GB2312"/>
        </w:rPr>
        <w:t xml:space="preserve"> </w:t>
      </w:r>
    </w:p>
    <w:p>
      <w:pPr>
        <w:widowControl/>
        <w:adjustRightInd w:val="0"/>
        <w:snapToGrid w:val="0"/>
        <w:spacing w:line="560" w:lineRule="exact"/>
        <w:ind w:firstLine="720"/>
        <w:jc w:val="left"/>
        <w:rPr>
          <w:rFonts w:ascii="黑体" w:hAnsi="宋体" w:eastAsia="黑体" w:cs="宋体"/>
          <w:color w:val="000000"/>
          <w:kern w:val="0"/>
          <w:lang w:val="zh-CN"/>
        </w:rPr>
      </w:pPr>
      <w:r>
        <w:rPr>
          <w:rFonts w:hint="eastAsia" w:ascii="黑体" w:hAnsi="宋体" w:eastAsia="黑体" w:cs="宋体"/>
          <w:color w:val="000000"/>
          <w:kern w:val="0"/>
        </w:rPr>
        <w:t>一、</w:t>
      </w:r>
      <w:r>
        <w:rPr>
          <w:rFonts w:hint="eastAsia" w:ascii="黑体" w:hAnsi="宋体" w:eastAsia="黑体" w:cs="宋体"/>
          <w:color w:val="000000"/>
          <w:kern w:val="0"/>
          <w:lang w:val="zh-CN"/>
        </w:rPr>
        <w:t>部门（单位）概况</w:t>
      </w:r>
    </w:p>
    <w:p>
      <w:pPr>
        <w:widowControl/>
        <w:adjustRightInd w:val="0"/>
        <w:snapToGrid w:val="0"/>
        <w:spacing w:line="560" w:lineRule="exact"/>
        <w:ind w:firstLine="720"/>
        <w:jc w:val="left"/>
        <w:rPr>
          <w:rFonts w:ascii="仿宋_GB2312" w:hAnsi="宋体" w:cs="宋体"/>
          <w:b/>
          <w:color w:val="000000"/>
          <w:kern w:val="0"/>
          <w:lang w:val="zh-CN"/>
        </w:rPr>
      </w:pPr>
      <w:r>
        <w:rPr>
          <w:rFonts w:hint="eastAsia" w:ascii="仿宋_GB2312" w:hAnsi="宋体" w:cs="宋体"/>
          <w:b/>
          <w:color w:val="000000"/>
          <w:kern w:val="0"/>
          <w:lang w:val="zh-CN"/>
        </w:rPr>
        <w:t>（一）机构组成。</w:t>
      </w:r>
    </w:p>
    <w:p>
      <w:pPr>
        <w:spacing w:line="540" w:lineRule="exact"/>
        <w:ind w:firstLine="420" w:firstLineChars="200"/>
        <w:outlineLvl w:val="1"/>
        <w:rPr>
          <w:rFonts w:ascii="仿宋_GB2312" w:hAnsi="宋体" w:eastAsia="仿宋_GB2312" w:cs="宋体"/>
          <w:color w:val="000000"/>
          <w:kern w:val="0"/>
          <w:lang w:val="zh-CN"/>
        </w:rPr>
      </w:pPr>
      <w:r>
        <w:rPr>
          <w:rFonts w:hint="eastAsia" w:ascii="仿宋_GB2312"/>
        </w:rPr>
        <w:t>根据《中共金川县县委 金川县人民政府关于印发</w:t>
      </w:r>
      <w:r>
        <w:rPr>
          <w:rFonts w:hint="eastAsia" w:ascii="仿宋_GB2312"/>
          <w:lang w:eastAsia="zh-CN"/>
        </w:rPr>
        <w:t>〈</w:t>
      </w:r>
      <w:r>
        <w:rPr>
          <w:rFonts w:hint="eastAsia" w:ascii="仿宋_GB2312"/>
        </w:rPr>
        <w:t>金川县机构改革方案</w:t>
      </w:r>
      <w:r>
        <w:rPr>
          <w:rFonts w:hint="eastAsia" w:ascii="仿宋_GB2312"/>
          <w:lang w:eastAsia="zh-CN"/>
        </w:rPr>
        <w:t>〉</w:t>
      </w:r>
      <w:r>
        <w:rPr>
          <w:rFonts w:hint="eastAsia" w:ascii="仿宋_GB2312"/>
        </w:rPr>
        <w:t>的通知》（金委发〔2019〕4 号）文件精神，组建</w:t>
      </w:r>
      <w:r>
        <w:rPr>
          <w:rFonts w:hint="eastAsia" w:ascii="仿宋_GB2312"/>
          <w:bCs/>
        </w:rPr>
        <w:t>金川县文化体育和旅游局金川县人民政府部门，为正科级，列政府组阁序列。下属事业单位有文化馆，图书馆。</w:t>
      </w:r>
    </w:p>
    <w:p>
      <w:pPr>
        <w:widowControl/>
        <w:adjustRightInd w:val="0"/>
        <w:snapToGrid w:val="0"/>
        <w:spacing w:line="560" w:lineRule="exact"/>
        <w:ind w:firstLine="720"/>
        <w:jc w:val="left"/>
        <w:rPr>
          <w:rFonts w:ascii="仿宋_GB2312" w:hAnsi="宋体" w:cs="宋体"/>
          <w:b/>
          <w:color w:val="000000"/>
          <w:kern w:val="0"/>
          <w:lang w:val="zh-CN"/>
        </w:rPr>
      </w:pPr>
      <w:r>
        <w:rPr>
          <w:rFonts w:hint="eastAsia" w:ascii="仿宋_GB2312" w:hAnsi="宋体" w:cs="宋体"/>
          <w:b/>
          <w:color w:val="000000"/>
          <w:kern w:val="0"/>
          <w:lang w:val="zh-CN"/>
        </w:rPr>
        <w:t>（二）机构职能。</w:t>
      </w:r>
    </w:p>
    <w:p>
      <w:pPr>
        <w:widowControl/>
        <w:shd w:val="clear" w:color="auto" w:fill="FFFFFF"/>
        <w:spacing w:line="480" w:lineRule="exact"/>
        <w:ind w:firstLine="320" w:firstLineChars="100"/>
        <w:jc w:val="left"/>
        <w:rPr>
          <w:rFonts w:ascii="仿宋_GB2312" w:hAnsi="仿宋_GB2312" w:eastAsia="仿宋_GB2312" w:cs="仿宋_GB2312"/>
          <w:color w:val="333333"/>
          <w:sz w:val="32"/>
          <w:szCs w:val="32"/>
          <w:shd w:val="clear" w:color="auto" w:fill="FFFFFF"/>
        </w:rPr>
      </w:pPr>
      <w:r>
        <w:rPr>
          <w:rFonts w:hint="eastAsia" w:ascii="仿宋_GB2312" w:hAnsi="仿宋_GB2312" w:cs="仿宋_GB2312"/>
          <w:color w:val="333333"/>
          <w:sz w:val="32"/>
          <w:szCs w:val="32"/>
          <w:shd w:val="clear" w:color="auto" w:fill="FFFFFF"/>
        </w:rPr>
        <w:t>（一）</w:t>
      </w:r>
      <w:r>
        <w:rPr>
          <w:rFonts w:hint="eastAsia" w:ascii="仿宋_GB2312" w:hAnsi="仿宋_GB2312" w:eastAsia="仿宋_GB2312" w:cs="仿宋_GB2312"/>
          <w:color w:val="333333"/>
          <w:sz w:val="32"/>
          <w:szCs w:val="32"/>
          <w:shd w:val="clear" w:color="auto" w:fill="FFFFFF"/>
        </w:rPr>
        <w:t xml:space="preserve">拟订文化、体育、旅游、广播电视和文物政策措施，起草文化、体育、旅游、广播电视和文物地方性法规、规章草案，负责本部门依法行政工作。 </w:t>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 xml:space="preserve">（二）组织推动全市文化事业、文化产业、体育事业、体育产业和旅游业发展，拟订并组织实施全市文化、体育、旅游、广播电视发展和文物保护利用规划，推进所属行业的体制机制改革和行业融合发展。 </w:t>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 xml:space="preserve">（三）管理所属行业的全市重大活动，指导所属行业重点设施建设，组织全市文化和旅游整体形象推广，促进行业产业对外交流合作和国际市场推广，制定旅游市场开发战略并组织实施，推进全域旅游。 </w:t>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 xml:space="preserve">（四）指导管理文艺事业，推动艺术创作生产，扶持体现社会主义核心价值观、具有导向性代表性示范性的文艺作品，推动各门类艺术、各艺术品种发展，推动中华优秀传统文化和巴文化传承发展。 </w:t>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 xml:space="preserve">（五）负责公共文化事业发展，推进全市公共文化服务体系建设和旅游公共服务建设，深入实施文化惠民工程，统筹推进基本公共文化服务标准化、均等化。 </w:t>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 xml:space="preserve">（六）推进文化、体育、旅游、广播电视和文物科技创新发展，推进本行业信息化、标准化建设。 </w:t>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 xml:space="preserve">（七）负责非物质文化遗产保护，推动非物质文化遗产的保护、传承、普及、弘扬和振兴。 </w:t>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 xml:space="preserve">（八）组织实施所属行业资源普查、挖掘、保护与利用工作，促进行业的产业发展。 </w:t>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 xml:space="preserve">（九）指导文化、体育、旅游、广播电视和文物市场发展，并进行行业监管，推进行业信用体系建设，依法规范行业市场。 </w:t>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 xml:space="preserve">（十）统筹全市文化市场综合执法，组织查处全市性、跨区域文化、文物、出版、广播电视、电影、旅游市场领域的违法行为，督查督办大案要案，维护市场秩序。 </w:t>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 xml:space="preserve">（十一）负责管理文化、体育、旅游、广播电视和文物对外及对港澳台交流合作与宣传推广工作，组织大型文化、体育、旅游、广播电视和文物对外及对港澳台交流活动，推动中华文化走出去。 </w:t>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 xml:space="preserve">（十二）负责全市文化、体育、旅游、广播电视和文物市场安全生产工作的综合协调与监督管理，对文化旅游园区的安全生产和职业健康工作实施行业监督管理。制定职责范围内的安全生产年度监督检查计划并组织实施。 </w:t>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 xml:space="preserve">（十三）负责统筹协调全市竞技体育、群众体育和青少年体育发展工作。推行全民健身计划、监督实施国家体育锻炼标准，推动全市国民体质监测和社会体育指导工作队伍制度建设。组织、指导体育训练、体育竞赛工作，组织协调省级或市级综合性运动会，负责组织、协调、监督体育运动中的反兴奋剂和运动员社会保障工作。协助体育彩票销售工作的监督管理，负责公共体育设施的建设指导、监督管理。 </w:t>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 xml:space="preserve">（十四）加强广播电视阵地建设，把握正确的舆论导向和创作导向。推进广播电视基本公共服务标准化、均等化。指导、监督广播电视重点基础设施建设。负责对各类广播电视机构进行业务指导和行业监管，会同有关部门对网络视听节目服务机构进行管理。组织实施广播电视节目评价工作。指导、监管广播电视广告播放。负责指导、协调和管理全市广播电视媒体的宣传、发展、传输覆盖等重大事项。负责推进广播电视与新媒体新技术新业态融合发展，推进广电网与电信网、互联网三网融合。 </w:t>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 xml:space="preserve">（十五）负责指导、协调全市文物的管理、保护、抢救、发掘、研究、宣传等工作。监督和管理文物市场。组织协调重大文物保护、考古项目的实施。指导博物馆建设管理和业务工作。指导和监督社会文物管理工作。 </w:t>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 xml:space="preserve">（十六）负责职责范围内的安全生产和职业健康、生态环境保护、审批服务便民化等工作。 </w:t>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 xml:space="preserve">（十七）完成市委、市政府交办的其他任务。 </w:t>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eastAsia="仿宋_GB2312" w:cs="仿宋_GB2312"/>
          <w:color w:val="333333"/>
          <w:sz w:val="32"/>
          <w:szCs w:val="32"/>
          <w:shd w:val="clear" w:color="auto" w:fill="FFFFFF"/>
        </w:rPr>
        <w:br w:type="textWrapping"/>
      </w:r>
      <w:r>
        <w:rPr>
          <w:rFonts w:hint="eastAsia" w:ascii="仿宋_GB2312" w:hAnsi="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十八）职能转变。以人民美好生活为引导，统筹推进文化、体育、旅游、广播电视和文物事业与产业的融合发展，用好文化创意、科技创新和社会投资等新动能。提升巩固旅游业的战略性支柱产业地位，提升文化软实力、旅游竞争力。将市文体旅游局下属事业单位所有行政职能交由市文体旅游局机关承担。</w:t>
      </w:r>
    </w:p>
    <w:p>
      <w:pPr>
        <w:widowControl/>
        <w:adjustRightInd w:val="0"/>
        <w:snapToGrid w:val="0"/>
        <w:spacing w:line="560" w:lineRule="exact"/>
        <w:ind w:firstLine="720"/>
        <w:jc w:val="left"/>
        <w:rPr>
          <w:rFonts w:ascii="仿宋_GB2312" w:hAnsi="宋体" w:cs="宋体"/>
          <w:b/>
          <w:color w:val="000000"/>
          <w:kern w:val="0"/>
          <w:lang w:val="zh-CN"/>
        </w:rPr>
      </w:pPr>
      <w:r>
        <w:rPr>
          <w:rFonts w:hint="eastAsia" w:ascii="仿宋_GB2312" w:hAnsi="宋体" w:cs="宋体"/>
          <w:b/>
          <w:color w:val="000000"/>
          <w:kern w:val="0"/>
          <w:lang w:val="zh-CN"/>
        </w:rPr>
        <w:t>（三）人员概况。</w:t>
      </w:r>
    </w:p>
    <w:p>
      <w:pPr>
        <w:widowControl/>
        <w:adjustRightInd w:val="0"/>
        <w:snapToGrid w:val="0"/>
        <w:spacing w:line="560" w:lineRule="exact"/>
        <w:ind w:firstLine="720"/>
        <w:jc w:val="left"/>
        <w:rPr>
          <w:rFonts w:ascii="新宋体" w:hAnsi="新宋体" w:eastAsia="新宋体" w:cs="新宋体"/>
          <w:kern w:val="0"/>
          <w:sz w:val="32"/>
          <w:szCs w:val="32"/>
        </w:rPr>
      </w:pPr>
      <w:r>
        <w:rPr>
          <w:rFonts w:hint="eastAsia" w:ascii="新宋体" w:hAnsi="新宋体" w:eastAsia="新宋体" w:cs="新宋体"/>
          <w:kern w:val="0"/>
          <w:sz w:val="32"/>
          <w:szCs w:val="32"/>
        </w:rPr>
        <w:t>金川县文化体育和旅游局属于行政单位，执行的是行政单位会计制度，编制人数为17人，实有人数17人。退休人数28人，遗嘱3人.</w:t>
      </w:r>
    </w:p>
    <w:p>
      <w:pPr>
        <w:widowControl/>
        <w:adjustRightInd w:val="0"/>
        <w:snapToGrid w:val="0"/>
        <w:spacing w:line="560" w:lineRule="exact"/>
        <w:ind w:firstLine="720"/>
        <w:jc w:val="left"/>
        <w:rPr>
          <w:rFonts w:ascii="黑体" w:hAnsi="宋体" w:eastAsia="黑体" w:cs="宋体"/>
          <w:color w:val="000000"/>
          <w:kern w:val="0"/>
        </w:rPr>
      </w:pPr>
      <w:r>
        <w:rPr>
          <w:rFonts w:hint="eastAsia" w:ascii="黑体" w:hAnsi="宋体" w:eastAsia="黑体" w:cs="宋体"/>
          <w:color w:val="000000"/>
          <w:kern w:val="0"/>
        </w:rPr>
        <w:t>二、部门财政资金收支情况</w:t>
      </w:r>
    </w:p>
    <w:p>
      <w:pPr>
        <w:widowControl/>
        <w:adjustRightInd w:val="0"/>
        <w:snapToGrid w:val="0"/>
        <w:spacing w:line="560" w:lineRule="exact"/>
        <w:ind w:firstLine="720"/>
        <w:jc w:val="left"/>
        <w:rPr>
          <w:rFonts w:ascii="仿宋_GB2312" w:hAnsi="宋体" w:cs="宋体"/>
          <w:color w:val="000000"/>
          <w:kern w:val="0"/>
          <w:lang w:val="zh-CN"/>
        </w:rPr>
      </w:pPr>
      <w:r>
        <w:rPr>
          <w:rFonts w:hint="eastAsia" w:ascii="仿宋_GB2312" w:hAnsi="宋体" w:cs="宋体"/>
          <w:color w:val="000000"/>
          <w:kern w:val="0"/>
          <w:lang w:val="zh-CN"/>
        </w:rPr>
        <w:t>（一）部门财政资金收入情况。</w:t>
      </w:r>
    </w:p>
    <w:p>
      <w:pPr>
        <w:widowControl/>
        <w:adjustRightInd w:val="0"/>
        <w:snapToGrid w:val="0"/>
        <w:spacing w:line="480" w:lineRule="exact"/>
        <w:ind w:firstLine="720"/>
        <w:jc w:val="left"/>
        <w:rPr>
          <w:rFonts w:ascii="仿宋_GB2312" w:hAnsi="宋体" w:cs="宋体"/>
          <w:color w:val="000000"/>
          <w:kern w:val="0"/>
          <w:lang w:val="zh-CN"/>
        </w:rPr>
      </w:pPr>
      <w:r>
        <w:rPr>
          <w:rFonts w:hint="eastAsia" w:ascii="仿宋_GB2312"/>
          <w:color w:val="000000"/>
          <w:sz w:val="32"/>
          <w:szCs w:val="32"/>
        </w:rPr>
        <w:t>2021年</w:t>
      </w:r>
      <w:r>
        <w:rPr>
          <w:rFonts w:hint="eastAsia" w:ascii="仿宋_GB2312" w:eastAsia="仿宋_GB2312"/>
          <w:color w:val="000000"/>
          <w:sz w:val="32"/>
          <w:szCs w:val="32"/>
        </w:rPr>
        <w:t xml:space="preserve">县文化体育和旅游局本年收入合计3350.35万元，其中：财政拨款收入3350.35万元。 </w:t>
      </w:r>
    </w:p>
    <w:p>
      <w:pPr>
        <w:widowControl/>
        <w:adjustRightInd w:val="0"/>
        <w:snapToGrid w:val="0"/>
        <w:spacing w:line="480" w:lineRule="exact"/>
        <w:ind w:firstLine="720"/>
        <w:jc w:val="left"/>
        <w:rPr>
          <w:rFonts w:ascii="仿宋_GB2312" w:hAnsi="宋体" w:cs="宋体"/>
          <w:color w:val="000000"/>
          <w:kern w:val="0"/>
          <w:lang w:val="zh-CN"/>
        </w:rPr>
      </w:pPr>
      <w:r>
        <w:rPr>
          <w:rFonts w:hint="eastAsia" w:ascii="仿宋_GB2312" w:hAnsi="宋体" w:cs="宋体"/>
          <w:color w:val="000000"/>
          <w:kern w:val="0"/>
          <w:lang w:val="zh-CN"/>
        </w:rPr>
        <w:t>202</w:t>
      </w:r>
      <w:r>
        <w:rPr>
          <w:rFonts w:hint="eastAsia" w:ascii="仿宋_GB2312" w:hAnsi="宋体" w:cs="宋体"/>
          <w:color w:val="000000"/>
          <w:kern w:val="0"/>
        </w:rPr>
        <w:t>1</w:t>
      </w:r>
      <w:r>
        <w:rPr>
          <w:rFonts w:hint="eastAsia" w:ascii="仿宋_GB2312" w:hAnsi="宋体" w:cs="宋体"/>
          <w:color w:val="000000"/>
          <w:kern w:val="0"/>
          <w:lang w:val="zh-CN"/>
        </w:rPr>
        <w:t>上半年预算收入资金</w:t>
      </w:r>
      <w:r>
        <w:rPr>
          <w:rFonts w:hint="eastAsia" w:ascii="仿宋_GB2312" w:hAnsi="宋体" w:cs="宋体"/>
          <w:color w:val="000000"/>
          <w:kern w:val="0"/>
        </w:rPr>
        <w:t>553.72</w:t>
      </w:r>
      <w:r>
        <w:rPr>
          <w:rFonts w:hint="eastAsia" w:ascii="仿宋_GB2312" w:hAnsi="宋体" w:cs="宋体"/>
          <w:color w:val="000000"/>
          <w:kern w:val="0"/>
          <w:lang w:val="zh-CN"/>
        </w:rPr>
        <w:t>万元。</w:t>
      </w:r>
    </w:p>
    <w:p>
      <w:pPr>
        <w:widowControl/>
        <w:adjustRightInd w:val="0"/>
        <w:snapToGrid w:val="0"/>
        <w:spacing w:line="560" w:lineRule="exact"/>
        <w:ind w:firstLine="720"/>
        <w:jc w:val="left"/>
        <w:rPr>
          <w:rFonts w:ascii="仿宋_GB2312" w:hAnsi="宋体" w:cs="宋体"/>
          <w:color w:val="000000"/>
          <w:kern w:val="0"/>
          <w:lang w:val="zh-CN"/>
        </w:rPr>
      </w:pPr>
      <w:r>
        <w:rPr>
          <w:rFonts w:hint="eastAsia" w:ascii="仿宋_GB2312" w:hAnsi="宋体" w:cs="宋体"/>
          <w:color w:val="000000"/>
          <w:kern w:val="0"/>
          <w:lang w:val="zh-CN"/>
        </w:rPr>
        <w:t>（二）部门财政资金支出情况。</w:t>
      </w:r>
    </w:p>
    <w:p>
      <w:pPr>
        <w:widowControl/>
        <w:adjustRightInd w:val="0"/>
        <w:snapToGrid w:val="0"/>
        <w:spacing w:line="560" w:lineRule="exact"/>
        <w:ind w:firstLine="720"/>
        <w:jc w:val="left"/>
        <w:rPr>
          <w:rFonts w:ascii="仿宋_GB2312" w:hAnsi="仿宋" w:eastAsia="仿宋_GB2312"/>
          <w:sz w:val="32"/>
          <w:szCs w:val="32"/>
        </w:rPr>
      </w:pPr>
      <w:r>
        <w:rPr>
          <w:rFonts w:hint="eastAsia" w:ascii="仿宋_GB2312" w:hAnsi="仿宋" w:eastAsia="仿宋_GB2312"/>
          <w:sz w:val="32"/>
          <w:szCs w:val="32"/>
        </w:rPr>
        <w:t>财政拨款支出3800.95万元，各项收入占总收入的比重文化体育与传媒收入占比43%；社会保障和就业收入占比2.91%；医疗卫生与计划生育收入占比1.3%；住房保障收入占比1.96%。项目收入占50.83%</w:t>
      </w:r>
    </w:p>
    <w:p>
      <w:pPr>
        <w:widowControl/>
        <w:adjustRightInd w:val="0"/>
        <w:snapToGrid w:val="0"/>
        <w:spacing w:line="560" w:lineRule="exact"/>
        <w:ind w:firstLine="720"/>
        <w:jc w:val="left"/>
        <w:rPr>
          <w:rFonts w:ascii="黑体" w:hAnsi="宋体" w:eastAsia="黑体" w:cs="宋体"/>
          <w:color w:val="000000"/>
          <w:kern w:val="0"/>
        </w:rPr>
      </w:pPr>
      <w:r>
        <w:rPr>
          <w:rFonts w:hint="eastAsia" w:ascii="黑体" w:hAnsi="宋体" w:eastAsia="黑体" w:cs="宋体"/>
          <w:color w:val="000000"/>
          <w:kern w:val="0"/>
        </w:rPr>
        <w:t>三、部门财政支出管理情况</w:t>
      </w:r>
    </w:p>
    <w:p>
      <w:pPr>
        <w:widowControl/>
        <w:adjustRightInd w:val="0"/>
        <w:snapToGrid w:val="0"/>
        <w:spacing w:line="480" w:lineRule="exact"/>
        <w:ind w:firstLine="420" w:firstLineChars="200"/>
        <w:jc w:val="left"/>
        <w:rPr>
          <w:rFonts w:ascii="楷体" w:hAnsi="楷体" w:eastAsia="楷体" w:cs="宋体"/>
          <w:color w:val="000000"/>
          <w:kern w:val="0"/>
          <w:lang w:val="zh-CN"/>
        </w:rPr>
      </w:pPr>
      <w:r>
        <w:rPr>
          <w:rFonts w:hint="eastAsia" w:ascii="楷体" w:hAnsi="楷体" w:eastAsia="楷体" w:cs="宋体"/>
          <w:color w:val="000000"/>
          <w:kern w:val="0"/>
          <w:lang w:val="zh-CN"/>
        </w:rPr>
        <w:t>（一）预算编制情况。</w:t>
      </w:r>
    </w:p>
    <w:p>
      <w:pPr>
        <w:ind w:firstLine="420" w:firstLineChars="200"/>
        <w:rPr>
          <w:rFonts w:ascii="仿宋_GB2312"/>
          <w:color w:val="000000"/>
          <w:kern w:val="0"/>
          <w:lang w:val="zh-CN"/>
        </w:rPr>
      </w:pPr>
      <w:r>
        <w:rPr>
          <w:rFonts w:hint="eastAsia" w:ascii="仿宋_GB2312" w:hAnsi="宋体" w:cs="宋体"/>
          <w:color w:val="000000"/>
          <w:kern w:val="0"/>
          <w:lang w:val="zh-CN"/>
        </w:rPr>
        <w:t>严格按照县级部门预算编制通知和有关要求，按时完成基础库、项目库报送工作，按时完成2021年预算编制工作，并按时提交部门预算草案。按规定编制政府采购预算，预算编制全面、科学。按时完成基础库、项目库报送工作；预算编制准确，预工委审查后提出未提出修改的问题；部门整体绩效目标能完整、合理反映部门年度职责履行情况；对于州级转移支付资金及时下达分解，并按项目进度支付资金。</w:t>
      </w:r>
      <w:r>
        <w:rPr>
          <w:rFonts w:hint="eastAsia" w:ascii="仿宋_GB2312"/>
          <w:color w:val="333333"/>
          <w:kern w:val="0"/>
        </w:rPr>
        <w:br w:type="textWrapping"/>
      </w:r>
      <w:r>
        <w:rPr>
          <w:rFonts w:hint="eastAsia" w:ascii="仿宋_GB2312"/>
          <w:color w:val="333333"/>
          <w:kern w:val="0"/>
        </w:rPr>
        <w:t xml:space="preserve">  </w:t>
      </w:r>
      <w:r>
        <w:rPr>
          <w:rFonts w:hint="eastAsia" w:ascii="仿宋_GB2312" w:hAnsi="楷体"/>
          <w:color w:val="000000"/>
          <w:kern w:val="0"/>
          <w:lang w:val="zh-CN"/>
        </w:rPr>
        <w:t>（二）执行管理情况。</w:t>
      </w:r>
      <w:r>
        <w:rPr>
          <w:rFonts w:hint="eastAsia" w:ascii="仿宋_GB2312"/>
          <w:color w:val="000000"/>
          <w:kern w:val="0"/>
          <w:lang w:val="zh-CN"/>
        </w:rPr>
        <w:tab/>
      </w:r>
    </w:p>
    <w:p>
      <w:pPr>
        <w:spacing w:line="600" w:lineRule="exact"/>
        <w:ind w:firstLine="640"/>
        <w:rPr>
          <w:rFonts w:ascii="仿宋_GB2312" w:hAnsi="宋体" w:cs="宋体"/>
          <w:color w:val="000000"/>
          <w:kern w:val="0"/>
          <w:lang w:val="zh-CN"/>
        </w:rPr>
      </w:pPr>
      <w:r>
        <w:rPr>
          <w:rFonts w:hint="eastAsia" w:ascii="仿宋_GB2312" w:hAnsi="宋体" w:cs="宋体"/>
          <w:color w:val="000000"/>
          <w:kern w:val="0"/>
          <w:lang w:val="zh-CN"/>
        </w:rPr>
        <w:t>我局202</w:t>
      </w:r>
      <w:r>
        <w:rPr>
          <w:rFonts w:hint="eastAsia" w:ascii="仿宋_GB2312" w:hAnsi="宋体" w:cs="宋体"/>
          <w:color w:val="000000"/>
          <w:kern w:val="0"/>
        </w:rPr>
        <w:t>0</w:t>
      </w:r>
      <w:r>
        <w:rPr>
          <w:rFonts w:hint="eastAsia" w:ascii="仿宋_GB2312" w:hAnsi="宋体" w:cs="宋体"/>
          <w:color w:val="000000"/>
          <w:kern w:val="0"/>
          <w:lang w:val="zh-CN"/>
        </w:rPr>
        <w:t>年、202</w:t>
      </w:r>
      <w:r>
        <w:rPr>
          <w:rFonts w:hint="eastAsia" w:ascii="仿宋_GB2312" w:hAnsi="宋体" w:cs="宋体"/>
          <w:color w:val="000000"/>
          <w:kern w:val="0"/>
        </w:rPr>
        <w:t>1</w:t>
      </w:r>
      <w:r>
        <w:rPr>
          <w:rFonts w:hint="eastAsia" w:ascii="仿宋_GB2312" w:hAnsi="宋体" w:cs="宋体"/>
          <w:color w:val="000000"/>
          <w:kern w:val="0"/>
          <w:lang w:val="zh-CN"/>
        </w:rPr>
        <w:t>上半年严格执行《预算法》按要求严格预算执行管理，按规定及时分配财力专项预算，按规定在一个月内分配上级专款，严格执行“三公经费”预算，无超预算支出。</w:t>
      </w:r>
      <w:r>
        <w:rPr>
          <w:rFonts w:hint="eastAsia" w:ascii="仿宋_GB2312" w:eastAsia="仿宋_GB2312"/>
          <w:color w:val="333333"/>
          <w:sz w:val="32"/>
          <w:szCs w:val="32"/>
        </w:rPr>
        <w:t>文化体育和旅游局</w:t>
      </w:r>
      <w:r>
        <w:rPr>
          <w:rFonts w:hint="eastAsia" w:ascii="仿宋_GB2312"/>
          <w:color w:val="333333"/>
          <w:sz w:val="32"/>
          <w:szCs w:val="32"/>
        </w:rPr>
        <w:t>2021年</w:t>
      </w:r>
      <w:r>
        <w:rPr>
          <w:rFonts w:hint="eastAsia" w:ascii="仿宋_GB2312" w:eastAsia="仿宋_GB2312"/>
          <w:color w:val="333333"/>
          <w:sz w:val="32"/>
          <w:szCs w:val="32"/>
        </w:rPr>
        <w:t>度“三公”经费财政拨款支出决算为</w:t>
      </w:r>
      <w:r>
        <w:rPr>
          <w:rFonts w:hint="eastAsia" w:ascii="仿宋_GB2312"/>
          <w:color w:val="333333"/>
          <w:sz w:val="32"/>
          <w:szCs w:val="32"/>
        </w:rPr>
        <w:t>3.4</w:t>
      </w:r>
      <w:r>
        <w:rPr>
          <w:rFonts w:hint="eastAsia" w:ascii="仿宋_GB2312" w:eastAsia="仿宋_GB2312"/>
          <w:color w:val="333333"/>
          <w:sz w:val="32"/>
          <w:szCs w:val="32"/>
        </w:rPr>
        <w:t>万元，完成预算100%，其中：无因公出国（境）费支出；公务用车购置及运行维护费支出决算为</w:t>
      </w:r>
      <w:r>
        <w:rPr>
          <w:rFonts w:hint="eastAsia" w:ascii="仿宋_GB2312"/>
          <w:color w:val="333333"/>
          <w:sz w:val="32"/>
          <w:szCs w:val="32"/>
        </w:rPr>
        <w:t>3.4</w:t>
      </w:r>
      <w:r>
        <w:rPr>
          <w:rFonts w:hint="eastAsia" w:ascii="仿宋_GB2312" w:eastAsia="仿宋_GB2312"/>
          <w:color w:val="333333"/>
          <w:sz w:val="32"/>
          <w:szCs w:val="32"/>
        </w:rPr>
        <w:t>万元，完成预算100%；无公务接待费支出</w:t>
      </w:r>
      <w:r>
        <w:rPr>
          <w:rFonts w:hint="eastAsia" w:ascii="仿宋_GB2312" w:eastAsia="仿宋_GB2312"/>
          <w:color w:val="333333"/>
          <w:sz w:val="32"/>
          <w:szCs w:val="32"/>
          <w:lang w:eastAsia="zh-CN"/>
        </w:rPr>
        <w:t>。</w:t>
      </w:r>
    </w:p>
    <w:p>
      <w:pPr>
        <w:widowControl/>
        <w:adjustRightInd w:val="0"/>
        <w:snapToGrid w:val="0"/>
        <w:spacing w:line="480" w:lineRule="exact"/>
        <w:ind w:firstLine="720"/>
        <w:jc w:val="left"/>
        <w:rPr>
          <w:rFonts w:ascii="仿宋_GB2312" w:hAnsi="宋体" w:cs="宋体"/>
          <w:color w:val="000000"/>
          <w:kern w:val="0"/>
          <w:lang w:val="zh-CN"/>
        </w:rPr>
      </w:pPr>
      <w:r>
        <w:rPr>
          <w:rFonts w:hint="eastAsia" w:ascii="仿宋_GB2312" w:hAnsi="宋体" w:cs="宋体"/>
          <w:color w:val="000000"/>
          <w:kern w:val="0"/>
          <w:lang w:val="zh-CN"/>
        </w:rPr>
        <w:t>（三）综合管理情况。</w:t>
      </w:r>
    </w:p>
    <w:p>
      <w:pPr>
        <w:widowControl/>
        <w:adjustRightInd w:val="0"/>
        <w:snapToGrid w:val="0"/>
        <w:spacing w:line="480" w:lineRule="exact"/>
        <w:ind w:firstLine="720"/>
        <w:jc w:val="left"/>
        <w:rPr>
          <w:rFonts w:ascii="仿宋_GB2312" w:hAnsi="宋体" w:cs="宋体"/>
          <w:color w:val="000000"/>
          <w:kern w:val="0"/>
          <w:lang w:val="zh-CN"/>
        </w:rPr>
      </w:pPr>
      <w:r>
        <w:rPr>
          <w:rFonts w:hint="eastAsia" w:ascii="仿宋_GB2312" w:hAnsi="宋体" w:cs="宋体"/>
          <w:color w:val="000000"/>
          <w:kern w:val="0"/>
          <w:lang w:val="zh-CN"/>
        </w:rPr>
        <w:t>202</w:t>
      </w:r>
      <w:r>
        <w:rPr>
          <w:rFonts w:hint="eastAsia" w:ascii="仿宋_GB2312" w:hAnsi="宋体" w:cs="宋体"/>
          <w:color w:val="000000"/>
          <w:kern w:val="0"/>
        </w:rPr>
        <w:t>0</w:t>
      </w:r>
      <w:r>
        <w:rPr>
          <w:rFonts w:hint="eastAsia" w:ascii="仿宋_GB2312" w:hAnsi="宋体" w:cs="宋体"/>
          <w:color w:val="000000"/>
          <w:kern w:val="0"/>
          <w:lang w:val="zh-CN"/>
        </w:rPr>
        <w:t>年、202</w:t>
      </w:r>
      <w:r>
        <w:rPr>
          <w:rFonts w:hint="eastAsia" w:ascii="仿宋_GB2312" w:hAnsi="宋体" w:cs="宋体"/>
          <w:color w:val="000000"/>
          <w:kern w:val="0"/>
        </w:rPr>
        <w:t>1</w:t>
      </w:r>
      <w:r>
        <w:rPr>
          <w:rFonts w:hint="eastAsia" w:ascii="仿宋_GB2312" w:hAnsi="宋体" w:cs="宋体"/>
          <w:color w:val="000000"/>
          <w:kern w:val="0"/>
          <w:lang w:val="zh-CN"/>
        </w:rPr>
        <w:t>上半年我局将所有资产纳入资产管理信息系统，并按要求落实专人及时、准确、全面开展资产清查工作。202</w:t>
      </w:r>
      <w:r>
        <w:rPr>
          <w:rFonts w:hint="eastAsia" w:ascii="仿宋_GB2312" w:hAnsi="宋体" w:cs="宋体"/>
          <w:color w:val="000000"/>
          <w:kern w:val="0"/>
        </w:rPr>
        <w:t>0</w:t>
      </w:r>
      <w:r>
        <w:rPr>
          <w:rFonts w:hint="eastAsia" w:ascii="仿宋_GB2312" w:hAnsi="宋体" w:cs="宋体"/>
          <w:color w:val="000000"/>
          <w:kern w:val="0"/>
          <w:lang w:val="zh-CN"/>
        </w:rPr>
        <w:t>年、202</w:t>
      </w:r>
      <w:r>
        <w:rPr>
          <w:rFonts w:hint="eastAsia" w:ascii="仿宋_GB2312" w:hAnsi="宋体" w:cs="宋体"/>
          <w:color w:val="000000"/>
          <w:kern w:val="0"/>
        </w:rPr>
        <w:t>1</w:t>
      </w:r>
      <w:r>
        <w:rPr>
          <w:rFonts w:hint="eastAsia" w:ascii="仿宋_GB2312" w:hAnsi="宋体" w:cs="宋体"/>
          <w:color w:val="000000"/>
          <w:kern w:val="0"/>
          <w:lang w:val="zh-CN"/>
        </w:rPr>
        <w:t>上半年我局建立健全了内部控制制度，并严格执行；严格按照县财政通知要求公开预算、决算、部门整体绩效；严格按照县财政局要求对部门整体全面进行绩效评价，并及时上报财政，对绩效评价发现问题制定整改措施，并整改落实到位；严格按照县财政局文件要求及时进行自查，并上报材料，未发现违纪违规问题。202</w:t>
      </w:r>
      <w:r>
        <w:rPr>
          <w:rFonts w:hint="eastAsia" w:ascii="仿宋_GB2312" w:hAnsi="宋体" w:cs="宋体"/>
          <w:color w:val="000000"/>
          <w:kern w:val="0"/>
        </w:rPr>
        <w:t>0</w:t>
      </w:r>
      <w:r>
        <w:rPr>
          <w:rFonts w:hint="eastAsia" w:ascii="仿宋_GB2312" w:hAnsi="宋体" w:cs="宋体"/>
          <w:color w:val="000000"/>
          <w:kern w:val="0"/>
          <w:lang w:val="zh-CN"/>
        </w:rPr>
        <w:t>年、202</w:t>
      </w:r>
      <w:r>
        <w:rPr>
          <w:rFonts w:hint="eastAsia" w:ascii="仿宋_GB2312" w:hAnsi="宋体" w:cs="宋体"/>
          <w:color w:val="000000"/>
          <w:kern w:val="0"/>
        </w:rPr>
        <w:t>1</w:t>
      </w:r>
      <w:r>
        <w:rPr>
          <w:rFonts w:hint="eastAsia" w:ascii="仿宋_GB2312" w:hAnsi="宋体" w:cs="宋体"/>
          <w:color w:val="000000"/>
          <w:kern w:val="0"/>
          <w:lang w:val="zh-CN"/>
        </w:rPr>
        <w:t>上半年年我局根据部门职能职责，认真完成县委县政府安排的各项专项工作任务及其他年度重点工作任务。</w:t>
      </w:r>
    </w:p>
    <w:p>
      <w:pPr>
        <w:widowControl/>
        <w:adjustRightInd w:val="0"/>
        <w:snapToGrid w:val="0"/>
        <w:spacing w:line="480" w:lineRule="exact"/>
        <w:ind w:firstLine="720"/>
        <w:jc w:val="left"/>
        <w:rPr>
          <w:rFonts w:ascii="仿宋_GB2312" w:hAnsi="宋体" w:cs="宋体"/>
          <w:color w:val="000000"/>
          <w:kern w:val="0"/>
          <w:lang w:val="zh-CN"/>
        </w:rPr>
      </w:pPr>
      <w:r>
        <w:rPr>
          <w:rFonts w:hint="eastAsia" w:ascii="仿宋_GB2312" w:hAnsi="宋体" w:cs="宋体"/>
          <w:color w:val="000000"/>
          <w:kern w:val="0"/>
          <w:lang w:val="zh-CN"/>
        </w:rPr>
        <w:t>（四）整体绩效。</w:t>
      </w:r>
    </w:p>
    <w:p>
      <w:pPr>
        <w:spacing w:line="560" w:lineRule="exact"/>
        <w:ind w:firstLine="420" w:firstLineChars="200"/>
        <w:rPr>
          <w:rFonts w:ascii="仿宋_GB2312" w:hAnsi="宋体" w:cs="宋体"/>
          <w:color w:val="000000"/>
          <w:kern w:val="0"/>
          <w:lang w:val="zh-CN"/>
        </w:rPr>
      </w:pPr>
      <w:r>
        <w:rPr>
          <w:rFonts w:hint="eastAsia" w:ascii="仿宋_GB2312" w:hAnsi="宋体" w:cs="宋体"/>
          <w:color w:val="000000"/>
          <w:kern w:val="0"/>
          <w:lang w:val="zh-CN"/>
        </w:rPr>
        <w:t>2021年我局全面完成各项绩效目标，具体如下：</w:t>
      </w:r>
    </w:p>
    <w:p>
      <w:pPr>
        <w:widowControl/>
        <w:shd w:val="clear" w:color="auto" w:fill="FFFFFF"/>
        <w:spacing w:line="480" w:lineRule="exact"/>
        <w:ind w:firstLine="800" w:firstLineChars="250"/>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认真贯彻党的十八届三中全会精神，大力发展文化体育事业和产业，推动文化大发展大繁荣。积极争取上级资金和项目，进一步完善县、乡、村三级公共文化服务基础设施，全力实施文化惠民扶贫工程，进一步完善公共文化服务体系。全面完成全民健身活动中心项目（体育馆和梨花广场升级改造打捆项目），开工建设文化艺术中心改建项目</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 </w:t>
      </w:r>
    </w:p>
    <w:p>
      <w:pPr>
        <w:widowControl/>
        <w:shd w:val="clear" w:color="auto" w:fill="FFFFFF"/>
        <w:spacing w:line="480" w:lineRule="exact"/>
        <w:ind w:firstLine="64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rPr>
        <w:t>2.认真做好非遗项目、传承人申报及文物保护工作，广泛开展非遗进校园活动；出版有关非遗保护研究成果书籍。 </w:t>
      </w:r>
    </w:p>
    <w:p>
      <w:pPr>
        <w:widowControl/>
        <w:shd w:val="clear" w:color="auto" w:fill="FFFFFF"/>
        <w:spacing w:line="480" w:lineRule="exact"/>
        <w:ind w:firstLine="64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rPr>
        <w:t>3.进一步加大县级文化馆、图书馆对外开放，有效丰富群众文化生活。</w:t>
      </w:r>
    </w:p>
    <w:p>
      <w:pPr>
        <w:widowControl/>
        <w:shd w:val="clear" w:color="auto" w:fill="FFFFFF"/>
        <w:spacing w:line="480" w:lineRule="exact"/>
        <w:ind w:firstLine="642"/>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rPr>
        <w:t>4.认真开展文化市场管理工作和执法工作，坚持开展“扫黄打非”工作，切实加强演艺市场、网吧和娱乐场所监管力度，维护市场正常经营秩序；</w:t>
      </w:r>
    </w:p>
    <w:p>
      <w:pPr>
        <w:widowControl/>
        <w:shd w:val="clear" w:color="auto" w:fill="FFFFFF"/>
        <w:spacing w:line="480" w:lineRule="exact"/>
        <w:ind w:firstLine="642"/>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rPr>
        <w:t>7.实施好农村公益电影放映1440场，做好“村村通”日常维修工作；</w:t>
      </w:r>
    </w:p>
    <w:p>
      <w:pPr>
        <w:widowControl/>
        <w:shd w:val="clear" w:color="auto" w:fill="FFFFFF"/>
        <w:spacing w:line="480" w:lineRule="exact"/>
        <w:ind w:firstLine="642"/>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8.做好全县文化资源普查工作，对进一步加强文化挖掘、保护、传承、弘扬和科学运用打好坚实基础.</w:t>
      </w:r>
    </w:p>
    <w:p>
      <w:pPr>
        <w:pStyle w:val="12"/>
        <w:shd w:val="clear" w:color="auto" w:fill="FFFFFF"/>
        <w:spacing w:before="0" w:beforeAutospacing="0" w:after="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9、文化：我局积极组织开展群众文化活动，组织全县文艺大汇演，挖掘、开发民间传统文化，做好文物保护，非遗传承工作，</w:t>
      </w:r>
    </w:p>
    <w:p>
      <w:pPr>
        <w:widowControl/>
        <w:shd w:val="clear" w:color="auto" w:fill="FFFFFF"/>
        <w:spacing w:line="480" w:lineRule="exact"/>
        <w:ind w:firstLine="642"/>
        <w:jc w:val="left"/>
        <w:rPr>
          <w:rFonts w:ascii="新宋体" w:hAnsi="新宋体" w:eastAsia="新宋体" w:cs="新宋体"/>
          <w:kern w:val="0"/>
          <w:sz w:val="32"/>
          <w:szCs w:val="32"/>
          <w:shd w:val="clear" w:color="auto" w:fill="FFFFFF"/>
        </w:rPr>
      </w:pPr>
      <w:r>
        <w:rPr>
          <w:rFonts w:hint="eastAsia" w:ascii="仿宋_GB2312" w:hAnsi="仿宋_GB2312" w:eastAsia="仿宋_GB2312" w:cs="仿宋_GB2312"/>
          <w:sz w:val="32"/>
          <w:szCs w:val="32"/>
        </w:rPr>
        <w:t>10、体育：拟定全民健身实施计划，积极开展全民健身活动。开展了全县职工运动会及积极参加了全州大乐透运动会。对18个贫困村的体育健身广场进行了提升改造。</w:t>
      </w:r>
    </w:p>
    <w:p>
      <w:pPr>
        <w:widowControl/>
        <w:adjustRightInd w:val="0"/>
        <w:snapToGrid w:val="0"/>
        <w:spacing w:line="480" w:lineRule="exact"/>
        <w:ind w:firstLine="720"/>
        <w:jc w:val="left"/>
        <w:rPr>
          <w:rFonts w:ascii="仿宋_GB2312" w:hAnsi="宋体" w:cs="宋体"/>
          <w:color w:val="000000"/>
          <w:kern w:val="0"/>
          <w:lang w:val="zh-CN"/>
        </w:rPr>
      </w:pPr>
      <w:r>
        <w:rPr>
          <w:rFonts w:hint="eastAsia" w:ascii="仿宋_GB2312" w:hAnsi="宋体" w:cs="宋体"/>
          <w:b/>
          <w:bCs/>
          <w:color w:val="000000"/>
          <w:kern w:val="0"/>
          <w:lang w:val="zh-CN"/>
        </w:rPr>
        <w:t>四、评价结论及建议</w:t>
      </w:r>
    </w:p>
    <w:p>
      <w:pPr>
        <w:ind w:firstLine="420" w:firstLineChars="200"/>
        <w:rPr>
          <w:rFonts w:ascii="仿宋_GB2312" w:hAnsi="宋体" w:cs="宋体"/>
          <w:color w:val="000000"/>
          <w:kern w:val="0"/>
          <w:lang w:val="zh-CN"/>
        </w:rPr>
      </w:pPr>
      <w:r>
        <w:rPr>
          <w:rFonts w:hint="eastAsia" w:ascii="仿宋_GB2312" w:hAnsi="宋体" w:cs="宋体"/>
          <w:color w:val="000000"/>
          <w:kern w:val="0"/>
          <w:lang w:val="zh-CN"/>
        </w:rPr>
        <w:t>一、绩效评价</w:t>
      </w:r>
    </w:p>
    <w:p>
      <w:pPr>
        <w:ind w:firstLine="420" w:firstLineChars="200"/>
        <w:rPr>
          <w:rFonts w:ascii="仿宋_GB2312" w:hAnsi="宋体" w:cs="宋体"/>
          <w:color w:val="000000"/>
          <w:kern w:val="0"/>
          <w:lang w:val="zh-CN"/>
        </w:rPr>
      </w:pPr>
      <w:r>
        <w:rPr>
          <w:rFonts w:hint="eastAsia" w:ascii="仿宋_GB2312" w:hAnsi="宋体" w:cs="宋体"/>
          <w:color w:val="000000"/>
          <w:kern w:val="0"/>
          <w:lang w:val="zh-CN"/>
        </w:rPr>
        <w:t>我单位严格执行支出绩效评价，自评打分96分，部门整体绩效运行良好。</w:t>
      </w:r>
    </w:p>
    <w:p>
      <w:pPr>
        <w:ind w:firstLine="420" w:firstLineChars="200"/>
        <w:rPr>
          <w:rFonts w:ascii="仿宋_GB2312" w:hAnsi="宋体" w:cs="宋体"/>
          <w:color w:val="000000"/>
          <w:kern w:val="0"/>
          <w:lang w:val="zh-CN"/>
        </w:rPr>
      </w:pPr>
      <w:r>
        <w:rPr>
          <w:rFonts w:hint="eastAsia" w:ascii="仿宋_GB2312" w:hAnsi="宋体" w:cs="宋体"/>
          <w:color w:val="000000"/>
          <w:kern w:val="0"/>
          <w:lang w:val="zh-CN"/>
        </w:rPr>
        <w:t>二、建议</w:t>
      </w:r>
    </w:p>
    <w:p>
      <w:pPr>
        <w:spacing w:line="560" w:lineRule="exact"/>
        <w:rPr>
          <w:rFonts w:ascii="仿宋_GB2312" w:hAnsi="宋体" w:cs="宋体"/>
          <w:color w:val="000000"/>
          <w:kern w:val="0"/>
          <w:lang w:val="zh-CN"/>
        </w:rPr>
      </w:pPr>
      <w:r>
        <w:rPr>
          <w:rFonts w:hint="eastAsia" w:ascii="仿宋_GB2312" w:hAnsi="宋体" w:cs="宋体"/>
          <w:color w:val="000000"/>
          <w:kern w:val="0"/>
          <w:lang w:val="zh-CN"/>
        </w:rPr>
        <w:t>预算编制还需进一步细化，针对我局预算存在的问题，提出以下建议： </w:t>
      </w:r>
      <w:r>
        <w:rPr>
          <w:rFonts w:hint="eastAsia" w:ascii="仿宋_GB2312" w:hAnsi="宋体" w:cs="宋体"/>
          <w:color w:val="000000"/>
          <w:kern w:val="0"/>
          <w:lang w:val="zh-CN"/>
        </w:rPr>
        <w:br w:type="textWrapping"/>
      </w:r>
      <w:r>
        <w:rPr>
          <w:rFonts w:hint="eastAsia" w:ascii="仿宋_GB2312" w:hAnsi="宋体" w:cs="宋体"/>
          <w:color w:val="000000"/>
          <w:kern w:val="0"/>
          <w:lang w:val="zh-CN"/>
        </w:rPr>
        <w:t>　　1、遵循先有预算、后有支出的原则，加强财务管理和内部控制监督制度。严禁超预算和无预算安排支出，严格开支范围和标准，严格支出报销审核，不报销任何超范围、超标准的费用。 </w:t>
      </w:r>
      <w:r>
        <w:rPr>
          <w:rFonts w:hint="eastAsia" w:ascii="仿宋_GB2312" w:hAnsi="宋体" w:cs="宋体"/>
          <w:color w:val="000000"/>
          <w:kern w:val="0"/>
          <w:lang w:val="zh-CN"/>
        </w:rPr>
        <w:br w:type="textWrapping"/>
      </w:r>
      <w:r>
        <w:rPr>
          <w:rFonts w:hint="eastAsia" w:ascii="仿宋_GB2312" w:hAnsi="宋体" w:cs="宋体"/>
          <w:color w:val="000000"/>
          <w:kern w:val="0"/>
          <w:lang w:val="zh-CN"/>
        </w:rPr>
        <w:t>　　2、严格控制“三公”经费。认真贯彻落实中央、省委省政府和县委县政府相关规定，严格“三公”经费支出的审核和审批，合理压缩“三公”经费支出。 </w:t>
      </w:r>
      <w:r>
        <w:rPr>
          <w:rFonts w:hint="eastAsia" w:ascii="仿宋_GB2312" w:hAnsi="宋体" w:cs="宋体"/>
          <w:color w:val="000000"/>
          <w:kern w:val="0"/>
          <w:lang w:val="zh-CN"/>
        </w:rPr>
        <w:br w:type="textWrapping"/>
      </w:r>
    </w:p>
    <w:p>
      <w:pPr>
        <w:widowControl/>
        <w:spacing w:line="480" w:lineRule="exact"/>
        <w:jc w:val="center"/>
      </w:pPr>
    </w:p>
    <w:p>
      <w:pPr>
        <w:spacing w:line="600" w:lineRule="exact"/>
        <w:jc w:val="center"/>
        <w:outlineLvl w:val="0"/>
        <w:rPr>
          <w:rFonts w:ascii="仿宋_GB2312" w:hAnsi="Calibri" w:eastAsia="仿宋_GB2312" w:cs="仿宋"/>
          <w:color w:val="000000"/>
          <w:kern w:val="0"/>
          <w:sz w:val="32"/>
          <w:szCs w:val="32"/>
        </w:rPr>
      </w:pPr>
    </w:p>
    <w:p>
      <w:pPr>
        <w:spacing w:line="600" w:lineRule="exact"/>
        <w:outlineLvl w:val="0"/>
        <w:rPr>
          <w:rFonts w:ascii="仿宋_GB2312" w:hAnsi="Calibri" w:eastAsia="仿宋_GB2312" w:cs="仿宋"/>
          <w:color w:val="000000"/>
          <w:kern w:val="0"/>
          <w:sz w:val="32"/>
          <w:szCs w:val="32"/>
        </w:rPr>
      </w:pPr>
    </w:p>
    <w:p>
      <w:pPr>
        <w:autoSpaceDE w:val="0"/>
        <w:autoSpaceDN w:val="0"/>
        <w:adjustRightInd w:val="0"/>
        <w:spacing w:line="600" w:lineRule="exact"/>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十一、名词解释</w:t>
      </w:r>
    </w:p>
    <w:p>
      <w:pPr>
        <w:pStyle w:val="23"/>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pPr>
        <w:pStyle w:val="23"/>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2.年初结转和结余：指以前年度尚未完成、结转到本年按有关规定继续使用的资金。 </w:t>
      </w:r>
    </w:p>
    <w:p>
      <w:pPr>
        <w:pStyle w:val="23"/>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3.结余分配：指事业单位按照事业单位会计制度的规定从非财政补助结余中分配的事业基金和职工福利基金等。</w:t>
      </w:r>
    </w:p>
    <w:p>
      <w:pPr>
        <w:pStyle w:val="23"/>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4、年末结转和结余：指单位按有关规定结转到下年或以后年度继续使用的资金。</w:t>
      </w:r>
    </w:p>
    <w:p>
      <w:pP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5.商业服务业等216（类）05（款）01（项）：指反映行政单位（包括实行公务员管理的事业单位）的基本支出。</w:t>
      </w:r>
    </w:p>
    <w:p>
      <w:pP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6.机关事业单位基本养老保险缴费208（类）05（款）05（项）：指机关事业单位实施养老保险制度由单位缴纳的基本养老保险费支出。</w:t>
      </w:r>
    </w:p>
    <w:p>
      <w:pP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7.机关事业单位职业年金208（类）05（款）06（项）：指机关事业单位实施养老保险制度由单位实际缴纳的职业年金费支出</w:t>
      </w:r>
    </w:p>
    <w:p>
      <w:pP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8.医疗卫生与计划生育210（类）11（款）01（项）：指财政部门集中安排的行政单位医疗保险缴费经费，未参加医疗保险的行政单位的公费医疗经费，按国家规定享受离休人员、红军老战士待遇人员的医疗经费。</w:t>
      </w:r>
    </w:p>
    <w:p>
      <w:pP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w:t>
      </w:r>
      <w:r>
        <w:rPr>
          <w:rFonts w:hint="eastAsia" w:ascii="仿宋_GB2312" w:hAnsi="仿宋_GB2312" w:eastAsia="仿宋_GB2312" w:cs="仿宋_GB2312"/>
          <w:color w:val="333333"/>
          <w:kern w:val="0"/>
          <w:sz w:val="32"/>
          <w:szCs w:val="32"/>
          <w:shd w:val="clear" w:color="auto" w:fill="FFFFFF"/>
        </w:rPr>
        <w:t>住房保障221（类）02（款）01（项）：指行政事业</w:t>
      </w:r>
      <w:r>
        <w:rPr>
          <w:rFonts w:hint="eastAsia" w:ascii="仿宋_GB2312" w:hAnsi="仿宋_GB2312" w:eastAsia="仿宋_GB2312" w:cs="仿宋_GB2312"/>
          <w:color w:val="333333"/>
          <w:kern w:val="0"/>
          <w:sz w:val="32"/>
          <w:szCs w:val="32"/>
          <w:shd w:val="clear" w:color="auto" w:fill="FFFFFF"/>
          <w:lang w:eastAsia="zh-CN"/>
        </w:rPr>
        <w:t>单位</w:t>
      </w:r>
      <w:r>
        <w:rPr>
          <w:rFonts w:hint="eastAsia" w:ascii="仿宋_GB2312" w:hAnsi="仿宋_GB2312" w:eastAsia="仿宋_GB2312" w:cs="仿宋_GB2312"/>
          <w:color w:val="333333"/>
          <w:kern w:val="0"/>
          <w:sz w:val="32"/>
          <w:szCs w:val="32"/>
          <w:shd w:val="clear" w:color="auto" w:fill="FFFFFF"/>
        </w:rPr>
        <w:t>按人力资源和社会保障部、财政部规定的基本工资和津贴补贴以及规定比例为职工缴纳的住房公积金。</w:t>
      </w:r>
    </w:p>
    <w:p>
      <w:pP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10.旅游宣传216（类）05（款）04（项）：指在境内外开展各类旅游宣传促销活动的支出，包括驻外机构宣传费，境外宣传促销费，境内宣传促销费，海外记者及旅行商接待费，旅游宣传品制作费及设备购置等。</w:t>
      </w:r>
    </w:p>
    <w:p>
      <w:pP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11.其他旅游业管理与服务支出216（类）05（款）99（项）：指除上述项目以外其他用于旅游业管理与服务方面的支出。</w:t>
      </w:r>
    </w:p>
    <w:p>
      <w:pP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12.基本支出：指为保障机构正常运转、完成日常工作任务而发生的人员支出和公用支出。</w:t>
      </w:r>
    </w:p>
    <w:p>
      <w:pP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13.项目支出：指在基本支出之外为完成特定行政任务和事业发展目标所发生的支出。 </w:t>
      </w:r>
    </w:p>
    <w:p>
      <w:pPr>
        <w:pStyle w:val="23"/>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14.“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ascii="仿宋_GB2312" w:hAnsi="仿宋_GB2312" w:eastAsia="仿宋_GB2312" w:cs="仿宋_GB2312"/>
          <w:sz w:val="32"/>
          <w:szCs w:val="32"/>
        </w:rPr>
      </w:pPr>
    </w:p>
    <w:p>
      <w:pPr>
        <w:ind w:firstLine="643" w:firstLineChars="200"/>
        <w:rPr>
          <w:rFonts w:ascii="仿宋_GB2312" w:hAnsi="仿宋_GB2312" w:eastAsia="仿宋_GB2312" w:cs="仿宋_GB2312"/>
          <w:b/>
          <w:color w:val="000000"/>
          <w:sz w:val="32"/>
          <w:szCs w:val="32"/>
        </w:rPr>
      </w:pPr>
    </w:p>
    <w:p>
      <w:pPr>
        <w:pStyle w:val="3"/>
        <w:rPr>
          <w:rFonts w:ascii="仿宋" w:hAnsi="仿宋" w:eastAsia="仿宋"/>
          <w:color w:val="000000" w:themeColor="text1"/>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2D27455-66D6-4D26-A892-DDDD214C1B5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B4714602-6210-4521-81E9-EA4F98749E3A}"/>
  </w:font>
  <w:font w:name="Cambria">
    <w:panose1 w:val="02040503050406030204"/>
    <w:charset w:val="00"/>
    <w:family w:val="roman"/>
    <w:pitch w:val="default"/>
    <w:sig w:usb0="E00002FF" w:usb1="400004FF" w:usb2="00000000" w:usb3="00000000" w:csb0="2000019F" w:csb1="00000000"/>
    <w:embedRegular r:id="rId3" w:fontKey="{4ECAB9A5-9343-4795-B0D4-F76317A01D68}"/>
  </w:font>
  <w:font w:name="仿宋_GB2312">
    <w:panose1 w:val="02010609030101010101"/>
    <w:charset w:val="86"/>
    <w:family w:val="modern"/>
    <w:pitch w:val="default"/>
    <w:sig w:usb0="00000001" w:usb1="080E0000" w:usb2="00000000" w:usb3="00000000" w:csb0="00040000" w:csb1="00000000"/>
    <w:embedRegular r:id="rId4" w:fontKey="{4C9CC30A-3C20-4C30-BD52-6357AB63FDC9}"/>
  </w:font>
  <w:font w:name="仿宋">
    <w:panose1 w:val="02010609060101010101"/>
    <w:charset w:val="86"/>
    <w:family w:val="modern"/>
    <w:pitch w:val="default"/>
    <w:sig w:usb0="800002BF" w:usb1="38CF7CFA" w:usb2="00000016" w:usb3="00000000" w:csb0="00040001" w:csb1="00000000"/>
    <w:embedRegular r:id="rId5" w:fontKey="{CAABACEF-0FA1-4B2A-977B-08ADF58C3952}"/>
  </w:font>
  <w:font w:name="方正小标宋简体">
    <w:panose1 w:val="03000509000000000000"/>
    <w:charset w:val="86"/>
    <w:family w:val="script"/>
    <w:pitch w:val="default"/>
    <w:sig w:usb0="00000001" w:usb1="080E0000" w:usb2="00000000" w:usb3="00000000" w:csb0="00040000" w:csb1="00000000"/>
    <w:embedRegular r:id="rId6" w:fontKey="{23DE72DC-6DCD-4D63-AB6F-2B2DB732C241}"/>
  </w:font>
  <w:font w:name="楷体">
    <w:panose1 w:val="02010609060101010101"/>
    <w:charset w:val="86"/>
    <w:family w:val="modern"/>
    <w:pitch w:val="default"/>
    <w:sig w:usb0="800002BF" w:usb1="38CF7CFA" w:usb2="00000016" w:usb3="00000000" w:csb0="00040001" w:csb1="00000000"/>
    <w:embedRegular r:id="rId7" w:fontKey="{9BB0315B-4346-409A-B7C9-F9DCE2895E7F}"/>
  </w:font>
  <w:font w:name="楷体_GB2312">
    <w:altName w:val="楷体"/>
    <w:panose1 w:val="00000000000000000000"/>
    <w:charset w:val="86"/>
    <w:family w:val="modern"/>
    <w:pitch w:val="default"/>
    <w:sig w:usb0="00000000" w:usb1="00000000" w:usb2="00000000" w:usb3="00000000" w:csb0="00040000" w:csb1="00000000"/>
    <w:embedRegular r:id="rId8" w:fontKey="{A4B10431-3E94-44D6-9B5A-EE27A83B5D95}"/>
  </w:font>
  <w:font w:name="新宋体">
    <w:panose1 w:val="02010609030101010101"/>
    <w:charset w:val="86"/>
    <w:family w:val="modern"/>
    <w:pitch w:val="default"/>
    <w:sig w:usb0="00000003" w:usb1="288F0000" w:usb2="00000006" w:usb3="00000000" w:csb0="00040001" w:csb1="00000000"/>
    <w:embedRegular r:id="rId9" w:fontKey="{928F3128-FE6A-4BE3-A056-CD6F05B0291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10</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4">
    <w:nsid w:val="22A67162"/>
    <w:multiLevelType w:val="singleLevel"/>
    <w:tmpl w:val="22A67162"/>
    <w:lvl w:ilvl="0" w:tentative="0">
      <w:start w:val="1"/>
      <w:numFmt w:val="chineseCounting"/>
      <w:suff w:val="nothing"/>
      <w:lvlText w:val="（%1）"/>
      <w:lvlJc w:val="left"/>
      <w:rPr>
        <w:rFonts w:hint="eastAsia"/>
      </w:rPr>
    </w:lvl>
  </w:abstractNum>
  <w:abstractNum w:abstractNumId="5">
    <w:nsid w:val="3B48083B"/>
    <w:multiLevelType w:val="singleLevel"/>
    <w:tmpl w:val="3B48083B"/>
    <w:lvl w:ilvl="0" w:tentative="0">
      <w:start w:val="2"/>
      <w:numFmt w:val="chineseCounting"/>
      <w:suff w:val="nothing"/>
      <w:lvlText w:val="%1、"/>
      <w:lvlJc w:val="left"/>
      <w:rPr>
        <w:rFonts w:hint="eastAsia"/>
      </w:rPr>
    </w:lvl>
  </w:abstractNum>
  <w:abstractNum w:abstractNumId="6">
    <w:nsid w:val="78D72DD4"/>
    <w:multiLevelType w:val="singleLevel"/>
    <w:tmpl w:val="78D72DD4"/>
    <w:lvl w:ilvl="0" w:tentative="0">
      <w:start w:val="3"/>
      <w:numFmt w:val="decimal"/>
      <w:lvlText w:val="%1."/>
      <w:lvlJc w:val="left"/>
      <w:pPr>
        <w:tabs>
          <w:tab w:val="left" w:pos="312"/>
        </w:tabs>
      </w:pPr>
    </w:lvl>
  </w:abstractNum>
  <w:num w:numId="1">
    <w:abstractNumId w:val="4"/>
  </w:num>
  <w:num w:numId="2">
    <w:abstractNumId w:val="5"/>
  </w:num>
  <w:num w:numId="3">
    <w:abstractNumId w:val="6"/>
  </w:num>
  <w:num w:numId="4">
    <w:abstractNumId w:val="0"/>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6487A"/>
    <w:rsid w:val="00065F8F"/>
    <w:rsid w:val="000768F2"/>
    <w:rsid w:val="0009184B"/>
    <w:rsid w:val="0009593C"/>
    <w:rsid w:val="000A7369"/>
    <w:rsid w:val="000B047F"/>
    <w:rsid w:val="000B5923"/>
    <w:rsid w:val="000B5A48"/>
    <w:rsid w:val="000B6FF3"/>
    <w:rsid w:val="000C3467"/>
    <w:rsid w:val="000C3CA6"/>
    <w:rsid w:val="000D1267"/>
    <w:rsid w:val="000D1D50"/>
    <w:rsid w:val="000D5782"/>
    <w:rsid w:val="000E41C0"/>
    <w:rsid w:val="000E6613"/>
    <w:rsid w:val="000E7119"/>
    <w:rsid w:val="001055FE"/>
    <w:rsid w:val="00114E9B"/>
    <w:rsid w:val="0014729F"/>
    <w:rsid w:val="00157BAB"/>
    <w:rsid w:val="001654D1"/>
    <w:rsid w:val="0018106D"/>
    <w:rsid w:val="001877A7"/>
    <w:rsid w:val="00191536"/>
    <w:rsid w:val="00196687"/>
    <w:rsid w:val="001A3367"/>
    <w:rsid w:val="001C0962"/>
    <w:rsid w:val="001D7531"/>
    <w:rsid w:val="001E737D"/>
    <w:rsid w:val="001F0592"/>
    <w:rsid w:val="001F7506"/>
    <w:rsid w:val="002006CD"/>
    <w:rsid w:val="00202B36"/>
    <w:rsid w:val="00204B7A"/>
    <w:rsid w:val="0021101A"/>
    <w:rsid w:val="00220536"/>
    <w:rsid w:val="002303C1"/>
    <w:rsid w:val="00235629"/>
    <w:rsid w:val="00260C38"/>
    <w:rsid w:val="002616C0"/>
    <w:rsid w:val="002662AA"/>
    <w:rsid w:val="00280496"/>
    <w:rsid w:val="002900A4"/>
    <w:rsid w:val="00295495"/>
    <w:rsid w:val="002B2613"/>
    <w:rsid w:val="002F1818"/>
    <w:rsid w:val="002F567B"/>
    <w:rsid w:val="003216A9"/>
    <w:rsid w:val="0037013F"/>
    <w:rsid w:val="00371F8B"/>
    <w:rsid w:val="00380C92"/>
    <w:rsid w:val="003A484F"/>
    <w:rsid w:val="003B0BE0"/>
    <w:rsid w:val="003B0C1B"/>
    <w:rsid w:val="003B688C"/>
    <w:rsid w:val="003C0291"/>
    <w:rsid w:val="003C104F"/>
    <w:rsid w:val="003C39AE"/>
    <w:rsid w:val="003C7B60"/>
    <w:rsid w:val="003D1FB2"/>
    <w:rsid w:val="003D66DA"/>
    <w:rsid w:val="003E1310"/>
    <w:rsid w:val="003E6F55"/>
    <w:rsid w:val="0040503F"/>
    <w:rsid w:val="00406254"/>
    <w:rsid w:val="004223DE"/>
    <w:rsid w:val="00425E48"/>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47083"/>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759C4"/>
    <w:rsid w:val="00676A35"/>
    <w:rsid w:val="00683E73"/>
    <w:rsid w:val="006A3141"/>
    <w:rsid w:val="006A5E34"/>
    <w:rsid w:val="006B2422"/>
    <w:rsid w:val="006B2B9A"/>
    <w:rsid w:val="006C1937"/>
    <w:rsid w:val="006F020C"/>
    <w:rsid w:val="007127B7"/>
    <w:rsid w:val="00724358"/>
    <w:rsid w:val="007416B6"/>
    <w:rsid w:val="00746F48"/>
    <w:rsid w:val="0075404D"/>
    <w:rsid w:val="0076182A"/>
    <w:rsid w:val="00767B7E"/>
    <w:rsid w:val="007770C3"/>
    <w:rsid w:val="00784D24"/>
    <w:rsid w:val="00785FBA"/>
    <w:rsid w:val="00786E4A"/>
    <w:rsid w:val="007875EB"/>
    <w:rsid w:val="0079426B"/>
    <w:rsid w:val="007A2E13"/>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A4D85"/>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1026"/>
    <w:rsid w:val="00A237D8"/>
    <w:rsid w:val="00A268C4"/>
    <w:rsid w:val="00A307CD"/>
    <w:rsid w:val="00A33EAA"/>
    <w:rsid w:val="00A40A00"/>
    <w:rsid w:val="00A4142F"/>
    <w:rsid w:val="00A56DF2"/>
    <w:rsid w:val="00A67AB5"/>
    <w:rsid w:val="00A80D4F"/>
    <w:rsid w:val="00A91760"/>
    <w:rsid w:val="00A93B00"/>
    <w:rsid w:val="00A93C21"/>
    <w:rsid w:val="00AA2895"/>
    <w:rsid w:val="00AC3C6A"/>
    <w:rsid w:val="00AD5620"/>
    <w:rsid w:val="00AD7C1B"/>
    <w:rsid w:val="00AE16BA"/>
    <w:rsid w:val="00AE1EBE"/>
    <w:rsid w:val="00B03C9D"/>
    <w:rsid w:val="00B060AE"/>
    <w:rsid w:val="00B10517"/>
    <w:rsid w:val="00B14E76"/>
    <w:rsid w:val="00B161B8"/>
    <w:rsid w:val="00B2048C"/>
    <w:rsid w:val="00B24A2B"/>
    <w:rsid w:val="00B310B9"/>
    <w:rsid w:val="00B35F3F"/>
    <w:rsid w:val="00B36CBB"/>
    <w:rsid w:val="00B425E0"/>
    <w:rsid w:val="00B440AA"/>
    <w:rsid w:val="00B44B70"/>
    <w:rsid w:val="00B53C56"/>
    <w:rsid w:val="00B77EA6"/>
    <w:rsid w:val="00B81598"/>
    <w:rsid w:val="00B841F1"/>
    <w:rsid w:val="00B944D6"/>
    <w:rsid w:val="00BB0682"/>
    <w:rsid w:val="00BB4DF0"/>
    <w:rsid w:val="00BC289F"/>
    <w:rsid w:val="00BC5361"/>
    <w:rsid w:val="00BC5460"/>
    <w:rsid w:val="00BC6B50"/>
    <w:rsid w:val="00BD0E25"/>
    <w:rsid w:val="00BF5BD6"/>
    <w:rsid w:val="00C03E31"/>
    <w:rsid w:val="00C159EF"/>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12650"/>
    <w:rsid w:val="00D20620"/>
    <w:rsid w:val="00D26091"/>
    <w:rsid w:val="00D34E7C"/>
    <w:rsid w:val="00D35489"/>
    <w:rsid w:val="00D51276"/>
    <w:rsid w:val="00D7035F"/>
    <w:rsid w:val="00DA0A2C"/>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0FDB"/>
    <w:rsid w:val="00FF1E02"/>
    <w:rsid w:val="00FF30B4"/>
    <w:rsid w:val="023002AB"/>
    <w:rsid w:val="02E1730F"/>
    <w:rsid w:val="043E4C13"/>
    <w:rsid w:val="04601E12"/>
    <w:rsid w:val="04CF36B4"/>
    <w:rsid w:val="05C25B80"/>
    <w:rsid w:val="05E45580"/>
    <w:rsid w:val="068951A7"/>
    <w:rsid w:val="06E27DD7"/>
    <w:rsid w:val="071A426C"/>
    <w:rsid w:val="079348CC"/>
    <w:rsid w:val="07D36549"/>
    <w:rsid w:val="07E5395F"/>
    <w:rsid w:val="08F67BF7"/>
    <w:rsid w:val="0A7E337D"/>
    <w:rsid w:val="0CA74428"/>
    <w:rsid w:val="0CCD0C03"/>
    <w:rsid w:val="0CFB0A8A"/>
    <w:rsid w:val="0D8172A3"/>
    <w:rsid w:val="0E1815C8"/>
    <w:rsid w:val="0EAA5C5A"/>
    <w:rsid w:val="0EB302A1"/>
    <w:rsid w:val="0EC403E8"/>
    <w:rsid w:val="0F2121FB"/>
    <w:rsid w:val="0F730F9A"/>
    <w:rsid w:val="10842AE1"/>
    <w:rsid w:val="10AA5720"/>
    <w:rsid w:val="10C055FF"/>
    <w:rsid w:val="11251ED6"/>
    <w:rsid w:val="11AD5A15"/>
    <w:rsid w:val="11DA19EF"/>
    <w:rsid w:val="12754917"/>
    <w:rsid w:val="1308721F"/>
    <w:rsid w:val="135768EF"/>
    <w:rsid w:val="13FB2AD9"/>
    <w:rsid w:val="14B45E63"/>
    <w:rsid w:val="157E60BD"/>
    <w:rsid w:val="16BB723D"/>
    <w:rsid w:val="175B5220"/>
    <w:rsid w:val="18266E24"/>
    <w:rsid w:val="185B4C17"/>
    <w:rsid w:val="19586DBB"/>
    <w:rsid w:val="197A69C6"/>
    <w:rsid w:val="197E3626"/>
    <w:rsid w:val="1A002162"/>
    <w:rsid w:val="1A6C163D"/>
    <w:rsid w:val="1B06268F"/>
    <w:rsid w:val="1B1113A1"/>
    <w:rsid w:val="1B3A7ABE"/>
    <w:rsid w:val="1B97182E"/>
    <w:rsid w:val="1B9E3D8A"/>
    <w:rsid w:val="1C6D1313"/>
    <w:rsid w:val="1C772638"/>
    <w:rsid w:val="1E2456B4"/>
    <w:rsid w:val="1E284F2D"/>
    <w:rsid w:val="1E420C3F"/>
    <w:rsid w:val="1E48348B"/>
    <w:rsid w:val="1EC86353"/>
    <w:rsid w:val="1EE73062"/>
    <w:rsid w:val="1FF24AAB"/>
    <w:rsid w:val="21715B9A"/>
    <w:rsid w:val="22311A74"/>
    <w:rsid w:val="224A0538"/>
    <w:rsid w:val="22570214"/>
    <w:rsid w:val="22750CD4"/>
    <w:rsid w:val="2371487D"/>
    <w:rsid w:val="240371BF"/>
    <w:rsid w:val="24842D35"/>
    <w:rsid w:val="24CE2829"/>
    <w:rsid w:val="24EF5C54"/>
    <w:rsid w:val="25002D08"/>
    <w:rsid w:val="25361855"/>
    <w:rsid w:val="25793C80"/>
    <w:rsid w:val="26393A97"/>
    <w:rsid w:val="263C55EC"/>
    <w:rsid w:val="2669691D"/>
    <w:rsid w:val="2683016A"/>
    <w:rsid w:val="26C338EA"/>
    <w:rsid w:val="27576F14"/>
    <w:rsid w:val="27710D5F"/>
    <w:rsid w:val="2822183A"/>
    <w:rsid w:val="287A776B"/>
    <w:rsid w:val="288A51BE"/>
    <w:rsid w:val="29893551"/>
    <w:rsid w:val="29FD04D3"/>
    <w:rsid w:val="2A3753A8"/>
    <w:rsid w:val="2A7863AA"/>
    <w:rsid w:val="2AE352DA"/>
    <w:rsid w:val="2BA3678D"/>
    <w:rsid w:val="2C36234E"/>
    <w:rsid w:val="2C4E325A"/>
    <w:rsid w:val="2C536B21"/>
    <w:rsid w:val="2C981E3E"/>
    <w:rsid w:val="2CC441EC"/>
    <w:rsid w:val="2CF53180"/>
    <w:rsid w:val="2D7860CA"/>
    <w:rsid w:val="2DDF321A"/>
    <w:rsid w:val="2E344C7E"/>
    <w:rsid w:val="2EAB657C"/>
    <w:rsid w:val="2F7D0076"/>
    <w:rsid w:val="2F8C0ED7"/>
    <w:rsid w:val="319F7F4E"/>
    <w:rsid w:val="32D3007A"/>
    <w:rsid w:val="33057D8B"/>
    <w:rsid w:val="33AA61A1"/>
    <w:rsid w:val="34E40645"/>
    <w:rsid w:val="34EA6956"/>
    <w:rsid w:val="354F134F"/>
    <w:rsid w:val="3567173A"/>
    <w:rsid w:val="35815A27"/>
    <w:rsid w:val="358D6C31"/>
    <w:rsid w:val="375E2618"/>
    <w:rsid w:val="378731D3"/>
    <w:rsid w:val="383D334F"/>
    <w:rsid w:val="385B2116"/>
    <w:rsid w:val="38C37F12"/>
    <w:rsid w:val="38C55A4D"/>
    <w:rsid w:val="39DE1B1E"/>
    <w:rsid w:val="3B3B302A"/>
    <w:rsid w:val="3B47324A"/>
    <w:rsid w:val="3B9B5779"/>
    <w:rsid w:val="3C223539"/>
    <w:rsid w:val="3D355B1E"/>
    <w:rsid w:val="3D3673A8"/>
    <w:rsid w:val="3D4A0C57"/>
    <w:rsid w:val="3D631537"/>
    <w:rsid w:val="3E9441A7"/>
    <w:rsid w:val="3EC4545A"/>
    <w:rsid w:val="3FAB3F97"/>
    <w:rsid w:val="3FF87917"/>
    <w:rsid w:val="400301DF"/>
    <w:rsid w:val="401D6D1E"/>
    <w:rsid w:val="40441CD0"/>
    <w:rsid w:val="412648F7"/>
    <w:rsid w:val="41D64E14"/>
    <w:rsid w:val="42407D1A"/>
    <w:rsid w:val="43A941DF"/>
    <w:rsid w:val="44D14963"/>
    <w:rsid w:val="44D3044B"/>
    <w:rsid w:val="469D4446"/>
    <w:rsid w:val="46B70187"/>
    <w:rsid w:val="47693C2B"/>
    <w:rsid w:val="495A2761"/>
    <w:rsid w:val="4A223C7E"/>
    <w:rsid w:val="4A676625"/>
    <w:rsid w:val="4A696211"/>
    <w:rsid w:val="4B6A4556"/>
    <w:rsid w:val="4C1118F0"/>
    <w:rsid w:val="4C146CF0"/>
    <w:rsid w:val="4DCC1F46"/>
    <w:rsid w:val="4F6516EA"/>
    <w:rsid w:val="4F6E331E"/>
    <w:rsid w:val="4FE015FC"/>
    <w:rsid w:val="501E58DE"/>
    <w:rsid w:val="51050403"/>
    <w:rsid w:val="5112500D"/>
    <w:rsid w:val="51441AED"/>
    <w:rsid w:val="519F6341"/>
    <w:rsid w:val="51CC164C"/>
    <w:rsid w:val="51D75D13"/>
    <w:rsid w:val="51E36239"/>
    <w:rsid w:val="5210264F"/>
    <w:rsid w:val="521A488A"/>
    <w:rsid w:val="521C500A"/>
    <w:rsid w:val="52A478EB"/>
    <w:rsid w:val="52F36550"/>
    <w:rsid w:val="535D1D96"/>
    <w:rsid w:val="53C700D2"/>
    <w:rsid w:val="546E741E"/>
    <w:rsid w:val="550B692C"/>
    <w:rsid w:val="55686189"/>
    <w:rsid w:val="55A35C61"/>
    <w:rsid w:val="56724562"/>
    <w:rsid w:val="574933D7"/>
    <w:rsid w:val="577E7FD0"/>
    <w:rsid w:val="57815EBF"/>
    <w:rsid w:val="57E64C14"/>
    <w:rsid w:val="583B3846"/>
    <w:rsid w:val="586425F8"/>
    <w:rsid w:val="58766736"/>
    <w:rsid w:val="588F57A1"/>
    <w:rsid w:val="589B395F"/>
    <w:rsid w:val="596F586E"/>
    <w:rsid w:val="59765408"/>
    <w:rsid w:val="5A5A73ED"/>
    <w:rsid w:val="5B680900"/>
    <w:rsid w:val="5B78665E"/>
    <w:rsid w:val="5BC81751"/>
    <w:rsid w:val="5D181542"/>
    <w:rsid w:val="5DC37E74"/>
    <w:rsid w:val="5E2D5284"/>
    <w:rsid w:val="5E81723F"/>
    <w:rsid w:val="5E8277BF"/>
    <w:rsid w:val="5E87475D"/>
    <w:rsid w:val="5EAF7173"/>
    <w:rsid w:val="5EB30705"/>
    <w:rsid w:val="5F422BEA"/>
    <w:rsid w:val="5F584FE8"/>
    <w:rsid w:val="5FA61A61"/>
    <w:rsid w:val="5FBD45DC"/>
    <w:rsid w:val="61C20AC0"/>
    <w:rsid w:val="625E7F0D"/>
    <w:rsid w:val="6318484B"/>
    <w:rsid w:val="64451887"/>
    <w:rsid w:val="681D681A"/>
    <w:rsid w:val="686512B9"/>
    <w:rsid w:val="68D041D1"/>
    <w:rsid w:val="6925704D"/>
    <w:rsid w:val="692D7272"/>
    <w:rsid w:val="69303D57"/>
    <w:rsid w:val="69435C9A"/>
    <w:rsid w:val="694A624C"/>
    <w:rsid w:val="69E132A1"/>
    <w:rsid w:val="69E52543"/>
    <w:rsid w:val="6A6C75A6"/>
    <w:rsid w:val="6A8C4FEA"/>
    <w:rsid w:val="6AAF5996"/>
    <w:rsid w:val="6C272236"/>
    <w:rsid w:val="6C293B5F"/>
    <w:rsid w:val="6C663657"/>
    <w:rsid w:val="6C6E3758"/>
    <w:rsid w:val="6CF304BF"/>
    <w:rsid w:val="6D1C198A"/>
    <w:rsid w:val="6EEA518B"/>
    <w:rsid w:val="70A642D7"/>
    <w:rsid w:val="70BD6C83"/>
    <w:rsid w:val="71A12E95"/>
    <w:rsid w:val="71D452DB"/>
    <w:rsid w:val="7391196E"/>
    <w:rsid w:val="74C70B47"/>
    <w:rsid w:val="75F32FC4"/>
    <w:rsid w:val="7634636F"/>
    <w:rsid w:val="766D1496"/>
    <w:rsid w:val="7709409F"/>
    <w:rsid w:val="77433F38"/>
    <w:rsid w:val="777E2099"/>
    <w:rsid w:val="77987EB0"/>
    <w:rsid w:val="7831022F"/>
    <w:rsid w:val="78830398"/>
    <w:rsid w:val="78FC4DCF"/>
    <w:rsid w:val="79114142"/>
    <w:rsid w:val="7A5A006F"/>
    <w:rsid w:val="7A707BCD"/>
    <w:rsid w:val="7B774593"/>
    <w:rsid w:val="7B9747DF"/>
    <w:rsid w:val="7BA4534D"/>
    <w:rsid w:val="7BC6647D"/>
    <w:rsid w:val="7CEE15BB"/>
    <w:rsid w:val="7D210A3F"/>
    <w:rsid w:val="7D7457AC"/>
    <w:rsid w:val="7E347559"/>
    <w:rsid w:val="7E536F00"/>
    <w:rsid w:val="7E771F55"/>
    <w:rsid w:val="7EDA5896"/>
    <w:rsid w:val="7EEF2760"/>
    <w:rsid w:val="7F765CDE"/>
    <w:rsid w:val="7FA17BF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2"/>
    <w:qFormat/>
    <w:uiPriority w:val="9"/>
    <w:rPr>
      <w:rFonts w:ascii="Times New Roman" w:hAnsi="Times New Roman"/>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embeddings/oleObject2.bin"/></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embeddings/oleObject3.bin"/></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embeddings/oleObject4.bin"/></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收、支决算结构图</a:t>
            </a:r>
          </a:p>
        </c:rich>
      </c:tx>
      <c:layout/>
      <c:overlay val="0"/>
      <c:spPr>
        <a:noFill/>
        <a:ln>
          <a:noFill/>
        </a:ln>
        <a:effectLst/>
      </c:spPr>
    </c:title>
    <c:autoTitleDeleted val="0"/>
    <c:plotArea>
      <c:layout>
        <c:manualLayout>
          <c:layoutTarget val="inner"/>
          <c:xMode val="edge"/>
          <c:yMode val="edge"/>
          <c:x val="0.06995"/>
          <c:y val="0.232818657059472"/>
          <c:w val="0.928372670807453"/>
          <c:h val="0.630304347826087"/>
        </c:manualLayout>
      </c:layout>
      <c:barChart>
        <c:barDir val="col"/>
        <c:grouping val="clustered"/>
        <c:varyColors val="0"/>
        <c:ser>
          <c:idx val="0"/>
          <c:order val="0"/>
          <c:tx>
            <c:strRef>
              <c:f>Sheet1!$B$1</c:f>
              <c:strCache>
                <c:ptCount val="1"/>
                <c:pt idx="0">
                  <c:v>总收入</c:v>
                </c:pt>
              </c:strCache>
            </c:strRef>
          </c:tx>
          <c:spPr>
            <a:solidFill>
              <a:schemeClr val="accent1"/>
            </a:solidFill>
            <a:ln>
              <a:noFill/>
            </a:ln>
            <a:effectLst/>
          </c:spPr>
          <c:invertIfNegative val="0"/>
          <c:dLbls>
            <c:delete val="1"/>
          </c:dLbls>
          <c:cat>
            <c:strRef>
              <c:f>Sheet1!$A$2:$A$3</c:f>
              <c:strCache>
                <c:ptCount val="2"/>
                <c:pt idx="0">
                  <c:v>2020年 </c:v>
                </c:pt>
                <c:pt idx="1">
                  <c:v>2019年</c:v>
                </c:pt>
              </c:strCache>
            </c:strRef>
          </c:cat>
          <c:val>
            <c:numRef>
              <c:f>Sheet1!$B$2:$B$3</c:f>
              <c:numCache>
                <c:formatCode>General</c:formatCode>
                <c:ptCount val="2"/>
                <c:pt idx="0">
                  <c:v>3350.35</c:v>
                </c:pt>
                <c:pt idx="1">
                  <c:v>7005.09</c:v>
                </c:pt>
              </c:numCache>
            </c:numRef>
          </c:val>
        </c:ser>
        <c:ser>
          <c:idx val="1"/>
          <c:order val="1"/>
          <c:tx>
            <c:strRef>
              <c:f>Sheet1!$C$1</c:f>
              <c:strCache>
                <c:ptCount val="1"/>
                <c:pt idx="0">
                  <c:v>总支出</c:v>
                </c:pt>
              </c:strCache>
            </c:strRef>
          </c:tx>
          <c:spPr>
            <a:solidFill>
              <a:schemeClr val="accent2"/>
            </a:solidFill>
            <a:ln>
              <a:noFill/>
            </a:ln>
            <a:effectLst/>
          </c:spPr>
          <c:invertIfNegative val="0"/>
          <c:dLbls>
            <c:delete val="1"/>
          </c:dLbls>
          <c:cat>
            <c:strRef>
              <c:f>Sheet1!$A$2:$A$3</c:f>
              <c:strCache>
                <c:ptCount val="2"/>
                <c:pt idx="0">
                  <c:v>2020年 </c:v>
                </c:pt>
                <c:pt idx="1">
                  <c:v>2019年</c:v>
                </c:pt>
              </c:strCache>
            </c:strRef>
          </c:cat>
          <c:val>
            <c:numRef>
              <c:f>Sheet1!$C$2:$C$3</c:f>
              <c:numCache>
                <c:formatCode>General</c:formatCode>
                <c:ptCount val="2"/>
                <c:pt idx="0">
                  <c:v>3800.95</c:v>
                </c:pt>
                <c:pt idx="1">
                  <c:v>3788.07</c:v>
                </c:pt>
              </c:numCache>
            </c:numRef>
          </c:val>
        </c:ser>
        <c:dLbls>
          <c:showLegendKey val="0"/>
          <c:showVal val="0"/>
          <c:showCatName val="0"/>
          <c:showSerName val="0"/>
          <c:showPercent val="0"/>
          <c:showBubbleSize val="0"/>
        </c:dLbls>
        <c:gapWidth val="219"/>
        <c:overlap val="-27"/>
        <c:axId val="125929728"/>
        <c:axId val="126222336"/>
      </c:barChart>
      <c:catAx>
        <c:axId val="12592972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6222336"/>
        <c:crosses val="autoZero"/>
        <c:auto val="1"/>
        <c:lblAlgn val="ctr"/>
        <c:lblOffset val="100"/>
        <c:noMultiLvlLbl val="0"/>
      </c:catAx>
      <c:valAx>
        <c:axId val="126222336"/>
        <c:scaling>
          <c:orientation val="minMax"/>
          <c:max val="45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592972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政府性基金预算财政拨款</c:v>
                </c:pt>
              </c:strCache>
            </c:strRef>
          </c:cat>
          <c:val>
            <c:numRef>
              <c:f>Sheet1!$B$2:$B$3</c:f>
              <c:numCache>
                <c:formatCode>General</c:formatCode>
                <c:ptCount val="2"/>
                <c:pt idx="0">
                  <c:v>3150.4</c:v>
                </c:pt>
                <c:pt idx="1">
                  <c:v>40.19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319909672563041"/>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361.62</c:v>
                </c:pt>
                <c:pt idx="1">
                  <c:v>3439.32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Sheet1!$A$3</c:f>
              <c:strCache>
                <c:ptCount val="1"/>
                <c:pt idx="0">
                  <c:v>2020年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一般公共预算财政拨款收入</c:v>
                </c:pt>
                <c:pt idx="1">
                  <c:v>政府性基金预算财政拨款</c:v>
                </c:pt>
                <c:pt idx="2">
                  <c:v>一般公共预算财政拨款支出</c:v>
                </c:pt>
              </c:strCache>
            </c:strRef>
          </c:cat>
          <c:val>
            <c:numRef>
              <c:f>Sheet1!$B$3:$D$3</c:f>
              <c:numCache>
                <c:formatCode>General</c:formatCode>
                <c:ptCount val="3"/>
                <c:pt idx="0">
                  <c:v>3800.94</c:v>
                </c:pt>
                <c:pt idx="1">
                  <c:v>40.19</c:v>
                </c:pt>
                <c:pt idx="2">
                  <c:v>3641.2</c:v>
                </c:pt>
              </c:numCache>
            </c:numRef>
          </c:val>
        </c:ser>
        <c:ser>
          <c:idx val="1"/>
          <c:order val="1"/>
          <c:tx>
            <c:strRef>
              <c:f>Sheet1!$A$4</c:f>
              <c:strCache>
                <c:ptCount val="1"/>
                <c:pt idx="0">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一般公共预算财政拨款收入</c:v>
                </c:pt>
                <c:pt idx="1">
                  <c:v>政府性基金预算财政拨款</c:v>
                </c:pt>
                <c:pt idx="2">
                  <c:v>一般公共预算财政拨款支出</c:v>
                </c:pt>
              </c:strCache>
            </c:strRef>
          </c:cat>
          <c:val>
            <c:numRef>
              <c:f>Sheet1!$B$4:$D$4</c:f>
              <c:numCache>
                <c:formatCode>General</c:formatCode>
                <c:ptCount val="3"/>
              </c:numCache>
            </c:numRef>
          </c:val>
        </c:ser>
        <c:dLbls>
          <c:showLegendKey val="0"/>
          <c:showVal val="0"/>
          <c:showCatName val="0"/>
          <c:showSerName val="0"/>
          <c:showPercent val="0"/>
          <c:showBubbleSize val="0"/>
        </c:dLbls>
        <c:gapWidth val="219"/>
        <c:overlap val="-27"/>
        <c:axId val="128328448"/>
        <c:axId val="128329984"/>
      </c:barChart>
      <c:catAx>
        <c:axId val="1283284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8329984"/>
        <c:crosses val="autoZero"/>
        <c:auto val="1"/>
        <c:lblAlgn val="ctr"/>
        <c:lblOffset val="100"/>
        <c:noMultiLvlLbl val="0"/>
      </c:catAx>
      <c:valAx>
        <c:axId val="128329984"/>
        <c:scaling>
          <c:orientation val="minMax"/>
          <c:max val="45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832844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512867647058824"/>
          <c:y val="0.177797241077294"/>
          <c:w val="0.924290966386555"/>
          <c:h val="0.627633019487629"/>
        </c:manualLayout>
      </c:layout>
      <c:barChart>
        <c:barDir val="col"/>
        <c:grouping val="clustered"/>
        <c:varyColors val="0"/>
        <c:ser>
          <c:idx val="0"/>
          <c:order val="0"/>
          <c:tx>
            <c:strRef>
              <c:f>Sheet1!$B$1</c:f>
              <c:strCache>
                <c:ptCount val="1"/>
                <c:pt idx="0">
                  <c:v>一般公共预算财政拨款支出决算变动情况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c:v>
                </c:pt>
                <c:pt idx="1">
                  <c:v>2020年</c:v>
                </c:pt>
              </c:strCache>
            </c:strRef>
          </c:cat>
          <c:val>
            <c:numRef>
              <c:f>Sheet1!$B$2:$B$3</c:f>
              <c:numCache>
                <c:formatCode>General</c:formatCode>
                <c:ptCount val="2"/>
                <c:pt idx="0">
                  <c:v>3637.06</c:v>
                </c:pt>
                <c:pt idx="1">
                  <c:v>3641.2</c:v>
                </c:pt>
              </c:numCache>
            </c:numRef>
          </c:val>
        </c:ser>
        <c:dLbls>
          <c:showLegendKey val="0"/>
          <c:showVal val="0"/>
          <c:showCatName val="0"/>
          <c:showSerName val="0"/>
          <c:showPercent val="0"/>
          <c:showBubbleSize val="0"/>
        </c:dLbls>
        <c:gapWidth val="219"/>
        <c:overlap val="-27"/>
        <c:axId val="129763584"/>
        <c:axId val="129781760"/>
      </c:barChart>
      <c:catAx>
        <c:axId val="12976358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9781760"/>
        <c:crosses val="autoZero"/>
        <c:auto val="1"/>
        <c:lblAlgn val="ctr"/>
        <c:lblOffset val="100"/>
        <c:noMultiLvlLbl val="0"/>
      </c:catAx>
      <c:valAx>
        <c:axId val="129781760"/>
        <c:scaling>
          <c:orientation val="minMax"/>
          <c:max val="45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976358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Lbl>
              <c:idx val="1"/>
              <c:layout>
                <c:manualLayout>
                  <c:x val="-0.0209736443574976"/>
                  <c:y val="0.044190824567072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03313939"/>
                  <c:y val="0.0049657079999966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50300872"/>
                  <c:y val="-0.041690332794726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63049457822949"/>
                  <c:y val="0.0066062218848375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文化旅游体育与传媒支出</c:v>
                </c:pt>
                <c:pt idx="1">
                  <c:v>农林水支出</c:v>
                </c:pt>
                <c:pt idx="2">
                  <c:v>社会保障和就业</c:v>
                </c:pt>
                <c:pt idx="3">
                  <c:v>医疗卫生支出</c:v>
                </c:pt>
                <c:pt idx="4">
                  <c:v>住房保障支出</c:v>
                </c:pt>
                <c:pt idx="5">
                  <c:v>其他支出</c:v>
                </c:pt>
              </c:strCache>
            </c:strRef>
          </c:cat>
          <c:val>
            <c:numRef>
              <c:f>Sheet1!$B$2:$B$7</c:f>
              <c:numCache>
                <c:formatCode>General</c:formatCode>
                <c:ptCount val="6"/>
                <c:pt idx="0">
                  <c:v>2186.99</c:v>
                </c:pt>
                <c:pt idx="1">
                  <c:v>1255.03</c:v>
                </c:pt>
                <c:pt idx="2">
                  <c:v>42.38</c:v>
                </c:pt>
                <c:pt idx="3">
                  <c:v>10.87</c:v>
                </c:pt>
                <c:pt idx="4">
                  <c:v>26.64</c:v>
                </c:pt>
                <c:pt idx="5">
                  <c:v>207.93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gradFill>
                <a:gsLst>
                  <a:gs pos="0">
                    <a:srgbClr val="FE4444"/>
                  </a:gs>
                  <a:gs pos="100000">
                    <a:srgbClr val="832B2B"/>
                  </a:gs>
                </a:gsLst>
                <a:lin ang="5400000" scaled="0"/>
              </a:gradFill>
              <a:ln w="19050">
                <a:solidFill>
                  <a:schemeClr val="lt1"/>
                </a:solidFill>
              </a:ln>
              <a:effectLst/>
            </c:spPr>
          </c:dPt>
          <c:dPt>
            <c:idx val="1"/>
            <c:bubble3D val="0"/>
            <c:spPr>
              <a:solidFill>
                <a:schemeClr val="accent1"/>
              </a:solidFill>
              <a:ln w="19050">
                <a:solidFill>
                  <a:schemeClr val="lt1"/>
                </a:solidFill>
              </a:ln>
              <a:effectLst/>
            </c:spPr>
          </c:dPt>
          <c:dPt>
            <c:idx val="2"/>
            <c:bubble3D val="0"/>
            <c:spPr>
              <a:solidFill>
                <a:schemeClr val="accent3"/>
              </a:solidFill>
              <a:ln w="19050">
                <a:solidFill>
                  <a:schemeClr val="lt1"/>
                </a:solidFill>
              </a:ln>
              <a:effectLst/>
            </c:spPr>
          </c:dPt>
          <c:dLbls>
            <c:dLbl>
              <c:idx val="2"/>
              <c:layout>
                <c:manualLayout>
                  <c:x val="-0.0703521624491327"/>
                  <c:y val="0.0052022662062350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3.4</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E621FA-8A59-4CC6-BE05-E04B4EDE970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9805</Words>
  <Characters>1937</Characters>
  <Lines>16</Lines>
  <Paragraphs>23</Paragraphs>
  <TotalTime>0</TotalTime>
  <ScaleCrop>false</ScaleCrop>
  <LinksUpToDate>false</LinksUpToDate>
  <CharactersWithSpaces>11719</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2021-09-24T01:28:00Z</dcterms:created>
  <dc:creator>张彬茜</dc:creator>
  <cp:lastModifiedBy>不改</cp:lastModifiedBy>
  <cp:lastPrinted>2020-09-29T10:36:00Z</cp:lastPrinted>
  <dcterms:modified xsi:type="dcterms:W3CDTF">2021-09-27T08:52:12Z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1740A4A86733473C93D5E2BB27F101B1</vt:lpwstr>
  </property>
</Properties>
</file>