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hAnsi="仿宋_GB2312" w:eastAsia="仿宋_GB2312" w:cs="仿宋_GB2312"/>
          <w:b/>
          <w:sz w:val="30"/>
          <w:szCs w:val="30"/>
        </w:rPr>
      </w:pPr>
      <w:r>
        <w:rPr>
          <w:rFonts w:hint="eastAsia" w:ascii="仿宋_GB2312" w:hAnsi="仿宋_GB2312" w:eastAsia="仿宋_GB2312" w:cs="仿宋_GB2312"/>
          <w:b/>
          <w:sz w:val="44"/>
          <w:szCs w:val="44"/>
        </w:rPr>
        <w:t>金川县文化馆2018年决算公开</w:t>
      </w: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pPr>
        <w:jc w:val="center"/>
        <w:rPr>
          <w:rFonts w:ascii="仿宋_GB2312" w:hAnsi="仿宋_GB2312" w:eastAsia="仿宋_GB2312" w:cs="仿宋_GB2312"/>
          <w:sz w:val="30"/>
          <w:szCs w:val="30"/>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目 录</w:t>
      </w:r>
    </w:p>
    <w:p>
      <w:pPr>
        <w:numPr>
          <w:ilvl w:val="0"/>
          <w:numId w:val="1"/>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基本职能及主要工作</w:t>
      </w:r>
    </w:p>
    <w:p>
      <w:pPr>
        <w:numPr>
          <w:ilvl w:val="0"/>
          <w:numId w:val="0"/>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（一）主要职能。</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年重点工作完成情况。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二、部门概况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三、收支决算总体情况说明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四、财政拨款收入支出决算总体情况说明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五、一般公共预算财政拨款支出决算情况说明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（一）一般公共预算财政拨款支出决算总体情况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（二）一般公共预算财政拨款支出决算结构情况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（三）一般公共预算财政拨款支出决算具体情况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六、一般公共预算财政拨款基本支出决算情况说明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七、“三公”经费财政拨款支出决算情况说明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（一）“三公”经费财政拨款支出决算总体情况说明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（二）“三公”经费财政拨款支出决算具体情况说明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八、政府性基金预算支出决算情况说明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九、国有资本经营预算支出决算情况说明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十、其他重要事项的情况说明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（一）机关运行经费支出情况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（二）政府采购支出情况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（三）国有资产占有使用情况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（四）预算绩效情况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1.绩效目标管理情况。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2.部门整体支出绩效自评开展情况。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3.部门自行组织绩效评价开展情况。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十一、名词解释</w:t>
      </w:r>
    </w:p>
    <w:p>
      <w:pPr>
        <w:ind w:firstLine="960" w:firstLineChars="200"/>
        <w:rPr>
          <w:rFonts w:hint="eastAsia"/>
          <w:sz w:val="48"/>
          <w:szCs w:val="48"/>
        </w:rPr>
      </w:pPr>
    </w:p>
    <w:p>
      <w:pPr>
        <w:ind w:firstLine="2880" w:firstLineChars="600"/>
        <w:rPr>
          <w:rFonts w:hint="eastAsia"/>
          <w:sz w:val="48"/>
          <w:szCs w:val="48"/>
        </w:rPr>
      </w:pPr>
    </w:p>
    <w:p>
      <w:pPr>
        <w:ind w:firstLine="2880" w:firstLineChars="600"/>
        <w:rPr>
          <w:rFonts w:hint="eastAsia"/>
          <w:sz w:val="48"/>
          <w:szCs w:val="48"/>
        </w:rPr>
      </w:pPr>
    </w:p>
    <w:p>
      <w:pPr>
        <w:ind w:firstLine="2880" w:firstLineChars="600"/>
        <w:rPr>
          <w:rFonts w:hint="eastAsia"/>
          <w:sz w:val="48"/>
          <w:szCs w:val="48"/>
        </w:rPr>
      </w:pPr>
    </w:p>
    <w:p>
      <w:pPr>
        <w:ind w:firstLine="2880" w:firstLineChars="600"/>
        <w:rPr>
          <w:rFonts w:hint="eastAsia"/>
          <w:sz w:val="48"/>
          <w:szCs w:val="48"/>
        </w:rPr>
      </w:pPr>
    </w:p>
    <w:p>
      <w:pPr>
        <w:ind w:firstLine="2880" w:firstLineChars="600"/>
        <w:rPr>
          <w:rFonts w:hint="eastAsia"/>
          <w:sz w:val="48"/>
          <w:szCs w:val="48"/>
        </w:rPr>
      </w:pPr>
    </w:p>
    <w:p>
      <w:pPr>
        <w:ind w:firstLine="2880" w:firstLineChars="600"/>
        <w:rPr>
          <w:rFonts w:hint="eastAsia"/>
          <w:sz w:val="48"/>
          <w:szCs w:val="48"/>
        </w:rPr>
      </w:pPr>
    </w:p>
    <w:p>
      <w:pPr>
        <w:ind w:firstLine="2880" w:firstLineChars="600"/>
        <w:rPr>
          <w:rFonts w:hint="eastAsia"/>
          <w:sz w:val="48"/>
          <w:szCs w:val="48"/>
        </w:rPr>
      </w:pPr>
    </w:p>
    <w:p>
      <w:pPr>
        <w:ind w:firstLine="2880" w:firstLineChars="600"/>
        <w:rPr>
          <w:rFonts w:hint="eastAsia"/>
          <w:sz w:val="48"/>
          <w:szCs w:val="48"/>
        </w:rPr>
      </w:pPr>
    </w:p>
    <w:p>
      <w:pPr>
        <w:ind w:firstLine="2880" w:firstLineChars="600"/>
        <w:rPr>
          <w:rFonts w:hint="eastAsia"/>
          <w:sz w:val="48"/>
          <w:szCs w:val="48"/>
        </w:rPr>
      </w:pPr>
    </w:p>
    <w:p>
      <w:pPr>
        <w:ind w:firstLine="2880" w:firstLineChars="600"/>
        <w:rPr>
          <w:rFonts w:hint="eastAsia"/>
          <w:sz w:val="48"/>
          <w:szCs w:val="48"/>
        </w:rPr>
      </w:pPr>
    </w:p>
    <w:p>
      <w:pPr>
        <w:ind w:firstLine="2880" w:firstLineChars="600"/>
        <w:rPr>
          <w:rFonts w:hint="eastAsia"/>
          <w:sz w:val="48"/>
          <w:szCs w:val="48"/>
        </w:rPr>
      </w:pPr>
    </w:p>
    <w:p>
      <w:pPr>
        <w:ind w:firstLine="2880" w:firstLineChars="600"/>
        <w:rPr>
          <w:rFonts w:hint="eastAsia"/>
          <w:sz w:val="48"/>
          <w:szCs w:val="48"/>
        </w:rPr>
      </w:pPr>
    </w:p>
    <w:p>
      <w:pPr>
        <w:ind w:firstLine="2880" w:firstLineChars="600"/>
        <w:rPr>
          <w:rFonts w:hint="eastAsia"/>
          <w:sz w:val="48"/>
          <w:szCs w:val="48"/>
        </w:rPr>
      </w:pPr>
    </w:p>
    <w:p>
      <w:pPr>
        <w:ind w:firstLine="2880" w:firstLineChars="600"/>
        <w:rPr>
          <w:rFonts w:hint="eastAsia"/>
          <w:sz w:val="48"/>
          <w:szCs w:val="48"/>
        </w:rPr>
      </w:pPr>
    </w:p>
    <w:p>
      <w:pPr>
        <w:ind w:firstLine="2880" w:firstLineChars="600"/>
        <w:rPr>
          <w:sz w:val="48"/>
          <w:szCs w:val="48"/>
        </w:rPr>
      </w:pPr>
      <w:r>
        <w:rPr>
          <w:rFonts w:hint="eastAsia"/>
          <w:sz w:val="48"/>
          <w:szCs w:val="48"/>
        </w:rPr>
        <w:t>金川县文化馆</w:t>
      </w:r>
    </w:p>
    <w:p>
      <w:pPr>
        <w:jc w:val="center"/>
        <w:rPr>
          <w:sz w:val="48"/>
          <w:szCs w:val="48"/>
        </w:rPr>
      </w:pPr>
      <w:r>
        <w:rPr>
          <w:rFonts w:hint="eastAsia"/>
          <w:sz w:val="48"/>
          <w:szCs w:val="48"/>
        </w:rPr>
        <w:t>2018年部门决算编制说明</w:t>
      </w:r>
    </w:p>
    <w:p>
      <w:pPr>
        <w:jc w:val="center"/>
        <w:rPr>
          <w:sz w:val="48"/>
          <w:szCs w:val="48"/>
        </w:rPr>
      </w:pPr>
    </w:p>
    <w:p>
      <w:pPr>
        <w:rPr>
          <w:rFonts w:ascii="仿宋_GB2312" w:hAnsi="仿宋_GB2312" w:eastAsia="仿宋_GB2312" w:cs="仿宋_GB2312"/>
          <w:sz w:val="30"/>
          <w:szCs w:val="30"/>
        </w:rPr>
      </w:pPr>
    </w:p>
    <w:p>
      <w:pPr>
        <w:pStyle w:val="2"/>
        <w:ind w:firstLine="0" w:firstLineChars="0"/>
        <w:jc w:val="left"/>
        <w:rPr>
          <w:rFonts w:ascii="仿宋_GB2312" w:hAnsi="仿宋_GB2312" w:eastAsia="仿宋_GB2312" w:cs="仿宋_GB2312"/>
          <w:szCs w:val="30"/>
        </w:rPr>
      </w:pPr>
      <w:bookmarkStart w:id="0" w:name="_Toc435714312"/>
      <w:bookmarkStart w:id="1" w:name="_Toc436083531"/>
      <w:r>
        <w:rPr>
          <w:rFonts w:hint="eastAsia" w:ascii="仿宋_GB2312" w:hAnsi="仿宋_GB2312" w:eastAsia="仿宋_GB2312" w:cs="仿宋_GB2312"/>
          <w:szCs w:val="30"/>
        </w:rPr>
        <w:t>一</w:t>
      </w:r>
      <w:bookmarkEnd w:id="0"/>
      <w:bookmarkEnd w:id="1"/>
      <w:r>
        <w:rPr>
          <w:rFonts w:hint="eastAsia" w:ascii="仿宋_GB2312" w:hAnsi="仿宋_GB2312" w:eastAsia="仿宋_GB2312" w:cs="仿宋_GB2312"/>
          <w:szCs w:val="30"/>
        </w:rPr>
        <w:t>、基本职能及主要工作</w:t>
      </w:r>
    </w:p>
    <w:p>
      <w:pPr>
        <w:rPr>
          <w:rFonts w:ascii="仿宋_GB2312" w:hAnsi="仿宋_GB2312" w:eastAsia="仿宋_GB2312" w:cs="仿宋_GB2312"/>
          <w:sz w:val="30"/>
          <w:szCs w:val="30"/>
        </w:rPr>
      </w:pPr>
      <w:r>
        <w:rPr>
          <w:rFonts w:hint="eastAsia" w:ascii="仿宋_GB2312" w:hAnsi="仿宋_GB2312" w:eastAsia="仿宋_GB2312" w:cs="仿宋_GB2312"/>
          <w:sz w:val="30"/>
          <w:szCs w:val="30"/>
        </w:rPr>
        <w:t>（一）主要职能</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金川县文化馆是文化体育广电新闻出版局下属事业单位。其主要职责：</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主要职责：</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1、举办各类展览、讲座、培训等，普及科学文化知识，开展社会教育，提高群众文化素质，促进当地精神文明建设。</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2、组织开展丰富多彩的、群众喜闻乐见的文化活动；开展流动文化服务；指导群众业余文艺团队建设，辅导和培训群众文艺骨干。</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3、组织并指导群众文艺创作，开展群众文化工作理论研究。</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4、收集、整理、研究非物质文化遗产，开展非物质文化遗产的普查、展示、宣传活动，指导传承人开展传习活动。</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5、建成全国文化信息资源共享工程基层服务点，开展数字文化信息服务。</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6、指导下一级文化馆（文化站、社区文化中心）工作，为下一级文化馆（文化站、社区文化中心）培训人员，并向下一级文化馆（文化站、社区文化中心）配送文化资源和文化服务。</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7、指导本地区老年文化、老年教育、少儿文化工作。</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8、开展对外民间文化交流。</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（二）2018年重点工作完成情况</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2018年完成个22个乡镇文化活动室 设备购置与更新。做好全县文化资源普查工作，对进一步加强文化挖掘、保护、传承、弘扬和科学运用打好坚实基础。</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部门概括</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金川县文化馆属于财政补助的二级预算事业单位，执行的是事业单位会计制度，编制人数为12人，实有人数12人。</w:t>
      </w:r>
    </w:p>
    <w:p>
      <w:pPr>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收支决算总体情况说明</w:t>
      </w:r>
    </w:p>
    <w:p>
      <w:pPr>
        <w:ind w:firstLine="600" w:firstLineChars="200"/>
        <w:rPr>
          <w:rFonts w:hint="eastAsia" w:ascii="仿宋_GB2312" w:hAnsi="仿宋_GB2312" w:eastAsia="仿宋_GB2312" w:cs="仿宋_GB2312"/>
          <w:sz w:val="30"/>
          <w:szCs w:val="30"/>
        </w:rPr>
      </w:pPr>
    </w:p>
    <w:p>
      <w:pPr>
        <w:ind w:firstLine="600" w:firstLineChars="200"/>
        <w:rPr>
          <w:rFonts w:hint="eastAsia" w:ascii="仿宋_GB2312" w:hAnsi="仿宋_GB2312" w:eastAsia="仿宋_GB2312" w:cs="仿宋_GB2312"/>
          <w:sz w:val="30"/>
          <w:szCs w:val="30"/>
        </w:rPr>
      </w:pPr>
    </w:p>
    <w:p>
      <w:pPr>
        <w:ind w:firstLine="900" w:firstLineChars="3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2018年县文化馆本年收入合计160.77万元，其中：财政拨款收入160.77万元。             </w:t>
      </w:r>
      <w:r>
        <w:rPr>
          <w:rFonts w:hint="eastAsia" w:ascii="仿宋_GB2312" w:hAnsi="仿宋_GB2312" w:eastAsia="仿宋_GB2312" w:cs="仿宋_GB2312"/>
          <w:color w:val="000000"/>
          <w:sz w:val="30"/>
          <w:szCs w:val="30"/>
        </w:rPr>
        <w:object>
          <v:shape id="_x0000_i1025" o:spt="75" type="#_x0000_t75" style="height:171pt;width:252pt;" o:ole="t" filled="f" o:preferrelative="t" stroked="f" coordsize="21600,21600">
            <v:path/>
            <v:fill on="f" focussize="0,0"/>
            <v:stroke on="f" joinstyle="miter"/>
            <v:imagedata r:id="rId6" o:title="1"/>
            <o:lock v:ext="edit" aspectratio="t"/>
            <w10:wrap type="none"/>
            <w10:anchorlock/>
          </v:shape>
          <o:OLEObject Type="Embed" ProgID="" ShapeID="_x0000_i1025" DrawAspect="Content" ObjectID="_1468075725" r:id="rId5">
            <o:LockedField>false</o:LockedField>
          </o:OLEObject>
        </w:object>
      </w:r>
    </w:p>
    <w:p>
      <w:pPr>
        <w:ind w:firstLine="900" w:firstLineChars="3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2018年文化馆本年支出合计160.77万元，其主要用于基本工资支出。</w:t>
      </w:r>
    </w:p>
    <w:p>
      <w:pPr>
        <w:ind w:firstLine="900" w:firstLineChars="300"/>
        <w:rPr>
          <w:rFonts w:ascii="仿宋_GB2312" w:hAnsi="仿宋_GB2312" w:eastAsia="仿宋_GB2312" w:cs="仿宋_GB2312"/>
          <w:color w:val="000000"/>
          <w:sz w:val="30"/>
          <w:szCs w:val="30"/>
        </w:rPr>
      </w:pPr>
    </w:p>
    <w:p>
      <w:pPr>
        <w:jc w:val="both"/>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四、财政拨款收入支出决算总体情况说明</w:t>
      </w:r>
    </w:p>
    <w:p>
      <w:pPr>
        <w:ind w:firstLine="900" w:firstLineChars="3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县文化馆2018年度财政拨款收支总决算160.77万元，无变化。</w:t>
      </w:r>
    </w:p>
    <w:p>
      <w:pPr>
        <w:ind w:firstLine="900" w:firstLineChars="300"/>
        <w:rPr>
          <w:rFonts w:ascii="仿宋_GB2312" w:hAnsi="仿宋_GB2312" w:eastAsia="仿宋_GB2312" w:cs="仿宋_GB2312"/>
          <w:color w:val="000000"/>
          <w:sz w:val="30"/>
          <w:szCs w:val="30"/>
        </w:rPr>
      </w:pPr>
    </w:p>
    <w:p>
      <w:pPr>
        <w:spacing w:line="600" w:lineRule="exact"/>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五、一般公共预算财政拨款支出决算情况</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县文化馆2018年度一般公共预算财政拨款支出160.77万元，占本年支出合计的100%。</w:t>
      </w:r>
    </w:p>
    <w:p>
      <w:pPr>
        <w:spacing w:line="600" w:lineRule="exact"/>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六、一般公共预算财政拨款基本支出决算情况说明</w:t>
      </w:r>
    </w:p>
    <w:p>
      <w:pPr>
        <w:spacing w:line="600" w:lineRule="exact"/>
        <w:ind w:firstLine="645"/>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文化馆2018年一般公共预算财政拨款基本支出160.77万元，都属于基本工资资金。</w:t>
      </w:r>
    </w:p>
    <w:p>
      <w:pPr>
        <w:spacing w:line="600" w:lineRule="exact"/>
        <w:ind w:firstLine="602" w:firstLineChars="200"/>
        <w:rPr>
          <w:rStyle w:val="6"/>
          <w:rFonts w:ascii="仿宋_GB2312" w:hAnsi="仿宋_GB2312" w:eastAsia="仿宋_GB2312" w:cs="仿宋_GB2312"/>
          <w:sz w:val="30"/>
          <w:szCs w:val="30"/>
        </w:rPr>
      </w:pPr>
      <w:r>
        <w:rPr>
          <w:rStyle w:val="6"/>
          <w:rFonts w:hint="eastAsia" w:ascii="仿宋_GB2312" w:hAnsi="仿宋_GB2312" w:eastAsia="仿宋_GB2312" w:cs="仿宋_GB2312"/>
          <w:sz w:val="30"/>
          <w:szCs w:val="30"/>
        </w:rPr>
        <w:t>1.一般公共服务:</w:t>
      </w:r>
    </w:p>
    <w:p>
      <w:pPr>
        <w:spacing w:line="600" w:lineRule="exact"/>
        <w:ind w:firstLine="900" w:firstLineChars="300"/>
        <w:rPr>
          <w:rFonts w:ascii="仿宋_GB2312" w:hAnsi="仿宋_GB2312" w:eastAsia="仿宋_GB2312" w:cs="仿宋_GB2312"/>
          <w:sz w:val="30"/>
          <w:szCs w:val="30"/>
        </w:rPr>
      </w:pPr>
      <w:r>
        <w:rPr>
          <w:rFonts w:hint="eastAsia" w:ascii="仿宋_GB2312" w:hAnsi="仿宋_GB2312" w:eastAsia="仿宋_GB2312" w:cs="仿宋_GB2312"/>
          <w:color w:val="000000"/>
          <w:sz w:val="30"/>
          <w:szCs w:val="30"/>
        </w:rPr>
        <w:t>一般公共服务207（类）文化体育与传媒（款）体育03（款）行政运行01（项）</w:t>
      </w:r>
      <w:r>
        <w:rPr>
          <w:rFonts w:hint="eastAsia" w:ascii="仿宋_GB2312" w:hAnsi="仿宋_GB2312" w:eastAsia="仿宋_GB2312" w:cs="仿宋_GB2312"/>
          <w:sz w:val="30"/>
          <w:szCs w:val="30"/>
        </w:rPr>
        <w:t>决算数为112.43万元，完成预算100%</w:t>
      </w:r>
    </w:p>
    <w:p>
      <w:pPr>
        <w:spacing w:line="600" w:lineRule="exact"/>
        <w:ind w:firstLine="602" w:firstLineChars="200"/>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2、社会保障和就业支出</w:t>
      </w:r>
    </w:p>
    <w:p>
      <w:pPr>
        <w:spacing w:line="600" w:lineRule="exact"/>
        <w:ind w:firstLine="600" w:firstLineChars="200"/>
        <w:rPr>
          <w:rStyle w:val="6"/>
          <w:rFonts w:ascii="仿宋_GB2312" w:hAnsi="仿宋_GB2312" w:eastAsia="仿宋_GB2312" w:cs="仿宋_GB2312"/>
          <w:b w:val="0"/>
          <w:sz w:val="30"/>
          <w:szCs w:val="30"/>
        </w:rPr>
      </w:pPr>
      <w:r>
        <w:rPr>
          <w:rFonts w:hint="eastAsia" w:ascii="仿宋_GB2312" w:hAnsi="仿宋_GB2312" w:eastAsia="仿宋_GB2312" w:cs="仿宋_GB2312"/>
          <w:color w:val="000000"/>
          <w:sz w:val="30"/>
          <w:szCs w:val="30"/>
        </w:rPr>
        <w:t>社会保障和就业支出08（类）行政事业单位离退休05（款）机关事业单位基本养老保险缴费支出05（项）：</w:t>
      </w:r>
      <w:r>
        <w:rPr>
          <w:rFonts w:hint="eastAsia" w:ascii="仿宋_GB2312" w:hAnsi="仿宋_GB2312" w:eastAsia="仿宋_GB2312" w:cs="仿宋_GB2312"/>
          <w:sz w:val="30"/>
          <w:szCs w:val="30"/>
        </w:rPr>
        <w:t>2018年决算数为</w:t>
      </w:r>
      <w:r>
        <w:rPr>
          <w:rFonts w:hint="eastAsia" w:ascii="仿宋_GB2312" w:hAnsi="仿宋_GB2312" w:eastAsia="仿宋_GB2312" w:cs="仿宋_GB2312"/>
          <w:sz w:val="30"/>
          <w:szCs w:val="30"/>
          <w:lang w:val="en-US" w:eastAsia="zh-CN"/>
        </w:rPr>
        <w:t>19.2</w:t>
      </w:r>
      <w:r>
        <w:rPr>
          <w:rFonts w:hint="eastAsia" w:ascii="仿宋_GB2312" w:hAnsi="仿宋_GB2312" w:eastAsia="仿宋_GB2312" w:cs="仿宋_GB2312"/>
          <w:sz w:val="30"/>
          <w:szCs w:val="30"/>
        </w:rPr>
        <w:t>万元.机关事业单位职业年金缴费支出06（项）：2018年决算数为</w:t>
      </w:r>
      <w:r>
        <w:rPr>
          <w:rFonts w:hint="eastAsia" w:ascii="仿宋_GB2312" w:hAnsi="仿宋_GB2312" w:eastAsia="仿宋_GB2312" w:cs="仿宋_GB2312"/>
          <w:sz w:val="30"/>
          <w:szCs w:val="30"/>
          <w:lang w:val="en-US" w:eastAsia="zh-CN"/>
        </w:rPr>
        <w:t>8.42</w:t>
      </w:r>
      <w:r>
        <w:rPr>
          <w:rFonts w:hint="eastAsia" w:ascii="仿宋_GB2312" w:hAnsi="仿宋_GB2312" w:eastAsia="仿宋_GB2312" w:cs="仿宋_GB2312"/>
          <w:sz w:val="30"/>
          <w:szCs w:val="30"/>
        </w:rPr>
        <w:t>万元，完成预算100%。</w:t>
      </w:r>
      <w:r>
        <w:rPr>
          <w:rFonts w:hint="eastAsia" w:ascii="仿宋_GB2312" w:hAnsi="仿宋_GB2312" w:eastAsia="仿宋_GB2312" w:cs="仿宋_GB2312"/>
          <w:sz w:val="30"/>
          <w:szCs w:val="30"/>
        </w:rPr>
        <w:br w:type="textWrapping"/>
      </w:r>
      <w:r>
        <w:rPr>
          <w:rFonts w:hint="eastAsia" w:ascii="仿宋_GB2312" w:hAnsi="仿宋_GB2312" w:eastAsia="仿宋_GB2312" w:cs="仿宋_GB2312"/>
          <w:color w:val="FF6600"/>
          <w:sz w:val="30"/>
          <w:szCs w:val="30"/>
        </w:rPr>
        <w:t>　</w:t>
      </w:r>
      <w:r>
        <w:rPr>
          <w:rFonts w:hint="eastAsia" w:ascii="仿宋_GB2312" w:hAnsi="仿宋_GB2312" w:eastAsia="仿宋_GB2312" w:cs="仿宋_GB2312"/>
          <w:sz w:val="30"/>
          <w:szCs w:val="30"/>
        </w:rPr>
        <w:t>　</w:t>
      </w:r>
      <w:r>
        <w:rPr>
          <w:rStyle w:val="6"/>
          <w:rFonts w:hint="eastAsia" w:ascii="仿宋_GB2312" w:hAnsi="仿宋_GB2312" w:eastAsia="仿宋_GB2312" w:cs="仿宋_GB2312"/>
          <w:sz w:val="30"/>
          <w:szCs w:val="30"/>
        </w:rPr>
        <w:t>3、医疗卫生与计划生育:</w:t>
      </w:r>
    </w:p>
    <w:p>
      <w:pPr>
        <w:spacing w:line="60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color w:val="000000"/>
          <w:sz w:val="30"/>
          <w:szCs w:val="30"/>
        </w:rPr>
        <w:t>医疗卫生与计划生育支出210（类）医疗保障11（款）行政单位医疗01（项）：</w:t>
      </w:r>
      <w:r>
        <w:rPr>
          <w:rFonts w:hint="eastAsia" w:ascii="仿宋_GB2312" w:hAnsi="仿宋_GB2312" w:eastAsia="仿宋_GB2312" w:cs="仿宋_GB2312"/>
          <w:sz w:val="30"/>
          <w:szCs w:val="30"/>
        </w:rPr>
        <w:t xml:space="preserve"> 2018年决算数为6.82万元，完成预算100%。</w:t>
      </w:r>
    </w:p>
    <w:p>
      <w:pPr>
        <w:spacing w:line="600" w:lineRule="exact"/>
        <w:ind w:firstLine="590" w:firstLineChars="196"/>
        <w:rPr>
          <w:rStyle w:val="6"/>
          <w:rFonts w:ascii="仿宋_GB2312" w:hAnsi="仿宋_GB2312" w:eastAsia="仿宋_GB2312" w:cs="仿宋_GB2312"/>
          <w:sz w:val="30"/>
          <w:szCs w:val="30"/>
        </w:rPr>
      </w:pPr>
      <w:r>
        <w:rPr>
          <w:rStyle w:val="6"/>
          <w:rFonts w:hint="eastAsia" w:ascii="仿宋_GB2312" w:hAnsi="仿宋_GB2312" w:eastAsia="仿宋_GB2312" w:cs="仿宋_GB2312"/>
          <w:sz w:val="30"/>
          <w:szCs w:val="30"/>
        </w:rPr>
        <w:t>4.住房保障支出:</w:t>
      </w:r>
    </w:p>
    <w:p>
      <w:pPr>
        <w:spacing w:line="60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color w:val="000000"/>
          <w:sz w:val="30"/>
          <w:szCs w:val="30"/>
        </w:rPr>
        <w:t>住房保障支出221（类）住房改革支出02（款）住房公积金01（项）</w:t>
      </w:r>
      <w:r>
        <w:rPr>
          <w:rFonts w:hint="eastAsia" w:ascii="仿宋_GB2312" w:hAnsi="仿宋_GB2312" w:eastAsia="仿宋_GB2312" w:cs="仿宋_GB2312"/>
          <w:sz w:val="30"/>
          <w:szCs w:val="30"/>
        </w:rPr>
        <w:t>： 2018年决算数为13.90万元，完成预算100%；</w:t>
      </w:r>
    </w:p>
    <w:p>
      <w:pPr>
        <w:pStyle w:val="7"/>
        <w:shd w:val="clear" w:color="auto" w:fill="FFFFFF"/>
        <w:spacing w:before="390" w:beforeAutospacing="0" w:after="390" w:afterAutospacing="0"/>
        <w:rPr>
          <w:rFonts w:ascii="仿宋_GB2312" w:hAnsi="仿宋_GB2312" w:eastAsia="仿宋_GB2312" w:cs="仿宋_GB2312"/>
          <w:color w:val="333333"/>
          <w:sz w:val="30"/>
          <w:szCs w:val="30"/>
          <w:shd w:val="clear" w:color="auto" w:fill="FFFFFF"/>
        </w:rPr>
      </w:pPr>
      <w:r>
        <w:drawing>
          <wp:inline distT="0" distB="0" distL="114300" distR="114300">
            <wp:extent cx="5295900" cy="2000250"/>
            <wp:effectExtent l="0" t="0" r="0" b="0"/>
            <wp:docPr id="1" name="图片 2" descr="wordm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wordml://2.png"/>
                    <pic:cNvPicPr>
                      <a:picLocks noChangeAspect="1"/>
                    </pic:cNvPicPr>
                  </pic:nvPicPr>
                  <pic:blipFill>
                    <a:blip r:embed="rId7" cstate="print"/>
                    <a:stretch>
                      <a:fillRect/>
                    </a:stretch>
                  </pic:blipFill>
                  <pic:spPr>
                    <a:xfrm>
                      <a:off x="0" y="0"/>
                      <a:ext cx="5295900" cy="2000250"/>
                    </a:xfrm>
                    <a:prstGeom prst="rect">
                      <a:avLst/>
                    </a:prstGeom>
                    <a:noFill/>
                    <a:ln>
                      <a:noFill/>
                    </a:ln>
                  </pic:spPr>
                </pic:pic>
              </a:graphicData>
            </a:graphic>
          </wp:inline>
        </w:drawing>
      </w:r>
    </w:p>
    <w:p>
      <w:pPr>
        <w:numPr>
          <w:ilvl w:val="0"/>
          <w:numId w:val="2"/>
        </w:numPr>
        <w:spacing w:line="600" w:lineRule="exact"/>
        <w:ind w:firstLine="64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“三公”经费财政拨款支出决算情况说明</w:t>
      </w:r>
    </w:p>
    <w:p>
      <w:pPr>
        <w:spacing w:line="600" w:lineRule="exact"/>
        <w:ind w:firstLine="900" w:firstLineChars="3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文化馆2018年无三公经费支出</w:t>
      </w:r>
    </w:p>
    <w:p>
      <w:pPr>
        <w:numPr>
          <w:ilvl w:val="0"/>
          <w:numId w:val="2"/>
        </w:numPr>
        <w:ind w:firstLine="640"/>
        <w:rPr>
          <w:rFonts w:ascii="仿宋_GB2312" w:hAnsi="仿宋_GB2312" w:eastAsia="仿宋_GB2312" w:cs="仿宋_GB2312"/>
          <w:sz w:val="30"/>
          <w:szCs w:val="30"/>
        </w:rPr>
      </w:pPr>
      <w:r>
        <w:rPr>
          <w:rFonts w:hint="eastAsia" w:ascii="仿宋_GB2312" w:hAnsi="仿宋_GB2312" w:eastAsia="仿宋_GB2312" w:cs="仿宋_GB2312"/>
          <w:sz w:val="30"/>
          <w:szCs w:val="30"/>
        </w:rPr>
        <w:t>政府性基金预算支出决算情况说明</w:t>
      </w:r>
    </w:p>
    <w:p>
      <w:pPr>
        <w:numPr>
          <w:ilvl w:val="0"/>
          <w:numId w:val="0"/>
        </w:numPr>
        <w:ind w:firstLine="900" w:firstLineChars="3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无</w:t>
      </w:r>
    </w:p>
    <w:p>
      <w:pPr>
        <w:ind w:firstLine="640" w:firstLineChars="200"/>
        <w:rPr>
          <w:rFonts w:ascii="仿宋_GB2312" w:hAnsi="仿宋_GB2312" w:eastAsia="仿宋_GB2312" w:cs="仿宋_GB2312"/>
          <w:sz w:val="30"/>
          <w:szCs w:val="30"/>
        </w:rPr>
      </w:pPr>
      <w:r>
        <w:rPr>
          <w:rFonts w:hint="eastAsia" w:ascii="仿宋_GB2312" w:hAnsi="仿宋_GB2312" w:eastAsia="仿宋_GB2312" w:cs="仿宋_GB2312"/>
          <w:sz w:val="32"/>
          <w:szCs w:val="32"/>
        </w:rPr>
        <w:t>九、国有资本经营预算支出决算情况说明</w:t>
      </w:r>
    </w:p>
    <w:p>
      <w:pPr>
        <w:ind w:left="640" w:firstLine="300" w:firstLineChars="100"/>
        <w:rPr>
          <w:rFonts w:ascii="仿宋_GB2312" w:hAnsi="仿宋_GB2312" w:eastAsia="仿宋_GB2312" w:cs="仿宋_GB2312"/>
          <w:sz w:val="30"/>
          <w:szCs w:val="30"/>
        </w:rPr>
      </w:pPr>
      <w:r>
        <w:rPr>
          <w:rFonts w:hint="eastAsia" w:ascii="仿宋_GB2312" w:hAnsi="仿宋_GB2312" w:eastAsia="仿宋_GB2312" w:cs="仿宋_GB2312"/>
          <w:sz w:val="30"/>
          <w:szCs w:val="30"/>
        </w:rPr>
        <w:t>无</w:t>
      </w:r>
    </w:p>
    <w:p>
      <w:pPr>
        <w:numPr>
          <w:ilvl w:val="0"/>
          <w:numId w:val="0"/>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lang w:eastAsia="zh-CN"/>
        </w:rPr>
        <w:t>十、</w:t>
      </w:r>
      <w:r>
        <w:rPr>
          <w:rFonts w:hint="eastAsia" w:ascii="仿宋_GB2312" w:hAnsi="仿宋_GB2312" w:eastAsia="仿宋_GB2312" w:cs="仿宋_GB2312"/>
          <w:sz w:val="30"/>
          <w:szCs w:val="30"/>
        </w:rPr>
        <w:t>其他重要事项的情况说</w:t>
      </w:r>
      <w:r>
        <w:rPr>
          <w:rFonts w:hint="eastAsia" w:ascii="仿宋_GB2312" w:hAnsi="仿宋_GB2312" w:eastAsia="仿宋_GB2312" w:cs="仿宋_GB2312"/>
          <w:sz w:val="30"/>
          <w:szCs w:val="30"/>
          <w:lang w:eastAsia="zh-CN"/>
        </w:rPr>
        <w:t>明</w:t>
      </w:r>
    </w:p>
    <w:p>
      <w:pPr>
        <w:numPr>
          <w:ilvl w:val="0"/>
          <w:numId w:val="0"/>
        </w:numPr>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 xml:space="preserve">      本部门决算及绩效公开工作、主管部门对所属单位按规定批复决算工作开展情况。预决算按要求请县财政批复后在县人民政府网站公开</w:t>
      </w:r>
    </w:p>
    <w:p>
      <w:pPr>
        <w:autoSpaceDE w:val="0"/>
        <w:autoSpaceDN w:val="0"/>
        <w:adjustRightInd w:val="0"/>
        <w:spacing w:line="60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十</w:t>
      </w:r>
      <w:r>
        <w:rPr>
          <w:rFonts w:hint="eastAsia" w:ascii="仿宋_GB2312" w:hAnsi="仿宋_GB2312" w:eastAsia="仿宋_GB2312" w:cs="仿宋_GB2312"/>
          <w:color w:val="000000"/>
          <w:sz w:val="30"/>
          <w:szCs w:val="30"/>
          <w:lang w:eastAsia="zh-CN"/>
        </w:rPr>
        <w:t>一</w:t>
      </w:r>
      <w:r>
        <w:rPr>
          <w:rFonts w:hint="eastAsia" w:ascii="仿宋_GB2312" w:hAnsi="仿宋_GB2312" w:eastAsia="仿宋_GB2312" w:cs="仿宋_GB2312"/>
          <w:color w:val="000000"/>
          <w:sz w:val="30"/>
          <w:szCs w:val="30"/>
        </w:rPr>
        <w:t>、名词解释</w:t>
      </w:r>
    </w:p>
    <w:p>
      <w:pPr>
        <w:pStyle w:val="8"/>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1.财政拨款收入：指县级财政当年拨付的资金。 </w:t>
      </w:r>
    </w:p>
    <w:p>
      <w:pPr>
        <w:pStyle w:val="8"/>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2.其他收入：指除上述“财政拨款收入”、“事业收入”、“经营收入”等以外的收入。主要是利息收入。 </w:t>
      </w:r>
    </w:p>
    <w:p>
      <w:pPr>
        <w:pStyle w:val="8"/>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3.年初结转和结余：指以前年度尚未完成、结转到本年按有关规定继续使用的资金。 </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4．一般公共服务201（类）政府办公厅（室）及相关机构事务03（款）行政运行01（项）反映行政单位的基本支出</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5．一般公共服务201（类）政府办公厅（室）及相关机构事务03（款）事业运行50（项）反映事业单位的基本支出</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6.社会保障和就业208人力资源和社会保障管理事务01社会保险业务管理事务07：指反正社会保险业务管理和基金监督方面的支出。</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7.社会保障和就业208行政事业单位离退休05机关事业单位基本养老保险缴费支出05：指机关事业单位实施养老保险制度由单位缴纳的基本养老保险费支出。</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8.社会保障和就业208行政事业单位离退休05机关事业单位职业年金缴费支出06：指机关事业单位实施养老保险制度由单位缴纳的职业年金支出。</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9． 医疗卫生与计划生育支出210医疗保障05行政单位医疗01：指反映财政部门集中安排的行政单位基本医疗保险缴费经费，未参加医疗保险的行政单位的公费医疗经费，按国家规定享受离休人员、红军老战士待遇人员的医疗经费。</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10. 住房保障支出221住房改革支出02住房公积金01：指反映行政事业单位按人力资源和社会保障部、财政部规定的基本工资和津贴补贴以及规定比例为职工缴纳的住房公积金。</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11. 住房保障支出221住房改革支出02购房补贴03：指反映按房改政策规定，行政事业单位向符合条件职工（含离退休人员）、军队（含武警）向转役复员离退休人员发放的用于购买住房的补贴。</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12．其他支出229其他支出99其他支出01：指其他不能划分到具体功能科目中的支出项目。</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13.结余分配：指事业单位按规定提取的职工福利基金、事业基金和缴纳的所得税，以及建设单位按规定应</w:t>
      </w:r>
      <w:r>
        <w:rPr>
          <w:rFonts w:hint="eastAsia" w:ascii="仿宋_GB2312" w:hAnsi="仿宋_GB2312" w:eastAsia="仿宋_GB2312" w:cs="仿宋_GB2312"/>
          <w:color w:val="000000"/>
          <w:sz w:val="30"/>
          <w:szCs w:val="30"/>
          <w:lang w:eastAsia="zh-CN"/>
        </w:rPr>
        <w:t>缴回</w:t>
      </w:r>
      <w:bookmarkStart w:id="2" w:name="_GoBack"/>
      <w:bookmarkEnd w:id="2"/>
      <w:r>
        <w:rPr>
          <w:rFonts w:hint="eastAsia" w:ascii="仿宋_GB2312" w:hAnsi="仿宋_GB2312" w:eastAsia="仿宋_GB2312" w:cs="仿宋_GB2312"/>
          <w:color w:val="000000"/>
          <w:sz w:val="30"/>
          <w:szCs w:val="30"/>
        </w:rPr>
        <w:t>的基本建设竣工项目结余资金。</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14.年末结转和结余：指本年度或以前年度预算安排、因客观条件发生变化无法按原计划实施，需延迟到以后年度按有关规定继续使用的资金。</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15.基本支出：指为保障机构正常运转、完成日常工作任务而发生的人员支出和公用支出。</w:t>
      </w:r>
    </w:p>
    <w:p>
      <w:pPr>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 xml:space="preserve">16.项目支出：指在基本支出之外为完成特定行政任务和事业发展目标所发生的支出。 </w:t>
      </w:r>
    </w:p>
    <w:p>
      <w:pPr>
        <w:pStyle w:val="8"/>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17.“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8"/>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8"/>
        <w:spacing w:line="560" w:lineRule="exact"/>
        <w:ind w:firstLine="600" w:firstLineChars="200"/>
        <w:rPr>
          <w:rFonts w:ascii="仿宋_GB2312" w:hAnsi="仿宋_GB2312" w:eastAsia="仿宋_GB2312" w:cs="仿宋_GB2312"/>
          <w:sz w:val="30"/>
          <w:szCs w:val="30"/>
        </w:rPr>
      </w:pPr>
    </w:p>
    <w:p>
      <w:pPr>
        <w:ind w:left="640" w:firstLine="300" w:firstLineChars="100"/>
        <w:rPr>
          <w:rFonts w:ascii="仿宋_GB2312" w:hAnsi="仿宋_GB2312" w:eastAsia="仿宋_GB2312" w:cs="仿宋_GB2312"/>
          <w:sz w:val="30"/>
          <w:szCs w:val="30"/>
        </w:rPr>
      </w:pPr>
    </w:p>
    <w:p>
      <w:pPr>
        <w:rPr>
          <w:rFonts w:ascii="仿宋_GB2312" w:hAnsi="仿宋_GB2312" w:eastAsia="仿宋_GB2312" w:cs="仿宋_GB2312"/>
          <w:sz w:val="30"/>
          <w:szCs w:val="30"/>
        </w:rPr>
      </w:pPr>
    </w:p>
    <w:p>
      <w:pPr>
        <w:ind w:left="640" w:firstLine="300" w:firstLineChars="100"/>
        <w:rPr>
          <w:rFonts w:ascii="仿宋_GB2312" w:hAnsi="仿宋_GB2312" w:eastAsia="仿宋_GB2312" w:cs="仿宋_GB2312"/>
          <w:sz w:val="30"/>
          <w:szCs w:val="30"/>
        </w:rPr>
      </w:pPr>
    </w:p>
    <w:p>
      <w:pPr>
        <w:spacing w:line="600" w:lineRule="exact"/>
        <w:ind w:firstLine="900" w:firstLineChars="300"/>
        <w:rPr>
          <w:rFonts w:ascii="仿宋_GB2312" w:hAnsi="仿宋_GB2312" w:eastAsia="仿宋_GB2312" w:cs="仿宋_GB2312"/>
          <w:color w:val="000000"/>
          <w:sz w:val="30"/>
          <w:szCs w:val="30"/>
        </w:rPr>
      </w:pPr>
    </w:p>
    <w:p>
      <w:pPr>
        <w:rPr>
          <w:rFonts w:ascii="仿宋_GB2312" w:hAnsi="仿宋_GB2312" w:eastAsia="仿宋_GB2312" w:cs="仿宋_GB2312"/>
          <w:sz w:val="30"/>
          <w:szCs w:val="30"/>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center" w:pos="4153"/>
        <w:tab w:val="right" w:pos="8306"/>
      </w:tabs>
      <w:jc w:val="center"/>
      <w:rPr>
        <w:sz w:val="24"/>
      </w:rPr>
    </w:pPr>
    <w:r>
      <w:fldChar w:fldCharType="begin"/>
    </w:r>
    <w:r>
      <w:instrText xml:space="preserve"> PAGE   \* MERGEFORMAT </w:instrText>
    </w:r>
    <w:r>
      <w:fldChar w:fldCharType="separate"/>
    </w:r>
    <w:r>
      <w:rPr>
        <w:sz w:val="24"/>
        <w:lang w:val="zh-CN"/>
      </w:rPr>
      <w:t>4</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E5B78C"/>
    <w:multiLevelType w:val="singleLevel"/>
    <w:tmpl w:val="42E5B78C"/>
    <w:lvl w:ilvl="0" w:tentative="0">
      <w:start w:val="1"/>
      <w:numFmt w:val="chineseCounting"/>
      <w:suff w:val="nothing"/>
      <w:lvlText w:val="%1、"/>
      <w:lvlJc w:val="left"/>
      <w:rPr>
        <w:rFonts w:hint="eastAsia"/>
      </w:rPr>
    </w:lvl>
  </w:abstractNum>
  <w:abstractNum w:abstractNumId="1">
    <w:nsid w:val="578449AE"/>
    <w:multiLevelType w:val="singleLevel"/>
    <w:tmpl w:val="578449AE"/>
    <w:lvl w:ilvl="0" w:tentative="0">
      <w:start w:val="7"/>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A08"/>
    <w:rsid w:val="005D5B17"/>
    <w:rsid w:val="005E7A08"/>
    <w:rsid w:val="00AA58B0"/>
    <w:rsid w:val="00AF6039"/>
    <w:rsid w:val="094216A7"/>
    <w:rsid w:val="21CD6315"/>
    <w:rsid w:val="3E383EC0"/>
    <w:rsid w:val="401A5734"/>
    <w:rsid w:val="40466FAB"/>
    <w:rsid w:val="47B21BFC"/>
    <w:rsid w:val="54AB779D"/>
    <w:rsid w:val="6CE447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qFormat/>
    <w:uiPriority w:val="0"/>
    <w:pPr>
      <w:keepNext/>
      <w:keepLines/>
      <w:widowControl w:val="0"/>
      <w:spacing w:before="260" w:after="260"/>
      <w:ind w:firstLine="200" w:firstLineChars="200"/>
      <w:jc w:val="center"/>
      <w:outlineLvl w:val="2"/>
    </w:pPr>
    <w:rPr>
      <w:rFonts w:ascii="Calibri" w:hAnsi="Calibri" w:eastAsia="黑体" w:cs="Times New Roman"/>
      <w:kern w:val="2"/>
      <w:sz w:val="30"/>
      <w:szCs w:val="32"/>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3">
    <w:name w:val="footer"/>
    <w:basedOn w:val="1"/>
    <w:qFormat/>
    <w:uiPriority w:val="0"/>
    <w:pPr>
      <w:snapToGrid w:val="0"/>
    </w:pPr>
    <w:rPr>
      <w:rFonts w:ascii="Times New Roman" w:hAnsi="Times New Roman" w:cs="Times New Roman"/>
      <w:kern w:val="2"/>
      <w:sz w:val="18"/>
      <w:szCs w:val="18"/>
    </w:rPr>
  </w:style>
  <w:style w:type="character" w:styleId="6">
    <w:name w:val="Strong"/>
    <w:qFormat/>
    <w:uiPriority w:val="0"/>
    <w:rPr>
      <w:b/>
    </w:rPr>
  </w:style>
  <w:style w:type="paragraph" w:customStyle="1" w:styleId="7">
    <w:name w:val="普通(网站)1"/>
    <w:basedOn w:val="1"/>
    <w:qFormat/>
    <w:uiPriority w:val="0"/>
    <w:pPr>
      <w:spacing w:before="100" w:beforeAutospacing="1" w:after="100" w:afterAutospacing="1"/>
    </w:pPr>
  </w:style>
  <w:style w:type="paragraph" w:customStyle="1" w:styleId="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2581</Words>
  <Characters>322</Characters>
  <Lines>2</Lines>
  <Paragraphs>5</Paragraphs>
  <TotalTime>0</TotalTime>
  <ScaleCrop>false</ScaleCrop>
  <LinksUpToDate>false</LinksUpToDate>
  <CharactersWithSpaces>2898</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平淡无奇</cp:lastModifiedBy>
  <dcterms:modified xsi:type="dcterms:W3CDTF">2021-06-07T03:42:13Z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C4C2F484D68F40BF8E0F9ED7743C0B30</vt:lpwstr>
  </property>
</Properties>
</file>