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0"/>
          <w:szCs w:val="30"/>
        </w:rPr>
      </w:pPr>
    </w:p>
    <w:p>
      <w:pPr>
        <w:jc w:val="center"/>
        <w:rPr>
          <w:rFonts w:ascii="仿宋_GB2312" w:hAnsi="仿宋_GB2312" w:eastAsia="仿宋_GB2312" w:cs="仿宋_GB2312"/>
          <w:b/>
          <w:sz w:val="30"/>
          <w:szCs w:val="30"/>
        </w:rPr>
      </w:pPr>
      <w:r>
        <w:rPr>
          <w:rFonts w:hint="eastAsia" w:ascii="Cambria" w:hAnsi="仿宋_GB2312" w:eastAsia="仿宋_GB2312" w:cs="仿宋_GB2312"/>
          <w:b/>
          <w:sz w:val="44"/>
          <w:szCs w:val="44"/>
        </w:rPr>
        <w:t>金川县文体广新局2018年决算公开</w:t>
      </w: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pPr>
        <w:jc w:val="cente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目 录</w:t>
      </w: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一、基本职能及主要工作</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（一）主要职能。</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（二）2018年重点工作完成情况。</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二、部门概况</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三、收支决算总体情况说明</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四、财政拨款收入支出决算总体情况说明</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五、一般公共预算财政拨款支出决算情况说明</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（一）一般公共预算财政拨款支出决算总体情况</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（二）一般公共预算财政拨款支出决算结构情况</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（三）一般公共预算财政拨款支出决算具体情况</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六、一般公共预算财政拨款基本支出决算情况说明</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七、“三公”经费财政拨款支出决算情况说明</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（一）“三公”经费财政拨款支出决算总体情况说明</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（二）“三公”经费财政拨款支出决算具体情况说明</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八、政府性基金预算支出决算情况说明</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九、其他重要事项的情况说明</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（一）机关运行经费支出情况</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（二）政府采购支出情况</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（三）国有资产占有使用情况</w: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（四）预决算绩效及公开情况</w:t>
      </w:r>
    </w:p>
    <w:p>
      <w:pPr>
        <w:rPr>
          <w:rFonts w:ascii="仿宋_GB2312" w:hAnsi="仿宋_GB2312" w:eastAsia="仿宋_GB2312" w:cs="仿宋_GB2312"/>
          <w:sz w:val="30"/>
          <w:szCs w:val="30"/>
        </w:rPr>
      </w:pPr>
    </w:p>
    <w:p>
      <w:pPr>
        <w:numPr>
          <w:ilvl w:val="0"/>
          <w:numId w:val="1"/>
        </w:numPr>
        <w:rPr>
          <w:rFonts w:ascii="仿宋_GB2312" w:hAnsi="仿宋_GB2312" w:eastAsia="仿宋_GB2312" w:cs="仿宋_GB2312"/>
          <w:sz w:val="30"/>
          <w:szCs w:val="30"/>
        </w:rPr>
      </w:pPr>
      <w:r>
        <w:rPr>
          <w:rFonts w:hint="eastAsia" w:ascii="仿宋_GB2312" w:hAnsi="仿宋_GB2312" w:eastAsia="仿宋_GB2312" w:cs="仿宋_GB2312"/>
          <w:sz w:val="30"/>
          <w:szCs w:val="30"/>
        </w:rPr>
        <w:t>名词解释</w:t>
      </w: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ind w:firstLine="240" w:firstLineChars="100"/>
        <w:rPr>
          <w:rFonts w:hint="eastAsia"/>
        </w:rPr>
      </w:pPr>
    </w:p>
    <w:p>
      <w:pPr>
        <w:ind w:firstLine="240" w:firstLineChars="100"/>
        <w:rPr>
          <w:rFonts w:hint="eastAsia"/>
        </w:rPr>
      </w:pPr>
    </w:p>
    <w:p>
      <w:pPr>
        <w:ind w:firstLine="880" w:firstLineChars="200"/>
        <w:jc w:val="center"/>
        <w:rPr>
          <w:sz w:val="44"/>
          <w:szCs w:val="44"/>
        </w:rPr>
      </w:pPr>
      <w:r>
        <w:rPr>
          <w:rFonts w:hint="eastAsia"/>
          <w:sz w:val="44"/>
          <w:szCs w:val="44"/>
        </w:rPr>
        <w:t>金川县文体广新局</w:t>
      </w:r>
    </w:p>
    <w:p>
      <w:pPr>
        <w:jc w:val="center"/>
        <w:rPr>
          <w:sz w:val="44"/>
          <w:szCs w:val="44"/>
        </w:rPr>
      </w:pPr>
      <w:r>
        <w:rPr>
          <w:rFonts w:hint="eastAsia"/>
          <w:sz w:val="44"/>
          <w:szCs w:val="44"/>
        </w:rPr>
        <w:t xml:space="preserve">   2018年部门编制说明</w:t>
      </w:r>
    </w:p>
    <w:p>
      <w:pPr>
        <w:jc w:val="center"/>
        <w:rPr>
          <w:sz w:val="32"/>
          <w:szCs w:val="32"/>
        </w:rPr>
      </w:pPr>
    </w:p>
    <w:p>
      <w:pPr>
        <w:rPr>
          <w:rFonts w:ascii="仿宋_GB2312" w:hAnsi="仿宋_GB2312" w:eastAsia="仿宋_GB2312" w:cs="仿宋_GB2312"/>
          <w:sz w:val="30"/>
          <w:szCs w:val="30"/>
        </w:rPr>
      </w:pPr>
    </w:p>
    <w:p>
      <w:pPr>
        <w:jc w:val="both"/>
        <w:rPr>
          <w:rFonts w:ascii="仿宋_GB2312" w:hAnsi="仿宋_GB2312" w:eastAsia="仿宋_GB2312" w:cs="仿宋_GB2312"/>
          <w:b/>
          <w:sz w:val="30"/>
          <w:szCs w:val="30"/>
        </w:rPr>
      </w:pPr>
    </w:p>
    <w:p>
      <w:pPr>
        <w:pStyle w:val="2"/>
        <w:jc w:val="left"/>
        <w:rPr>
          <w:rFonts w:ascii="仿宋_GB2312" w:hAnsi="仿宋_GB2312" w:eastAsia="仿宋_GB2312" w:cs="仿宋_GB2312"/>
          <w:szCs w:val="30"/>
        </w:rPr>
      </w:pPr>
      <w:r>
        <w:rPr>
          <w:rFonts w:hint="eastAsia" w:ascii="仿宋_GB2312" w:hAnsi="仿宋_GB2312" w:eastAsia="仿宋_GB2312" w:cs="仿宋_GB2312"/>
          <w:szCs w:val="30"/>
        </w:rPr>
        <w:t>一、基本职能及主要工作</w:t>
      </w:r>
    </w:p>
    <w:p>
      <w:pPr>
        <w:pStyle w:val="3"/>
        <w:ind w:firstLine="0" w:firstLineChars="0"/>
        <w:jc w:val="left"/>
        <w:rPr>
          <w:rFonts w:hint="eastAsia"/>
        </w:rPr>
      </w:pPr>
      <w:r>
        <w:rPr>
          <w:rFonts w:hint="eastAsia" w:ascii="仿宋_GB2312" w:hAnsi="仿宋_GB2312" w:eastAsia="仿宋_GB2312" w:cs="仿宋_GB2312"/>
          <w:color w:val="000000" w:themeColor="text1"/>
          <w:szCs w:val="30"/>
          <w:highlight w:val="none"/>
          <w:shd w:val="clear" w:color="auto" w:fill="auto"/>
        </w:rPr>
        <w:t>（一）主要职能</w:t>
      </w:r>
    </w:p>
    <w:p>
      <w:pPr>
        <w:ind w:firstLine="240" w:firstLineChars="100"/>
        <w:rPr>
          <w:rFonts w:hint="eastAsia"/>
        </w:rPr>
      </w:pPr>
      <w:r>
        <w:rPr>
          <w:rFonts w:hint="eastAsia"/>
        </w:rPr>
        <w:t>金川县文化体育广电新闻出版局是政府组成的部门。其主要职责：</w:t>
      </w:r>
    </w:p>
    <w:p>
      <w:pPr>
        <w:ind w:firstLine="240" w:firstLineChars="100"/>
        <w:rPr>
          <w:rFonts w:hint="eastAsia"/>
        </w:rPr>
      </w:pPr>
      <w:r>
        <w:rPr>
          <w:rFonts w:hint="eastAsia"/>
        </w:rPr>
        <w:t>1、贯彻执行国家、省、州关于文化、体育、广播电视、新闻出版、著作权管理的方针、政策和法律、法规、规章；拟定全县文化、体育、广播影视、新闻出版、著作权管理规范性文件，并监督实施。</w:t>
      </w:r>
    </w:p>
    <w:p>
      <w:pPr>
        <w:ind w:firstLine="240" w:firstLineChars="100"/>
        <w:rPr>
          <w:rFonts w:hint="eastAsia"/>
        </w:rPr>
      </w:pPr>
      <w:r>
        <w:rPr>
          <w:rFonts w:hint="eastAsia"/>
        </w:rPr>
        <w:t>2、根据国家、省、州文化、体育、广播影视、新闻出版事业发展战略和发展规划，制定并组织实施全县文化、体育、广播影视、新闻出版事业发展规划；指导下属事业单位深化体制改革。</w:t>
      </w:r>
    </w:p>
    <w:p>
      <w:pPr>
        <w:ind w:firstLine="240" w:firstLineChars="100"/>
        <w:rPr>
          <w:rFonts w:hint="eastAsia"/>
        </w:rPr>
      </w:pPr>
      <w:r>
        <w:rPr>
          <w:rFonts w:hint="eastAsia"/>
        </w:rPr>
        <w:t>3、负责指导和协调全县文化、体育、广播影视、新闻出版基础设施布局规划、实施，并对设施的使用管理进行监督检查。扶持和促进文化、体育、广播影视、新闻出版产业发展，协调解决相关产业运行中的重大问题。</w:t>
      </w:r>
    </w:p>
    <w:p>
      <w:pPr>
        <w:ind w:firstLine="240" w:firstLineChars="100"/>
        <w:rPr>
          <w:rFonts w:hint="eastAsia"/>
        </w:rPr>
      </w:pPr>
      <w:r>
        <w:rPr>
          <w:rFonts w:hint="eastAsia"/>
        </w:rPr>
        <w:t>4、负责管理全县群众文化艺术事业，指导协调文化艺术创作与生产；组织、管理、指导全县重大文化活动；指导、协调、开展全县民间艺术的挖掘和整理工作；指导图书文献资源的收集和文化信息共享工程的建设；负责管理全县文物事业和博物馆事业；负责组织实施非物质文化遗产保护、开发、利用和优秀民族文化的传承和普及工作；负责基层文化建设。</w:t>
      </w:r>
    </w:p>
    <w:p>
      <w:pPr>
        <w:ind w:firstLine="240" w:firstLineChars="100"/>
        <w:rPr>
          <w:rFonts w:hint="eastAsia"/>
        </w:rPr>
      </w:pPr>
      <w:r>
        <w:rPr>
          <w:rFonts w:hint="eastAsia"/>
        </w:rPr>
        <w:t>5、负责拟定组织开展全民健身活动计划，培训社会体育指导员，推进全民健身活动的开展；统筹规划全县竞技体育发展和运动项目布局，组织、指导全县重大体育活动；指导学校体育和青少年竞技体育的协调发展；指导业余体育训练，输送优秀竞技体育后备人才；按规定使用体育彩票公益金。制定体育产业规划，监督管理全县体育产业。</w:t>
      </w:r>
    </w:p>
    <w:p>
      <w:pPr>
        <w:ind w:firstLine="240" w:firstLineChars="100"/>
        <w:rPr>
          <w:rFonts w:hint="eastAsia"/>
        </w:rPr>
      </w:pPr>
      <w:r>
        <w:rPr>
          <w:rFonts w:hint="eastAsia"/>
        </w:rPr>
        <w:t>6、负责监督管理文艺演出、文化展览、文化娱乐、文化艺术品和艺术培训市场；负责监督管理网络音乐、美术娱乐、动漫、网络演出剧（节）目、网络表演业务、音像制品、出版物发行、印刷业、电影、文物、互联网上网服务经营场所等的经营活动；负责监督管理网络游戏服务。</w:t>
      </w:r>
    </w:p>
    <w:p>
      <w:pPr>
        <w:ind w:firstLine="240" w:firstLineChars="100"/>
        <w:rPr>
          <w:rFonts w:hint="eastAsia"/>
        </w:rPr>
      </w:pPr>
      <w:r>
        <w:rPr>
          <w:rFonts w:hint="eastAsia"/>
        </w:rPr>
        <w:t>7、负责全县广播影视、新闻出版行业监管。负责全县广播影视公共服务；负责广播影视安全播出监管；指导全县电影发行、放映工作。负责组织对出版物进行审读、审听、审看；负责全县内部资料出版物的管理；负责全县著作权（版权）工作，组织查处重大著作侵权盗版案件，调解著作纠纷；牵头组织出版物市场扫黄打非工作。</w:t>
      </w:r>
    </w:p>
    <w:p>
      <w:pPr>
        <w:ind w:firstLine="240" w:firstLineChars="100"/>
        <w:rPr>
          <w:rFonts w:hint="eastAsia"/>
        </w:rPr>
      </w:pPr>
      <w:r>
        <w:rPr>
          <w:rFonts w:hint="eastAsia"/>
        </w:rPr>
        <w:t>8、负责全县文化（文物）、体育、广播影视、新闻出版市场综合执法工作。受理全县文化市场行政复议案件。</w:t>
      </w:r>
    </w:p>
    <w:p>
      <w:pPr>
        <w:ind w:firstLine="240" w:firstLineChars="100"/>
        <w:rPr>
          <w:rFonts w:hint="eastAsia"/>
        </w:rPr>
      </w:pPr>
      <w:r>
        <w:rPr>
          <w:rFonts w:hint="eastAsia"/>
        </w:rPr>
        <w:t>9、负责全县文化、体育、广播影视、新闻出版社团（协会）的资格审查和业务指导。</w:t>
      </w:r>
    </w:p>
    <w:p>
      <w:pPr>
        <w:ind w:firstLine="240" w:firstLineChars="100"/>
        <w:rPr>
          <w:rFonts w:hint="eastAsia"/>
        </w:rPr>
      </w:pPr>
      <w:r>
        <w:rPr>
          <w:rFonts w:hint="eastAsia"/>
        </w:rPr>
        <w:t>10、承办县政府公布的有关行政审批事项。</w:t>
      </w:r>
    </w:p>
    <w:p>
      <w:pPr>
        <w:ind w:firstLine="240" w:firstLineChars="100"/>
        <w:rPr>
          <w:rFonts w:hint="eastAsia"/>
        </w:rPr>
      </w:pPr>
      <w:r>
        <w:rPr>
          <w:rFonts w:hint="eastAsia"/>
        </w:rPr>
        <w:t>11、承办县委、县政府交办的其他事项。</w:t>
      </w:r>
    </w:p>
    <w:p>
      <w:pPr>
        <w:ind w:firstLine="240" w:firstLineChars="100"/>
        <w:rPr>
          <w:rFonts w:hint="eastAsia"/>
        </w:rPr>
      </w:pPr>
      <w:r>
        <w:rPr>
          <w:rFonts w:hint="eastAsia"/>
        </w:rPr>
        <w:t>（二）2018年重点工作完成情况</w:t>
      </w:r>
    </w:p>
    <w:p>
      <w:pPr>
        <w:ind w:firstLine="240" w:firstLineChars="100"/>
        <w:rPr>
          <w:rFonts w:hint="eastAsia"/>
        </w:rPr>
      </w:pPr>
      <w:r>
        <w:rPr>
          <w:rFonts w:hint="eastAsia"/>
        </w:rPr>
        <w:t>1.认真贯彻党的十八届三中全会精神，大力发展文化体育事业和产业，推动文化大发展大繁荣。积极争取上级资金和项目，进一步完善县、乡、村三级公共文化服务基础设施，全力实施文化惠民扶贫工程，进一步完善公共文化服务体系。全面完成全民健身活动中心项目（体育馆和梨花广场升级改造打捆项目），开工建设文化艺术中心改建项目; </w:t>
      </w:r>
    </w:p>
    <w:p>
      <w:pPr>
        <w:ind w:firstLine="240" w:firstLineChars="100"/>
        <w:rPr>
          <w:rFonts w:hint="eastAsia"/>
        </w:rPr>
      </w:pPr>
      <w:r>
        <w:rPr>
          <w:rFonts w:hint="eastAsia"/>
        </w:rPr>
        <w:t>2.认真做好非遗项目、传承人申报及文物保护工作，广泛开展非遗进校园活动；出版有关非遗保护研究成果书籍。 </w:t>
      </w:r>
    </w:p>
    <w:p>
      <w:pPr>
        <w:ind w:firstLine="240" w:firstLineChars="100"/>
        <w:rPr>
          <w:rFonts w:hint="eastAsia"/>
        </w:rPr>
      </w:pPr>
      <w:r>
        <w:rPr>
          <w:rFonts w:hint="eastAsia"/>
        </w:rPr>
        <w:t>3.进一步加大县级文化馆、图书馆对外开放，有效丰富群众文化生活。</w:t>
      </w:r>
    </w:p>
    <w:p>
      <w:pPr>
        <w:ind w:firstLine="240" w:firstLineChars="100"/>
        <w:rPr>
          <w:rFonts w:hint="eastAsia"/>
        </w:rPr>
      </w:pPr>
      <w:r>
        <w:rPr>
          <w:rFonts w:hint="eastAsia"/>
        </w:rPr>
        <w:t>4.认真开展文化市场管理工作和执法工作，坚持开展“扫黄打非”工作，切实加强演艺市场、网吧和娱乐场所监管力度，维护市场正常经营秩序；</w:t>
      </w:r>
    </w:p>
    <w:p>
      <w:pPr>
        <w:ind w:firstLine="240" w:firstLineChars="100"/>
        <w:rPr>
          <w:rFonts w:hint="eastAsia"/>
        </w:rPr>
      </w:pPr>
      <w:r>
        <w:rPr>
          <w:rFonts w:hint="eastAsia"/>
        </w:rPr>
        <w:t>7.实施好农村公益电影放映1440场，做好“村村通”日常维修工作；</w:t>
      </w:r>
    </w:p>
    <w:p>
      <w:pPr>
        <w:ind w:firstLine="240" w:firstLineChars="100"/>
        <w:rPr>
          <w:rFonts w:hint="eastAsia"/>
        </w:rPr>
      </w:pPr>
      <w:r>
        <w:rPr>
          <w:rFonts w:hint="eastAsia"/>
        </w:rPr>
        <w:t>8.做好全县文化资源普查工作，对进一步加强文化挖掘、保护、传承、弘扬和科学运用打好坚实基础。</w:t>
      </w:r>
    </w:p>
    <w:p>
      <w:pPr>
        <w:ind w:firstLine="240" w:firstLineChars="100"/>
        <w:rPr>
          <w:rFonts w:hint="eastAsia"/>
        </w:rPr>
      </w:pPr>
    </w:p>
    <w:p>
      <w:pPr>
        <w:ind w:firstLine="240" w:firstLineChars="100"/>
        <w:rPr>
          <w:rFonts w:hint="eastAsia"/>
        </w:rPr>
      </w:pPr>
      <w:r>
        <w:rPr>
          <w:rFonts w:hint="eastAsia"/>
        </w:rPr>
        <w:t>二、部门概况</w:t>
      </w:r>
    </w:p>
    <w:p>
      <w:pPr>
        <w:ind w:firstLine="240" w:firstLineChars="100"/>
      </w:pPr>
      <w:r>
        <w:rPr>
          <w:rFonts w:hint="eastAsia"/>
        </w:rPr>
        <w:t>金川县文体局属于财政补助的一级预算事业单位，执行的是事业单位会计制度，编制人数为37人，实有人数36人，实有人数比上年度增加3人。退休人数26人，遗嘱1人。</w:t>
      </w:r>
    </w:p>
    <w:p>
      <w:pPr>
        <w:ind w:firstLine="240" w:firstLineChars="100"/>
      </w:pPr>
    </w:p>
    <w:p>
      <w:pPr>
        <w:spacing w:line="600" w:lineRule="exact"/>
        <w:rPr>
          <w:rFonts w:ascii="仿宋_GB2312" w:hAnsi="仿宋_GB2312" w:eastAsia="仿宋_GB2312" w:cs="仿宋_GB2312"/>
          <w:color w:val="000000" w:themeColor="text1"/>
          <w:sz w:val="30"/>
          <w:szCs w:val="30"/>
          <w:highlight w:val="none"/>
          <w:shd w:val="clear" w:color="auto" w:fill="auto"/>
        </w:rPr>
      </w:pPr>
      <w:r>
        <w:rPr>
          <w:rFonts w:hint="eastAsia" w:ascii="仿宋_GB2312" w:hAnsi="仿宋_GB2312" w:eastAsia="仿宋_GB2312" w:cs="仿宋_GB2312"/>
          <w:color w:val="000000" w:themeColor="text1"/>
          <w:sz w:val="30"/>
          <w:szCs w:val="30"/>
          <w:highlight w:val="none"/>
          <w:shd w:val="clear" w:color="auto" w:fill="auto"/>
        </w:rPr>
        <w:t>三、收支决算总体情况说明</w:t>
      </w:r>
    </w:p>
    <w:p>
      <w:pPr>
        <w:ind w:firstLine="900" w:firstLineChars="3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highlight w:val="none"/>
        </w:rPr>
        <w:t>2018年县文体局本年收入合计1373.53万元，其中：财</w:t>
      </w:r>
      <w:r>
        <w:rPr>
          <w:rFonts w:hint="eastAsia" w:ascii="仿宋_GB2312" w:hAnsi="仿宋_GB2312" w:eastAsia="仿宋_GB2312" w:cs="仿宋_GB2312"/>
          <w:color w:val="000000"/>
          <w:sz w:val="30"/>
          <w:szCs w:val="30"/>
        </w:rPr>
        <w:t xml:space="preserve">政拨款收入1373.53万元。             </w:t>
      </w:r>
      <w:r>
        <w:rPr>
          <w:rFonts w:hint="eastAsia" w:ascii="仿宋_GB2312" w:hAnsi="仿宋_GB2312" w:eastAsia="仿宋_GB2312" w:cs="仿宋_GB2312"/>
          <w:color w:val="000000"/>
          <w:sz w:val="30"/>
          <w:szCs w:val="30"/>
        </w:rPr>
        <w:object>
          <v:shape id="_x0000_i1025" o:spt="75" type="#_x0000_t75" style="height:171pt;width:252pt;" o:ole="t" filled="f" o:preferrelative="t" stroked="f" coordsize="21600,21600">
            <v:path/>
            <v:fill on="f" focussize="0,0"/>
            <v:stroke on="f" joinstyle="miter"/>
            <v:imagedata r:id="rId8" o:title="1"/>
            <o:lock v:ext="edit" aspectratio="t"/>
            <w10:wrap type="none"/>
            <w10:anchorlock/>
          </v:shape>
          <o:OLEObject Type="Embed" ProgID="" ShapeID="_x0000_i1025" DrawAspect="Content" ObjectID="_1468075725" r:id="rId7">
            <o:LockedField>false</o:LockedField>
          </o:OLEObject>
        </w:object>
      </w:r>
    </w:p>
    <w:p>
      <w:pPr>
        <w:ind w:firstLine="600" w:firstLineChars="200"/>
        <w:jc w:val="center"/>
        <w:rPr>
          <w:rFonts w:ascii="仿宋_GB2312" w:hAnsi="仿宋_GB2312" w:eastAsia="仿宋_GB2312" w:cs="仿宋_GB2312"/>
          <w:color w:val="000000"/>
          <w:sz w:val="30"/>
          <w:szCs w:val="30"/>
        </w:rPr>
      </w:pPr>
    </w:p>
    <w:p>
      <w:pPr>
        <w:ind w:firstLine="900" w:firstLineChars="3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2018年文体局本年支出合计1522.52万元，其中：基本支出435.08万元，占29%；项目支出1189.66万元，占79%。</w:t>
      </w:r>
    </w:p>
    <w:p>
      <w:pPr>
        <w:ind w:firstLine="600" w:firstLineChars="200"/>
        <w:jc w:val="center"/>
        <w:rPr>
          <w:rFonts w:ascii="仿宋_GB2312" w:hAnsi="仿宋_GB2312" w:eastAsia="仿宋_GB2312" w:cs="仿宋_GB2312"/>
          <w:sz w:val="30"/>
          <w:szCs w:val="30"/>
        </w:rPr>
        <w:sectPr>
          <w:footerReference r:id="rId3" w:type="default"/>
          <w:footnotePr>
            <w:numFmt w:val="decimalEnclosedCircleChinese"/>
          </w:footnotePr>
          <w:pgSz w:w="11906" w:h="16838"/>
          <w:pgMar w:top="1440" w:right="1800" w:bottom="1440" w:left="1800" w:header="851" w:footer="992" w:gutter="0"/>
          <w:pgNumType w:start="0"/>
          <w:cols w:space="425" w:num="1"/>
          <w:titlePg/>
          <w:docGrid w:type="lines" w:linePitch="326" w:charSpace="0"/>
        </w:sectPr>
      </w:pPr>
      <w:r>
        <w:rPr>
          <w:rFonts w:hint="eastAsia" w:ascii="仿宋_GB2312" w:hAnsi="仿宋_GB2312" w:eastAsia="仿宋_GB2312" w:cs="仿宋_GB2312"/>
          <w:color w:val="000000"/>
          <w:sz w:val="30"/>
          <w:szCs w:val="30"/>
        </w:rPr>
        <w:object>
          <v:shape id="_x0000_i1026" o:spt="75" type="#_x0000_t75" style="height:162.75pt;width:245.25pt;" o:ole="t" filled="t" o:preferrelative="t" stroked="f" coordsize="21600,21600">
            <v:path/>
            <v:fill on="t" focussize="0,0"/>
            <v:stroke on="f" joinstyle="miter"/>
            <v:imagedata r:id="rId10" o:title="2"/>
            <o:lock v:ext="edit" aspectratio="t"/>
            <w10:wrap type="none"/>
            <w10:anchorlock/>
          </v:shape>
          <o:OLEObject Type="Embed" ProgID="" ShapeID="_x0000_i1026" DrawAspect="Content" ObjectID="_1468075726" r:id="rId9">
            <o:LockedField>false</o:LockedField>
          </o:OLEObject>
        </w:object>
      </w:r>
    </w:p>
    <w:p>
      <w:pPr>
        <w:jc w:val="both"/>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四、财政拨款收入支出决算总体情况说明</w:t>
      </w:r>
    </w:p>
    <w:p>
      <w:pPr>
        <w:ind w:firstLine="600" w:firstLineChars="200"/>
        <w:rPr>
          <w:rFonts w:ascii="仿宋_GB2312" w:hAnsi="仿宋_GB2312" w:eastAsia="仿宋_GB2312" w:cs="仿宋_GB2312"/>
          <w:b/>
          <w:i/>
          <w:color w:val="404040"/>
          <w:sz w:val="30"/>
          <w:szCs w:val="30"/>
        </w:rPr>
      </w:pPr>
      <w:r>
        <w:rPr>
          <w:rFonts w:hint="eastAsia" w:ascii="仿宋_GB2312" w:hAnsi="仿宋_GB2312" w:eastAsia="仿宋_GB2312" w:cs="仿宋_GB2312"/>
          <w:color w:val="000000"/>
          <w:sz w:val="30"/>
          <w:szCs w:val="30"/>
        </w:rPr>
        <w:t>县文体局2018年度财政拨款收支总决算1522.52万元，与2017年度财政拨款收支总决算1593.4万元相比，减少了70.88万元，减少4%，其原因是增加退休人员。</w:t>
      </w:r>
    </w:p>
    <w:p>
      <w:pPr>
        <w:spacing w:line="600" w:lineRule="exact"/>
        <w:ind w:firstLine="600" w:firstLineChars="200"/>
        <w:rPr>
          <w:rFonts w:ascii="仿宋_GB2312" w:hAnsi="仿宋_GB2312" w:eastAsia="仿宋_GB2312" w:cs="仿宋_GB2312"/>
          <w:color w:val="000000"/>
          <w:sz w:val="30"/>
          <w:szCs w:val="30"/>
        </w:rPr>
      </w:pPr>
    </w:p>
    <w:p>
      <w:pPr>
        <w:spacing w:line="600" w:lineRule="exact"/>
        <w:ind w:firstLine="600" w:firstLineChars="200"/>
        <w:rPr>
          <w:rFonts w:ascii="仿宋_GB2312" w:hAnsi="仿宋_GB2312" w:eastAsia="仿宋_GB2312" w:cs="仿宋_GB2312"/>
          <w:color w:val="000000"/>
          <w:sz w:val="30"/>
          <w:szCs w:val="30"/>
        </w:rPr>
      </w:pPr>
    </w:p>
    <w:p>
      <w:pPr>
        <w:spacing w:line="600" w:lineRule="exact"/>
        <w:ind w:firstLine="600" w:firstLineChars="200"/>
        <w:rPr>
          <w:rFonts w:ascii="仿宋_GB2312" w:hAnsi="仿宋_GB2312" w:eastAsia="仿宋_GB2312" w:cs="仿宋_GB2312"/>
          <w:color w:val="000000"/>
          <w:sz w:val="30"/>
          <w:szCs w:val="30"/>
        </w:rPr>
      </w:pPr>
    </w:p>
    <w:p>
      <w:pPr>
        <w:spacing w:line="600" w:lineRule="exact"/>
        <w:ind w:firstLine="600" w:firstLineChars="200"/>
        <w:rPr>
          <w:rFonts w:ascii="仿宋_GB2312" w:hAnsi="仿宋_GB2312" w:eastAsia="仿宋_GB2312" w:cs="仿宋_GB2312"/>
          <w:color w:val="000000"/>
          <w:sz w:val="30"/>
          <w:szCs w:val="30"/>
        </w:rPr>
      </w:pPr>
    </w:p>
    <w:p>
      <w:pPr>
        <w:ind w:firstLine="600" w:firstLineChars="200"/>
        <w:rPr>
          <w:rFonts w:ascii="仿宋_GB2312" w:hAnsi="仿宋_GB2312" w:eastAsia="仿宋_GB2312" w:cs="仿宋_GB2312"/>
          <w:color w:val="000000"/>
          <w:sz w:val="30"/>
          <w:szCs w:val="30"/>
        </w:rPr>
        <w:sectPr>
          <w:headerReference r:id="rId4" w:type="default"/>
          <w:footerReference r:id="rId5" w:type="default"/>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000000"/>
          <w:sz w:val="30"/>
          <w:szCs w:val="30"/>
        </w:rPr>
        <w:drawing>
          <wp:inline distT="0" distB="0" distL="114300" distR="114300">
            <wp:extent cx="5329555" cy="4298315"/>
            <wp:effectExtent l="0" t="0" r="4445" b="6985"/>
            <wp:docPr id="1"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图片1"/>
                    <pic:cNvPicPr>
                      <a:picLocks noChangeAspect="1"/>
                    </pic:cNvPicPr>
                  </pic:nvPicPr>
                  <pic:blipFill>
                    <a:blip r:embed="rId11" cstate="print"/>
                    <a:stretch>
                      <a:fillRect/>
                    </a:stretch>
                  </pic:blipFill>
                  <pic:spPr>
                    <a:xfrm>
                      <a:off x="0" y="0"/>
                      <a:ext cx="5329555" cy="4298315"/>
                    </a:xfrm>
                    <a:prstGeom prst="rect">
                      <a:avLst/>
                    </a:prstGeom>
                    <a:noFill/>
                    <a:ln>
                      <a:noFill/>
                    </a:ln>
                  </pic:spPr>
                </pic:pic>
              </a:graphicData>
            </a:graphic>
          </wp:inline>
        </w:drawing>
      </w:r>
    </w:p>
    <w:p>
      <w:pPr>
        <w:spacing w:line="600" w:lineRule="exact"/>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五、一般公共预算财政拨款支出决算情况</w:t>
      </w:r>
    </w:p>
    <w:p>
      <w:pPr>
        <w:spacing w:line="60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（一）一般公共预算财政拨款支出决算总体情况</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县文体局2018年度一般公共预算财政拨款支出1522.52万元，占本年支出合计的100%。与2017年度财政拨款收支总决算1593.4万元相比，减少了70.88万元，减少4%，其原因是增加退休人员。</w:t>
      </w:r>
    </w:p>
    <w:p>
      <w:pPr>
        <w:spacing w:line="600" w:lineRule="exact"/>
        <w:ind w:firstLine="600" w:firstLineChars="200"/>
        <w:rPr>
          <w:rFonts w:ascii="仿宋_GB2312" w:hAnsi="仿宋_GB2312" w:eastAsia="仿宋_GB2312" w:cs="仿宋_GB2312"/>
          <w:color w:val="000000"/>
          <w:sz w:val="30"/>
          <w:szCs w:val="30"/>
        </w:rPr>
      </w:pPr>
    </w:p>
    <w:p>
      <w:pPr>
        <w:spacing w:line="60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（二）一般公共预算财政拨款支出决算结构情况</w:t>
      </w:r>
    </w:p>
    <w:p>
      <w:pPr>
        <w:spacing w:line="6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文体局2018年一般公共预算财政拨款支出1522.52万元，主要用于以下方面: 一般公共服务支出435.08万元，占总支出的</w:t>
      </w:r>
      <w:r>
        <w:rPr>
          <w:rFonts w:hint="eastAsia" w:ascii="仿宋_GB2312" w:hAnsi="仿宋_GB2312" w:eastAsia="仿宋_GB2312" w:cs="仿宋_GB2312"/>
          <w:color w:val="000000"/>
          <w:sz w:val="30"/>
          <w:szCs w:val="30"/>
        </w:rPr>
        <w:t>29%</w:t>
      </w:r>
      <w:r>
        <w:rPr>
          <w:rFonts w:hint="eastAsia" w:ascii="仿宋_GB2312" w:hAnsi="仿宋_GB2312" w:eastAsia="仿宋_GB2312" w:cs="仿宋_GB2312"/>
          <w:sz w:val="30"/>
          <w:szCs w:val="30"/>
        </w:rPr>
        <w:t>；社会保障和就业支出76.08万元，占总支出的5%，医疗卫生与计划生育支出21.14万元，占总支出的1.39%，住房保障支出39.08万元，占总支出的2.57%。</w:t>
      </w:r>
    </w:p>
    <w:p>
      <w:pPr>
        <w:spacing w:line="600" w:lineRule="exact"/>
        <w:ind w:firstLine="600" w:firstLineChars="200"/>
        <w:rPr>
          <w:rFonts w:ascii="仿宋_GB2312" w:hAnsi="仿宋_GB2312" w:eastAsia="仿宋_GB2312" w:cs="仿宋_GB2312"/>
          <w:color w:val="000000"/>
          <w:sz w:val="30"/>
          <w:szCs w:val="30"/>
        </w:rPr>
      </w:pP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drawing>
          <wp:inline distT="0" distB="0" distL="114300" distR="114300">
            <wp:extent cx="5273040" cy="1988185"/>
            <wp:effectExtent l="0" t="0" r="3810" b="12065"/>
            <wp:docPr id="2" name="图片 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图片2"/>
                    <pic:cNvPicPr>
                      <a:picLocks noChangeAspect="1"/>
                    </pic:cNvPicPr>
                  </pic:nvPicPr>
                  <pic:blipFill>
                    <a:blip r:embed="rId12" cstate="print"/>
                    <a:stretch>
                      <a:fillRect/>
                    </a:stretch>
                  </pic:blipFill>
                  <pic:spPr>
                    <a:xfrm>
                      <a:off x="0" y="0"/>
                      <a:ext cx="5273040" cy="1988185"/>
                    </a:xfrm>
                    <a:prstGeom prst="rect">
                      <a:avLst/>
                    </a:prstGeom>
                    <a:noFill/>
                    <a:ln>
                      <a:noFill/>
                    </a:ln>
                  </pic:spPr>
                </pic:pic>
              </a:graphicData>
            </a:graphic>
          </wp:inline>
        </w:drawing>
      </w:r>
    </w:p>
    <w:p>
      <w:pPr>
        <w:spacing w:line="600" w:lineRule="exact"/>
        <w:ind w:firstLine="600" w:firstLineChars="200"/>
        <w:rPr>
          <w:rFonts w:ascii="仿宋_GB2312" w:hAnsi="仿宋_GB2312" w:eastAsia="仿宋_GB2312" w:cs="仿宋_GB2312"/>
          <w:color w:val="000000"/>
          <w:sz w:val="30"/>
          <w:szCs w:val="30"/>
        </w:rPr>
      </w:pPr>
    </w:p>
    <w:p>
      <w:pPr>
        <w:spacing w:line="600" w:lineRule="exact"/>
        <w:ind w:firstLine="602" w:firstLineChars="200"/>
        <w:rPr>
          <w:rFonts w:ascii="仿宋_GB2312" w:hAnsi="仿宋_GB2312" w:eastAsia="仿宋_GB2312" w:cs="仿宋_GB2312"/>
          <w:b/>
          <w:i/>
          <w:color w:val="404040"/>
          <w:sz w:val="30"/>
          <w:szCs w:val="30"/>
        </w:rPr>
      </w:pPr>
    </w:p>
    <w:p>
      <w:pPr>
        <w:spacing w:line="600" w:lineRule="exact"/>
        <w:ind w:firstLine="602" w:firstLineChars="200"/>
        <w:rPr>
          <w:rFonts w:ascii="仿宋_GB2312" w:hAnsi="仿宋_GB2312" w:eastAsia="仿宋_GB2312" w:cs="仿宋_GB2312"/>
          <w:b/>
          <w:i/>
          <w:color w:val="404040"/>
          <w:sz w:val="30"/>
          <w:szCs w:val="30"/>
        </w:rPr>
      </w:pPr>
    </w:p>
    <w:p>
      <w:pPr>
        <w:spacing w:line="600" w:lineRule="exact"/>
        <w:ind w:firstLine="602" w:firstLineChars="200"/>
        <w:rPr>
          <w:rFonts w:ascii="仿宋_GB2312" w:hAnsi="仿宋_GB2312" w:eastAsia="仿宋_GB2312" w:cs="仿宋_GB2312"/>
          <w:b/>
          <w:i/>
          <w:color w:val="404040"/>
          <w:sz w:val="30"/>
          <w:szCs w:val="30"/>
        </w:rPr>
      </w:pPr>
    </w:p>
    <w:p>
      <w:pPr>
        <w:spacing w:line="60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（三）一般公共预算财政拨款支出决算具体情况</w:t>
      </w:r>
    </w:p>
    <w:p>
      <w:pPr>
        <w:spacing w:line="600" w:lineRule="exact"/>
        <w:ind w:firstLine="602" w:firstLineChars="200"/>
        <w:rPr>
          <w:rStyle w:val="9"/>
          <w:rFonts w:ascii="仿宋_GB2312" w:hAnsi="仿宋_GB2312" w:eastAsia="仿宋_GB2312" w:cs="仿宋_GB2312"/>
          <w:sz w:val="30"/>
          <w:szCs w:val="30"/>
        </w:rPr>
      </w:pPr>
      <w:r>
        <w:rPr>
          <w:rStyle w:val="9"/>
          <w:rFonts w:hint="eastAsia" w:ascii="仿宋_GB2312" w:hAnsi="仿宋_GB2312" w:eastAsia="仿宋_GB2312" w:cs="仿宋_GB2312"/>
          <w:sz w:val="30"/>
          <w:szCs w:val="30"/>
        </w:rPr>
        <w:t>1.一般公共服务:</w:t>
      </w:r>
    </w:p>
    <w:p>
      <w:pPr>
        <w:spacing w:line="600" w:lineRule="exact"/>
        <w:ind w:firstLine="900" w:firstLineChars="300"/>
        <w:rPr>
          <w:rFonts w:ascii="仿宋_GB2312" w:hAnsi="仿宋_GB2312" w:eastAsia="仿宋_GB2312" w:cs="仿宋_GB2312"/>
          <w:sz w:val="30"/>
          <w:szCs w:val="30"/>
        </w:rPr>
      </w:pPr>
      <w:r>
        <w:rPr>
          <w:rFonts w:hint="eastAsia" w:ascii="仿宋_GB2312" w:hAnsi="仿宋_GB2312" w:eastAsia="仿宋_GB2312" w:cs="仿宋_GB2312"/>
          <w:color w:val="000000"/>
          <w:sz w:val="30"/>
          <w:szCs w:val="30"/>
        </w:rPr>
        <w:t>一般公共服务207（类）文化体育与传媒（款）体育03（款）行政运行01（项）</w:t>
      </w:r>
      <w:r>
        <w:rPr>
          <w:rFonts w:hint="eastAsia" w:ascii="仿宋_GB2312" w:hAnsi="仿宋_GB2312" w:eastAsia="仿宋_GB2312" w:cs="仿宋_GB2312"/>
          <w:sz w:val="30"/>
          <w:szCs w:val="30"/>
        </w:rPr>
        <w:t>决算数为298.35万元，完成预算100%，原因是2018年工资调标、正常工资晋升，人员变动。</w:t>
      </w:r>
    </w:p>
    <w:p>
      <w:pPr>
        <w:spacing w:line="600" w:lineRule="exact"/>
        <w:ind w:firstLine="602" w:firstLineChars="200"/>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2、社会保障和就业支出</w:t>
      </w:r>
    </w:p>
    <w:p>
      <w:pPr>
        <w:spacing w:line="600" w:lineRule="exact"/>
        <w:ind w:firstLine="600" w:firstLineChars="200"/>
        <w:rPr>
          <w:rStyle w:val="9"/>
          <w:rFonts w:ascii="仿宋_GB2312" w:hAnsi="仿宋_GB2312" w:eastAsia="仿宋_GB2312" w:cs="仿宋_GB2312"/>
          <w:b w:val="0"/>
          <w:sz w:val="30"/>
          <w:szCs w:val="30"/>
        </w:rPr>
      </w:pPr>
      <w:r>
        <w:rPr>
          <w:rFonts w:hint="eastAsia" w:ascii="仿宋_GB2312" w:hAnsi="仿宋_GB2312" w:eastAsia="仿宋_GB2312" w:cs="仿宋_GB2312"/>
          <w:color w:val="000000"/>
          <w:sz w:val="30"/>
          <w:szCs w:val="30"/>
        </w:rPr>
        <w:t>社会保障和就业支出208（类）行政事业单位离退休05（款）机关事业单位基本养老保险缴费支出05（项）：</w:t>
      </w:r>
      <w:r>
        <w:rPr>
          <w:rFonts w:hint="eastAsia" w:ascii="仿宋_GB2312" w:hAnsi="仿宋_GB2312" w:eastAsia="仿宋_GB2312" w:cs="仿宋_GB2312"/>
          <w:sz w:val="30"/>
          <w:szCs w:val="30"/>
        </w:rPr>
        <w:t>2018年决算数为57.59万元，机关事业单位职业年金缴费支出06（项）：2018年决算数为25.26万元，完成预算100%。</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color w:val="FF6600"/>
          <w:sz w:val="30"/>
          <w:szCs w:val="30"/>
        </w:rPr>
        <w:t>　</w:t>
      </w:r>
      <w:r>
        <w:rPr>
          <w:rFonts w:hint="eastAsia" w:ascii="仿宋_GB2312" w:hAnsi="仿宋_GB2312" w:eastAsia="仿宋_GB2312" w:cs="仿宋_GB2312"/>
          <w:sz w:val="30"/>
          <w:szCs w:val="30"/>
        </w:rPr>
        <w:t>　</w:t>
      </w:r>
      <w:r>
        <w:rPr>
          <w:rStyle w:val="9"/>
          <w:rFonts w:hint="eastAsia" w:ascii="仿宋_GB2312" w:hAnsi="仿宋_GB2312" w:eastAsia="仿宋_GB2312" w:cs="仿宋_GB2312"/>
          <w:sz w:val="30"/>
          <w:szCs w:val="30"/>
        </w:rPr>
        <w:t>3、医疗卫生与计划生育:</w:t>
      </w:r>
    </w:p>
    <w:p>
      <w:pPr>
        <w:spacing w:line="6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color w:val="000000"/>
          <w:sz w:val="30"/>
          <w:szCs w:val="30"/>
        </w:rPr>
        <w:t>医疗卫生与计划生育支出210（类）医疗保障11（款）行政单位医疗01（项）：</w:t>
      </w:r>
      <w:r>
        <w:rPr>
          <w:rFonts w:hint="eastAsia" w:ascii="仿宋_GB2312" w:hAnsi="仿宋_GB2312" w:eastAsia="仿宋_GB2312" w:cs="仿宋_GB2312"/>
          <w:sz w:val="30"/>
          <w:szCs w:val="30"/>
        </w:rPr>
        <w:t xml:space="preserve"> 2018年决算数为22.5万元，完成预算100%。</w:t>
      </w:r>
    </w:p>
    <w:p>
      <w:pPr>
        <w:spacing w:line="600" w:lineRule="exact"/>
        <w:ind w:firstLine="590" w:firstLineChars="196"/>
        <w:rPr>
          <w:rStyle w:val="9"/>
          <w:rFonts w:ascii="仿宋_GB2312" w:hAnsi="仿宋_GB2312" w:eastAsia="仿宋_GB2312" w:cs="仿宋_GB2312"/>
          <w:sz w:val="30"/>
          <w:szCs w:val="30"/>
        </w:rPr>
      </w:pPr>
      <w:r>
        <w:rPr>
          <w:rStyle w:val="9"/>
          <w:rFonts w:hint="eastAsia" w:ascii="仿宋_GB2312" w:hAnsi="仿宋_GB2312" w:eastAsia="仿宋_GB2312" w:cs="仿宋_GB2312"/>
          <w:sz w:val="30"/>
          <w:szCs w:val="30"/>
        </w:rPr>
        <w:t>4.住房保障支出:</w:t>
      </w:r>
    </w:p>
    <w:p>
      <w:pPr>
        <w:spacing w:line="6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color w:val="000000"/>
          <w:sz w:val="30"/>
          <w:szCs w:val="30"/>
        </w:rPr>
        <w:t>住房保障支出221（类）住房改革支出02（款）住房公积金01（项）</w:t>
      </w:r>
      <w:r>
        <w:rPr>
          <w:rFonts w:hint="eastAsia" w:ascii="仿宋_GB2312" w:hAnsi="仿宋_GB2312" w:eastAsia="仿宋_GB2312" w:cs="仿宋_GB2312"/>
          <w:sz w:val="30"/>
          <w:szCs w:val="30"/>
        </w:rPr>
        <w:t>： 2018年决算数为41.70万元，完成预算100%；</w:t>
      </w:r>
    </w:p>
    <w:p>
      <w:pPr>
        <w:spacing w:line="600" w:lineRule="exact"/>
        <w:ind w:firstLine="600" w:firstLineChars="200"/>
        <w:rPr>
          <w:rFonts w:ascii="仿宋_GB2312" w:hAnsi="仿宋_GB2312" w:eastAsia="仿宋_GB2312" w:cs="仿宋_GB2312"/>
          <w:sz w:val="30"/>
          <w:szCs w:val="30"/>
        </w:rPr>
      </w:pPr>
    </w:p>
    <w:p>
      <w:pPr>
        <w:spacing w:line="60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六、一般公共预算财政拨款基本支出决算情况说明</w:t>
      </w:r>
    </w:p>
    <w:p>
      <w:pPr>
        <w:spacing w:line="600" w:lineRule="exact"/>
        <w:ind w:firstLine="645"/>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文体局2018年一般公共预算财政拨款基本支出450.46万元，其中：</w:t>
      </w:r>
    </w:p>
    <w:p>
      <w:pPr>
        <w:spacing w:line="600" w:lineRule="exact"/>
        <w:ind w:firstLine="645"/>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人员经费439.96万元，主要包括：基本工资133.32万元、津贴补贴99.59万元、奖金11.67万元、机关事业单位基本养老保险缴费57.59万元、职业年金缴费25.26万元、</w:t>
      </w:r>
      <w:r>
        <w:rPr>
          <w:rFonts w:hint="eastAsia" w:ascii="仿宋_GB2312" w:hAnsi="仿宋_GB2312" w:eastAsia="仿宋_GB2312" w:cs="仿宋_GB2312"/>
          <w:sz w:val="30"/>
          <w:szCs w:val="30"/>
        </w:rPr>
        <w:t>其他社会保障缴费7.36万元、生活补助2.11万元、住房公积金41.7万元、绩效36.17万元，公务员医疗补助2.8万元，职工基本医疗保险缴费22.5万元。</w:t>
      </w:r>
      <w:r>
        <w:rPr>
          <w:rFonts w:hint="eastAsia" w:ascii="仿宋_GB2312" w:hAnsi="仿宋_GB2312" w:eastAsia="仿宋_GB2312" w:cs="仿宋_GB2312"/>
          <w:color w:val="000000"/>
          <w:sz w:val="30"/>
          <w:szCs w:val="30"/>
        </w:rPr>
        <w:br w:type="textWrapping"/>
      </w:r>
      <w:r>
        <w:rPr>
          <w:rFonts w:hint="eastAsia" w:ascii="仿宋_GB2312" w:hAnsi="仿宋_GB2312" w:eastAsia="仿宋_GB2312" w:cs="仿宋_GB2312"/>
          <w:color w:val="000000"/>
          <w:sz w:val="30"/>
          <w:szCs w:val="30"/>
        </w:rPr>
        <w:t>　　公用经费10.38万元，主要包括：办公费1万元、水费0.4万元、邮电费2万元，取暖费0.5万元、差旅费6万元、公务用车运行维护费0.48万元。</w:t>
      </w:r>
    </w:p>
    <w:p>
      <w:pPr>
        <w:spacing w:line="600" w:lineRule="exact"/>
        <w:ind w:firstLine="64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七、“三公”经费财政拨款支出决算情况说明</w:t>
      </w:r>
    </w:p>
    <w:p>
      <w:pPr>
        <w:spacing w:line="600" w:lineRule="exact"/>
        <w:ind w:firstLine="640"/>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（一）“三公”经费财政拨款支出决算总体情况说明</w:t>
      </w:r>
    </w:p>
    <w:p>
      <w:pPr>
        <w:spacing w:line="600" w:lineRule="exact"/>
        <w:ind w:firstLine="640"/>
        <w:rPr>
          <w:rFonts w:ascii="仿宋_GB2312" w:hAnsi="仿宋_GB2312" w:eastAsia="仿宋_GB2312" w:cs="仿宋_GB2312"/>
          <w:color w:val="333333"/>
          <w:sz w:val="30"/>
          <w:szCs w:val="30"/>
        </w:rPr>
      </w:pPr>
      <w:r>
        <w:rPr>
          <w:rFonts w:hint="eastAsia" w:ascii="仿宋_GB2312" w:hAnsi="仿宋_GB2312" w:eastAsia="仿宋_GB2312" w:cs="仿宋_GB2312"/>
          <w:color w:val="333333"/>
          <w:sz w:val="30"/>
          <w:szCs w:val="30"/>
        </w:rPr>
        <w:t>文体局2018年度“三公”经费财政拨款支出决算为</w:t>
      </w:r>
      <w:r>
        <w:rPr>
          <w:rFonts w:hint="eastAsia" w:ascii="仿宋_GB2312" w:hAnsi="仿宋_GB2312" w:eastAsia="仿宋_GB2312" w:cs="仿宋_GB2312"/>
          <w:color w:val="333333"/>
          <w:sz w:val="30"/>
          <w:szCs w:val="30"/>
          <w:lang w:val="en-US" w:eastAsia="zh-CN"/>
        </w:rPr>
        <w:t>6.34</w:t>
      </w:r>
      <w:r>
        <w:rPr>
          <w:rFonts w:hint="eastAsia" w:ascii="仿宋_GB2312" w:hAnsi="仿宋_GB2312" w:eastAsia="仿宋_GB2312" w:cs="仿宋_GB2312"/>
          <w:color w:val="333333"/>
          <w:sz w:val="30"/>
          <w:szCs w:val="30"/>
        </w:rPr>
        <w:t>万元，完成预算100%，其中：无因公出国（境）费支出；公务用车购置及运行维护费支出决算为</w:t>
      </w:r>
      <w:r>
        <w:rPr>
          <w:rFonts w:hint="eastAsia" w:ascii="仿宋_GB2312" w:hAnsi="仿宋_GB2312" w:eastAsia="仿宋_GB2312" w:cs="仿宋_GB2312"/>
          <w:color w:val="333333"/>
          <w:sz w:val="30"/>
          <w:szCs w:val="30"/>
          <w:lang w:val="en-US" w:eastAsia="zh-CN"/>
        </w:rPr>
        <w:t>6.34</w:t>
      </w:r>
      <w:r>
        <w:rPr>
          <w:rFonts w:hint="eastAsia" w:ascii="仿宋_GB2312" w:hAnsi="仿宋_GB2312" w:eastAsia="仿宋_GB2312" w:cs="仿宋_GB2312"/>
          <w:color w:val="333333"/>
          <w:sz w:val="30"/>
          <w:szCs w:val="30"/>
        </w:rPr>
        <w:t>万元，完成预算100%；无公务接待费支出。</w:t>
      </w:r>
    </w:p>
    <w:p>
      <w:pPr>
        <w:spacing w:line="600" w:lineRule="exact"/>
        <w:ind w:firstLine="640"/>
        <w:rPr>
          <w:rFonts w:ascii="仿宋_GB2312" w:hAnsi="仿宋_GB2312" w:eastAsia="仿宋_GB2312" w:cs="仿宋_GB2312"/>
          <w:b/>
          <w:color w:val="333333"/>
          <w:sz w:val="30"/>
          <w:szCs w:val="30"/>
        </w:rPr>
      </w:pPr>
      <w:r>
        <w:rPr>
          <w:rFonts w:hint="eastAsia" w:ascii="仿宋_GB2312" w:hAnsi="仿宋_GB2312" w:eastAsia="仿宋_GB2312" w:cs="仿宋_GB2312"/>
          <w:b/>
          <w:color w:val="333333"/>
          <w:sz w:val="30"/>
          <w:szCs w:val="30"/>
        </w:rPr>
        <w:t>（二）“三公”经费财政拨款支出决算具体情况说明</w:t>
      </w:r>
    </w:p>
    <w:p>
      <w:pPr>
        <w:spacing w:line="600" w:lineRule="exact"/>
        <w:ind w:firstLine="640"/>
        <w:rPr>
          <w:rFonts w:ascii="仿宋_GB2312" w:hAnsi="仿宋_GB2312" w:eastAsia="仿宋_GB2312" w:cs="仿宋_GB2312"/>
          <w:color w:val="333333"/>
          <w:sz w:val="30"/>
          <w:szCs w:val="30"/>
        </w:rPr>
      </w:pPr>
      <w:r>
        <w:rPr>
          <w:rFonts w:hint="eastAsia" w:ascii="仿宋_GB2312" w:hAnsi="仿宋_GB2312" w:eastAsia="仿宋_GB2312" w:cs="仿宋_GB2312"/>
          <w:color w:val="333333"/>
          <w:sz w:val="30"/>
          <w:szCs w:val="30"/>
        </w:rPr>
        <w:t>2018年度“三公”经费财政拨款支出决算中，无因公出国（境）费支出；公务用车购置及运行维护费支出决算</w:t>
      </w:r>
      <w:r>
        <w:rPr>
          <w:rFonts w:ascii="仿宋_GB2312" w:hAnsi="仿宋_GB2312" w:eastAsia="仿宋_GB2312" w:cs="仿宋_GB2312"/>
          <w:color w:val="333333"/>
          <w:sz w:val="30"/>
          <w:szCs w:val="30"/>
        </w:rPr>
        <w:t>6.34</w:t>
      </w:r>
      <w:r>
        <w:rPr>
          <w:rFonts w:hint="eastAsia" w:ascii="仿宋_GB2312" w:hAnsi="仿宋_GB2312" w:eastAsia="仿宋_GB2312" w:cs="仿宋_GB2312"/>
          <w:color w:val="333333"/>
          <w:sz w:val="30"/>
          <w:szCs w:val="30"/>
        </w:rPr>
        <w:t>万元，</w:t>
      </w:r>
      <w:r>
        <w:rPr>
          <w:rFonts w:hint="eastAsia" w:ascii="仿宋_GB2312" w:hAnsi="仿宋_GB2312" w:eastAsia="仿宋_GB2312" w:cs="仿宋_GB2312"/>
          <w:color w:val="000000"/>
          <w:sz w:val="30"/>
          <w:szCs w:val="30"/>
        </w:rPr>
        <w:t>占100%</w:t>
      </w:r>
      <w:r>
        <w:rPr>
          <w:rFonts w:hint="eastAsia" w:ascii="仿宋_GB2312" w:hAnsi="仿宋_GB2312" w:eastAsia="仿宋_GB2312" w:cs="仿宋_GB2312"/>
          <w:color w:val="333333"/>
          <w:sz w:val="30"/>
          <w:szCs w:val="30"/>
        </w:rPr>
        <w:t>；无公务接待费支出</w:t>
      </w:r>
    </w:p>
    <w:p>
      <w:pPr>
        <w:spacing w:line="600" w:lineRule="exact"/>
        <w:ind w:firstLine="640"/>
        <w:rPr>
          <w:rFonts w:ascii="仿宋_GB2312" w:hAnsi="仿宋_GB2312" w:eastAsia="仿宋_GB2312" w:cs="仿宋_GB2312"/>
          <w:color w:val="000000"/>
          <w:sz w:val="30"/>
          <w:szCs w:val="30"/>
        </w:rPr>
      </w:pPr>
      <w:r>
        <w:rPr>
          <w:rFonts w:ascii="仿宋_GB2312" w:hAnsi="仿宋_GB2312" w:eastAsia="仿宋_GB2312" w:cs="仿宋_GB2312"/>
          <w:b/>
          <w:color w:val="000000"/>
          <w:sz w:val="30"/>
          <w:szCs w:val="30"/>
        </w:rPr>
        <w:pict>
          <v:shape id="_x0000_s1026" o:spid="_x0000_s1026" o:spt="75" type="#_x0000_t75" style="position:absolute;left:0pt;margin-left:65.25pt;margin-top:9.85pt;height:72.4pt;width:287.3pt;z-index:251659264;mso-width-relative:page;mso-height-relative:page;" o:ole="t" filled="f" o:preferrelative="t" stroked="f" coordsize="21600,21600">
            <v:path/>
            <v:fill on="f" focussize="0,0"/>
            <v:stroke on="f" joinstyle="miter"/>
            <v:imagedata r:id="rId14" o:title="5"/>
            <o:lock v:ext="edit" aspectratio="t"/>
          </v:shape>
          <o:OLEObject Type="Embed" ProgID="" ShapeID="_x0000_s1026" DrawAspect="Content" ObjectID="_1468075727" r:id="rId13">
            <o:LockedField>false</o:LockedField>
          </o:OLEObject>
        </w:pict>
      </w:r>
    </w:p>
    <w:p>
      <w:pPr>
        <w:spacing w:line="600" w:lineRule="exact"/>
        <w:ind w:firstLine="640"/>
        <w:rPr>
          <w:rFonts w:ascii="仿宋_GB2312" w:hAnsi="仿宋_GB2312" w:eastAsia="仿宋_GB2312" w:cs="仿宋_GB2312"/>
          <w:b/>
          <w:color w:val="000000"/>
          <w:sz w:val="30"/>
          <w:szCs w:val="30"/>
        </w:rPr>
      </w:pPr>
    </w:p>
    <w:p>
      <w:pPr>
        <w:spacing w:line="600" w:lineRule="exact"/>
        <w:ind w:firstLine="640"/>
        <w:rPr>
          <w:rFonts w:ascii="仿宋_GB2312" w:hAnsi="仿宋_GB2312" w:eastAsia="仿宋_GB2312" w:cs="仿宋_GB2312"/>
          <w:b/>
          <w:color w:val="000000"/>
          <w:sz w:val="30"/>
          <w:szCs w:val="30"/>
        </w:rPr>
      </w:pPr>
    </w:p>
    <w:p>
      <w:pPr>
        <w:spacing w:line="600" w:lineRule="exact"/>
        <w:ind w:firstLine="640"/>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1.因公出国（境）经费</w:t>
      </w:r>
    </w:p>
    <w:p>
      <w:pPr>
        <w:spacing w:line="600" w:lineRule="exact"/>
        <w:ind w:firstLine="64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2018年无因公出国（境）费。</w:t>
      </w:r>
    </w:p>
    <w:p>
      <w:pPr>
        <w:spacing w:line="600" w:lineRule="exact"/>
        <w:ind w:firstLine="602" w:firstLineChars="200"/>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2.公务用车购置及运行维护费</w:t>
      </w:r>
    </w:p>
    <w:p>
      <w:pPr>
        <w:spacing w:line="600" w:lineRule="exact"/>
        <w:ind w:firstLine="64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2018年公务用车购置及运行维护费</w:t>
      </w:r>
      <w:r>
        <w:rPr>
          <w:rFonts w:ascii="仿宋_GB2312" w:hAnsi="仿宋_GB2312" w:eastAsia="仿宋_GB2312" w:cs="仿宋_GB2312"/>
          <w:color w:val="000000"/>
          <w:sz w:val="30"/>
          <w:szCs w:val="30"/>
        </w:rPr>
        <w:t>6.34</w:t>
      </w:r>
      <w:r>
        <w:rPr>
          <w:rFonts w:hint="eastAsia" w:ascii="仿宋_GB2312" w:hAnsi="仿宋_GB2312" w:eastAsia="仿宋_GB2312" w:cs="仿宋_GB2312"/>
          <w:color w:val="000000"/>
          <w:sz w:val="30"/>
          <w:szCs w:val="30"/>
        </w:rPr>
        <w:t>万元,其中：</w:t>
      </w:r>
    </w:p>
    <w:p>
      <w:pPr>
        <w:spacing w:line="600" w:lineRule="exact"/>
        <w:ind w:firstLine="64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公务用车购置支出0万元。公务用车运行维护费支出</w:t>
      </w:r>
      <w:r>
        <w:rPr>
          <w:rFonts w:ascii="仿宋_GB2312" w:hAnsi="仿宋_GB2312" w:eastAsia="仿宋_GB2312" w:cs="仿宋_GB2312"/>
          <w:color w:val="000000"/>
          <w:sz w:val="30"/>
          <w:szCs w:val="30"/>
        </w:rPr>
        <w:t>6.34</w:t>
      </w:r>
      <w:r>
        <w:rPr>
          <w:rFonts w:hint="eastAsia" w:ascii="仿宋_GB2312" w:hAnsi="仿宋_GB2312" w:eastAsia="仿宋_GB2312" w:cs="仿宋_GB2312"/>
          <w:color w:val="000000"/>
          <w:sz w:val="30"/>
          <w:szCs w:val="30"/>
        </w:rPr>
        <w:t>万元。主要用于开展各项财政工作所需的公务用车燃料费、维修费、过路过桥费、保险费等支出。</w:t>
      </w:r>
    </w:p>
    <w:p>
      <w:pPr>
        <w:spacing w:line="600" w:lineRule="exact"/>
        <w:ind w:firstLine="602" w:firstLineChars="200"/>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3.公务接待费</w:t>
      </w:r>
    </w:p>
    <w:p>
      <w:pPr>
        <w:spacing w:line="600" w:lineRule="exact"/>
        <w:ind w:firstLine="64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2018年无公务接待费。</w:t>
      </w:r>
    </w:p>
    <w:p>
      <w:pPr>
        <w:spacing w:line="600" w:lineRule="exact"/>
        <w:ind w:firstLine="64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八、政府性基金预算财政拨款支出决算情况说明</w:t>
      </w:r>
    </w:p>
    <w:p>
      <w:pPr>
        <w:spacing w:line="600" w:lineRule="exact"/>
        <w:ind w:firstLine="64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文体局2018年政府性基金预算财政拨款支出数为133.67万元。主要用于2018年30个贫困村的农民体育健身广场提升改造99.67万、2018年全县职工篮球运动会20万、对青少年后备人才培养14万</w:t>
      </w:r>
    </w:p>
    <w:p>
      <w:pPr>
        <w:numPr>
          <w:ilvl w:val="0"/>
          <w:numId w:val="2"/>
        </w:numPr>
        <w:spacing w:line="60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其他重要事项的情况说明</w:t>
      </w:r>
    </w:p>
    <w:p>
      <w:pPr>
        <w:numPr>
          <w:ilvl w:val="0"/>
          <w:numId w:val="0"/>
        </w:numPr>
        <w:spacing w:line="600" w:lineRule="exact"/>
        <w:ind w:firstLine="600"/>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（一）机关运行经费</w:t>
      </w:r>
    </w:p>
    <w:p>
      <w:pPr>
        <w:numPr>
          <w:ilvl w:val="0"/>
          <w:numId w:val="0"/>
        </w:numPr>
        <w:spacing w:line="600" w:lineRule="exact"/>
        <w:ind w:firstLine="600"/>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无</w:t>
      </w:r>
    </w:p>
    <w:p>
      <w:pPr>
        <w:autoSpaceDE w:val="0"/>
        <w:autoSpaceDN w:val="0"/>
        <w:adjustRightInd w:val="0"/>
        <w:spacing w:line="600" w:lineRule="exact"/>
        <w:ind w:firstLine="602" w:firstLineChars="200"/>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（二）政府采购支出情况</w:t>
      </w:r>
    </w:p>
    <w:p>
      <w:pPr>
        <w:spacing w:line="60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2018年度，我局政府采购：两本书采购、50张最美面孔采购、22个村活动室采购、执法队装备采购、运动会服装采购、太平洋影城采购共计239.4万。</w:t>
      </w:r>
    </w:p>
    <w:p>
      <w:pPr>
        <w:autoSpaceDE w:val="0"/>
        <w:autoSpaceDN w:val="0"/>
        <w:adjustRightInd w:val="0"/>
        <w:spacing w:line="600" w:lineRule="exact"/>
        <w:ind w:firstLine="602" w:firstLineChars="200"/>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（三）国有资产占有使用情况</w:t>
      </w:r>
    </w:p>
    <w:p>
      <w:pPr>
        <w:autoSpaceDE w:val="0"/>
        <w:autoSpaceDN w:val="0"/>
        <w:adjustRightInd w:val="0"/>
        <w:spacing w:line="60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截至2018年12月31日，我局有公有车辆3辆，均为其他用车；无单价50万元以上通用设备，无单价100万元以上专用设备。</w:t>
      </w:r>
    </w:p>
    <w:p>
      <w:pPr>
        <w:spacing w:line="560" w:lineRule="exact"/>
        <w:ind w:left="480" w:left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 xml:space="preserve"> </w:t>
      </w:r>
    </w:p>
    <w:p>
      <w:pPr>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（四）预决算绩效及公开情况</w:t>
      </w:r>
    </w:p>
    <w:p>
      <w:pPr>
        <w:rPr>
          <w:rFonts w:ascii="仿宋_GB2312" w:hAnsi="仿宋_GB2312" w:eastAsia="仿宋_GB2312" w:cs="仿宋_GB2312"/>
          <w:sz w:val="30"/>
          <w:szCs w:val="30"/>
        </w:rPr>
      </w:pPr>
    </w:p>
    <w:p>
      <w:pPr>
        <w:spacing w:line="560" w:lineRule="exact"/>
        <w:ind w:left="480" w:leftChars="200"/>
        <w:rPr>
          <w:rFonts w:ascii="仿宋_GB2312" w:hAnsi="仿宋_GB2312" w:eastAsia="仿宋_GB2312" w:cs="仿宋_GB2312"/>
          <w:sz w:val="30"/>
          <w:szCs w:val="30"/>
        </w:rPr>
      </w:pPr>
    </w:p>
    <w:p>
      <w:pPr>
        <w:tabs>
          <w:tab w:val="left" w:pos="1493"/>
        </w:tabs>
        <w:snapToGrid w:val="0"/>
        <w:spacing w:line="5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2018年度文体局整体项目支出共1189.66万元，均为后期预算调整数，全都是行政事业类项目，占整体项目支出的100%，使基层工作</w:t>
      </w:r>
      <w:r>
        <w:rPr>
          <w:rFonts w:hint="eastAsia" w:ascii="仿宋_GB2312" w:hAnsi="仿宋_GB2312" w:eastAsia="仿宋_GB2312" w:cs="仿宋_GB2312"/>
          <w:sz w:val="30"/>
          <w:szCs w:val="30"/>
          <w:lang w:eastAsia="zh-CN"/>
        </w:rPr>
        <w:t>有序地开展</w:t>
      </w:r>
      <w:r>
        <w:rPr>
          <w:rFonts w:hint="eastAsia" w:ascii="仿宋_GB2312" w:hAnsi="仿宋_GB2312" w:eastAsia="仿宋_GB2312" w:cs="仿宋_GB2312"/>
          <w:sz w:val="30"/>
          <w:szCs w:val="30"/>
        </w:rPr>
        <w:t>，工作效率有所提高；经费的合理支出，丰富了群众文化活动，群众体育也达到良好效果，并且完善了相应的基础设施，提高了群众的生活质量、丰富群众业余生活。</w:t>
      </w: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本部门决算及绩效公开工作、主管部门对所属单位按规定批复决算工作开展情况。预决算按要求请县财政批复后在县人民政府网站公开</w:t>
      </w:r>
    </w:p>
    <w:p>
      <w:pPr>
        <w:widowControl w:val="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十、名词解释</w:t>
      </w:r>
    </w:p>
    <w:p>
      <w:pPr>
        <w:pStyle w:val="11"/>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1.财政拨款收入：指县级财政当年拨付的资金。 </w:t>
      </w:r>
    </w:p>
    <w:p>
      <w:pPr>
        <w:pStyle w:val="11"/>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2.其他收入：指除上述“财政拨款收入”、“事业收入”、“经营收入”等以外的收入。主要是利息收入。 </w:t>
      </w:r>
    </w:p>
    <w:p>
      <w:pPr>
        <w:pStyle w:val="11"/>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3.年初结转和结余：指以前年度尚未完成、结转到本年按有关规定继续使用的资金。 </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4．一般公共服务201（类）政府办公厅（室）及相关机构事务03（款）行政运行01（项）反映行政单位的基本支出</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5．一般公共服务201（类）政府办公厅（室）及相关机构事务03（款）事业运行50（项）反映事业单位的基本支出</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6.社会保障和就业208人力资源和社会保障管理事务01社会保险业务管理事务07：指反正社会保险业务管理和基金监督方面的支出。</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7.社会保障和就业208行政事业单位离退休05机关事业单位基本养老保险缴费支出05：指机关事业单位实施养老保险制度由单位缴纳的基本养老保险费支出。</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8.社会保障和就业208行政事业单位离退休05机关事业单位职业年金缴费支出06：指机关事业单位实施养老保险制度由单位缴纳的职业年金支出。</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9． 医疗卫生与计划生育支出210医疗保障05行政单位医疗01：指反映财政部门集中安排的行政单位基本医疗保险缴费经费，未参加医疗保险的行政单位的公费医疗经费，按国家规定享受离休人员、红军老战士待遇人员的医疗经费。</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10. 住房保障支出221住房改革支出02住房公积金01：指反映行政事业单位按人力资源和社会保障部、财政部规定的基本工资和津贴补贴以及规定比例为职工缴纳的住房公积金。</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11. 住房保障支出221住房改革支出02购房补贴03：指反映按房改政策规定，行政事业单位向符合条件职工（含离退休人员）、军队（含武警）向转役复员离退休人员发放的用于购买住房的补贴。</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12．其他支出229其他支出99其他支出01：指其他不能划分到具体功能科目中的支出项目。</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13.结余分配：指事业单位按规定提取的职工福利基金、事业基金和缴纳的所得税，以及建设单位按规定应交回的基本建设竣工项目结余资金。</w:t>
      </w:r>
      <w:bookmarkStart w:id="0" w:name="_GoBack"/>
      <w:bookmarkEnd w:id="0"/>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14.年末结转和结余：指本年度或以前年度预算安排、因客观条件发生变化无法按原计划实施，需延迟到以后年度按有关规定继续使用的资金。</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15.基本支出：指为保障机构正常运转、完成日常工作任务而发生的人员支出和公用支出。</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16.项目支出：指在基本支出之外为完成特定行政任务和事业发展目标所发生的支出。 </w:t>
      </w:r>
    </w:p>
    <w:p>
      <w:pPr>
        <w:pStyle w:val="11"/>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17.“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11"/>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1"/>
        <w:spacing w:line="560" w:lineRule="exact"/>
        <w:ind w:firstLine="600" w:firstLineChars="200"/>
        <w:rPr>
          <w:rFonts w:ascii="仿宋_GB2312" w:hAnsi="仿宋_GB2312" w:eastAsia="仿宋_GB2312" w:cs="仿宋_GB2312"/>
          <w:sz w:val="30"/>
          <w:szCs w:val="30"/>
        </w:rPr>
      </w:pPr>
    </w:p>
    <w:p>
      <w:pPr>
        <w:rPr>
          <w:rFonts w:ascii="仿宋_GB2312" w:hAnsi="仿宋_GB2312" w:eastAsia="仿宋_GB2312" w:cs="仿宋_GB2312"/>
          <w:color w:val="000000"/>
          <w:sz w:val="30"/>
          <w:szCs w:val="30"/>
        </w:rPr>
      </w:pPr>
    </w:p>
    <w:p>
      <w:pPr>
        <w:rPr>
          <w:rFonts w:ascii="仿宋_GB2312" w:hAnsi="仿宋_GB2312" w:eastAsia="仿宋_GB2312" w:cs="仿宋_GB2312"/>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0000000000000000000"/>
    <w:charset w:val="00"/>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153"/>
        <w:tab w:val="right" w:pos="8306"/>
      </w:tabs>
      <w:jc w:val="center"/>
      <w:rPr>
        <w:sz w:val="24"/>
      </w:rPr>
    </w:pPr>
    <w:r>
      <w:fldChar w:fldCharType="begin"/>
    </w:r>
    <w:r>
      <w:instrText xml:space="preserve"> PAGE   \* MERGEFORMAT </w:instrText>
    </w:r>
    <w:r>
      <w:fldChar w:fldCharType="separate"/>
    </w:r>
    <w:r>
      <w:rPr>
        <w:sz w:val="24"/>
        <w:lang w:val="zh-CN"/>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153"/>
        <w:tab w:val="right" w:pos="8306"/>
      </w:tabs>
      <w:jc w:val="center"/>
    </w:pPr>
    <w:r>
      <w:fldChar w:fldCharType="begin"/>
    </w:r>
    <w:r>
      <w:instrText xml:space="preserve"> PAGE   \* MERGEFORMAT </w:instrText>
    </w:r>
    <w:r>
      <w:fldChar w:fldCharType="separate"/>
    </w:r>
    <w:r>
      <w:rPr>
        <w:lang w:val="zh-CN"/>
      </w:rPr>
      <w:t>14</w:t>
    </w:r>
    <w:r>
      <w:fldChar w:fldCharType="end"/>
    </w:r>
  </w:p>
  <w:p>
    <w:pPr>
      <w:pStyle w:val="5"/>
      <w:tabs>
        <w:tab w:val="center" w:pos="4153"/>
        <w:tab w:val="right"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F9B2E"/>
    <w:multiLevelType w:val="singleLevel"/>
    <w:tmpl w:val="AD9F9B2E"/>
    <w:lvl w:ilvl="0" w:tentative="0">
      <w:start w:val="10"/>
      <w:numFmt w:val="chineseCounting"/>
      <w:suff w:val="nothing"/>
      <w:lvlText w:val="%1、"/>
      <w:lvlJc w:val="left"/>
      <w:rPr>
        <w:rFonts w:hint="eastAsia"/>
      </w:rPr>
    </w:lvl>
  </w:abstractNum>
  <w:abstractNum w:abstractNumId="1">
    <w:nsid w:val="60B84DE7"/>
    <w:multiLevelType w:val="singleLevel"/>
    <w:tmpl w:val="60B84DE7"/>
    <w:lvl w:ilvl="0" w:tentative="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footnotePr>
  <w:compat>
    <w:spaceForUL/>
    <w:balanceSingleByteDoubleByteWidth/>
    <w:doNotLeaveBackslashAlone/>
    <w:ulTrailSpace/>
    <w:doNotExpandShiftReturn/>
    <w:adjustLineHeightInTable/>
    <w:useFELayout/>
    <w:compatSetting w:name="compatibilityMode" w:uri="http://schemas.microsoft.com/office/word" w:val="12"/>
  </w:compat>
  <w:rsids>
    <w:rsidRoot w:val="00F26AB2"/>
    <w:rsid w:val="000D4398"/>
    <w:rsid w:val="003E3FF5"/>
    <w:rsid w:val="004F5FF2"/>
    <w:rsid w:val="008C10C2"/>
    <w:rsid w:val="00DD1A38"/>
    <w:rsid w:val="00F26AB2"/>
    <w:rsid w:val="08987EFF"/>
    <w:rsid w:val="1CA31258"/>
    <w:rsid w:val="23393264"/>
    <w:rsid w:val="3AA444F2"/>
    <w:rsid w:val="67807A8C"/>
    <w:rsid w:val="6785033C"/>
    <w:rsid w:val="7122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2"/>
    <w:basedOn w:val="1"/>
    <w:next w:val="1"/>
    <w:qFormat/>
    <w:uiPriority w:val="0"/>
    <w:pPr>
      <w:keepNext/>
      <w:keepLines/>
      <w:widowControl w:val="0"/>
      <w:spacing w:before="260" w:after="260"/>
      <w:jc w:val="center"/>
      <w:outlineLvl w:val="1"/>
    </w:pPr>
    <w:rPr>
      <w:rFonts w:eastAsia="华文中宋" w:cs="Times New Roman"/>
      <w:sz w:val="30"/>
      <w:szCs w:val="44"/>
    </w:rPr>
  </w:style>
  <w:style w:type="paragraph" w:styleId="3">
    <w:name w:val="heading 3"/>
    <w:basedOn w:val="1"/>
    <w:next w:val="1"/>
    <w:qFormat/>
    <w:uiPriority w:val="0"/>
    <w:pPr>
      <w:keepNext/>
      <w:keepLines/>
      <w:widowControl w:val="0"/>
      <w:spacing w:before="260" w:after="260"/>
      <w:ind w:firstLine="200" w:firstLineChars="200"/>
      <w:jc w:val="center"/>
      <w:outlineLvl w:val="2"/>
    </w:pPr>
    <w:rPr>
      <w:rFonts w:ascii="Calibri" w:hAnsi="Calibri" w:eastAsia="黑体" w:cs="Times New Roman"/>
      <w:kern w:val="2"/>
      <w:sz w:val="30"/>
      <w:szCs w:val="32"/>
    </w:rPr>
  </w:style>
  <w:style w:type="character" w:default="1" w:styleId="8">
    <w:name w:val="Default Paragraph Font"/>
    <w:unhideWhenUsed/>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4">
    <w:name w:val="Balloon Text"/>
    <w:basedOn w:val="1"/>
    <w:link w:val="12"/>
    <w:qFormat/>
    <w:uiPriority w:val="0"/>
    <w:rPr>
      <w:sz w:val="18"/>
      <w:szCs w:val="18"/>
    </w:rPr>
  </w:style>
  <w:style w:type="paragraph" w:styleId="5">
    <w:name w:val="footer"/>
    <w:basedOn w:val="1"/>
    <w:qFormat/>
    <w:uiPriority w:val="0"/>
    <w:pPr>
      <w:snapToGrid w:val="0"/>
    </w:pPr>
    <w:rPr>
      <w:rFonts w:ascii="Times New Roman" w:hAnsi="Times New Roman" w:cs="Times New Roman"/>
      <w:kern w:val="2"/>
      <w:sz w:val="18"/>
      <w:szCs w:val="18"/>
    </w:rPr>
  </w:style>
  <w:style w:type="paragraph" w:styleId="6">
    <w:name w:val="header"/>
    <w:basedOn w:val="1"/>
    <w:qFormat/>
    <w:uiPriority w:val="0"/>
    <w:pPr>
      <w:pBdr>
        <w:bottom w:val="single" w:color="auto" w:sz="6" w:space="1"/>
      </w:pBdr>
      <w:snapToGrid w:val="0"/>
      <w:jc w:val="center"/>
    </w:pPr>
    <w:rPr>
      <w:rFonts w:ascii="Times New Roman" w:hAnsi="Times New Roman" w:cs="Times New Roman"/>
      <w:kern w:val="2"/>
      <w:sz w:val="18"/>
      <w:szCs w:val="18"/>
    </w:rPr>
  </w:style>
  <w:style w:type="character" w:styleId="9">
    <w:name w:val="Strong"/>
    <w:qFormat/>
    <w:uiPriority w:val="0"/>
    <w:rPr>
      <w:b/>
    </w:rPr>
  </w:style>
  <w:style w:type="paragraph" w:customStyle="1" w:styleId="10">
    <w:name w:val="普通(网站)1"/>
    <w:basedOn w:val="1"/>
    <w:qFormat/>
    <w:uiPriority w:val="0"/>
    <w:pPr>
      <w:spacing w:before="100" w:beforeAutospacing="1" w:after="100" w:afterAutospacing="1"/>
    </w:pPr>
  </w:style>
  <w:style w:type="paragraph" w:customStyle="1" w:styleId="1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12">
    <w:name w:val="批注框文本 Char"/>
    <w:basedOn w:val="8"/>
    <w:link w:val="4"/>
    <w:qFormat/>
    <w:uiPriority w:val="0"/>
    <w:rPr>
      <w:rFonts w:ascii="宋体" w:hAnsi="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emf"/><Relationship Id="rId13" Type="http://schemas.openxmlformats.org/officeDocument/2006/relationships/oleObject" Target="embeddings/oleObject3.bin"/><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836</Words>
  <Characters>4769</Characters>
  <Lines>39</Lines>
  <Paragraphs>11</Paragraphs>
  <TotalTime>0</TotalTime>
  <ScaleCrop>false</ScaleCrop>
  <LinksUpToDate>false</LinksUpToDate>
  <CharactersWithSpaces>5594</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2021-05-18T07:27:00Z</dcterms:created>
  <dc:creator>Administrator</dc:creator>
  <cp:lastModifiedBy>平淡无奇</cp:lastModifiedBy>
  <dcterms:modified xsi:type="dcterms:W3CDTF">2021-06-07T03:41:24Z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228FB5B423744884B26B2B75F6F16CCF</vt:lpwstr>
  </property>
</Properties>
</file>