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jc w:val="center"/>
        <w:rPr>
          <w:rFonts w:ascii="方正小标宋_GBK" w:eastAsia="方正小标宋_GBK" w:cs="方正小标宋_GBK"/>
          <w:sz w:val="44"/>
          <w:szCs w:val="44"/>
          <w:lang w:val="en-US" w:eastAsia="zh-CN"/>
        </w:rPr>
      </w:pPr>
      <w:r>
        <w:rPr>
          <w:rFonts w:ascii="方正小标宋_GBK" w:eastAsia="方正小标宋_GBK" w:cs="方正小标宋_GBK" w:hint="eastAsia"/>
          <w:sz w:val="44"/>
          <w:szCs w:val="44"/>
          <w:lang w:eastAsia="zh-CN"/>
        </w:rPr>
        <w:t>金川县</w:t>
      </w:r>
      <w:r>
        <w:rPr>
          <w:rFonts w:ascii="方正小标宋_GBK" w:eastAsia="方正小标宋_GBK" w:cs="方正小标宋_GBK" w:hint="eastAsia"/>
          <w:sz w:val="44"/>
          <w:szCs w:val="44"/>
          <w:lang w:val="en-US" w:eastAsia="zh-CN"/>
        </w:rPr>
        <w:t>2024年疾病预防控制中心</w:t>
      </w:r>
    </w:p>
    <w:p>
      <w:pPr>
        <w:jc w:val="center"/>
        <w:rPr>
          <w:rFonts w:ascii="方正小标宋_GBK" w:eastAsia="方正小标宋_GBK" w:cs="方正小标宋_GBK" w:hint="eastAsia"/>
          <w:sz w:val="44"/>
          <w:szCs w:val="44"/>
          <w:lang w:eastAsia="zh-CN"/>
        </w:rPr>
      </w:pPr>
      <w:r>
        <w:rPr>
          <w:rFonts w:ascii="方正小标宋_GBK" w:eastAsia="方正小标宋_GBK" w:cs="方正小标宋_GBK" w:hint="eastAsia"/>
          <w:sz w:val="44"/>
          <w:szCs w:val="44"/>
        </w:rPr>
        <w:t>重点项目预算的绩效目标情况说明</w:t>
      </w:r>
    </w:p>
    <w:p>
      <w:pPr>
        <w:ind w:firstLineChars="200" w:firstLine="640"/>
        <w:rPr>
          <w:rFonts w:ascii="仿宋_GB2312" w:eastAsia="仿宋_GB2312" w:cs="仿宋_GB2312" w:hint="eastAsia"/>
          <w:sz w:val="32"/>
          <w:szCs w:val="32"/>
          <w:lang w:val="en-US" w:eastAsia="zh-CN"/>
        </w:rPr>
      </w:pPr>
      <w:r>
        <w:rPr>
          <w:rFonts w:ascii="仿宋_GB2312" w:eastAsia="仿宋_GB2312" w:cs="仿宋_GB2312" w:hint="eastAsia"/>
          <w:sz w:val="32"/>
          <w:szCs w:val="32"/>
          <w:lang w:val="en-US" w:eastAsia="zh-CN"/>
        </w:rPr>
        <w:t>2024年，我单位部门预算736.49万元 ，均严格按绩效管理要求实现项目绩效目标管理，其中重点项目预算4个，现将情况说明如下：</w:t>
      </w:r>
    </w:p>
    <w:p>
      <w:pPr>
        <w:ind w:firstLineChars="200" w:firstLine="640"/>
        <w:rPr>
          <w:rFonts w:ascii="黑体" w:eastAsia="黑体" w:cs="黑体" w:hint="eastAsia"/>
          <w:sz w:val="32"/>
          <w:szCs w:val="32"/>
          <w:lang w:val="en-US" w:eastAsia="zh-CN"/>
        </w:rPr>
      </w:pPr>
      <w:r>
        <w:rPr>
          <w:rFonts w:ascii="黑体" w:eastAsia="黑体" w:cs="黑体" w:hint="eastAsia"/>
          <w:sz w:val="32"/>
          <w:szCs w:val="32"/>
          <w:lang w:val="en-US" w:eastAsia="zh-CN"/>
        </w:rPr>
        <w:t>一、单位预算绩效管理工作开展情况。</w:t>
      </w:r>
    </w:p>
    <w:p>
      <w:pPr>
        <w:ind w:firstLineChars="200" w:firstLine="640"/>
        <w:rPr>
          <w:rFonts w:ascii="仿宋_GB2312" w:eastAsia="仿宋_GB2312" w:cs="仿宋_GB2312" w:hint="eastAsia"/>
          <w:sz w:val="32"/>
          <w:szCs w:val="32"/>
          <w:lang w:val="en-US" w:eastAsia="zh-CN"/>
        </w:rPr>
      </w:pPr>
      <w:r>
        <w:rPr>
          <w:rFonts w:ascii="仿宋_GB2312" w:eastAsia="仿宋_GB2312" w:cs="仿宋_GB2312" w:hint="eastAsia"/>
          <w:sz w:val="32"/>
          <w:szCs w:val="32"/>
          <w:lang w:val="en-US" w:eastAsia="zh-CN"/>
        </w:rPr>
        <w:t xml:space="preserve"> 完成了2024年本级部门预算整体绩效目标申报和4个重点项目预算绩效目标申报，并编报4个重点项目预算事前绩效评估报告。</w:t>
      </w:r>
    </w:p>
    <w:p>
      <w:pPr>
        <w:numPr>
          <w:ilvl w:val="0"/>
          <w:numId w:val="1"/>
        </w:numPr>
        <w:ind w:left="0" w:firstLineChars="200" w:firstLine="640"/>
        <w:rPr>
          <w:rFonts w:ascii="黑体" w:eastAsia="黑体" w:cs="黑体" w:hint="eastAsia"/>
          <w:sz w:val="32"/>
          <w:szCs w:val="32"/>
          <w:lang w:val="en-US" w:eastAsia="zh-CN"/>
        </w:rPr>
      </w:pPr>
      <w:r>
        <w:rPr>
          <w:rFonts w:ascii="黑体" w:eastAsia="黑体" w:cs="黑体" w:hint="eastAsia"/>
          <w:sz w:val="32"/>
          <w:szCs w:val="32"/>
          <w:lang w:val="en-US" w:eastAsia="zh-CN"/>
        </w:rPr>
        <w:t>单位整体绩效目标。</w:t>
      </w:r>
    </w:p>
    <w:tbl>
      <w:tblPr>
        <w:jc w:val="left"/>
        <w:tblInd w:w="0" w:type="dxa"/>
        <w:tblW w:w="8745" w:type="dxa"/>
        <w:tblBorders>
          <w:top w:val="none" w:sz="0" w:space="0" w:color="auto"/>
          <w:left w:val="none" w:sz="0" w:space="0" w:color="auto"/>
          <w:bottom w:val="none" w:sz="0" w:space="0" w:color="auto"/>
          <w:right w:val="none" w:sz="0" w:space="0" w:color="auto"/>
        </w:tblBorders>
        <w:shd w:val="clear" w:color="auto" w:fill="auto"/>
        <w:tblCellMar>
          <w:top w:w="0" w:type="dxa"/>
          <w:left w:w="0" w:type="dxa"/>
          <w:bottom w:w="0" w:type="dxa"/>
          <w:right w:w="0" w:type="dxa"/>
        </w:tblCellMar>
      </w:tblPr>
      <w:tblGrid>
        <w:gridCol w:w="1287"/>
        <w:gridCol w:w="1904"/>
        <w:gridCol w:w="3526"/>
        <w:gridCol w:w="360"/>
        <w:gridCol w:w="933"/>
        <w:gridCol w:w="669"/>
        <w:gridCol w:w="66"/>
      </w:tblGrid>
      <w:tr>
        <w:trPr>
          <w:trHeight w:val="758"/>
        </w:trPr>
        <w:tc>
          <w:tcPr>
            <w:tcW w:w="8745"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eastAsia="等线" w:cs="等线"/>
                <w:b/>
                <w:i w:val="0"/>
                <w:color w:val="000000"/>
                <w:sz w:val="24"/>
                <w:szCs w:val="24"/>
                <w:u w:val="none"/>
              </w:rPr>
            </w:pPr>
            <w:r>
              <w:rPr>
                <w:rFonts w:ascii="等线" w:eastAsia="等线" w:cs="等线"/>
                <w:b/>
                <w:i w:val="0"/>
                <w:color w:val="000000"/>
                <w:kern w:val="0"/>
                <w:sz w:val="24"/>
                <w:szCs w:val="24"/>
                <w:u w:val="none"/>
                <w:lang w:val="en-US" w:eastAsia="zh-CN"/>
              </w:rPr>
              <w:t>部门整体支出绩效目标表</w:t>
            </w:r>
          </w:p>
        </w:tc>
      </w:tr>
      <w:tr>
        <w:trPr>
          <w:trHeight w:val="503"/>
        </w:trPr>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等线" w:eastAsia="等线" w:cs="等线"/>
                <w:b/>
                <w:i w:val="0"/>
                <w:color w:val="000000"/>
                <w:sz w:val="18"/>
                <w:szCs w:val="18"/>
                <w:u w:val="none"/>
              </w:rPr>
            </w:pPr>
            <w:r>
              <w:rPr>
                <w:rFonts w:ascii="等线" w:eastAsia="等线" w:cs="等线"/>
                <w:b/>
                <w:i w:val="0"/>
                <w:color w:val="000000"/>
                <w:kern w:val="0"/>
                <w:sz w:val="18"/>
                <w:szCs w:val="18"/>
                <w:u w:val="none"/>
                <w:lang w:val="en-US" w:eastAsia="zh-CN"/>
              </w:rPr>
              <w:t>单位信息：</w:t>
            </w:r>
          </w:p>
        </w:tc>
        <w:tc>
          <w:tcPr>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132004-金川县疾病预防控制中心</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等线" w:eastAsia="等线" w:cs="等线"/>
                <w:b/>
                <w:i w:val="0"/>
                <w:color w:val="000000"/>
                <w:sz w:val="18"/>
                <w:szCs w:val="18"/>
                <w:u w:val="none"/>
              </w:rPr>
            </w:pPr>
            <w:r>
              <w:rPr>
                <w:rFonts w:ascii="等线" w:eastAsia="等线" w:cs="等线"/>
                <w:b/>
                <w:i w:val="0"/>
                <w:color w:val="000000"/>
                <w:kern w:val="0"/>
                <w:sz w:val="18"/>
                <w:szCs w:val="18"/>
                <w:u w:val="none"/>
                <w:lang w:val="en-US" w:eastAsia="zh-CN"/>
              </w:rPr>
              <w:t>预算金额：</w:t>
            </w:r>
          </w:p>
        </w:tc>
        <w:tc>
          <w:tcPr>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hint="eastAsia"/>
                <w:i w:val="0"/>
                <w:color w:val="000000"/>
                <w:kern w:val="0"/>
                <w:sz w:val="18"/>
                <w:szCs w:val="18"/>
                <w:u w:val="none"/>
                <w:lang w:val="en-US" w:eastAsia="zh-CN"/>
              </w:rPr>
              <w:t>736.49</w:t>
            </w:r>
            <w:r>
              <w:rPr>
                <w:rFonts w:ascii="等线" w:eastAsia="等线" w:cs="等线"/>
                <w:i w:val="0"/>
                <w:color w:val="000000"/>
                <w:kern w:val="0"/>
                <w:sz w:val="18"/>
                <w:szCs w:val="18"/>
                <w:u w:val="none"/>
                <w:lang w:val="en-US" w:eastAsia="zh-CN"/>
              </w:rPr>
              <w:t>万元</w:t>
            </w:r>
          </w:p>
        </w:tc>
      </w:tr>
      <w:tr>
        <w:trPr>
          <w:trHeight w:val="503"/>
        </w:trPr>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等线" w:eastAsia="等线" w:cs="等线"/>
                <w:b/>
                <w:i w:val="0"/>
                <w:color w:val="000000"/>
                <w:sz w:val="18"/>
                <w:szCs w:val="18"/>
                <w:u w:val="none"/>
              </w:rPr>
            </w:pPr>
            <w:r>
              <w:rPr>
                <w:rFonts w:ascii="等线" w:eastAsia="等线" w:cs="等线"/>
                <w:b/>
                <w:i w:val="0"/>
                <w:color w:val="000000"/>
                <w:kern w:val="0"/>
                <w:sz w:val="18"/>
                <w:szCs w:val="18"/>
                <w:u w:val="none"/>
                <w:lang w:val="en-US" w:eastAsia="zh-CN"/>
              </w:rPr>
              <w:t>主管部门：</w:t>
            </w:r>
          </w:p>
        </w:tc>
        <w:tc>
          <w:tcPr>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132-金川县卫生健康局本级</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rPr>
                <w:rFonts w:ascii="等线" w:eastAsia="等线" w:cs="等线"/>
                <w:b/>
                <w:i w:val="0"/>
                <w:color w:val="000000"/>
                <w:sz w:val="18"/>
                <w:szCs w:val="18"/>
                <w:u w:val="none"/>
              </w:rPr>
            </w:pPr>
          </w:p>
        </w:tc>
        <w:tc>
          <w:tcPr>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jc w:val="left"/>
              <w:rPr>
                <w:rFonts w:ascii="等线" w:eastAsia="等线" w:cs="等线"/>
                <w:i w:val="0"/>
                <w:color w:val="000000"/>
                <w:sz w:val="18"/>
                <w:szCs w:val="18"/>
                <w:u w:val="none"/>
              </w:rPr>
            </w:pPr>
          </w:p>
        </w:tc>
      </w:tr>
      <w:tr>
        <w:trPr>
          <w:trHeight w:val="1380"/>
        </w:trPr>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等线" w:eastAsia="等线" w:cs="等线"/>
                <w:b/>
                <w:i w:val="0"/>
                <w:color w:val="000000"/>
                <w:sz w:val="18"/>
                <w:szCs w:val="18"/>
                <w:u w:val="none"/>
              </w:rPr>
            </w:pPr>
            <w:r>
              <w:rPr>
                <w:rFonts w:ascii="等线" w:eastAsia="等线" w:cs="等线"/>
                <w:b/>
                <w:i w:val="0"/>
                <w:color w:val="000000"/>
                <w:kern w:val="0"/>
                <w:sz w:val="18"/>
                <w:szCs w:val="18"/>
                <w:u w:val="none"/>
                <w:lang w:val="en-US" w:eastAsia="zh-CN"/>
              </w:rPr>
              <w:t>整体目标：</w:t>
            </w:r>
          </w:p>
        </w:tc>
        <w:tc>
          <w:tcPr>
            <w:tcW w:w="7155" w:type="dxa"/>
            <w:gridSpan w:val="6"/>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pPr>
              <w:keepNext w:val="0"/>
              <w:keepLines w:val="0"/>
              <w:widowControl/>
              <w:suppressLineNumbers w:val="0"/>
              <w:jc w:val="left"/>
              <w:textAlignment w:val="top"/>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目标一、通过预算执行，切实保障疾控中心在职人员的工资福利待遇发放以及单位的正常办公。                                                                       目标二、</w:t>
            </w:r>
            <w:bookmarkStart w:id="0" w:name="_GoBack"/>
            <w:bookmarkEnd w:id="0"/>
            <w:r>
              <w:rPr>
                <w:rFonts w:ascii="等线" w:eastAsia="等线" w:cs="等线"/>
                <w:i w:val="0"/>
                <w:color w:val="000000"/>
                <w:kern w:val="0"/>
                <w:sz w:val="18"/>
                <w:szCs w:val="18"/>
                <w:u w:val="none"/>
                <w:lang w:val="en-US" w:eastAsia="zh-CN"/>
              </w:rPr>
              <w:t>完成业务性专项的实施，重点围绕疾病预防与控制、突发公共卫生事业应急处置、疫情及相关因素信息管理、健康危害因素与控制、实验室检测分析与评价、健康教育与健康促进等方面等工作顺利进行</w:t>
            </w:r>
          </w:p>
        </w:tc>
      </w:tr>
      <w:tr>
        <w:trPr>
          <w:trHeight w:val="503"/>
        </w:trPr>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eastAsia="等线" w:cs="等线"/>
                <w:b/>
                <w:i w:val="0"/>
                <w:color w:val="000000"/>
                <w:sz w:val="18"/>
                <w:szCs w:val="18"/>
                <w:u w:val="none"/>
              </w:rPr>
            </w:pPr>
            <w:r>
              <w:rPr>
                <w:rFonts w:ascii="等线" w:eastAsia="等线" w:cs="等线"/>
                <w:b/>
                <w:i w:val="0"/>
                <w:color w:val="000000"/>
                <w:kern w:val="0"/>
                <w:sz w:val="18"/>
                <w:szCs w:val="18"/>
                <w:u w:val="none"/>
                <w:lang w:val="en-US" w:eastAsia="zh-CN"/>
              </w:rPr>
              <w:t>一级指标</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eastAsia="等线" w:cs="等线"/>
                <w:b/>
                <w:i w:val="0"/>
                <w:color w:val="000000"/>
                <w:sz w:val="18"/>
                <w:szCs w:val="18"/>
                <w:u w:val="none"/>
              </w:rPr>
            </w:pPr>
            <w:r>
              <w:rPr>
                <w:rFonts w:ascii="等线" w:eastAsia="等线" w:cs="等线"/>
                <w:b/>
                <w:i w:val="0"/>
                <w:color w:val="000000"/>
                <w:kern w:val="0"/>
                <w:sz w:val="18"/>
                <w:szCs w:val="18"/>
                <w:u w:val="none"/>
                <w:lang w:val="en-US" w:eastAsia="zh-CN"/>
              </w:rPr>
              <w:t>二级指标</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eastAsia="等线" w:cs="等线"/>
                <w:b/>
                <w:i w:val="0"/>
                <w:color w:val="000000"/>
                <w:sz w:val="18"/>
                <w:szCs w:val="18"/>
                <w:u w:val="none"/>
              </w:rPr>
            </w:pPr>
            <w:r>
              <w:rPr>
                <w:rFonts w:ascii="等线" w:eastAsia="等线" w:cs="等线"/>
                <w:b/>
                <w:i w:val="0"/>
                <w:color w:val="000000"/>
                <w:kern w:val="0"/>
                <w:sz w:val="18"/>
                <w:szCs w:val="18"/>
                <w:u w:val="none"/>
                <w:lang w:val="en-US" w:eastAsia="zh-CN"/>
              </w:rPr>
              <w:t>三级指标</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eastAsia="等线" w:cs="等线"/>
                <w:b/>
                <w:i w:val="0"/>
                <w:color w:val="000000"/>
                <w:sz w:val="18"/>
                <w:szCs w:val="18"/>
                <w:u w:val="none"/>
              </w:rPr>
            </w:pPr>
            <w:r>
              <w:rPr>
                <w:rFonts w:ascii="等线" w:eastAsia="等线" w:cs="等线"/>
                <w:b/>
                <w:i w:val="0"/>
                <w:color w:val="000000"/>
                <w:kern w:val="0"/>
                <w:sz w:val="18"/>
                <w:szCs w:val="18"/>
                <w:u w:val="none"/>
                <w:lang w:val="en-US" w:eastAsia="zh-CN"/>
              </w:rPr>
              <w:t>指标性质</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eastAsia="等线" w:cs="等线"/>
                <w:b/>
                <w:i w:val="0"/>
                <w:color w:val="000000"/>
                <w:sz w:val="18"/>
                <w:szCs w:val="18"/>
                <w:u w:val="none"/>
              </w:rPr>
            </w:pPr>
            <w:r>
              <w:rPr>
                <w:rFonts w:ascii="等线" w:eastAsia="等线" w:cs="等线"/>
                <w:b/>
                <w:i w:val="0"/>
                <w:color w:val="000000"/>
                <w:kern w:val="0"/>
                <w:sz w:val="18"/>
                <w:szCs w:val="18"/>
                <w:u w:val="none"/>
                <w:lang w:val="en-US" w:eastAsia="zh-CN"/>
              </w:rPr>
              <w:t>指标值</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eastAsia="等线" w:cs="等线"/>
                <w:b/>
                <w:i w:val="0"/>
                <w:color w:val="000000"/>
                <w:sz w:val="18"/>
                <w:szCs w:val="18"/>
                <w:u w:val="none"/>
              </w:rPr>
            </w:pPr>
            <w:r>
              <w:rPr>
                <w:rFonts w:ascii="等线" w:eastAsia="等线" w:cs="等线"/>
                <w:b/>
                <w:i w:val="0"/>
                <w:color w:val="000000"/>
                <w:kern w:val="0"/>
                <w:sz w:val="18"/>
                <w:szCs w:val="18"/>
                <w:u w:val="none"/>
                <w:lang w:val="en-US" w:eastAsia="zh-CN"/>
              </w:rPr>
              <w:t>度量单位</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eastAsia="等线" w:cs="等线"/>
                <w:b/>
                <w:i w:val="0"/>
                <w:color w:val="000000"/>
                <w:sz w:val="18"/>
                <w:szCs w:val="18"/>
                <w:u w:val="none"/>
              </w:rPr>
            </w:pPr>
            <w:r>
              <w:rPr>
                <w:rFonts w:ascii="等线" w:eastAsia="等线" w:cs="等线"/>
                <w:b/>
                <w:i w:val="0"/>
                <w:color w:val="000000"/>
                <w:kern w:val="0"/>
                <w:sz w:val="18"/>
                <w:szCs w:val="18"/>
                <w:u w:val="none"/>
                <w:lang w:val="en-US" w:eastAsia="zh-CN"/>
              </w:rPr>
              <w:t>备注</w:t>
            </w:r>
          </w:p>
        </w:tc>
      </w:tr>
      <w:tr>
        <w:trPr>
          <w:trHeight w:val="580"/>
        </w:trPr>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产出指标</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质量指标</w:t>
            </w:r>
          </w:p>
        </w:tc>
        <w:tc>
          <w:tcPr>
            <w:tcW w:w="20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完成本单位日常工作及县委县政府安排的其他工作</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100</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rPr>
                <w:rFonts w:ascii="等线" w:eastAsia="等线" w:cs="等线"/>
                <w:i w:val="0"/>
                <w:color w:val="000000"/>
                <w:sz w:val="18"/>
                <w:szCs w:val="18"/>
                <w:u w:val="none"/>
              </w:rPr>
            </w:pPr>
          </w:p>
        </w:tc>
      </w:tr>
      <w:tr>
        <w:trPr>
          <w:trHeight w:val="580"/>
        </w:trPr>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产出指标</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质量指标</w:t>
            </w:r>
          </w:p>
        </w:tc>
        <w:tc>
          <w:tcPr>
            <w:tcW w:w="20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专项资金专款专用、按时按质按量完成</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100</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rPr>
                <w:rFonts w:ascii="等线" w:eastAsia="等线" w:cs="等线"/>
                <w:i w:val="0"/>
                <w:color w:val="000000"/>
                <w:sz w:val="18"/>
                <w:szCs w:val="18"/>
                <w:u w:val="none"/>
              </w:rPr>
            </w:pPr>
          </w:p>
        </w:tc>
      </w:tr>
      <w:tr>
        <w:trPr>
          <w:trHeight w:val="580"/>
        </w:trPr>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产出指标</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质量指标</w:t>
            </w:r>
          </w:p>
        </w:tc>
        <w:tc>
          <w:tcPr>
            <w:tcW w:w="20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突发公共卫生事件处置率</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100</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rPr>
                <w:rFonts w:ascii="等线" w:eastAsia="等线" w:cs="等线"/>
                <w:i w:val="0"/>
                <w:color w:val="000000"/>
                <w:sz w:val="18"/>
                <w:szCs w:val="18"/>
                <w:u w:val="none"/>
              </w:rPr>
            </w:pPr>
          </w:p>
        </w:tc>
      </w:tr>
      <w:tr>
        <w:trPr>
          <w:trHeight w:val="580"/>
        </w:trPr>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产出指标</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时效指标</w:t>
            </w:r>
          </w:p>
        </w:tc>
        <w:tc>
          <w:tcPr>
            <w:tcW w:w="20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按时完成各项工作</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100</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rPr>
                <w:rFonts w:ascii="等线" w:eastAsia="等线" w:cs="等线"/>
                <w:i w:val="0"/>
                <w:color w:val="000000"/>
                <w:sz w:val="18"/>
                <w:szCs w:val="18"/>
                <w:u w:val="none"/>
              </w:rPr>
            </w:pPr>
          </w:p>
        </w:tc>
      </w:tr>
      <w:tr>
        <w:trPr>
          <w:trHeight w:val="580"/>
        </w:trPr>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ascii="等线" w:eastAsia="等线" w:cs="等线"/>
                <w:i w:val="0"/>
                <w:color w:val="000000"/>
                <w:sz w:val="22"/>
                <w:szCs w:val="22"/>
                <w:u w:val="none"/>
              </w:rPr>
            </w:pPr>
            <w:r>
              <w:rPr>
                <w:rFonts w:ascii="等线" w:eastAsia="等线" w:cs="等线"/>
                <w:i w:val="0"/>
                <w:color w:val="000000"/>
                <w:kern w:val="0"/>
                <w:sz w:val="22"/>
                <w:szCs w:val="22"/>
                <w:u w:val="none"/>
                <w:lang w:val="en-US" w:eastAsia="zh-CN"/>
              </w:rPr>
              <w:t>效益指标</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经济效益指标</w:t>
            </w:r>
          </w:p>
        </w:tc>
        <w:tc>
          <w:tcPr>
            <w:tcW w:w="20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提高资金使用率</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定性指标</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良好</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jc w:val="center"/>
              <w:rPr>
                <w:rFonts w:ascii="等线" w:eastAsia="等线" w:cs="等线"/>
                <w:i w:val="0"/>
                <w:color w:val="000000"/>
                <w:sz w:val="18"/>
                <w:szCs w:val="18"/>
                <w:u w:val="none"/>
              </w:rPr>
            </w:pP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rPr>
                <w:rFonts w:ascii="等线" w:eastAsia="等线" w:cs="等线"/>
                <w:i w:val="0"/>
                <w:color w:val="000000"/>
                <w:sz w:val="18"/>
                <w:szCs w:val="18"/>
                <w:u w:val="none"/>
              </w:rPr>
            </w:pPr>
          </w:p>
        </w:tc>
      </w:tr>
      <w:tr>
        <w:trPr>
          <w:trHeight w:val="740"/>
        </w:trPr>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效益指标</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社会效益指标</w:t>
            </w:r>
          </w:p>
        </w:tc>
        <w:tc>
          <w:tcPr>
            <w:tcW w:w="20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减少疾病的传播，增强人民体质，提高人民健康水平</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定性指标</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良好</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jc w:val="center"/>
              <w:rPr>
                <w:rFonts w:ascii="等线" w:eastAsia="等线" w:cs="等线"/>
                <w:i w:val="0"/>
                <w:color w:val="000000"/>
                <w:sz w:val="18"/>
                <w:szCs w:val="18"/>
                <w:u w:val="none"/>
              </w:rPr>
            </w:pP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rPr>
                <w:rFonts w:ascii="等线" w:eastAsia="等线" w:cs="等线"/>
                <w:i w:val="0"/>
                <w:color w:val="000000"/>
                <w:sz w:val="18"/>
                <w:szCs w:val="18"/>
                <w:u w:val="none"/>
              </w:rPr>
            </w:pPr>
          </w:p>
        </w:tc>
      </w:tr>
      <w:tr>
        <w:trPr>
          <w:trHeight w:val="580"/>
        </w:trPr>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效益指标</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可持续影响指标</w:t>
            </w:r>
          </w:p>
        </w:tc>
        <w:tc>
          <w:tcPr>
            <w:tcW w:w="20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人民防控意识持续提高</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定性指标</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持续提高</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jc w:val="center"/>
              <w:rPr>
                <w:rFonts w:ascii="等线" w:eastAsia="等线" w:cs="等线"/>
                <w:i w:val="0"/>
                <w:color w:val="000000"/>
                <w:sz w:val="18"/>
                <w:szCs w:val="18"/>
                <w:u w:val="none"/>
              </w:rPr>
            </w:pP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rPr>
                <w:rFonts w:ascii="等线" w:eastAsia="等线" w:cs="等线"/>
                <w:i w:val="0"/>
                <w:color w:val="000000"/>
                <w:sz w:val="18"/>
                <w:szCs w:val="18"/>
                <w:u w:val="none"/>
              </w:rPr>
            </w:pPr>
          </w:p>
        </w:tc>
      </w:tr>
      <w:tr>
        <w:trPr>
          <w:trHeight w:val="580"/>
        </w:trPr>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满意度指标</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满意度指标</w:t>
            </w:r>
          </w:p>
        </w:tc>
        <w:tc>
          <w:tcPr>
            <w:tcW w:w="20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受益群众满意度</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95</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rPr>
                <w:rFonts w:ascii="等线" w:eastAsia="等线" w:cs="等线"/>
                <w:i w:val="0"/>
                <w:color w:val="000000"/>
                <w:sz w:val="18"/>
                <w:szCs w:val="18"/>
                <w:u w:val="none"/>
              </w:rPr>
            </w:pPr>
          </w:p>
        </w:tc>
      </w:tr>
      <w:tr>
        <w:trPr>
          <w:trHeight w:val="580"/>
        </w:trPr>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满意度指标</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满意度指标</w:t>
            </w:r>
          </w:p>
        </w:tc>
        <w:tc>
          <w:tcPr>
            <w:tcW w:w="20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项目参与人员满意度</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95</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rPr>
                <w:rFonts w:ascii="等线" w:eastAsia="等线" w:cs="等线"/>
                <w:i w:val="0"/>
                <w:color w:val="000000"/>
                <w:sz w:val="18"/>
                <w:szCs w:val="18"/>
                <w:u w:val="none"/>
              </w:rPr>
            </w:pPr>
          </w:p>
        </w:tc>
      </w:tr>
      <w:tr>
        <w:trPr>
          <w:trHeight w:val="580"/>
        </w:trPr>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成本指标</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经济成本指标</w:t>
            </w:r>
          </w:p>
        </w:tc>
        <w:tc>
          <w:tcPr>
            <w:tcW w:w="20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成本控制</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eastAsia="等线" w:cs="等线"/>
                <w:i w:val="0"/>
                <w:color w:val="000000"/>
                <w:sz w:val="18"/>
                <w:szCs w:val="18"/>
                <w:u w:val="none"/>
                <w:lang w:val="en-US"/>
              </w:rPr>
            </w:pPr>
            <w:r>
              <w:rPr>
                <w:rFonts w:ascii="等线" w:eastAsia="等线" w:cs="等线" w:hint="eastAsia"/>
                <w:i w:val="0"/>
                <w:color w:val="000000"/>
                <w:kern w:val="0"/>
                <w:sz w:val="18"/>
                <w:szCs w:val="18"/>
                <w:u w:val="none"/>
                <w:lang w:val="en-US" w:eastAsia="zh-CN"/>
              </w:rPr>
              <w:t>736.49</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万元</w:t>
            </w:r>
          </w:p>
        </w:tc>
        <w:tc>
          <w:tcPr>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rPr>
                <w:rFonts w:ascii="等线" w:eastAsia="等线" w:cs="等线"/>
                <w:i w:val="0"/>
                <w:color w:val="000000"/>
                <w:sz w:val="18"/>
                <w:szCs w:val="18"/>
                <w:u w:val="none"/>
              </w:rPr>
            </w:pPr>
          </w:p>
        </w:tc>
      </w:tr>
    </w:tbl>
    <w:p>
      <w:pPr>
        <w:pStyle w:val="15"/>
        <w:tabs>
          <w:tab w:val="center" w:pos="4153"/>
          <w:tab w:val="right" w:pos="8306"/>
        </w:tabs>
        <w:ind w:left="0" w:firstLineChars="200" w:firstLine="640"/>
        <w:rPr>
          <w:rFonts w:ascii="仿宋_GB2312" w:eastAsia="仿宋_GB2312" w:cs="仿宋_GB2312" w:hint="eastAsia"/>
          <w:sz w:val="32"/>
          <w:szCs w:val="32"/>
          <w:lang w:val="en-US" w:eastAsia="zh-CN"/>
        </w:rPr>
      </w:pPr>
    </w:p>
    <w:p>
      <w:pPr>
        <w:ind w:left="0" w:firstLineChars="200" w:firstLine="640"/>
        <w:rPr>
          <w:rFonts w:ascii="黑体" w:eastAsia="黑体" w:cs="黑体" w:hint="eastAsia"/>
          <w:sz w:val="32"/>
          <w:szCs w:val="32"/>
          <w:lang w:val="en-US" w:eastAsia="zh-CN"/>
        </w:rPr>
      </w:pPr>
      <w:r>
        <w:rPr>
          <w:rFonts w:ascii="黑体" w:eastAsia="黑体" w:cs="黑体" w:hint="eastAsia"/>
          <w:sz w:val="32"/>
          <w:szCs w:val="32"/>
          <w:lang w:val="en-US" w:eastAsia="zh-CN"/>
        </w:rPr>
        <w:t>三、重点项目绩效目标。</w:t>
      </w:r>
    </w:p>
    <w:p>
      <w:pPr>
        <w:ind w:firstLineChars="200" w:firstLine="640"/>
        <w:rPr>
          <w:rFonts w:ascii="仿宋_GB2312" w:eastAsia="仿宋_GB2312" w:cs="仿宋_GB2312" w:hint="eastAsia"/>
          <w:sz w:val="32"/>
          <w:szCs w:val="32"/>
          <w:lang w:val="en-US" w:eastAsia="zh-CN"/>
        </w:rPr>
      </w:pPr>
      <w:r>
        <w:rPr>
          <w:rFonts w:ascii="仿宋_GB2312" w:eastAsia="仿宋_GB2312" w:cs="仿宋_GB2312" w:hint="eastAsia"/>
          <w:sz w:val="32"/>
          <w:szCs w:val="32"/>
          <w:lang w:val="en-US" w:eastAsia="zh-CN"/>
        </w:rPr>
        <w:t>重点项目1：严重精神障碍患者监护人以奖代补</w:t>
      </w:r>
    </w:p>
    <w:p>
      <w:pPr>
        <w:ind w:firstLineChars="200" w:firstLine="640"/>
        <w:rPr>
          <w:rFonts w:ascii="仿宋_GB2312" w:eastAsia="仿宋_GB2312" w:cs="仿宋_GB2312" w:hint="eastAsia"/>
          <w:sz w:val="32"/>
          <w:szCs w:val="32"/>
          <w:lang w:val="en-US" w:eastAsia="zh-CN"/>
        </w:rPr>
      </w:pPr>
      <w:r>
        <w:rPr>
          <w:rFonts w:ascii="仿宋_GB2312" w:eastAsia="仿宋_GB2312" w:cs="仿宋_GB2312" w:hint="eastAsia"/>
          <w:sz w:val="32"/>
          <w:szCs w:val="32"/>
          <w:lang w:val="en-US" w:eastAsia="zh-CN"/>
        </w:rPr>
        <w:t>项目年度绩效目标：完成2024年严重精神障碍患者监护人以奖代补工作</w:t>
      </w:r>
    </w:p>
    <w:p>
      <w:pPr>
        <w:ind w:firstLineChars="200" w:firstLine="640"/>
        <w:rPr>
          <w:rFonts w:ascii="仿宋_GB2312" w:eastAsia="仿宋_GB2312" w:cs="仿宋_GB2312" w:hint="eastAsia"/>
          <w:sz w:val="32"/>
          <w:szCs w:val="32"/>
          <w:lang w:val="en-US" w:eastAsia="zh-CN"/>
        </w:rPr>
      </w:pPr>
      <w:r>
        <w:rPr>
          <w:rFonts w:ascii="仿宋_GB2312" w:eastAsia="仿宋_GB2312" w:cs="仿宋_GB2312" w:hint="eastAsia"/>
          <w:sz w:val="32"/>
          <w:szCs w:val="32"/>
          <w:lang w:val="en-US" w:eastAsia="zh-CN"/>
        </w:rPr>
        <w:t>绩效指标设置情况：细化指标7个，包括产出指标、成本指标、效益指标和满意度指标。</w:t>
      </w:r>
    </w:p>
    <w:p>
      <w:pPr>
        <w:ind w:firstLineChars="200" w:firstLine="640"/>
        <w:rPr>
          <w:rFonts w:ascii="仿宋_GB2312" w:eastAsia="仿宋_GB2312" w:cs="仿宋_GB2312" w:hint="eastAsia"/>
          <w:sz w:val="32"/>
          <w:szCs w:val="32"/>
          <w:lang w:val="en-US" w:eastAsia="zh-CN"/>
        </w:rPr>
      </w:pPr>
      <w:r>
        <w:rPr>
          <w:rFonts w:ascii="仿宋_GB2312" w:eastAsia="仿宋_GB2312" w:cs="仿宋_GB2312" w:hint="eastAsia"/>
          <w:sz w:val="32"/>
          <w:szCs w:val="32"/>
          <w:lang w:val="en-US" w:eastAsia="zh-CN"/>
        </w:rPr>
        <w:t>重点项目2：艾滋病防治</w:t>
      </w:r>
    </w:p>
    <w:p>
      <w:pPr>
        <w:ind w:firstLineChars="200" w:firstLine="640"/>
        <w:rPr>
          <w:rFonts w:ascii="仿宋_GB2312" w:eastAsia="仿宋_GB2312" w:cs="仿宋_GB2312" w:hint="eastAsia"/>
          <w:sz w:val="32"/>
          <w:szCs w:val="32"/>
          <w:lang w:val="en-US" w:eastAsia="zh-CN"/>
        </w:rPr>
      </w:pPr>
      <w:r>
        <w:rPr>
          <w:rFonts w:ascii="仿宋_GB2312" w:eastAsia="仿宋_GB2312" w:cs="仿宋_GB2312" w:hint="eastAsia"/>
          <w:sz w:val="32"/>
          <w:szCs w:val="32"/>
          <w:lang w:val="en-US" w:eastAsia="zh-CN"/>
        </w:rPr>
        <w:t>项目年度绩效目标：进一步明确任务、压实责任，有效遏制艾滋病疫情蔓延势头</w:t>
      </w:r>
    </w:p>
    <w:p>
      <w:pPr>
        <w:ind w:firstLineChars="200" w:firstLine="640"/>
        <w:rPr>
          <w:rFonts w:ascii="仿宋_GB2312" w:eastAsia="仿宋_GB2312" w:cs="仿宋_GB2312" w:hint="eastAsia"/>
          <w:sz w:val="32"/>
          <w:szCs w:val="32"/>
          <w:lang w:val="en-US" w:eastAsia="zh-CN"/>
        </w:rPr>
      </w:pPr>
      <w:r>
        <w:rPr>
          <w:rFonts w:ascii="仿宋_GB2312" w:eastAsia="仿宋_GB2312" w:cs="仿宋_GB2312" w:hint="eastAsia"/>
          <w:sz w:val="32"/>
          <w:szCs w:val="32"/>
          <w:lang w:val="en-US" w:eastAsia="zh-CN"/>
        </w:rPr>
        <w:t>绩效指标设置情况：细化指标9个，包括产出指标、成本指标、效益指标和满意度指标。</w:t>
      </w:r>
    </w:p>
    <w:p>
      <w:pPr>
        <w:ind w:firstLineChars="200" w:firstLine="640"/>
        <w:rPr>
          <w:rFonts w:ascii="仿宋_GB2312" w:eastAsia="仿宋_GB2312" w:cs="仿宋_GB2312" w:hint="eastAsia"/>
          <w:sz w:val="32"/>
          <w:szCs w:val="32"/>
          <w:lang w:val="en-US" w:eastAsia="zh-CN"/>
        </w:rPr>
      </w:pPr>
      <w:r>
        <w:rPr>
          <w:rFonts w:ascii="仿宋_GB2312" w:eastAsia="仿宋_GB2312" w:cs="仿宋_GB2312" w:hint="eastAsia"/>
          <w:sz w:val="32"/>
          <w:szCs w:val="32"/>
          <w:lang w:val="en-US" w:eastAsia="zh-CN"/>
        </w:rPr>
        <w:t>重点项目3：结核病防治</w:t>
      </w:r>
    </w:p>
    <w:p>
      <w:pPr>
        <w:ind w:firstLineChars="200" w:firstLine="640"/>
        <w:rPr>
          <w:rFonts w:ascii="仿宋_GB2312" w:eastAsia="仿宋_GB2312" w:cs="仿宋_GB2312" w:hint="eastAsia"/>
          <w:sz w:val="32"/>
          <w:szCs w:val="32"/>
          <w:lang w:val="en-US" w:eastAsia="zh-CN"/>
        </w:rPr>
      </w:pPr>
      <w:r>
        <w:rPr>
          <w:rFonts w:ascii="仿宋_GB2312" w:eastAsia="仿宋_GB2312" w:cs="仿宋_GB2312" w:hint="eastAsia"/>
          <w:sz w:val="32"/>
          <w:szCs w:val="32"/>
          <w:lang w:val="en-US" w:eastAsia="zh-CN"/>
        </w:rPr>
        <w:t>项目年度绩效目标：为进一步遏制结核病流行，推进健康四川建设，贯彻落实《“健康四川2030”规划纲要》，全面加强结核病防治工作，进一步完善综合防治模式，强化各项防治措施落实绩效指标设置情况：细化指标9个，包括产出指标、成本指标、效益指标和满意度指标。</w:t>
      </w:r>
    </w:p>
    <w:p>
      <w:pPr>
        <w:ind w:firstLineChars="200" w:firstLine="640"/>
        <w:rPr>
          <w:rFonts w:ascii="仿宋_GB2312" w:eastAsia="仿宋_GB2312" w:cs="仿宋_GB2312" w:hint="eastAsia"/>
          <w:sz w:val="32"/>
          <w:szCs w:val="32"/>
          <w:lang w:val="en-US" w:eastAsia="zh-CN"/>
        </w:rPr>
      </w:pPr>
      <w:r>
        <w:rPr>
          <w:rFonts w:ascii="仿宋_GB2312" w:eastAsia="仿宋_GB2312" w:cs="仿宋_GB2312" w:hint="eastAsia"/>
          <w:sz w:val="32"/>
          <w:szCs w:val="32"/>
          <w:lang w:val="en-US" w:eastAsia="zh-CN"/>
        </w:rPr>
        <w:t>绩效指标设置情况：细化指标8个，包括产出指标、成本指标、效益指标和满意度指标。</w:t>
      </w:r>
    </w:p>
    <w:p>
      <w:pPr>
        <w:ind w:firstLineChars="200" w:firstLine="640"/>
        <w:rPr>
          <w:rFonts w:ascii="仿宋_GB2312" w:eastAsia="仿宋_GB2312" w:cs="仿宋_GB2312" w:hint="eastAsia"/>
          <w:sz w:val="32"/>
          <w:szCs w:val="32"/>
          <w:lang w:val="en-US" w:eastAsia="zh-CN"/>
        </w:rPr>
      </w:pPr>
      <w:r>
        <w:rPr>
          <w:rFonts w:ascii="仿宋_GB2312" w:eastAsia="仿宋_GB2312" w:cs="仿宋_GB2312" w:hint="eastAsia"/>
          <w:sz w:val="32"/>
          <w:szCs w:val="32"/>
          <w:lang w:val="en-US" w:eastAsia="zh-CN"/>
        </w:rPr>
        <w:t>重点项目4：传染病报告信息管理</w:t>
      </w:r>
    </w:p>
    <w:p>
      <w:pPr>
        <w:ind w:firstLineChars="200" w:firstLine="640"/>
        <w:rPr>
          <w:rFonts w:ascii="仿宋_GB2312" w:eastAsia="仿宋_GB2312" w:cs="仿宋_GB2312" w:hint="eastAsia"/>
          <w:sz w:val="32"/>
          <w:szCs w:val="32"/>
          <w:lang w:val="en-US" w:eastAsia="zh-CN"/>
        </w:rPr>
      </w:pPr>
      <w:r>
        <w:rPr>
          <w:rFonts w:ascii="仿宋_GB2312" w:eastAsia="仿宋_GB2312" w:cs="仿宋_GB2312" w:hint="eastAsia"/>
          <w:sz w:val="32"/>
          <w:szCs w:val="32"/>
          <w:lang w:val="en-US" w:eastAsia="zh-CN"/>
        </w:rPr>
        <w:t>项目年度绩效目标：了解各级医疗卫生机构法定传染病信息报告与管理、信息安全管理、综合管理及舆情监测工作现状及存在的问题，进一步提高传染病信息报告质量</w:t>
      </w:r>
    </w:p>
    <w:p>
      <w:pPr>
        <w:ind w:firstLineChars="200" w:firstLine="640"/>
        <w:rPr>
          <w:rFonts w:ascii="仿宋_GB2312" w:eastAsia="仿宋_GB2312" w:cs="仿宋_GB2312" w:hint="eastAsia"/>
          <w:sz w:val="32"/>
          <w:szCs w:val="32"/>
          <w:lang w:val="en-US" w:eastAsia="zh-CN"/>
        </w:rPr>
      </w:pPr>
      <w:r>
        <w:rPr>
          <w:rFonts w:ascii="仿宋_GB2312" w:eastAsia="仿宋_GB2312" w:cs="仿宋_GB2312" w:hint="eastAsia"/>
          <w:sz w:val="32"/>
          <w:szCs w:val="32"/>
          <w:lang w:val="en-US" w:eastAsia="zh-CN"/>
        </w:rPr>
        <w:t>绩效指标设置情况：细化指标8个，包括产出指标、成本指标、效益指标和满意度指标。</w:t>
      </w:r>
    </w:p>
    <w:p>
      <w:pPr>
        <w:rPr>
          <w:rFonts w:ascii="仿宋_GB2312" w:eastAsia="仿宋_GB2312" w:cs="仿宋_GB2312" w:hint="eastAsia"/>
          <w:sz w:val="32"/>
          <w:szCs w:val="32"/>
          <w:lang w:val="en-US" w:eastAsia="zh-CN"/>
        </w:rPr>
      </w:pPr>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altName w:val="微软雅黑"/>
    <w:panose1 w:val="03000509000000000000"/>
    <w:charset w:val="86"/>
    <w:family w:val="auto"/>
    <w:pitch w:val="variable"/>
    <w:sig w:usb0="00000000" w:usb1="00000000" w:usb2="00000000" w:usb3="00000000" w:csb0="00040000" w:csb1="00000000"/>
  </w:font>
  <w:font w:name="仿宋_GB2312">
    <w:panose1 w:val="02010609030101010101"/>
    <w:charset w:val="86"/>
    <w:family w:val="auto"/>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等线">
    <w:altName w:val="微软雅黑"/>
    <w:panose1 w:val="00000000000000000000"/>
    <w:charset w:val="00"/>
    <w:family w:val="auto"/>
    <w:pitch w:val="variable"/>
    <w:sig w:usb0="00000000" w:usb1="00000000" w:usb2="00000000" w:usb3="00000000" w:csb0="00000000" w:csb1="00000000"/>
  </w:font>
  <w:font w:name="Times New Roman">
    <w:panose1 w:val="02020603050405020304"/>
    <w:charset w:val="86"/>
    <w:family w:val="auto"/>
    <w:pitch w:val="variable"/>
    <w:sig w:usb0="E0002EFF" w:usb1="C000785B" w:usb2="00000009" w:usb3="00000000" w:csb0="400001FF" w:csb1="FFFF0000"/>
  </w:font>
  <w:font w:name="宋体">
    <w:panose1 w:val="02010600030101010101"/>
    <w:charset w:val="86"/>
    <w:family w:val="auto"/>
    <w:pitch w:val="variable"/>
    <w:sig w:usb0="00000003" w:usb1="288F0000" w:usb2="00000006" w:usb3="00000000" w:csb0="00040001" w:csb1="00000000"/>
  </w:font>
  <w:font w:name="Calibri">
    <w:altName w:val="Segoe UI"/>
    <w:panose1 w:val="020F0502020204030204"/>
    <w:charset w:val="00"/>
    <w:family w:val="swiss"/>
    <w:pitch w:val="variable"/>
    <w:sig w:usb0="00000000" w:usb1="00000000" w:usb2="00000001" w:usb3="00000000" w:csb0="0000019F" w:csb1="00000000"/>
  </w:font>
  <w:font w:name="Arial">
    <w:panose1 w:val="020B0604020202020204"/>
    <w:charset w:val="01"/>
    <w:family w:val="swiss"/>
    <w:pitch w:val="variable"/>
    <w:sig w:usb0="E0002EFF" w:usb1="C000785B" w:usb2="00000009" w:usb3="00000000" w:csb0="400001FF" w:csb1="FFFF0000"/>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E5FD0A63"/>
    <w:multiLevelType w:val="singleLevel"/>
    <w:tmpl w:val="E5FD0A63"/>
    <w:lvl w:ilvl="0">
      <w:start w:val="2"/>
      <w:numFmt w:val="chineseCounting"/>
      <w:lvlRestart w:val="0"/>
      <w:suff w:val="nothing"/>
      <w:lvlText w:val="%1、"/>
      <w:lvlJc w:val="left"/>
      <w:pPr>
        <w:ind w:left="0" w:hanging="0"/>
      </w:pPr>
      <w:rPr>
        <w:rFonts w:hint="eastAsia"/>
      </w:rPr>
    </w:lvl>
  </w:abstractNum>
  <w:num w:numId="1">
    <w:abstractNumId w:val="0"/>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doNotDisplayPageBoundaries/>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characterSpacingControl w:val="compressPunctuation"/>
  <w:compat>
    <w:spaceForUL/>
    <w:balanceSingleByteDoubleByteWidth/>
    <w:ulTrailSpace/>
    <w:doNotExpandShiftReturn/>
    <w:adjustLineHeightInTable/>
    <w:doNotUseIndentAsNumberingTabStop/>
    <w:useAltKinsokuLineBreakRules/>
    <w:compatSetting w:name="compatibilityMode" w:uri="http://schemas.microsoft.com/office/word" w:val="14"/>
  </w:compat>
  <w:docVars>
    <w:docVar w:name="commondata" w:val="eyJoZGlkIjoiMDU5MjY2NWVlNzBmMTAxM2VkMjY1NWU0ZjA0ZmNhMD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autoRedefine/>
    <w:next w:val="15"/>
    <w:pPr>
      <w:widowControl w:val="0"/>
      <w:jc w:val="both"/>
    </w:pPr>
    <w:rPr>
      <w:rFonts w:ascii="Calibri" w:eastAsia="宋体" w:cs="Arial" w:hAnsi="Calibri"/>
      <w:kern w:val="2"/>
      <w:sz w:val="21"/>
      <w:szCs w:val="24"/>
      <w:lang w:val="en-US" w:eastAsia="zh-CN" w:bidi="ar-SA"/>
    </w:rPr>
  </w:style>
  <w:style w:type="paragraph" w:styleId="1">
    <w:name w:val="heading 1"/>
    <w:basedOn w:val="0"/>
    <w:next w:val="0"/>
    <w:pPr>
      <w:keepNext/>
      <w:keepLines/>
      <w:spacing w:before="340" w:after="330" w:line="578" w:lineRule="auto"/>
      <w:outlineLvl w:val="0"/>
    </w:pPr>
    <w:rPr>
      <w:b/>
      <w:bCs/>
      <w:kern w:val="44"/>
      <w:sz w:val="44"/>
    </w:rPr>
  </w:style>
  <w:style w:type="paragraph" w:styleId="2">
    <w:name w:val="heading 2"/>
    <w:basedOn w:val="0"/>
    <w:next w:val="0"/>
    <w:pPr>
      <w:keepNext/>
      <w:keepLines/>
      <w:spacing w:before="260" w:after="260" w:line="415" w:lineRule="auto"/>
      <w:outlineLvl w:val="1"/>
    </w:pPr>
    <w:rPr>
      <w:rFonts w:ascii="Times New Roman" w:eastAsia="黑体" w:hAnsi="Times New Roman"/>
      <w:b/>
      <w:sz w:val="32"/>
    </w:rPr>
  </w:style>
  <w:style w:type="paragraph" w:styleId="3">
    <w:name w:val="heading 3"/>
    <w:basedOn w:val="0"/>
    <w:next w:val="0"/>
    <w:pPr>
      <w:keepNext/>
      <w:keepLines/>
      <w:spacing w:before="260" w:after="260" w:line="415" w:lineRule="auto"/>
      <w:outlineLvl w:val="2"/>
    </w:pPr>
    <w:rPr>
      <w:b/>
      <w:sz w:val="32"/>
    </w:rPr>
  </w:style>
  <w:style w:type="character" w:default="1" w:styleId="10">
    <w:name w:val="Default Paragraph Font"/>
    <w:autoRedefine/>
  </w:style>
  <w:style w:type="paragraph" w:styleId="15">
    <w:name w:val="footer"/>
    <w:basedOn w:val="0"/>
    <w:autoRedefine/>
    <w:pPr>
      <w:tabs>
        <w:tab w:val="center" w:pos="4153"/>
        <w:tab w:val="right" w:pos="8306"/>
      </w:tabs>
      <w:snapToGrid w:val="0"/>
      <w:jc w:val="left"/>
    </w:pPr>
    <w:rPr>
      <w:sz w:val="18"/>
    </w:rPr>
  </w:style>
  <w:style w:type="paragraph" w:styleId="16">
    <w:name w:val="Normal (Web)"/>
    <w:basedOn w:val="0"/>
    <w:pPr>
      <w:spacing w:before="0" w:beforeAutospacing="1" w:after="0" w:afterAutospacing="1"/>
      <w:ind w:left="0" w:right="0"/>
      <w:jc w:val="left"/>
    </w:pPr>
    <w:rPr>
      <w:kern w:val="0"/>
      <w:sz w:val="24"/>
      <w:lang w:val="en-US" w:eastAsia="zh-CN"/>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9</TotalTime>
  <Application>Yozo_Office27021597764231179</Application>
  <Pages>3</Pages>
  <Words>1119</Words>
  <Characters>1168</Characters>
  <Lines>146</Lines>
  <Paragraphs>92</Paragraphs>
  <CharactersWithSpaces>1241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Administrator</cp:lastModifiedBy>
  <cp:revision>1</cp:revision>
  <dcterms:created xsi:type="dcterms:W3CDTF">2023-02-06T06:46:00Z</dcterms:created>
  <dcterms:modified xsi:type="dcterms:W3CDTF">2024-03-13T07:54:39Z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2052-12.1.0.16388</vt:lpwstr>
  </property>
  <property fmtid="{D5CDD505-2E9C-101B-9397-08002B2CF9AE}" pid="3" name="ICV">
    <vt:lpwstr>086C0E36E12C49C8A1B2E5DBB92285E5_12</vt:lpwstr>
  </property>
</Properties>
</file>