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方正小标宋_GBK" w:eastAsia="方正小标宋_GBK" w:cs="方正小标宋_GBK"/>
          <w:sz w:val="44"/>
          <w:szCs w:val="44"/>
          <w:lang w:eastAsia="zh-CN"/>
        </w:rPr>
      </w:pPr>
      <w:r>
        <w:rPr>
          <w:rFonts w:ascii="方正小标宋_GBK" w:eastAsia="方正小标宋_GBK" w:cs="方正小标宋_GBK"/>
          <w:sz w:val="44"/>
          <w:szCs w:val="44"/>
          <w:lang w:val="en-US" w:eastAsia="zh-CN"/>
        </w:rPr>
        <w:t>金川县</w:t>
      </w:r>
      <w:r>
        <w:rPr>
          <w:rFonts w:ascii="方正小标宋_GBK" w:eastAsia="方正小标宋_GBK" w:cs="方正小标宋_GBK" w:hint="eastAsia"/>
          <w:sz w:val="44"/>
          <w:szCs w:val="44"/>
          <w:lang w:val="en-US" w:eastAsia="zh-CN"/>
        </w:rPr>
        <w:t>2024年金川县人民医院部门</w:t>
      </w:r>
      <w:r>
        <w:rPr>
          <w:rFonts w:ascii="方正小标宋_GBK" w:eastAsia="方正小标宋_GBK" w:cs="方正小标宋_GBK" w:hint="eastAsia"/>
          <w:sz w:val="44"/>
          <w:szCs w:val="44"/>
        </w:rPr>
        <w:t>预算绩效目标情况说明</w:t>
      </w:r>
    </w:p>
    <w:p>
      <w:pPr>
        <w:pStyle w:val="15"/>
        <w:tabs>
          <w:tab w:val="center" w:pos="4153"/>
          <w:tab w:val="right" w:pos="8306"/>
        </w:tabs>
        <w:jc w:val="left"/>
      </w:pPr>
    </w:p>
    <w:p>
      <w:pPr>
        <w:spacing w:line="560" w:lineRule="exact"/>
        <w:ind w:firstLineChars="200" w:firstLine="640"/>
        <w:rPr>
          <w:rFonts w:ascii="仿宋_GB2312" w:eastAsia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cs="仿宋_GB2312" w:hint="eastAsia"/>
          <w:sz w:val="32"/>
          <w:szCs w:val="32"/>
          <w:lang w:val="en-US" w:eastAsia="zh-CN"/>
        </w:rPr>
        <w:t>2024年，我单位部门预算2911.80万元 ，均严格按绩效管理要求实现项目绩效目标管理，其中重点项目预算0个，现将情况说明如下：</w:t>
      </w:r>
    </w:p>
    <w:p>
      <w:pPr>
        <w:spacing w:line="560" w:lineRule="exact"/>
        <w:ind w:firstLineChars="200" w:firstLine="640"/>
        <w:rPr>
          <w:rFonts w:ascii="黑体" w:eastAsia="黑体" w:cs="黑体" w:hint="eastAsia"/>
          <w:sz w:val="32"/>
          <w:szCs w:val="32"/>
          <w:lang w:val="en-US" w:eastAsia="zh-CN"/>
        </w:rPr>
      </w:pPr>
      <w:r>
        <w:rPr>
          <w:rFonts w:ascii="黑体" w:eastAsia="黑体" w:cs="黑体" w:hint="eastAsia"/>
          <w:sz w:val="32"/>
          <w:szCs w:val="32"/>
          <w:lang w:val="en-US" w:eastAsia="zh-CN"/>
        </w:rPr>
        <w:t>一、单位预算绩效管理工作开展情况。</w:t>
      </w:r>
    </w:p>
    <w:p>
      <w:pPr>
        <w:spacing w:line="560" w:lineRule="exact"/>
        <w:ind w:firstLineChars="200" w:firstLine="640"/>
        <w:rPr>
          <w:rFonts w:ascii="仿宋_GB2312" w:eastAsia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cs="仿宋_GB2312" w:hint="eastAsia"/>
          <w:sz w:val="32"/>
          <w:szCs w:val="32"/>
          <w:lang w:val="en-US" w:eastAsia="zh-CN"/>
        </w:rPr>
        <w:t>完成了2024年本级部门预算整体绩效目标申报和0个项目预算绩效目标申报，并编报0个项目预算事前绩效评估报告。</w:t>
      </w:r>
    </w:p>
    <w:p>
      <w:pPr>
        <w:numPr>
          <w:ilvl w:val="0"/>
          <w:numId w:val="1"/>
        </w:numPr>
        <w:spacing w:line="560" w:lineRule="exact"/>
        <w:ind w:left="0" w:firstLineChars="200" w:firstLine="640"/>
        <w:rPr>
          <w:rFonts w:ascii="黑体" w:eastAsia="黑体" w:cs="黑体" w:hint="eastAsia"/>
          <w:sz w:val="32"/>
          <w:szCs w:val="32"/>
          <w:lang w:val="en-US" w:eastAsia="zh-CN"/>
        </w:rPr>
      </w:pPr>
      <w:r>
        <w:rPr>
          <w:rFonts w:ascii="黑体" w:eastAsia="黑体" w:cs="黑体" w:hint="eastAsia"/>
          <w:sz w:val="32"/>
          <w:szCs w:val="32"/>
          <w:lang w:val="en-US" w:eastAsia="zh-CN"/>
        </w:rPr>
        <w:t>单位整体绩效目标。</w:t>
      </w:r>
    </w:p>
    <w:tbl>
      <w:tblPr>
        <w:jc w:val="left"/>
        <w:tblInd w:w="93" w:type="dxa"/>
        <w:tblW w:w="7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shd w:val="clear" w:color="auto" w:fill="auto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"/>
        <w:gridCol w:w="225"/>
        <w:gridCol w:w="1675"/>
        <w:gridCol w:w="3720"/>
        <w:gridCol w:w="1185"/>
        <w:gridCol w:w="720"/>
      </w:tblGrid>
      <w:tr>
        <w:trPr>
          <w:trHeight w:val="270"/>
        </w:trPr>
        <w:tc>
          <w:tcPr>
            <w:tcW w:w="2124" w:type="dxa"/>
            <w:gridSpan w:val="3"/>
            <w:tcBorders>
              <w:top w:val="single" w:sz="4" w:space="0" w:color="A9A9A9"/>
              <w:left w:val="single" w:sz="4" w:space="0" w:color="A9A9A9"/>
              <w:bottom w:val="nil"/>
              <w:right w:val="single" w:sz="4" w:space="0" w:color="A9A9A9"/>
            </w:tcBorders>
            <w:shd w:val="clear" w:color="auto" w:fill="D3D3D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绩效指标</w:t>
            </w:r>
          </w:p>
        </w:tc>
        <w:tc>
          <w:tcPr>
            <w:tcW w:w="3720" w:type="dxa"/>
            <w:tcBorders>
              <w:top w:val="single" w:sz="4" w:space="0" w:color="A9A9A9"/>
              <w:left w:val="single" w:sz="4" w:space="0" w:color="A9A9A9"/>
              <w:bottom w:val="nil"/>
              <w:right w:val="single" w:sz="4" w:space="0" w:color="A9A9A9"/>
            </w:tcBorders>
            <w:shd w:val="clear" w:color="auto" w:fill="D3D3D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指标名称</w:t>
            </w:r>
          </w:p>
        </w:tc>
        <w:tc>
          <w:tcPr>
            <w:tcW w:w="1185" w:type="dxa"/>
            <w:tcBorders>
              <w:top w:val="single" w:sz="4" w:space="0" w:color="A9A9A9"/>
              <w:left w:val="single" w:sz="4" w:space="0" w:color="A9A9A9"/>
              <w:bottom w:val="nil"/>
              <w:right w:val="single" w:sz="4" w:space="0" w:color="A9A9A9"/>
            </w:tcBorders>
            <w:shd w:val="clear" w:color="auto" w:fill="D3D3D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指标值</w:t>
            </w:r>
          </w:p>
        </w:tc>
        <w:tc>
          <w:tcPr>
            <w:tcW w:w="720" w:type="dxa"/>
            <w:tcBorders>
              <w:top w:val="single" w:sz="4" w:space="0" w:color="A9A9A9"/>
              <w:left w:val="single" w:sz="4" w:space="0" w:color="A9A9A9"/>
              <w:bottom w:val="nil"/>
              <w:right w:val="single" w:sz="4" w:space="0" w:color="A9A9A9"/>
            </w:tcBorders>
            <w:shd w:val="clear" w:color="auto" w:fill="D3D3D3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度量单位</w:t>
            </w:r>
          </w:p>
        </w:tc>
      </w:tr>
      <w:tr>
        <w:trPr>
          <w:trHeight w:val="675"/>
        </w:trPr>
        <w:tc>
          <w:tcPr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总体目标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承担本县居民的预防、医疗和保健任务；对本县内传染病、职业病和非传染性慢性病的防控。强化本县内医疗救治体系，有效应对各种突发公共卫生事件。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全面面向基层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rPr>
          <w:trHeight w:val="270"/>
        </w:trPr>
        <w:tc>
          <w:tcPr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绩效指标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rPr>
          <w:trHeight w:val="270"/>
        </w:trPr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完成指标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rPr>
          <w:trHeight w:val="270"/>
        </w:trPr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数量指标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rPr>
          <w:trHeight w:val="270"/>
        </w:trPr>
        <w:tc>
          <w:tcPr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数量指标</w:t>
            </w: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1；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开展全县常见病、多发病治疗工资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≥</w:t>
            </w: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360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天</w:t>
            </w:r>
          </w:p>
        </w:tc>
      </w:tr>
      <w:tr>
        <w:trPr>
          <w:trHeight w:val="450"/>
        </w:trPr>
        <w:tc>
          <w:tcPr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数量指标</w:t>
            </w: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2；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承担急危重症抢救和</w:t>
            </w: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复杂疑难病症</w:t>
            </w: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治疗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≥</w:t>
            </w: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次</w:t>
            </w:r>
          </w:p>
        </w:tc>
      </w:tr>
      <w:tr>
        <w:trPr>
          <w:trHeight w:val="675"/>
        </w:trPr>
        <w:tc>
          <w:tcPr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数量指标</w:t>
            </w: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3；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承担全县120急救和各类突发事故的现场抢救及院内急救；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≥</w:t>
            </w: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200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次</w:t>
            </w:r>
          </w:p>
        </w:tc>
      </w:tr>
      <w:tr>
        <w:trPr>
          <w:trHeight w:val="270"/>
        </w:trPr>
        <w:tc>
          <w:tcPr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数量指标</w:t>
            </w: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4；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接收下级医疗卫生机构的转诊、指导卫生院做好医疗、康复、预防保健等业务技术工资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≥</w:t>
            </w: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次</w:t>
            </w:r>
          </w:p>
        </w:tc>
      </w:tr>
      <w:tr>
        <w:trPr>
          <w:trHeight w:val="270"/>
        </w:trPr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质量指标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rPr>
          <w:trHeight w:val="270"/>
        </w:trPr>
        <w:tc>
          <w:tcPr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质量指标</w:t>
            </w: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1；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对本县内传染病、职业病和非传染性慢性病的防控。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</w:tr>
      <w:tr>
        <w:trPr>
          <w:trHeight w:val="270"/>
        </w:trPr>
        <w:tc>
          <w:tcPr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质量指标</w:t>
            </w: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2；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承担本县居民的预防、医疗和保健任务</w:t>
            </w: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 xml:space="preserve">   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</w:tr>
      <w:tr>
        <w:trPr>
          <w:trHeight w:val="270"/>
        </w:trPr>
        <w:tc>
          <w:tcPr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质量指标</w:t>
            </w: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3；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对本县内人群的健康教育工作。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</w:tr>
      <w:tr>
        <w:trPr>
          <w:trHeight w:val="270"/>
        </w:trPr>
        <w:tc>
          <w:tcPr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质量指标</w:t>
            </w: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4；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强化本县内医疗救治体系，有效应对各种突发公共卫生事件。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</w:tr>
      <w:tr>
        <w:trPr>
          <w:trHeight w:val="270"/>
        </w:trPr>
        <w:tc>
          <w:tcPr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时效指标1；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12月底全年目标任务完成率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</w:tr>
      <w:tr>
        <w:trPr>
          <w:trHeight w:val="270"/>
        </w:trPr>
        <w:tc>
          <w:tcPr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成本指标1；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人员支出严格按人社</w:t>
            </w: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部</w:t>
            </w:r>
            <w:bookmarkStart w:id="0" w:name="_GoBack"/>
            <w:bookmarkEnd w:id="0"/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执行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</w:tr>
      <w:tr>
        <w:trPr>
          <w:trHeight w:val="270"/>
        </w:trPr>
        <w:tc>
          <w:tcPr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成本指标2；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 xml:space="preserve">日常公用经费按相关文件执行 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</w:tr>
      <w:tr>
        <w:trPr>
          <w:trHeight w:val="450"/>
        </w:trPr>
        <w:tc>
          <w:tcPr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持续指标1；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推进</w:t>
            </w: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金川县人民医院</w:t>
            </w: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各项工作依法科学健康可持续发展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 xml:space="preserve"> 100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</w:tr>
      <w:tr>
        <w:trPr>
          <w:trHeight w:val="270"/>
        </w:trPr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满意度指标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rPr>
          <w:trHeight w:val="270"/>
        </w:trPr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满意度指标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rPr>
          <w:trHeight w:val="270"/>
        </w:trPr>
        <w:tc>
          <w:tcPr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满意度指标1；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人民群众满意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≥9</w:t>
            </w: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5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</w:tr>
      <w:tr>
        <w:trPr>
          <w:trHeight w:val="270"/>
        </w:trPr>
        <w:tc>
          <w:tcPr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满意度指标2；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管理对象满意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≥9</w:t>
            </w:r>
            <w:r>
              <w:rPr>
                <w:rFonts w:ascii="等线" w:eastAsia="等线" w:cs="等线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5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</w:tr>
    </w:tbl>
    <w:p>
      <w:pPr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  <w:lang w:val="en-US" w:eastAsia="zh-CN"/>
        </w:rPr>
      </w:pPr>
      <w:r>
        <w:rPr>
          <w:rFonts w:ascii="仿宋_GB2312" w:eastAsia="仿宋_GB2312" w:cs="仿宋_GB2312" w:hint="eastAsia"/>
          <w:sz w:val="32"/>
          <w:szCs w:val="32"/>
          <w:lang w:val="en-US" w:eastAsia="zh-CN"/>
        </w:rPr>
        <w:t>为加快补齐县级医院医疗服务和管理能力短板，落实县级医院“县域龙头、城乡纽带”功能定位，进一步提升县域内医疗资源整合共享水平，加快完善分级诊疗体系，保障县域居民常见病多发病诊疗、急危重症抢救、疑难病转诊，以及传染病和突发公共卫生事件防控等公共卫生服务、突发事件紧急医疗救援等，我院制定以下方案：</w:t>
      </w:r>
    </w:p>
    <w:p>
      <w:pPr>
        <w:spacing w:line="560" w:lineRule="exact"/>
        <w:ind w:firstLineChars="200" w:firstLine="640"/>
        <w:rPr>
          <w:rFonts w:ascii="仿宋_GB2312" w:eastAsia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cs="仿宋_GB2312" w:hint="eastAsia"/>
          <w:sz w:val="32"/>
          <w:szCs w:val="32"/>
          <w:lang w:val="en-US" w:eastAsia="zh-CN"/>
        </w:rPr>
        <w:t>一是持续提升医疗服务能力。加强专科能力建设，加快建设高质量人才队伍，充分发挥县级医院在县域内基层医务人员教学和培训中的带动作用。</w:t>
      </w:r>
    </w:p>
    <w:p>
      <w:pPr>
        <w:spacing w:line="560" w:lineRule="exact"/>
        <w:ind w:firstLineChars="200" w:firstLine="640"/>
        <w:rPr>
          <w:rFonts w:ascii="仿宋_GB2312" w:eastAsia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cs="仿宋_GB2312" w:hint="eastAsia"/>
          <w:sz w:val="32"/>
          <w:szCs w:val="32"/>
          <w:lang w:val="en-US" w:eastAsia="zh-CN"/>
        </w:rPr>
        <w:t>二是推动资源整合共享。发挥好县级医院龙头作用，建设县乡一体、乡村一体、医防融合的整合型县域医疗卫生服务体系，县域内就诊率（住院）达到70%以上。提升县级医院科学管理水平，落实党委领导下的院长负责制，实行党委书记、院长分设，健全完善医院党委会和院长办公会议事决策制度，把党的领导融入医院治理全过程各方面各环节。组建县域医疗资源共享“五大中心”，以县域医共体为载体，依托县级医院建设互联互通的医学检验、医学影像、心电诊断、病理、消毒供应等资源共享五大中心。组建县域医共体高质量管理“五大中心”，依托县级医院建设县域医共体内的医疗质控、人力资源、运营管理、医保管理、信息数据等高质量管理五大中心，强化县级医院对县域医共体内的医疗卫生机构的协调管理。</w:t>
      </w:r>
    </w:p>
    <w:p>
      <w:pPr>
        <w:spacing w:line="560" w:lineRule="exact"/>
        <w:ind w:firstLineChars="200" w:firstLine="640"/>
        <w:rPr>
          <w:rFonts w:ascii="仿宋_GB2312" w:eastAsia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cs="仿宋_GB2312" w:hint="eastAsia"/>
          <w:sz w:val="32"/>
          <w:szCs w:val="32"/>
          <w:lang w:val="en-US" w:eastAsia="zh-CN"/>
        </w:rPr>
        <w:t>三是促进综合能力不断提升。加强对口支援帮扶工作，通过派出医务人员、开展专科共建、临床教学、业务培训等方式，提高诊疗水平。加强县级医院绩效考核。</w:t>
      </w:r>
    </w:p>
    <w:p>
      <w:pPr>
        <w:spacing w:line="560" w:lineRule="exact"/>
        <w:ind w:left="0" w:firstLineChars="200" w:firstLine="640"/>
        <w:rPr>
          <w:rFonts w:ascii="黑体" w:eastAsia="黑体" w:cs="黑体" w:hint="eastAsia"/>
          <w:sz w:val="32"/>
          <w:szCs w:val="32"/>
          <w:lang w:val="en-US" w:eastAsia="zh-CN"/>
        </w:rPr>
      </w:pPr>
      <w:r>
        <w:rPr>
          <w:rFonts w:ascii="黑体" w:eastAsia="黑体" w:cs="黑体" w:hint="eastAsia"/>
          <w:sz w:val="32"/>
          <w:szCs w:val="32"/>
          <w:lang w:val="en-US" w:eastAsia="zh-CN"/>
        </w:rPr>
        <w:t>三、重点项目绩效目标。</w:t>
      </w:r>
    </w:p>
    <w:p>
      <w:pPr>
        <w:ind w:firstLineChars="200" w:firstLine="640"/>
        <w:rPr>
          <w:rFonts w:ascii="仿宋_GB2312" w:eastAsia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cs="仿宋_GB2312" w:hint="eastAsia"/>
          <w:sz w:val="32"/>
          <w:szCs w:val="32"/>
          <w:lang w:val="en-US" w:eastAsia="zh-CN"/>
        </w:rPr>
        <w:t>重点项目无。</w:t>
      </w:r>
    </w:p>
    <w:p>
      <w:pPr>
        <w:spacing w:line="560" w:lineRule="exact"/>
        <w:ind w:firstLineChars="200" w:firstLine="640"/>
        <w:rPr>
          <w:rFonts w:ascii="仿宋_GB2312" w:eastAsia="仿宋_GB2312" w:cs="仿宋_GB2312" w:hint="eastAsia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altName w:val="微软雅黑"/>
    <w:panose1 w:val="03000509000000000000"/>
    <w:charset w:val="86"/>
    <w:family w:val="auto"/>
    <w:pitch w:val="variable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variable"/>
    <w:sig w:usb0="00000000" w:usb1="00000000" w:usb2="00000000" w:usb3="00000000" w:csb0="00040000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86"/>
    <w:family w:val="auto"/>
    <w:pitch w:val="variable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Luxi Sans">
    <w:altName w:val="Segoe Print"/>
    <w:panose1 w:val="00000000000000000000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E5FD0A63"/>
    <w:multiLevelType w:val="singleLevel"/>
    <w:tmpl w:val="E5FD0A63"/>
    <w:lvl w:ilvl="0">
      <w:start w:val="2"/>
      <w:numFmt w:val="chineseCounting"/>
      <w:lvlRestart w:val="0"/>
      <w:suff w:val="nothing"/>
      <w:lvlText w:val="%1、"/>
      <w:lvlJc w:val="left"/>
      <w:pPr>
        <w:ind w:left="0" w:hanging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  <w:docVars>
    <w:docVar w:name="commondata" w:val="eyJoZGlkIjoiM2I1MjMzYmI3ZjQ5YjA0ZjEzZDJlZGJmNmY4OGMxNzg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next w:val="15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autoRedefine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autoRedefine/>
    <w:next w:val="0"/>
    <w:pPr>
      <w:keepNext/>
      <w:keepLines/>
      <w:widowControl w:val="0"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0"/>
    <w:autoRedefine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  <w:autoRedefine/>
  </w:style>
  <w:style w:type="paragraph" w:styleId="15">
    <w:name w:val="footer"/>
    <w:basedOn w:val="0"/>
    <w:autoRedefine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Normal (Web)"/>
    <w:basedOn w:val="0"/>
    <w:autoRedefine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4</TotalTime>
  <Application>Yozo_Office27021597764231179</Application>
  <Pages>3</Pages>
  <Words>1263</Words>
  <Characters>1309</Characters>
  <Lines>158</Lines>
  <Paragraphs>80</Paragraphs>
  <CharactersWithSpaces>1315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Administrator</dc:creator>
  <cp:lastModifiedBy>Administrator</cp:lastModifiedBy>
  <cp:revision>1</cp:revision>
  <dcterms:created xsi:type="dcterms:W3CDTF">2023-02-06T06:46:00Z</dcterms:created>
  <dcterms:modified xsi:type="dcterms:W3CDTF">2024-03-13T07:52:04Z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2052-12.1.0.16388</vt:lpwstr>
  </property>
  <property fmtid="{D5CDD505-2E9C-101B-9397-08002B2CF9AE}" pid="3" name="ICV">
    <vt:lpwstr>F25A5686D5B446DE8D67961CEEA6B98B_13</vt:lpwstr>
  </property>
</Properties>
</file>