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560" w:lineRule="exact"/>
        <w:jc w:val="center"/>
        <w:rPr>
          <w:rFonts w:ascii="方正小标宋_GBK" w:eastAsia="方正小标宋_GBK" w:cs="方正小标宋_GBK" w:hint="eastAsia"/>
          <w:sz w:val="44"/>
          <w:szCs w:val="44"/>
          <w:lang w:val="en-US" w:eastAsia="zh-CN"/>
        </w:rPr>
      </w:pPr>
      <w:r>
        <w:rPr>
          <w:rFonts w:ascii="方正小标宋_GBK" w:eastAsia="方正小标宋_GBK" w:cs="方正小标宋_GBK"/>
          <w:sz w:val="44"/>
          <w:szCs w:val="44"/>
          <w:lang w:val="en-US" w:eastAsia="zh-CN"/>
        </w:rPr>
        <w:t>金川县</w:t>
      </w:r>
      <w:r>
        <w:rPr>
          <w:rFonts w:ascii="方正小标宋_GBK" w:eastAsia="方正小标宋_GBK" w:cs="方正小标宋_GBK" w:hint="eastAsia"/>
          <w:sz w:val="44"/>
          <w:szCs w:val="44"/>
          <w:lang w:val="en-US" w:eastAsia="zh-CN"/>
        </w:rPr>
        <w:t>2024年金川县中藏医院</w:t>
      </w:r>
    </w:p>
    <w:p>
      <w:pPr>
        <w:spacing w:line="560" w:lineRule="exact"/>
        <w:jc w:val="center"/>
        <w:rPr>
          <w:rFonts w:ascii="方正小标宋_GBK" w:eastAsia="方正小标宋_GBK" w:cs="方正小标宋_GBK"/>
          <w:sz w:val="44"/>
          <w:szCs w:val="44"/>
          <w:lang w:eastAsia="zh-CN"/>
        </w:rPr>
      </w:pPr>
      <w:r>
        <w:rPr>
          <w:rFonts w:ascii="方正小标宋_GBK" w:eastAsia="方正小标宋_GBK" w:cs="方正小标宋_GBK" w:hint="eastAsia"/>
          <w:sz w:val="44"/>
          <w:szCs w:val="44"/>
          <w:lang w:val="en-US" w:eastAsia="zh-CN"/>
        </w:rPr>
        <w:t>部门</w:t>
      </w:r>
      <w:r>
        <w:rPr>
          <w:rFonts w:ascii="方正小标宋_GBK" w:eastAsia="方正小标宋_GBK" w:cs="方正小标宋_GBK" w:hint="eastAsia"/>
          <w:sz w:val="44"/>
          <w:szCs w:val="44"/>
        </w:rPr>
        <w:t>预算绩效目标情况说明</w:t>
      </w:r>
    </w:p>
    <w:p>
      <w:pPr>
        <w:pStyle w:val="15"/>
        <w:tabs>
          <w:tab w:val="center" w:pos="4153"/>
          <w:tab w:val="right" w:pos="8306"/>
        </w:tabs>
        <w:jc w:val="left"/>
      </w:pPr>
    </w:p>
    <w:p>
      <w:pPr>
        <w:spacing w:line="560" w:lineRule="exact"/>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2024年，我单位部门预算1383.87万元 ，均严格按绩效管理要求实现项目绩效目标管理，其中重点项目预算0个，现将情况说明如下：</w:t>
      </w:r>
    </w:p>
    <w:p>
      <w:pPr>
        <w:spacing w:line="560" w:lineRule="exact"/>
        <w:ind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一、单位预算绩效管理工作开展情况。</w:t>
      </w:r>
    </w:p>
    <w:p>
      <w:pPr>
        <w:spacing w:line="560" w:lineRule="exact"/>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完成了2024年本级部门预算整体绩效目标申报和0个项目预算绩效目标申报，并编报0个项目预算事前绩效评估报告。</w:t>
      </w:r>
    </w:p>
    <w:p>
      <w:pPr>
        <w:numPr>
          <w:ilvl w:val="0"/>
          <w:numId w:val="1"/>
        </w:numPr>
        <w:spacing w:line="560" w:lineRule="exact"/>
        <w:ind w:left="0"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单位整体绩效目标。</w:t>
      </w:r>
    </w:p>
    <w:tbl>
      <w:tblPr>
        <w:jc w:val="left"/>
        <w:tblInd w:w="93" w:type="dxa"/>
        <w:tblW w:w="7860" w:type="dxa"/>
        <w:tblBorders>
          <w:top w:val="none" w:sz="0" w:space="0" w:color="auto"/>
          <w:left w:val="none" w:sz="0" w:space="0" w:color="auto"/>
          <w:bottom w:val="none" w:sz="0" w:space="0" w:color="auto"/>
          <w:right w:val="none" w:sz="0" w:space="0" w:color="auto"/>
        </w:tblBorders>
        <w:shd w:val="clear" w:color="auto" w:fill="auto"/>
        <w:tblLayout w:type="fixed"/>
        <w:tblCellMar>
          <w:top w:w="0" w:type="dxa"/>
          <w:left w:w="108" w:type="dxa"/>
          <w:bottom w:w="0" w:type="dxa"/>
          <w:right w:w="108" w:type="dxa"/>
        </w:tblCellMar>
      </w:tblPr>
      <w:tblGrid>
        <w:gridCol w:w="502"/>
        <w:gridCol w:w="240"/>
        <w:gridCol w:w="1382"/>
        <w:gridCol w:w="1860"/>
        <w:gridCol w:w="1860"/>
        <w:gridCol w:w="1296"/>
        <w:gridCol w:w="720"/>
      </w:tblGrid>
      <w:tr>
        <w:trPr>
          <w:trHeight w:val="270"/>
        </w:trPr>
        <w:tc>
          <w:tcPr>
            <w:tcW w:w="2124" w:type="dxa"/>
            <w:gridSpan w:val="3"/>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绩效指标</w:t>
            </w:r>
          </w:p>
        </w:tc>
        <w:tc>
          <w:tcPr>
            <w:tcW w:w="3720" w:type="dxa"/>
            <w:gridSpan w:val="2"/>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指标名称</w:t>
            </w:r>
          </w:p>
        </w:tc>
        <w:tc>
          <w:tcPr>
            <w:tcW w:w="1296" w:type="dxa"/>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指标值</w:t>
            </w:r>
          </w:p>
        </w:tc>
        <w:tc>
          <w:tcPr>
            <w:tcW w:w="720" w:type="dxa"/>
            <w:tcBorders>
              <w:top w:val="single" w:sz="4" w:space="0" w:color="A9A9A9"/>
              <w:left w:val="single" w:sz="4" w:space="0" w:color="A9A9A9"/>
              <w:bottom w:val="nil"/>
              <w:right w:val="single" w:sz="4" w:space="0" w:color="A9A9A9"/>
            </w:tcBorders>
            <w:shd w:val="clear" w:color="auto" w:fill="D3D3D3"/>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度量单位</w:t>
            </w:r>
          </w:p>
        </w:tc>
      </w:tr>
      <w:tr>
        <w:trPr>
          <w:trHeight w:val="675"/>
        </w:trPr>
        <w:tc>
          <w:tcPr>
            <w:tcW w:w="2124"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总体目标</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承担本县居民的医疗、康复任务；对本县内传染病、职业病和非传染性慢性病的防控。强化本县内医疗救治体系，有效应对各种突发公共卫生事件。</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全面面向基层</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2124"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绩效指标</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完成指标</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24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324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p>
        </w:tc>
        <w:tc>
          <w:tcPr>
            <w:tcW w:w="18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w:t>
            </w:r>
            <w:r>
              <w:rPr>
                <w:rFonts w:ascii="等线" w:eastAsia="等线" w:cs="等线"/>
                <w:i w:val="0"/>
                <w:color w:val="000000"/>
                <w:kern w:val="0"/>
                <w:sz w:val="18"/>
                <w:szCs w:val="18"/>
                <w:u w:val="none"/>
                <w:lang w:val="en-US" w:eastAsia="zh-CN"/>
              </w:rPr>
              <w:t>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开展全县常见病、多发病治疗工资</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ascii="等线" w:eastAsia="等线" w:cs="等线" w:hint="eastAsia"/>
                <w:i w:val="0"/>
                <w:color w:val="000000"/>
                <w:kern w:val="0"/>
                <w:sz w:val="18"/>
                <w:szCs w:val="18"/>
                <w:u w:val="none"/>
                <w:lang w:val="en-US" w:eastAsia="zh-CN"/>
              </w:rPr>
              <w:t>360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天</w:t>
            </w:r>
          </w:p>
        </w:tc>
      </w:tr>
      <w:tr>
        <w:trPr>
          <w:trHeight w:val="675"/>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数量指标2</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承担全县120急救和各类突发事故的现场抢救及院内急救；</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ascii="等线" w:eastAsia="等线" w:cs="等线" w:hint="eastAsia"/>
                <w:i w:val="0"/>
                <w:color w:val="000000"/>
                <w:kern w:val="0"/>
                <w:sz w:val="18"/>
                <w:szCs w:val="18"/>
                <w:u w:val="none"/>
                <w:lang w:val="en-US" w:eastAsia="zh-CN"/>
              </w:rPr>
              <w:t>200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数量指标3</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接收下级医疗卫生机构的转诊、指导卫生院做好医疗、康复、预防保健等业务技术工资</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r>
              <w:rPr>
                <w:rFonts w:ascii="等线" w:eastAsia="等线" w:cs="等线" w:hint="eastAsia"/>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次</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24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324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w:t>
            </w:r>
          </w:p>
        </w:tc>
        <w:tc>
          <w:tcPr>
            <w:tcW w:w="18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质量指标1</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承担本县居民的医疗和康复任务</w:t>
            </w:r>
            <w:r>
              <w:rPr>
                <w:rFonts w:ascii="等线" w:eastAsia="等线" w:cs="等线"/>
                <w:i w:val="0"/>
                <w:color w:val="000000"/>
                <w:kern w:val="0"/>
                <w:sz w:val="18"/>
                <w:szCs w:val="18"/>
                <w:u w:val="none"/>
                <w:lang w:val="en-US" w:eastAsia="zh-CN"/>
              </w:rPr>
              <w:t xml:space="preserve">   </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质量指标2</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对本县内人群的健康教育工作。</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质量指标3</w:t>
            </w:r>
            <w:r>
              <w:rPr>
                <w:rFonts w:ascii="等线" w:eastAsia="等线" w:cs="等线"/>
                <w:i w:val="0"/>
                <w:color w:val="000000"/>
                <w:kern w:val="0"/>
                <w:sz w:val="18"/>
                <w:szCs w:val="18"/>
                <w:u w:val="none"/>
                <w:lang w:val="en-US" w:eastAsia="zh-CN"/>
              </w:rPr>
              <w:t>；</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r>
              <w:rPr>
                <w:rFonts w:ascii="等线" w:eastAsia="等线" w:cs="等线" w:hint="eastAsia"/>
                <w:i w:val="0"/>
                <w:color w:val="000000"/>
                <w:kern w:val="0"/>
                <w:sz w:val="18"/>
                <w:szCs w:val="18"/>
                <w:u w:val="none"/>
                <w:lang w:val="en-US" w:eastAsia="zh-CN"/>
              </w:rPr>
              <w:t>强化本县内医疗救治体系，有效应对各种突发公共卫生事件。</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时效指标1；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12月底全年目标任务完成率</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成本指标1；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人员支出严格按人社</w:t>
            </w:r>
            <w:r>
              <w:rPr>
                <w:rFonts w:ascii="等线" w:eastAsia="等线" w:cs="等线"/>
                <w:i w:val="0"/>
                <w:color w:val="000000"/>
                <w:kern w:val="0"/>
                <w:sz w:val="18"/>
                <w:szCs w:val="18"/>
                <w:u w:val="none"/>
                <w:lang w:val="en-US" w:eastAsia="zh-CN"/>
              </w:rPr>
              <w:t>部</w:t>
            </w:r>
            <w:r>
              <w:rPr>
                <w:rFonts w:ascii="等线" w:eastAsia="等线" w:cs="等线"/>
                <w:i w:val="0"/>
                <w:color w:val="000000"/>
                <w:kern w:val="0"/>
                <w:sz w:val="18"/>
                <w:szCs w:val="18"/>
                <w:u w:val="none"/>
                <w:lang w:val="en-US" w:eastAsia="zh-CN"/>
              </w:rPr>
              <w:t>执行</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成本指标2；</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日常公用经费按相关文件执行 </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45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持续指标1；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推进</w:t>
            </w:r>
            <w:r>
              <w:rPr>
                <w:rFonts w:ascii="等线" w:eastAsia="等线" w:cs="等线" w:hint="eastAsia"/>
                <w:i w:val="0"/>
                <w:color w:val="000000"/>
                <w:kern w:val="0"/>
                <w:sz w:val="18"/>
                <w:szCs w:val="18"/>
                <w:u w:val="none"/>
                <w:lang w:val="en-US" w:eastAsia="zh-CN"/>
              </w:rPr>
              <w:t>金川县中藏医院</w:t>
            </w:r>
            <w:r>
              <w:rPr>
                <w:rFonts w:ascii="等线" w:eastAsia="等线" w:cs="等线"/>
                <w:i w:val="0"/>
                <w:color w:val="000000"/>
                <w:kern w:val="0"/>
                <w:sz w:val="18"/>
                <w:szCs w:val="18"/>
                <w:u w:val="none"/>
                <w:lang w:val="en-US" w:eastAsia="zh-CN"/>
              </w:rPr>
              <w:t>各项工作依法科学健康可持续发展</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 xml:space="preserve"> 100</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24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pPr>
              <w:keepNext w:val="0"/>
              <w:keepLines w:val="0"/>
              <w:widowControl/>
              <w:suppressLineNumbers w:val="0"/>
              <w:jc w:val="left"/>
              <w:textAlignment w:val="center"/>
              <w:rPr>
                <w:rFonts w:ascii="等线" w:eastAsia="等线" w:cs="等线" w:hint="eastAsia"/>
                <w:i w:val="0"/>
                <w:color w:val="000000"/>
                <w:kern w:val="0"/>
                <w:sz w:val="18"/>
                <w:szCs w:val="18"/>
                <w:u w:val="none"/>
                <w:lang w:val="en-US" w:eastAsia="zh-CN"/>
              </w:rPr>
            </w:pPr>
          </w:p>
        </w:tc>
        <w:tc>
          <w:tcPr>
            <w:tcW w:w="324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w:t>
            </w:r>
          </w:p>
        </w:tc>
        <w:tc>
          <w:tcPr>
            <w:tcW w:w="186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满意度指标1；</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人民群众满意</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≥9</w:t>
            </w:r>
            <w:r>
              <w:rPr>
                <w:rFonts w:ascii="等线" w:eastAsia="等线" w:cs="等线" w:hint="eastAsia"/>
                <w:i w:val="0"/>
                <w:color w:val="000000"/>
                <w:kern w:val="0"/>
                <w:sz w:val="18"/>
                <w:szCs w:val="18"/>
                <w:u w:val="none"/>
                <w:lang w:val="en-US" w:eastAsia="zh-CN"/>
              </w:rPr>
              <w:t>5</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r>
        <w:trPr>
          <w:trHeight w:val="270"/>
        </w:trPr>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p>
        </w:tc>
        <w:tc>
          <w:tcPr>
            <w:tcW w:w="1622"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满意度指标2；</w:t>
            </w:r>
          </w:p>
        </w:tc>
        <w:tc>
          <w:tcPr>
            <w:tcW w:w="3720"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管理对象满意</w:t>
            </w:r>
          </w:p>
        </w:tc>
        <w:tc>
          <w:tcPr>
            <w:tcW w:w="12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≥9</w:t>
            </w:r>
            <w:r>
              <w:rPr>
                <w:rFonts w:ascii="等线" w:eastAsia="等线" w:cs="等线" w:hint="eastAsia"/>
                <w:i w:val="0"/>
                <w:color w:val="000000"/>
                <w:kern w:val="0"/>
                <w:sz w:val="18"/>
                <w:szCs w:val="18"/>
                <w:u w:val="none"/>
                <w:lang w:val="en-US" w:eastAsia="zh-CN"/>
              </w:rPr>
              <w:t>5</w:t>
            </w:r>
          </w:p>
        </w:tc>
        <w:tc>
          <w:tcPr>
            <w:tcW w:w="72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pPr>
              <w:keepNext w:val="0"/>
              <w:keepLines w:val="0"/>
              <w:widowControl/>
              <w:suppressLineNumbers w:val="0"/>
              <w:jc w:val="left"/>
              <w:textAlignment w:val="center"/>
              <w:rPr>
                <w:rFonts w:ascii="等线" w:eastAsia="等线" w:cs="等线"/>
                <w:i w:val="0"/>
                <w:color w:val="000000"/>
                <w:kern w:val="0"/>
                <w:sz w:val="18"/>
                <w:szCs w:val="18"/>
                <w:u w:val="none"/>
                <w:lang w:val="en-US" w:eastAsia="zh-CN"/>
              </w:rPr>
            </w:pPr>
            <w:r>
              <w:rPr>
                <w:rFonts w:ascii="等线" w:eastAsia="等线" w:cs="等线"/>
                <w:i w:val="0"/>
                <w:color w:val="000000"/>
                <w:kern w:val="0"/>
                <w:sz w:val="18"/>
                <w:szCs w:val="18"/>
                <w:u w:val="none"/>
                <w:lang w:val="en-US" w:eastAsia="zh-CN"/>
              </w:rPr>
              <w:t>%</w:t>
            </w:r>
          </w:p>
        </w:tc>
      </w:tr>
    </w:tbl>
    <w:p>
      <w:pPr>
        <w:spacing w:line="560" w:lineRule="exact"/>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一是从事公共卫生业务工作，在开展的各项业务工作中，中藏医药发展为特长，中西医结合为优势，集医疗、教学、科研、预防保健、针灸康复、急救于一体并具有专科特色的综合性中医医院。医院为国家级“二级乙等”中医医院，医院康复科为省级重点专科。医院引进的小针刀疗法在阿坝州属于领头羊对颈椎腰椎疼痛治疗效果极佳不仅在行业内属于标兵而且赢得了老百姓一致好评，中药熏蒸、中医推拿、蜡疗、梅花针放血治疗、热敏灸、足疗、自制中药熬药等特色治疗项目也在行业内树立了良好的口碑。近年我院为拓展业务改善患者就医环境创建了口腔，藏医，妇科等特色科室，自创建以来得到了老百姓一致好评。</w:t>
      </w:r>
    </w:p>
    <w:p>
      <w:pPr>
        <w:spacing w:line="560" w:lineRule="exact"/>
        <w:ind w:left="0"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二是进一步按照国家、省《国家基本公共卫生服务规范》要求规范开展中藏西医等项目工作，在2023年基础上，确保在系统管理率有所提高，管理质量有较大提升。定期开展康复、治未病等的技能培训。进一步完善质量管理。提高群众满意度；加强医务人员的培训，完善各项基础性数据报表，提高业务水平和服务能力，规范服务。</w:t>
      </w:r>
    </w:p>
    <w:p>
      <w:pPr>
        <w:spacing w:line="560" w:lineRule="exact"/>
        <w:ind w:left="0" w:firstLineChars="200" w:firstLine="640"/>
        <w:rPr>
          <w:rFonts w:ascii="黑体" w:eastAsia="黑体" w:cs="黑体" w:hint="eastAsia"/>
          <w:sz w:val="32"/>
          <w:szCs w:val="32"/>
          <w:lang w:val="en-US" w:eastAsia="zh-CN"/>
        </w:rPr>
      </w:pPr>
      <w:r>
        <w:rPr>
          <w:rFonts w:ascii="黑体" w:eastAsia="黑体" w:cs="黑体" w:hint="eastAsia"/>
          <w:sz w:val="32"/>
          <w:szCs w:val="32"/>
          <w:lang w:val="en-US" w:eastAsia="zh-CN"/>
        </w:rPr>
        <w:t>三、重点项目绩效目标。</w:t>
      </w:r>
    </w:p>
    <w:p>
      <w:pPr>
        <w:ind w:firstLineChars="200" w:firstLine="640"/>
        <w:rPr>
          <w:rFonts w:ascii="仿宋_GB2312" w:eastAsia="仿宋_GB2312" w:cs="仿宋_GB2312" w:hint="eastAsia"/>
          <w:sz w:val="32"/>
          <w:szCs w:val="32"/>
          <w:lang w:val="en-US" w:eastAsia="zh-CN"/>
        </w:rPr>
      </w:pPr>
      <w:r>
        <w:rPr>
          <w:rFonts w:ascii="仿宋_GB2312" w:eastAsia="仿宋_GB2312" w:cs="仿宋_GB2312" w:hint="eastAsia"/>
          <w:sz w:val="32"/>
          <w:szCs w:val="32"/>
          <w:lang w:val="en-US" w:eastAsia="zh-CN"/>
        </w:rPr>
        <w:t>重点项目无。</w:t>
      </w:r>
    </w:p>
    <w:p>
      <w:pPr>
        <w:spacing w:line="560" w:lineRule="exact"/>
        <w:ind w:firstLineChars="200" w:firstLine="640"/>
        <w:rPr>
          <w:rFonts w:ascii="仿宋_GB2312" w:eastAsia="仿宋_GB2312" w:cs="仿宋_GB2312" w:hint="eastAsia"/>
          <w:sz w:val="32"/>
          <w:szCs w:val="32"/>
          <w:lang w:val="en-US" w:eastAsia="zh-CN"/>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auto"/>
    <w:pitch w:val="variable"/>
    <w:sig w:usb0="00000000" w:usb1="00000000" w:usb2="00000000" w:usb3="00000000" w:csb0="00040000" w:csb1="00000000"/>
  </w:font>
  <w:font w:name="仿宋_GB2312">
    <w:altName w:val="仿宋"/>
    <w:panose1 w:val="02010609030101010101"/>
    <w:charset w:val="86"/>
    <w:family w:val="auto"/>
    <w:pitch w:val="variable"/>
    <w:sig w:usb0="00000000" w:usb1="00000000" w:usb2="00000000" w:usb3="00000000" w:csb0="00040000" w:csb1="00000000"/>
  </w:font>
  <w:font w:name="黑体">
    <w:panose1 w:val="02010609060101010101"/>
    <w:charset w:val="86"/>
    <w:family w:val="auto"/>
    <w:pitch w:val="variable"/>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86"/>
    <w:family w:val="auto"/>
    <w:pitch w:val="variable"/>
    <w:sig w:usb0="E0002EFF" w:usb1="C000785B" w:usb2="00000009" w:usb3="00000000" w:csb0="400001FF" w:csb1="FFFF0000"/>
  </w:font>
  <w:font w:name="宋体">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4002EFF" w:usb1="C000247B" w:usb2="00000009" w:usb3="00000000" w:csb0="200001FF" w:csb1="00000000"/>
  </w:font>
  <w:font w:name="Arial">
    <w:panose1 w:val="020B0604020202020204"/>
    <w:charset w:val="01"/>
    <w:family w:val="swiss"/>
    <w:pitch w:val="variable"/>
    <w:sig w:usb0="E0002EFF" w:usb1="C000785B" w:usb2="00000009" w:usb3="00000000" w:csb0="400001FF" w:csb1="FFFF0000"/>
  </w:font>
  <w:font w:name="Luxi Sans">
    <w:altName w:val="Segoe Print"/>
    <w:panose1 w:val="00000000000000000000"/>
    <w:charset w:val="00"/>
    <w:family w:val="auto"/>
    <w:pitch w:val="variable"/>
    <w:sig w:usb0="00000000" w:usb1="00000000" w:usb2="00000000" w:usb3="00000000" w:csb0="0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E5FD0A63"/>
    <w:multiLevelType w:val="singleLevel"/>
    <w:tmpl w:val="E5FD0A63"/>
    <w:lvl w:ilvl="0">
      <w:start w:val="2"/>
      <w:numFmt w:val="chineseCounting"/>
      <w:lvlRestart w:val="0"/>
      <w:suff w:val="nothing"/>
      <w:lvlText w:val="%1、"/>
      <w:lvlJc w:val="left"/>
      <w:pPr>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NGVlYmJiM2IzODVlZmE1NzBlZmQxMWIyMDM4YjQ0Y2Y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Calibri" w:eastAsia="宋体" w:cs="Arial" w:hAnsi="Calibri"/>
      <w:kern w:val="2"/>
      <w:sz w:val="21"/>
      <w:szCs w:val="24"/>
      <w:lang w:val="en-US" w:eastAsia="zh-CN" w:bidi="ar-SA"/>
    </w:rPr>
  </w:style>
  <w:style w:type="paragraph" w:styleId="1">
    <w:name w:val="heading 1"/>
    <w:basedOn w:val="0"/>
    <w:autoRedefine/>
    <w:next w:val="0"/>
    <w:pPr>
      <w:keepNext/>
      <w:keepLines/>
      <w:widowControl w:val="0"/>
      <w:spacing w:before="340" w:after="330" w:line="578" w:lineRule="auto"/>
      <w:outlineLvl w:val="0"/>
    </w:pPr>
    <w:rPr>
      <w:b/>
      <w:bCs/>
      <w:kern w:val="44"/>
      <w:sz w:val="44"/>
    </w:rPr>
  </w:style>
  <w:style w:type="paragraph" w:styleId="2">
    <w:name w:val="heading 2"/>
    <w:basedOn w:val="0"/>
    <w:autoRedefine/>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autoRedefine/>
    <w:next w:val="0"/>
    <w:pPr>
      <w:keepNext/>
      <w:keepLines/>
      <w:widowControl w:val="0"/>
      <w:spacing w:before="260" w:after="260" w:line="415" w:lineRule="auto"/>
      <w:outlineLvl w:val="2"/>
    </w:pPr>
    <w:rPr>
      <w:b/>
      <w:sz w:val="32"/>
    </w:rPr>
  </w:style>
  <w:style w:type="character" w:default="1" w:styleId="10">
    <w:name w:val="Default Paragraph Font"/>
    <w:autoRedefine/>
  </w:style>
  <w:style w:type="paragraph" w:styleId="15">
    <w:name w:val="footer"/>
    <w:basedOn w:val="0"/>
    <w:autoRedefine/>
    <w:pPr>
      <w:tabs>
        <w:tab w:val="center" w:pos="4153"/>
        <w:tab w:val="right" w:pos="8306"/>
      </w:tabs>
      <w:snapToGrid w:val="0"/>
      <w:jc w:val="left"/>
    </w:pPr>
    <w:rPr>
      <w:sz w:val="18"/>
    </w:rPr>
  </w:style>
  <w:style w:type="paragraph" w:styleId="16">
    <w:name w:val="Normal (Web)"/>
    <w:basedOn w:val="0"/>
    <w:autoRedefine/>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9</TotalTime>
  <Application>Yozo_Office27021597764231179</Application>
  <Pages>2</Pages>
  <Words>1020</Words>
  <Characters>1063</Characters>
  <Lines>138</Lines>
  <Paragraphs>71</Paragraphs>
  <CharactersWithSpaces>1069</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Administrator</cp:lastModifiedBy>
  <cp:revision>1</cp:revision>
  <dcterms:created xsi:type="dcterms:W3CDTF">2023-02-06T06:46:00Z</dcterms:created>
  <dcterms:modified xsi:type="dcterms:W3CDTF">2024-03-13T07:50:53Z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2052-12.1.0.16388</vt:lpwstr>
  </property>
  <property fmtid="{D5CDD505-2E9C-101B-9397-08002B2CF9AE}" pid="3" name="ICV">
    <vt:lpwstr>F25A5686D5B446DE8D67961CEEA6B98B_13</vt:lpwstr>
  </property>
</Properties>
</file>