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Default Extension="xlsx" ContentType="application/vnd.openxmlformats-officedocument.spreadsheetml.sheet"/>
  <Override PartName="/word/settings.xml" ContentType="application/vnd.openxmlformats-officedocument.wordprocessingml.setting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outlineLvl w:val="9"/>
        <w:rPr>
          <w:rFonts w:ascii="方正小标宋简体" w:eastAsia="方正小标宋简体"/>
          <w:color w:val="000000"/>
          <w:sz w:val="72"/>
          <w:szCs w:val="72"/>
        </w:rPr>
      </w:pPr>
      <w:bookmarkStart w:id="0" w:name="_Toc15306267"/>
      <w:bookmarkStart w:id="1" w:name="_Toc15377207"/>
      <w:bookmarkStart w:id="2" w:name="_Toc15396605"/>
      <w:bookmarkStart w:id="3" w:name="_Toc15377444"/>
      <w:bookmarkStart w:id="4" w:name="_Toc15378460"/>
      <w:bookmarkStart w:id="5" w:name="_Toc15377213"/>
    </w:p>
    <w:p>
      <w:pPr>
        <w:spacing w:line="600" w:lineRule="exact"/>
        <w:jc w:val="center"/>
        <w:outlineLvl w:val="9"/>
        <w:rPr>
          <w:rFonts w:ascii="方正小标宋简体" w:eastAsia="方正小标宋简体"/>
          <w:color w:val="000000"/>
          <w:sz w:val="72"/>
          <w:szCs w:val="72"/>
        </w:rPr>
      </w:pPr>
    </w:p>
    <w:p>
      <w:pPr>
        <w:spacing w:line="600" w:lineRule="exact"/>
        <w:jc w:val="center"/>
        <w:outlineLvl w:val="9"/>
        <w:rPr>
          <w:rFonts w:ascii="方正小标宋简体" w:eastAsia="方正小标宋简体"/>
          <w:color w:val="000000"/>
          <w:sz w:val="72"/>
          <w:szCs w:val="72"/>
        </w:rPr>
      </w:pPr>
    </w:p>
    <w:p>
      <w:pPr>
        <w:spacing w:line="600" w:lineRule="exact"/>
        <w:jc w:val="center"/>
        <w:outlineLvl w:val="9"/>
        <w:rPr>
          <w:rFonts w:ascii="方正小标宋简体" w:eastAsia="方正小标宋简体"/>
          <w:color w:val="000000"/>
          <w:sz w:val="72"/>
          <w:szCs w:val="72"/>
        </w:rPr>
      </w:pPr>
    </w:p>
    <w:p>
      <w:pPr>
        <w:snapToGrid w:val="0"/>
        <w:jc w:val="center"/>
        <w:rPr>
          <w:rFonts w:ascii="方正小标宋简体" w:eastAsia="方正小标宋简体" w:cs="方正小标宋简体" w:hint="eastAsia"/>
          <w:b w:val="0"/>
          <w:bCs w:val="0"/>
          <w:sz w:val="48"/>
          <w:szCs w:val="48"/>
        </w:rPr>
      </w:pPr>
      <w:bookmarkEnd w:id="0"/>
    </w:p>
    <w:p>
      <w:pPr>
        <w:snapToGrid w:val="0"/>
        <w:jc w:val="center"/>
        <w:rPr>
          <w:rFonts w:ascii="方正小标宋简体" w:eastAsia="方正小标宋简体" w:cs="方正小标宋简体" w:hint="eastAsia"/>
          <w:b w:val="0"/>
          <w:bCs w:val="0"/>
          <w:sz w:val="48"/>
          <w:szCs w:val="48"/>
          <w:lang w:val="en-US" w:eastAsia="zh-CN"/>
        </w:rPr>
      </w:pPr>
      <w:r>
        <w:rPr>
          <w:rFonts w:ascii="方正小标宋简体" w:eastAsia="方正小标宋简体" w:cs="方正小标宋简体" w:hint="eastAsia"/>
          <w:b w:val="0"/>
          <w:bCs w:val="0"/>
          <w:sz w:val="48"/>
          <w:szCs w:val="48"/>
        </w:rPr>
        <w:t>20</w:t>
      </w:r>
      <w:r>
        <w:rPr>
          <w:rFonts w:ascii="方正小标宋简体" w:eastAsia="方正小标宋简体" w:cs="方正小标宋简体" w:hint="eastAsia"/>
          <w:b w:val="0"/>
          <w:bCs w:val="0"/>
          <w:sz w:val="48"/>
          <w:szCs w:val="48"/>
          <w:lang w:val="en-US" w:eastAsia="zh-CN"/>
        </w:rPr>
        <w:t>22</w:t>
      </w:r>
      <w:r>
        <w:rPr>
          <w:rFonts w:ascii="方正小标宋简体" w:eastAsia="方正小标宋简体" w:cs="方正小标宋简体" w:hint="eastAsia"/>
          <w:b w:val="0"/>
          <w:bCs w:val="0"/>
          <w:sz w:val="48"/>
          <w:szCs w:val="48"/>
        </w:rPr>
        <w:t>年</w:t>
      </w:r>
    </w:p>
    <w:p>
      <w:pPr>
        <w:snapToGrid w:val="0"/>
        <w:jc w:val="center"/>
        <w:rPr>
          <w:rFonts w:ascii="方正小标宋简体" w:eastAsia="方正小标宋简体" w:cs="方正小标宋简体" w:hint="eastAsia"/>
          <w:b w:val="0"/>
          <w:bCs w:val="0"/>
          <w:sz w:val="48"/>
          <w:szCs w:val="48"/>
          <w:lang w:val="en-US" w:eastAsia="zh-CN"/>
        </w:rPr>
      </w:pPr>
    </w:p>
    <w:p>
      <w:pPr>
        <w:snapToGrid w:val="0"/>
        <w:jc w:val="center"/>
        <w:rPr>
          <w:rFonts w:ascii="方正小标宋简体" w:eastAsia="方正小标宋简体" w:cs="方正小标宋简体" w:hint="eastAsia"/>
          <w:b w:val="0"/>
          <w:bCs w:val="0"/>
          <w:sz w:val="48"/>
          <w:szCs w:val="48"/>
          <w:lang w:val="en-US" w:eastAsia="zh-CN"/>
        </w:rPr>
      </w:pPr>
    </w:p>
    <w:p>
      <w:pPr>
        <w:snapToGrid w:val="0"/>
        <w:jc w:val="center"/>
        <w:rPr>
          <w:rFonts w:ascii="方正小标宋简体" w:eastAsia="方正小标宋简体" w:cs="方正小标宋简体" w:hint="eastAsia"/>
          <w:b w:val="0"/>
          <w:bCs w:val="0"/>
          <w:sz w:val="48"/>
          <w:szCs w:val="48"/>
          <w:lang w:eastAsia="zh-CN"/>
        </w:rPr>
      </w:pPr>
      <w:r>
        <w:rPr>
          <w:rFonts w:ascii="方正小标宋简体" w:eastAsia="方正小标宋简体" w:cs="方正小标宋简体" w:hint="eastAsia"/>
          <w:b w:val="0"/>
          <w:bCs w:val="0"/>
          <w:sz w:val="48"/>
          <w:szCs w:val="48"/>
          <w:lang w:val="en-US" w:eastAsia="zh-CN"/>
        </w:rPr>
        <w:t>金川县人民医院</w:t>
      </w:r>
    </w:p>
    <w:p>
      <w:pPr>
        <w:snapToGrid w:val="0"/>
        <w:jc w:val="center"/>
        <w:rPr>
          <w:rFonts w:ascii="方正小标宋简体" w:eastAsia="方正小标宋简体" w:cs="方正小标宋简体" w:hint="eastAsia"/>
          <w:b w:val="0"/>
          <w:bCs w:val="0"/>
          <w:sz w:val="48"/>
          <w:szCs w:val="48"/>
        </w:rPr>
      </w:pPr>
    </w:p>
    <w:p>
      <w:pPr>
        <w:snapToGrid w:val="0"/>
        <w:jc w:val="center"/>
        <w:rPr>
          <w:rFonts w:ascii="方正小标宋简体" w:eastAsia="方正小标宋简体" w:cs="方正小标宋简体" w:hint="eastAsia"/>
          <w:b w:val="0"/>
          <w:bCs w:val="0"/>
          <w:sz w:val="48"/>
          <w:szCs w:val="48"/>
        </w:rPr>
      </w:pPr>
    </w:p>
    <w:p>
      <w:pPr>
        <w:snapToGrid w:val="0"/>
        <w:jc w:val="center"/>
        <w:rPr>
          <w:rFonts w:ascii="方正小标宋简体" w:eastAsia="方正小标宋简体" w:cs="方正小标宋简体" w:hint="eastAsia"/>
          <w:b w:val="0"/>
          <w:bCs w:val="0"/>
          <w:sz w:val="48"/>
          <w:szCs w:val="48"/>
          <w:lang w:val="en-US" w:eastAsia="zh-CN"/>
        </w:rPr>
        <w:sectPr>
          <w:footerReference w:type="default" r:id="rId2"/>
          <w:pgSz w:w="11906" w:h="16838"/>
          <w:pgMar w:top="1440" w:right="1800" w:bottom="1440" w:left="1800" w:header="851" w:footer="992" w:gutter="0"/>
          <w:docGrid w:type="lines" w:linePitch="312" w:charSpace="0"/>
        </w:sectPr>
      </w:pPr>
      <w:r>
        <w:rPr>
          <w:rFonts w:ascii="方正小标宋简体" w:eastAsia="方正小标宋简体" w:cs="方正小标宋简体" w:hint="eastAsia"/>
          <w:b w:val="0"/>
          <w:bCs w:val="0"/>
          <w:sz w:val="48"/>
          <w:szCs w:val="48"/>
        </w:rPr>
        <w:t>部门决算分析</w:t>
      </w:r>
      <w:r>
        <w:rPr>
          <w:rFonts w:ascii="方正小标宋简体" w:eastAsia="方正小标宋简体" w:cs="方正小标宋简体" w:hint="eastAsia"/>
          <w:b w:val="0"/>
          <w:bCs w:val="0"/>
          <w:sz w:val="48"/>
          <w:szCs w:val="48"/>
          <w:lang w:val="en-US" w:eastAsia="zh-CN"/>
        </w:rPr>
        <w:t>报告</w:t>
      </w:r>
    </w:p>
    <w:p>
      <w:pPr>
        <w:widowControl/>
        <w:jc w:val="both"/>
        <w:rPr>
          <w:rFonts w:ascii="黑体" w:eastAsia="黑体"/>
          <w:color w:val="000000"/>
          <w:sz w:val="72"/>
          <w:szCs w:val="72"/>
        </w:rPr>
      </w:pPr>
    </w:p>
    <w:sdt>
      <w:sdtPr>
        <w:rPr>
          <w:rFonts w:ascii="宋体" w:eastAsia="宋体" w:cs="Times New Roman"/>
          <w:kern w:val="2"/>
          <w:sz w:val="28"/>
          <w:szCs w:val="36"/>
          <w:lang w:val="en-US" w:eastAsia="zh-CN" w:bidi="ar-SA"/>
        </w:rPr>
        <w:id w:val="-752108449"/>
        <w15:color w:val="DBDBDB"/>
        <w:docPartObj>
          <w:docPartGallery w:val="Table of Contents"/>
          <w:docPartUnique/>
        </w:docPartObj>
      </w:sdtPr>
      <w:sdtEndPr>
        <w:rPr>
          <w:b/>
        </w:rPr>
      </w:sdtEndPr>
      <w:sdtContent>
        <w:bookmarkStart w:id="6" w:name="_Toc15396599" w:displacedByCustomXml="prev"/>
        <w:bookmarkStart w:id="7" w:name="_Toc15377196" w:displacedByCustomXml="prev"/>
        <w:p>
          <w:pPr>
            <w:spacing w:before="0" w:after="0" w:line="240" w:lineRule="auto"/>
            <w:ind w:left="0" w:right="0" w:firstLine="0"/>
            <w:jc w:val="center"/>
            <w:rPr>
              <w:b/>
              <w:bCs/>
              <w:sz w:val="40"/>
              <w:szCs w:val="48"/>
            </w:rPr>
          </w:pPr>
          <w:r>
            <w:rPr>
              <w:rFonts w:ascii="宋体" w:eastAsia="宋体"/>
              <w:b/>
              <w:bCs/>
              <w:sz w:val="40"/>
              <w:szCs w:val="48"/>
            </w:rPr>
            <w:t>目录</w:t>
          </w:r>
        </w:p>
        <w:p>
          <w:pPr>
            <w:pStyle w:val="25"/>
            <w:tabs>
              <w:tab w:val="right" w:leader="dot" w:pos="8306"/>
            </w:tabs>
            <w:rPr>
              <w:b/>
              <w:sz w:val="24"/>
              <w:szCs w:val="24"/>
            </w:rPr>
          </w:pPr>
          <w:r>
            <w:rPr>
              <w:sz w:val="24"/>
              <w:szCs w:val="24"/>
            </w:rPr>
            <w:fldChar w:fldCharType="begin"/>
          </w:r>
          <w:r>
            <w:rPr>
              <w:sz w:val="24"/>
              <w:szCs w:val="24"/>
            </w:rPr>
            <w:instrText xml:space="preserve">TOC \o "1-2" \h \u </w:instrText>
          </w:r>
          <w:r>
            <w:rPr>
              <w:sz w:val="24"/>
              <w:szCs w:val="24"/>
            </w:rPr>
            <w:fldChar w:fldCharType="separate"/>
          </w:r>
          <w:r>
            <w:rPr>
              <w:b/>
              <w:sz w:val="24"/>
              <w:szCs w:val="24"/>
            </w:rPr>
            <w:fldChar w:fldCharType="begin"/>
          </w:r>
          <w:r>
            <w:rPr>
              <w:b/>
              <w:sz w:val="24"/>
              <w:szCs w:val="24"/>
            </w:rPr>
            <w:instrText xml:space="preserve"> HYPERLINK \l _Toc27921 </w:instrText>
          </w:r>
          <w:r>
            <w:rPr>
              <w:b/>
              <w:sz w:val="24"/>
              <w:szCs w:val="24"/>
            </w:rPr>
            <w:fldChar w:fldCharType="separate"/>
          </w:r>
          <w:r>
            <w:rPr>
              <w:rFonts w:ascii="黑体" w:eastAsia="黑体" w:hint="eastAsia"/>
              <w:b/>
              <w:sz w:val="24"/>
              <w:szCs w:val="24"/>
            </w:rPr>
            <w:t>第一部分</w:t>
          </w:r>
          <w:r>
            <w:rPr>
              <w:rFonts w:ascii="黑体" w:eastAsia="黑体"/>
              <w:b/>
              <w:sz w:val="24"/>
              <w:szCs w:val="24"/>
            </w:rPr>
            <w:t xml:space="preserve"> </w:t>
          </w:r>
          <w:r>
            <w:rPr>
              <w:rFonts w:ascii="黑体" w:eastAsia="黑体" w:hint="eastAsia"/>
              <w:b/>
              <w:bCs w:val="0"/>
              <w:sz w:val="24"/>
              <w:szCs w:val="24"/>
            </w:rPr>
            <w:t>部门概况</w:t>
          </w:r>
          <w:r>
            <w:rPr>
              <w:b/>
              <w:sz w:val="24"/>
              <w:szCs w:val="24"/>
            </w:rPr>
            <w:tab/>
          </w:r>
          <w:r>
            <w:rPr>
              <w:b/>
              <w:sz w:val="24"/>
              <w:szCs w:val="24"/>
            </w:rPr>
            <w:fldChar w:fldCharType="begin"/>
          </w:r>
          <w:r>
            <w:rPr>
              <w:b/>
              <w:sz w:val="24"/>
              <w:szCs w:val="24"/>
            </w:rPr>
            <w:instrText xml:space="preserve"> PAGEREF _Toc27921 \h </w:instrText>
          </w:r>
          <w:r>
            <w:rPr>
              <w:b/>
              <w:sz w:val="24"/>
              <w:szCs w:val="24"/>
            </w:rPr>
            <w:fldChar w:fldCharType="separate"/>
          </w:r>
          <w:r>
            <w:rPr>
              <w:b/>
              <w:sz w:val="24"/>
              <w:szCs w:val="24"/>
            </w:rPr>
            <w:t>2</w:t>
          </w:r>
          <w:r>
            <w:rPr>
              <w:b/>
              <w:sz w:val="24"/>
              <w:szCs w:val="24"/>
            </w:rPr>
            <w:fldChar w:fldCharType="end"/>
          </w:r>
          <w:r>
            <w:rPr>
              <w:b/>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_Toc5385 </w:instrText>
          </w:r>
          <w:r>
            <w:rPr>
              <w:sz w:val="24"/>
              <w:szCs w:val="24"/>
            </w:rPr>
            <w:fldChar w:fldCharType="separate"/>
          </w:r>
          <w:r>
            <w:rPr>
              <w:rFonts w:ascii="黑体" w:eastAsia="黑体" w:hint="eastAsia"/>
              <w:sz w:val="24"/>
              <w:szCs w:val="24"/>
            </w:rPr>
            <w:t>一、基</w:t>
          </w:r>
          <w:r>
            <w:rPr>
              <w:rFonts w:ascii="黑体" w:eastAsia="黑体" w:hint="eastAsia"/>
              <w:bCs w:val="0"/>
              <w:sz w:val="24"/>
              <w:szCs w:val="24"/>
            </w:rPr>
            <w:t>本职能及主要工作</w:t>
          </w:r>
          <w:r>
            <w:rPr>
              <w:sz w:val="24"/>
              <w:szCs w:val="24"/>
            </w:rPr>
            <w:tab/>
          </w:r>
          <w:r>
            <w:rPr>
              <w:sz w:val="24"/>
              <w:szCs w:val="24"/>
            </w:rPr>
            <w:fldChar w:fldCharType="begin"/>
          </w:r>
          <w:r>
            <w:rPr>
              <w:sz w:val="24"/>
              <w:szCs w:val="24"/>
            </w:rPr>
            <w:instrText xml:space="preserve"> PAGEREF _Toc5385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_Toc27783 </w:instrText>
          </w:r>
          <w:r>
            <w:rPr>
              <w:sz w:val="24"/>
              <w:szCs w:val="24"/>
            </w:rPr>
            <w:fldChar w:fldCharType="separate"/>
          </w:r>
          <w:r>
            <w:rPr>
              <w:rFonts w:ascii="楷体" w:eastAsia="楷体" w:cs="楷体" w:hint="eastAsia"/>
              <w:sz w:val="24"/>
              <w:szCs w:val="24"/>
            </w:rPr>
            <w:t>（一）主要职能</w:t>
          </w:r>
          <w:r>
            <w:rPr>
              <w:sz w:val="24"/>
              <w:szCs w:val="24"/>
            </w:rPr>
            <w:tab/>
          </w:r>
          <w:r>
            <w:rPr>
              <w:sz w:val="24"/>
              <w:szCs w:val="24"/>
            </w:rPr>
            <w:fldChar w:fldCharType="begin"/>
          </w:r>
          <w:r>
            <w:rPr>
              <w:sz w:val="24"/>
              <w:szCs w:val="24"/>
            </w:rPr>
            <w:instrText xml:space="preserve"> PAGEREF _Toc27783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_Toc7373 </w:instrText>
          </w:r>
          <w:r>
            <w:rPr>
              <w:sz w:val="24"/>
              <w:szCs w:val="24"/>
            </w:rPr>
            <w:fldChar w:fldCharType="separate"/>
          </w:r>
          <w:r>
            <w:rPr>
              <w:rFonts w:ascii="楷体" w:eastAsia="楷体" w:cs="楷体" w:hint="eastAsia"/>
              <w:sz w:val="24"/>
              <w:szCs w:val="24"/>
            </w:rPr>
            <w:t>（二）</w:t>
          </w:r>
          <w:r>
            <w:rPr>
              <w:rFonts w:ascii="楷体" w:eastAsia="楷体" w:cs="楷体"/>
              <w:sz w:val="24"/>
              <w:szCs w:val="24"/>
            </w:rPr>
            <w:t>202</w:t>
          </w:r>
          <w:r>
            <w:rPr>
              <w:rFonts w:ascii="楷体" w:eastAsia="楷体" w:cs="楷体" w:hint="eastAsia"/>
              <w:sz w:val="24"/>
              <w:szCs w:val="24"/>
              <w:lang w:val="en-US" w:eastAsia="zh-CN"/>
            </w:rPr>
            <w:t>2</w:t>
          </w:r>
          <w:r>
            <w:rPr>
              <w:rFonts w:ascii="楷体" w:eastAsia="楷体" w:cs="楷体" w:hint="eastAsia"/>
              <w:sz w:val="24"/>
              <w:szCs w:val="24"/>
            </w:rPr>
            <w:t>年重点工作完成情况</w:t>
          </w:r>
          <w:r>
            <w:rPr>
              <w:sz w:val="24"/>
              <w:szCs w:val="24"/>
            </w:rPr>
            <w:tab/>
          </w:r>
          <w:r>
            <w:rPr>
              <w:sz w:val="24"/>
              <w:szCs w:val="24"/>
            </w:rPr>
            <w:fldChar w:fldCharType="begin"/>
          </w:r>
          <w:r>
            <w:rPr>
              <w:sz w:val="24"/>
              <w:szCs w:val="24"/>
            </w:rPr>
            <w:instrText xml:space="preserve"> PAGEREF _Toc7373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_Toc14564 </w:instrText>
          </w:r>
          <w:r>
            <w:rPr>
              <w:sz w:val="24"/>
              <w:szCs w:val="24"/>
            </w:rPr>
            <w:fldChar w:fldCharType="separate"/>
          </w:r>
          <w:r>
            <w:rPr>
              <w:rFonts w:ascii="黑体" w:eastAsia="黑体" w:hint="eastAsia"/>
              <w:bCs w:val="0"/>
              <w:sz w:val="24"/>
              <w:szCs w:val="24"/>
            </w:rPr>
            <w:t>二、 机构设置</w:t>
          </w:r>
          <w:r>
            <w:rPr>
              <w:sz w:val="24"/>
              <w:szCs w:val="24"/>
            </w:rPr>
            <w:tab/>
          </w:r>
          <w:r>
            <w:rPr>
              <w:sz w:val="24"/>
              <w:szCs w:val="24"/>
            </w:rPr>
            <w:fldChar w:fldCharType="begin"/>
          </w:r>
          <w:r>
            <w:rPr>
              <w:sz w:val="24"/>
              <w:szCs w:val="24"/>
            </w:rPr>
            <w:instrText xml:space="preserve"> PAGEREF _Toc14564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25"/>
            <w:tabs>
              <w:tab w:val="right" w:leader="dot" w:pos="8306"/>
            </w:tabs>
            <w:rPr>
              <w:b/>
              <w:sz w:val="24"/>
              <w:szCs w:val="24"/>
            </w:rPr>
          </w:pPr>
          <w:r>
            <w:rPr>
              <w:b/>
              <w:sz w:val="24"/>
              <w:szCs w:val="24"/>
            </w:rPr>
            <w:fldChar w:fldCharType="begin"/>
          </w:r>
          <w:r>
            <w:rPr>
              <w:b/>
              <w:sz w:val="24"/>
              <w:szCs w:val="24"/>
            </w:rPr>
            <w:instrText xml:space="preserve"> HYPERLINK \l _Toc10840 </w:instrText>
          </w:r>
          <w:r>
            <w:rPr>
              <w:b/>
              <w:sz w:val="24"/>
              <w:szCs w:val="24"/>
            </w:rPr>
            <w:fldChar w:fldCharType="separate"/>
          </w:r>
          <w:r>
            <w:rPr>
              <w:rFonts w:ascii="黑体" w:eastAsia="黑体" w:hint="eastAsia"/>
              <w:b/>
              <w:sz w:val="24"/>
              <w:szCs w:val="24"/>
            </w:rPr>
            <w:t>第二部分</w:t>
          </w:r>
          <w:r>
            <w:rPr>
              <w:rFonts w:ascii="黑体" w:eastAsia="黑体"/>
              <w:b/>
              <w:sz w:val="24"/>
              <w:szCs w:val="24"/>
            </w:rPr>
            <w:t xml:space="preserve"> </w:t>
          </w:r>
          <w:r>
            <w:rPr>
              <w:rFonts w:ascii="黑体" w:eastAsia="黑体"/>
              <w:b/>
              <w:bCs w:val="0"/>
              <w:sz w:val="24"/>
              <w:szCs w:val="24"/>
            </w:rPr>
            <w:t>202</w:t>
          </w:r>
          <w:r>
            <w:rPr>
              <w:rFonts w:ascii="黑体" w:eastAsia="黑体" w:hint="eastAsia"/>
              <w:b/>
              <w:bCs w:val="0"/>
              <w:sz w:val="24"/>
              <w:szCs w:val="24"/>
            </w:rPr>
            <w:t>1年度部门决算情况说明</w:t>
          </w:r>
          <w:r>
            <w:rPr>
              <w:b/>
              <w:sz w:val="24"/>
              <w:szCs w:val="24"/>
            </w:rPr>
            <w:tab/>
          </w:r>
          <w:r>
            <w:rPr>
              <w:b/>
              <w:sz w:val="24"/>
              <w:szCs w:val="24"/>
            </w:rPr>
            <w:fldChar w:fldCharType="begin"/>
          </w:r>
          <w:r>
            <w:rPr>
              <w:b/>
              <w:sz w:val="24"/>
              <w:szCs w:val="24"/>
            </w:rPr>
            <w:instrText xml:space="preserve"> PAGEREF _Toc10840 \h </w:instrText>
          </w:r>
          <w:r>
            <w:rPr>
              <w:b/>
              <w:sz w:val="24"/>
              <w:szCs w:val="24"/>
            </w:rPr>
            <w:fldChar w:fldCharType="separate"/>
          </w:r>
          <w:r>
            <w:rPr>
              <w:b/>
              <w:sz w:val="24"/>
              <w:szCs w:val="24"/>
            </w:rPr>
            <w:t>3</w:t>
          </w:r>
          <w:r>
            <w:rPr>
              <w:b/>
              <w:sz w:val="24"/>
              <w:szCs w:val="24"/>
            </w:rPr>
            <w:fldChar w:fldCharType="end"/>
          </w:r>
          <w:r>
            <w:rPr>
              <w:b/>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_Toc24455 </w:instrText>
          </w:r>
          <w:r>
            <w:rPr>
              <w:sz w:val="24"/>
              <w:szCs w:val="24"/>
            </w:rPr>
            <w:fldChar w:fldCharType="separate"/>
          </w:r>
          <w:r>
            <w:rPr>
              <w:rFonts w:ascii="黑体" w:eastAsia="黑体" w:cs="Times New Roman"/>
              <w:sz w:val="24"/>
              <w:szCs w:val="24"/>
            </w:rPr>
            <w:t xml:space="preserve">一、 </w:t>
          </w:r>
          <w:r>
            <w:rPr>
              <w:rFonts w:ascii="黑体" w:eastAsia="黑体" w:hint="eastAsia"/>
              <w:sz w:val="24"/>
              <w:szCs w:val="44"/>
            </w:rPr>
            <w:t>收</w:t>
          </w:r>
          <w:r>
            <w:rPr>
              <w:rFonts w:ascii="黑体" w:eastAsia="黑体" w:hint="eastAsia"/>
              <w:sz w:val="24"/>
              <w:szCs w:val="24"/>
            </w:rPr>
            <w:t>入支出决算总体情况说明</w:t>
          </w:r>
          <w:r>
            <w:rPr>
              <w:sz w:val="24"/>
              <w:szCs w:val="24"/>
            </w:rPr>
            <w:tab/>
          </w:r>
          <w:r>
            <w:rPr>
              <w:sz w:val="24"/>
              <w:szCs w:val="24"/>
            </w:rPr>
            <w:fldChar w:fldCharType="begin"/>
          </w:r>
          <w:r>
            <w:rPr>
              <w:sz w:val="24"/>
              <w:szCs w:val="24"/>
            </w:rPr>
            <w:instrText xml:space="preserve"> PAGEREF _Toc24455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_Toc21320 </w:instrText>
          </w:r>
          <w:r>
            <w:rPr>
              <w:sz w:val="24"/>
              <w:szCs w:val="24"/>
            </w:rPr>
            <w:fldChar w:fldCharType="separate"/>
          </w:r>
          <w:r>
            <w:rPr>
              <w:rFonts w:ascii="黑体" w:eastAsia="黑体" w:hint="eastAsia"/>
              <w:sz w:val="24"/>
              <w:szCs w:val="44"/>
            </w:rPr>
            <w:t>二、收入决</w:t>
          </w:r>
          <w:r>
            <w:rPr>
              <w:rFonts w:ascii="黑体" w:eastAsia="黑体" w:hint="eastAsia"/>
              <w:sz w:val="24"/>
              <w:szCs w:val="24"/>
            </w:rPr>
            <w:t>算情况说明</w:t>
          </w:r>
          <w:r>
            <w:rPr>
              <w:sz w:val="24"/>
              <w:szCs w:val="24"/>
            </w:rPr>
            <w:tab/>
          </w:r>
          <w:r>
            <w:rPr>
              <w:sz w:val="24"/>
              <w:szCs w:val="24"/>
            </w:rPr>
            <w:fldChar w:fldCharType="begin"/>
          </w:r>
          <w:r>
            <w:rPr>
              <w:sz w:val="24"/>
              <w:szCs w:val="24"/>
            </w:rPr>
            <w:instrText xml:space="preserve"> PAGEREF _Toc21320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_Toc28234 </w:instrText>
          </w:r>
          <w:r>
            <w:rPr>
              <w:sz w:val="24"/>
              <w:szCs w:val="24"/>
            </w:rPr>
            <w:fldChar w:fldCharType="separate"/>
          </w:r>
          <w:r>
            <w:rPr>
              <w:rFonts w:ascii="黑体" w:eastAsia="黑体" w:hint="eastAsia"/>
              <w:sz w:val="24"/>
              <w:szCs w:val="44"/>
            </w:rPr>
            <w:t>三、支出决</w:t>
          </w:r>
          <w:r>
            <w:rPr>
              <w:rFonts w:ascii="黑体" w:eastAsia="黑体" w:hint="eastAsia"/>
              <w:sz w:val="24"/>
              <w:szCs w:val="24"/>
            </w:rPr>
            <w:t>算情况说明</w:t>
          </w:r>
          <w:r>
            <w:rPr>
              <w:sz w:val="24"/>
              <w:szCs w:val="24"/>
            </w:rPr>
            <w:tab/>
          </w:r>
          <w:r>
            <w:rPr>
              <w:sz w:val="24"/>
              <w:szCs w:val="24"/>
            </w:rPr>
            <w:fldChar w:fldCharType="begin"/>
          </w:r>
          <w:r>
            <w:rPr>
              <w:sz w:val="24"/>
              <w:szCs w:val="24"/>
            </w:rPr>
            <w:instrText xml:space="preserve"> PAGEREF _Toc28234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_Toc27110 </w:instrText>
          </w:r>
          <w:r>
            <w:rPr>
              <w:sz w:val="24"/>
              <w:szCs w:val="24"/>
            </w:rPr>
            <w:fldChar w:fldCharType="separate"/>
          </w:r>
          <w:r>
            <w:rPr>
              <w:rFonts w:ascii="黑体" w:eastAsia="黑体" w:hint="eastAsia"/>
              <w:sz w:val="24"/>
              <w:szCs w:val="44"/>
            </w:rPr>
            <w:t>四、财</w:t>
          </w:r>
          <w:r>
            <w:rPr>
              <w:rFonts w:ascii="黑体" w:eastAsia="黑体" w:hint="eastAsia"/>
              <w:sz w:val="24"/>
              <w:szCs w:val="24"/>
            </w:rPr>
            <w:t>政拨款收入支出决算总体情况说明</w:t>
          </w:r>
          <w:r>
            <w:rPr>
              <w:sz w:val="24"/>
              <w:szCs w:val="24"/>
            </w:rPr>
            <w:tab/>
          </w:r>
          <w:r>
            <w:rPr>
              <w:sz w:val="24"/>
              <w:szCs w:val="24"/>
            </w:rPr>
            <w:fldChar w:fldCharType="begin"/>
          </w:r>
          <w:r>
            <w:rPr>
              <w:sz w:val="24"/>
              <w:szCs w:val="24"/>
            </w:rPr>
            <w:instrText xml:space="preserve"> PAGEREF _Toc27110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_Toc17119 </w:instrText>
          </w:r>
          <w:r>
            <w:rPr>
              <w:sz w:val="24"/>
              <w:szCs w:val="24"/>
            </w:rPr>
            <w:fldChar w:fldCharType="separate"/>
          </w:r>
          <w:r>
            <w:rPr>
              <w:rFonts w:ascii="黑体" w:eastAsia="黑体" w:hint="eastAsia"/>
              <w:sz w:val="24"/>
              <w:szCs w:val="44"/>
            </w:rPr>
            <w:t>五、一</w:t>
          </w:r>
          <w:r>
            <w:rPr>
              <w:rFonts w:ascii="黑体" w:eastAsia="黑体" w:hint="eastAsia"/>
              <w:sz w:val="24"/>
              <w:szCs w:val="24"/>
            </w:rPr>
            <w:t>般公共预算财政拨款支出决算情况说明</w:t>
          </w:r>
          <w:r>
            <w:rPr>
              <w:sz w:val="24"/>
              <w:szCs w:val="24"/>
            </w:rPr>
            <w:tab/>
          </w:r>
          <w:r>
            <w:rPr>
              <w:sz w:val="24"/>
              <w:szCs w:val="24"/>
            </w:rPr>
            <w:fldChar w:fldCharType="begin"/>
          </w:r>
          <w:r>
            <w:rPr>
              <w:sz w:val="24"/>
              <w:szCs w:val="24"/>
            </w:rPr>
            <w:instrText xml:space="preserve"> PAGEREF _Toc17119 \h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_Toc32633 </w:instrText>
          </w:r>
          <w:r>
            <w:rPr>
              <w:sz w:val="24"/>
              <w:szCs w:val="24"/>
            </w:rPr>
            <w:fldChar w:fldCharType="separate"/>
          </w:r>
          <w:r>
            <w:rPr>
              <w:rFonts w:ascii="黑体" w:eastAsia="黑体" w:hint="eastAsia"/>
              <w:sz w:val="24"/>
              <w:szCs w:val="44"/>
            </w:rPr>
            <w:t>六、一</w:t>
          </w:r>
          <w:r>
            <w:rPr>
              <w:rFonts w:ascii="黑体" w:eastAsia="黑体" w:hint="eastAsia"/>
              <w:sz w:val="24"/>
              <w:szCs w:val="24"/>
            </w:rPr>
            <w:t>般公共预算财政拨款基本支出决算情况说明</w:t>
          </w:r>
          <w:r>
            <w:rPr>
              <w:sz w:val="24"/>
              <w:szCs w:val="24"/>
            </w:rPr>
            <w:tab/>
          </w:r>
          <w:r>
            <w:rPr>
              <w:sz w:val="24"/>
              <w:szCs w:val="24"/>
            </w:rPr>
            <w:fldChar w:fldCharType="begin"/>
          </w:r>
          <w:r>
            <w:rPr>
              <w:sz w:val="24"/>
              <w:szCs w:val="24"/>
            </w:rPr>
            <w:instrText xml:space="preserve"> PAGEREF _Toc32633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_Toc12872 </w:instrText>
          </w:r>
          <w:r>
            <w:rPr>
              <w:sz w:val="24"/>
              <w:szCs w:val="24"/>
            </w:rPr>
            <w:fldChar w:fldCharType="separate"/>
          </w:r>
          <w:r>
            <w:rPr>
              <w:rFonts w:ascii="黑体" w:eastAsia="黑体" w:hint="eastAsia"/>
              <w:sz w:val="24"/>
              <w:szCs w:val="44"/>
            </w:rPr>
            <w:t>七、</w:t>
          </w:r>
          <w:r>
            <w:rPr>
              <w:rFonts w:ascii="黑体" w:eastAsia="黑体" w:hint="eastAsia"/>
              <w:sz w:val="24"/>
              <w:szCs w:val="24"/>
            </w:rPr>
            <w:t>“三公”经费财政拨款支出决算情况说明</w:t>
          </w:r>
          <w:r>
            <w:rPr>
              <w:sz w:val="24"/>
              <w:szCs w:val="24"/>
            </w:rPr>
            <w:tab/>
          </w:r>
          <w:r>
            <w:rPr>
              <w:sz w:val="24"/>
              <w:szCs w:val="24"/>
            </w:rPr>
            <w:fldChar w:fldCharType="begin"/>
          </w:r>
          <w:r>
            <w:rPr>
              <w:sz w:val="24"/>
              <w:szCs w:val="24"/>
            </w:rPr>
            <w:instrText xml:space="preserve"> PAGEREF _Toc12872 \h </w:instrText>
          </w:r>
          <w:r>
            <w:rPr>
              <w:sz w:val="24"/>
              <w:szCs w:val="24"/>
            </w:rPr>
            <w:fldChar w:fldCharType="separate"/>
          </w:r>
          <w:r>
            <w:rPr>
              <w:sz w:val="24"/>
              <w:szCs w:val="24"/>
            </w:rPr>
            <w:t>8</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_Toc25203 </w:instrText>
          </w:r>
          <w:r>
            <w:rPr>
              <w:sz w:val="24"/>
              <w:szCs w:val="24"/>
            </w:rPr>
            <w:fldChar w:fldCharType="separate"/>
          </w:r>
          <w:r>
            <w:rPr>
              <w:rFonts w:ascii="黑体" w:eastAsia="黑体" w:hint="eastAsia"/>
              <w:sz w:val="24"/>
              <w:szCs w:val="44"/>
            </w:rPr>
            <w:t>八、</w:t>
          </w:r>
          <w:r>
            <w:rPr>
              <w:rFonts w:ascii="黑体" w:eastAsia="黑体" w:hint="eastAsia"/>
              <w:sz w:val="24"/>
              <w:szCs w:val="24"/>
            </w:rPr>
            <w:t>政府性基金预算支出决算情况说明</w:t>
          </w:r>
          <w:r>
            <w:rPr>
              <w:sz w:val="24"/>
              <w:szCs w:val="24"/>
            </w:rPr>
            <w:tab/>
          </w:r>
          <w:r>
            <w:rPr>
              <w:sz w:val="24"/>
              <w:szCs w:val="24"/>
            </w:rPr>
            <w:fldChar w:fldCharType="begin"/>
          </w:r>
          <w:r>
            <w:rPr>
              <w:sz w:val="24"/>
              <w:szCs w:val="24"/>
            </w:rPr>
            <w:instrText xml:space="preserve"> PAGEREF _Toc25203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_Toc12511 </w:instrText>
          </w:r>
          <w:r>
            <w:rPr>
              <w:sz w:val="24"/>
              <w:szCs w:val="24"/>
            </w:rPr>
            <w:fldChar w:fldCharType="separate"/>
          </w:r>
          <w:r>
            <w:rPr>
              <w:rFonts w:ascii="黑体" w:eastAsia="黑体" w:cs="Times New Roman" w:hint="eastAsia"/>
              <w:sz w:val="24"/>
              <w:szCs w:val="24"/>
            </w:rPr>
            <w:t xml:space="preserve">九、 </w:t>
          </w:r>
          <w:r>
            <w:rPr>
              <w:rFonts w:ascii="黑体" w:eastAsia="黑体" w:hint="eastAsia"/>
              <w:sz w:val="24"/>
              <w:szCs w:val="24"/>
            </w:rPr>
            <w:t>国有资本经营预算支出决算情况说明</w:t>
          </w:r>
          <w:r>
            <w:rPr>
              <w:sz w:val="24"/>
              <w:szCs w:val="24"/>
            </w:rPr>
            <w:tab/>
          </w:r>
          <w:r>
            <w:rPr>
              <w:sz w:val="24"/>
              <w:szCs w:val="24"/>
            </w:rPr>
            <w:fldChar w:fldCharType="begin"/>
          </w:r>
          <w:r>
            <w:rPr>
              <w:sz w:val="24"/>
              <w:szCs w:val="24"/>
            </w:rPr>
            <w:instrText xml:space="preserve"> PAGEREF _Toc12511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_Toc16069 </w:instrText>
          </w:r>
          <w:r>
            <w:rPr>
              <w:sz w:val="24"/>
              <w:szCs w:val="24"/>
            </w:rPr>
            <w:fldChar w:fldCharType="separate"/>
          </w:r>
          <w:r>
            <w:rPr>
              <w:rFonts w:ascii="黑体" w:eastAsia="黑体" w:cs="Times New Roman"/>
              <w:sz w:val="24"/>
              <w:szCs w:val="24"/>
            </w:rPr>
            <w:t xml:space="preserve">十、 </w:t>
          </w:r>
          <w:r>
            <w:rPr>
              <w:rFonts w:ascii="黑体" w:eastAsia="黑体" w:hint="eastAsia"/>
              <w:sz w:val="24"/>
              <w:szCs w:val="24"/>
            </w:rPr>
            <w:t>预算绩效情况说明</w:t>
          </w:r>
          <w:r>
            <w:rPr>
              <w:sz w:val="24"/>
              <w:szCs w:val="24"/>
            </w:rPr>
            <w:tab/>
          </w:r>
          <w:r>
            <w:rPr>
              <w:sz w:val="24"/>
              <w:szCs w:val="24"/>
            </w:rPr>
            <w:fldChar w:fldCharType="begin"/>
          </w:r>
          <w:r>
            <w:rPr>
              <w:sz w:val="24"/>
              <w:szCs w:val="24"/>
            </w:rPr>
            <w:instrText xml:space="preserve"> PAGEREF _Toc16069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_Toc10180 </w:instrText>
          </w:r>
          <w:r>
            <w:rPr>
              <w:sz w:val="24"/>
              <w:szCs w:val="24"/>
            </w:rPr>
            <w:fldChar w:fldCharType="separate"/>
          </w:r>
          <w:r>
            <w:rPr>
              <w:rFonts w:ascii="黑体" w:eastAsia="黑体" w:hint="eastAsia"/>
              <w:sz w:val="24"/>
              <w:szCs w:val="44"/>
            </w:rPr>
            <w:t>十</w:t>
          </w:r>
          <w:r>
            <w:rPr>
              <w:rFonts w:ascii="黑体" w:eastAsia="黑体" w:hint="eastAsia"/>
              <w:sz w:val="24"/>
              <w:szCs w:val="24"/>
            </w:rPr>
            <w:t>一、其他重要事项的情况说明</w:t>
          </w:r>
          <w:r>
            <w:rPr>
              <w:sz w:val="24"/>
              <w:szCs w:val="24"/>
            </w:rPr>
            <w:tab/>
          </w:r>
          <w:r>
            <w:rPr>
              <w:sz w:val="24"/>
              <w:szCs w:val="24"/>
            </w:rPr>
            <w:fldChar w:fldCharType="begin"/>
          </w:r>
          <w:r>
            <w:rPr>
              <w:sz w:val="24"/>
              <w:szCs w:val="24"/>
            </w:rPr>
            <w:instrText xml:space="preserve"> PAGEREF _Toc10180 \h </w:instrText>
          </w:r>
          <w:r>
            <w:rPr>
              <w:sz w:val="24"/>
              <w:szCs w:val="24"/>
            </w:rPr>
            <w:fldChar w:fldCharType="separate"/>
          </w:r>
          <w:r>
            <w:rPr>
              <w:sz w:val="24"/>
              <w:szCs w:val="24"/>
            </w:rPr>
            <w:t>10</w:t>
          </w:r>
          <w:r>
            <w:rPr>
              <w:sz w:val="24"/>
              <w:szCs w:val="24"/>
            </w:rPr>
            <w:fldChar w:fldCharType="end"/>
          </w:r>
          <w:r>
            <w:rPr>
              <w:sz w:val="24"/>
              <w:szCs w:val="24"/>
            </w:rPr>
            <w:fldChar w:fldCharType="end"/>
          </w:r>
        </w:p>
        <w:p>
          <w:pPr>
            <w:pStyle w:val="25"/>
            <w:tabs>
              <w:tab w:val="right" w:leader="dot" w:pos="8306"/>
            </w:tabs>
            <w:rPr>
              <w:sz w:val="24"/>
              <w:szCs w:val="24"/>
            </w:rPr>
          </w:pPr>
          <w:r>
            <w:rPr>
              <w:b/>
              <w:sz w:val="24"/>
              <w:szCs w:val="24"/>
            </w:rPr>
            <w:fldChar w:fldCharType="begin"/>
          </w:r>
          <w:r>
            <w:rPr>
              <w:b/>
              <w:sz w:val="24"/>
              <w:szCs w:val="24"/>
            </w:rPr>
            <w:instrText xml:space="preserve"> HYPERLINK \l _Toc31263 </w:instrText>
          </w:r>
          <w:r>
            <w:rPr>
              <w:b/>
              <w:sz w:val="24"/>
              <w:szCs w:val="24"/>
            </w:rPr>
            <w:fldChar w:fldCharType="separate"/>
          </w:r>
          <w:r>
            <w:rPr>
              <w:rFonts w:ascii="黑体" w:eastAsia="黑体" w:cs="Times New Roman" w:hint="eastAsia"/>
              <w:b/>
              <w:sz w:val="24"/>
              <w:szCs w:val="24"/>
            </w:rPr>
            <w:t xml:space="preserve">第三部分 </w:t>
          </w:r>
          <w:r>
            <w:rPr>
              <w:rFonts w:ascii="黑体" w:eastAsia="黑体" w:hint="eastAsia"/>
              <w:b/>
              <w:sz w:val="24"/>
              <w:szCs w:val="56"/>
            </w:rPr>
            <w:t>名</w:t>
          </w:r>
          <w:r>
            <w:rPr>
              <w:rFonts w:ascii="黑体" w:eastAsia="黑体" w:hint="eastAsia"/>
              <w:b/>
              <w:sz w:val="24"/>
              <w:szCs w:val="24"/>
            </w:rPr>
            <w:t>词解释</w:t>
          </w:r>
          <w:r>
            <w:rPr>
              <w:b/>
              <w:sz w:val="24"/>
              <w:szCs w:val="24"/>
            </w:rPr>
            <w:tab/>
          </w:r>
          <w:r>
            <w:rPr>
              <w:b/>
              <w:sz w:val="24"/>
              <w:szCs w:val="24"/>
            </w:rPr>
            <w:fldChar w:fldCharType="begin"/>
          </w:r>
          <w:r>
            <w:rPr>
              <w:b/>
              <w:sz w:val="24"/>
              <w:szCs w:val="24"/>
            </w:rPr>
            <w:instrText xml:space="preserve"> PAGEREF _Toc31263 \h </w:instrText>
          </w:r>
          <w:r>
            <w:rPr>
              <w:b/>
              <w:sz w:val="24"/>
              <w:szCs w:val="24"/>
            </w:rPr>
            <w:fldChar w:fldCharType="separate"/>
          </w:r>
          <w:r>
            <w:rPr>
              <w:b/>
              <w:sz w:val="24"/>
              <w:szCs w:val="24"/>
            </w:rPr>
            <w:t>10</w:t>
          </w:r>
          <w:r>
            <w:rPr>
              <w:b/>
              <w:sz w:val="24"/>
              <w:szCs w:val="24"/>
            </w:rPr>
            <w:fldChar w:fldCharType="end"/>
          </w:r>
          <w:r>
            <w:rPr>
              <w:b/>
              <w:sz w:val="24"/>
              <w:szCs w:val="24"/>
            </w:rPr>
            <w:fldChar w:fldCharType="end"/>
          </w:r>
        </w:p>
        <w:p>
          <w:pPr>
            <w:pStyle w:val="25"/>
            <w:tabs>
              <w:tab w:val="right" w:leader="dot" w:pos="8306"/>
            </w:tabs>
            <w:rPr>
              <w:b/>
              <w:sz w:val="24"/>
              <w:szCs w:val="24"/>
            </w:rPr>
          </w:pPr>
          <w:r>
            <w:rPr>
              <w:b/>
              <w:sz w:val="24"/>
              <w:szCs w:val="24"/>
            </w:rPr>
            <w:fldChar w:fldCharType="begin"/>
          </w:r>
          <w:r>
            <w:rPr>
              <w:b/>
              <w:sz w:val="24"/>
              <w:szCs w:val="24"/>
            </w:rPr>
            <w:instrText xml:space="preserve"> HYPERLINK \l _Toc6553 </w:instrText>
          </w:r>
          <w:r>
            <w:rPr>
              <w:b/>
              <w:sz w:val="24"/>
              <w:szCs w:val="24"/>
            </w:rPr>
            <w:fldChar w:fldCharType="separate"/>
          </w:r>
          <w:r>
            <w:rPr>
              <w:rFonts w:ascii="黑体" w:eastAsia="黑体" w:cs="Times New Roman" w:hint="eastAsia"/>
              <w:b/>
              <w:sz w:val="24"/>
              <w:szCs w:val="24"/>
            </w:rPr>
            <w:t xml:space="preserve">第四部分 </w:t>
          </w:r>
          <w:r>
            <w:rPr>
              <w:rFonts w:ascii="黑体" w:eastAsia="黑体" w:hint="eastAsia"/>
              <w:b/>
              <w:sz w:val="24"/>
              <w:szCs w:val="24"/>
            </w:rPr>
            <w:t>附件</w:t>
          </w:r>
          <w:r>
            <w:rPr>
              <w:b/>
              <w:sz w:val="24"/>
              <w:szCs w:val="24"/>
            </w:rPr>
            <w:tab/>
          </w:r>
          <w:r>
            <w:rPr>
              <w:b/>
              <w:sz w:val="24"/>
              <w:szCs w:val="24"/>
            </w:rPr>
            <w:fldChar w:fldCharType="begin"/>
          </w:r>
          <w:r>
            <w:rPr>
              <w:b/>
              <w:sz w:val="24"/>
              <w:szCs w:val="24"/>
            </w:rPr>
            <w:instrText xml:space="preserve"> PAGEREF _Toc6553 \h </w:instrText>
          </w:r>
          <w:r>
            <w:rPr>
              <w:b/>
              <w:sz w:val="24"/>
              <w:szCs w:val="24"/>
            </w:rPr>
            <w:fldChar w:fldCharType="separate"/>
          </w:r>
          <w:r>
            <w:rPr>
              <w:b/>
              <w:sz w:val="24"/>
              <w:szCs w:val="24"/>
            </w:rPr>
            <w:t>13</w:t>
          </w:r>
          <w:r>
            <w:rPr>
              <w:b/>
              <w:sz w:val="24"/>
              <w:szCs w:val="24"/>
            </w:rPr>
            <w:fldChar w:fldCharType="end"/>
          </w:r>
          <w:r>
            <w:rPr>
              <w:b/>
              <w:sz w:val="24"/>
              <w:szCs w:val="24"/>
            </w:rPr>
            <w:fldChar w:fldCharType="end"/>
          </w:r>
        </w:p>
        <w:p>
          <w:pPr>
            <w:pStyle w:val="25"/>
            <w:tabs>
              <w:tab w:val="right" w:leader="dot" w:pos="8306"/>
            </w:tabs>
            <w:rPr>
              <w:b/>
              <w:sz w:val="24"/>
              <w:szCs w:val="24"/>
            </w:rPr>
          </w:pPr>
          <w:r>
            <w:rPr>
              <w:b/>
              <w:sz w:val="24"/>
              <w:szCs w:val="24"/>
            </w:rPr>
            <w:fldChar w:fldCharType="begin"/>
          </w:r>
          <w:r>
            <w:rPr>
              <w:b/>
              <w:sz w:val="24"/>
              <w:szCs w:val="24"/>
            </w:rPr>
            <w:instrText xml:space="preserve"> HYPERLINK \l _Toc3078 </w:instrText>
          </w:r>
          <w:r>
            <w:rPr>
              <w:b/>
              <w:sz w:val="24"/>
              <w:szCs w:val="24"/>
            </w:rPr>
            <w:fldChar w:fldCharType="separate"/>
          </w:r>
          <w:r>
            <w:rPr>
              <w:rFonts w:ascii="黑体" w:eastAsia="黑体" w:hint="eastAsia"/>
              <w:b/>
              <w:sz w:val="24"/>
              <w:szCs w:val="56"/>
            </w:rPr>
            <w:t>第</w:t>
          </w:r>
          <w:r>
            <w:rPr>
              <w:rFonts w:ascii="黑体" w:eastAsia="黑体" w:hint="eastAsia"/>
              <w:b/>
              <w:sz w:val="24"/>
              <w:szCs w:val="24"/>
            </w:rPr>
            <w:t>五部分</w:t>
          </w:r>
          <w:r>
            <w:rPr>
              <w:rFonts w:ascii="黑体" w:eastAsia="黑体"/>
              <w:b/>
              <w:sz w:val="24"/>
              <w:szCs w:val="24"/>
            </w:rPr>
            <w:t xml:space="preserve"> </w:t>
          </w:r>
          <w:r>
            <w:rPr>
              <w:rFonts w:ascii="黑体" w:eastAsia="黑体" w:hint="eastAsia"/>
              <w:b/>
              <w:sz w:val="24"/>
              <w:szCs w:val="24"/>
            </w:rPr>
            <w:t>附表</w:t>
          </w:r>
          <w:r>
            <w:rPr>
              <w:b/>
              <w:sz w:val="24"/>
              <w:szCs w:val="24"/>
            </w:rPr>
            <w:tab/>
          </w:r>
          <w:r>
            <w:rPr>
              <w:b/>
              <w:sz w:val="24"/>
              <w:szCs w:val="24"/>
            </w:rPr>
            <w:fldChar w:fldCharType="begin"/>
          </w:r>
          <w:r>
            <w:rPr>
              <w:b/>
              <w:sz w:val="24"/>
              <w:szCs w:val="24"/>
            </w:rPr>
            <w:instrText xml:space="preserve"> PAGEREF _Toc3078 \h </w:instrText>
          </w:r>
          <w:r>
            <w:rPr>
              <w:b/>
              <w:sz w:val="24"/>
              <w:szCs w:val="24"/>
            </w:rPr>
            <w:fldChar w:fldCharType="separate"/>
          </w:r>
          <w:r>
            <w:rPr>
              <w:b/>
              <w:sz w:val="24"/>
              <w:szCs w:val="24"/>
            </w:rPr>
            <w:t>13</w:t>
          </w:r>
          <w:r>
            <w:rPr>
              <w:b/>
              <w:sz w:val="24"/>
              <w:szCs w:val="24"/>
            </w:rPr>
            <w:fldChar w:fldCharType="end"/>
          </w:r>
          <w:r>
            <w:rPr>
              <w:b/>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_Toc24985 </w:instrText>
          </w:r>
          <w:r>
            <w:rPr>
              <w:sz w:val="24"/>
              <w:szCs w:val="24"/>
            </w:rPr>
            <w:fldChar w:fldCharType="separate"/>
          </w:r>
          <w:r>
            <w:rPr>
              <w:rFonts w:ascii="仿宋" w:eastAsia="仿宋" w:hint="eastAsia"/>
              <w:sz w:val="24"/>
              <w:szCs w:val="24"/>
            </w:rPr>
            <w:t>一、封面代码</w:t>
          </w:r>
          <w:r>
            <w:rPr>
              <w:sz w:val="24"/>
              <w:szCs w:val="24"/>
            </w:rPr>
            <w:tab/>
          </w:r>
          <w:r>
            <w:rPr>
              <w:sz w:val="24"/>
              <w:szCs w:val="24"/>
            </w:rPr>
            <w:fldChar w:fldCharType="begin"/>
          </w:r>
          <w:r>
            <w:rPr>
              <w:sz w:val="24"/>
              <w:szCs w:val="24"/>
            </w:rPr>
            <w:instrText xml:space="preserve"> PAGEREF _Toc24985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_Toc19708 </w:instrText>
          </w:r>
          <w:r>
            <w:rPr>
              <w:sz w:val="24"/>
              <w:szCs w:val="24"/>
            </w:rPr>
            <w:fldChar w:fldCharType="separate"/>
          </w:r>
          <w:r>
            <w:rPr>
              <w:rFonts w:ascii="仿宋" w:eastAsia="仿宋" w:hint="eastAsia"/>
              <w:sz w:val="24"/>
              <w:szCs w:val="24"/>
            </w:rPr>
            <w:t>二、收</w:t>
          </w:r>
          <w:r>
            <w:rPr>
              <w:rFonts w:ascii="仿宋" w:eastAsia="仿宋" w:hint="eastAsia"/>
              <w:bCs w:val="0"/>
              <w:sz w:val="24"/>
              <w:szCs w:val="24"/>
            </w:rPr>
            <w:t>入支出决算总表</w:t>
          </w:r>
          <w:r>
            <w:rPr>
              <w:sz w:val="24"/>
              <w:szCs w:val="24"/>
            </w:rPr>
            <w:tab/>
          </w:r>
          <w:r>
            <w:rPr>
              <w:sz w:val="24"/>
              <w:szCs w:val="24"/>
            </w:rPr>
            <w:fldChar w:fldCharType="begin"/>
          </w:r>
          <w:r>
            <w:rPr>
              <w:sz w:val="24"/>
              <w:szCs w:val="24"/>
            </w:rPr>
            <w:instrText xml:space="preserve"> PAGEREF _Toc19708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_Toc8620 </w:instrText>
          </w:r>
          <w:r>
            <w:rPr>
              <w:sz w:val="24"/>
              <w:szCs w:val="24"/>
            </w:rPr>
            <w:fldChar w:fldCharType="separate"/>
          </w:r>
          <w:r>
            <w:rPr>
              <w:rFonts w:ascii="仿宋" w:eastAsia="仿宋" w:hint="eastAsia"/>
              <w:bCs w:val="0"/>
              <w:sz w:val="24"/>
              <w:szCs w:val="24"/>
            </w:rPr>
            <w:t>三</w:t>
          </w:r>
          <w:r>
            <w:rPr>
              <w:rFonts w:ascii="仿宋" w:eastAsia="仿宋" w:hint="eastAsia"/>
              <w:sz w:val="24"/>
              <w:szCs w:val="24"/>
            </w:rPr>
            <w:t>、收</w:t>
          </w:r>
          <w:r>
            <w:rPr>
              <w:rFonts w:ascii="仿宋" w:eastAsia="仿宋" w:hint="eastAsia"/>
              <w:bCs w:val="0"/>
              <w:sz w:val="24"/>
              <w:szCs w:val="24"/>
            </w:rPr>
            <w:t>入总表</w:t>
          </w:r>
          <w:r>
            <w:rPr>
              <w:sz w:val="24"/>
              <w:szCs w:val="24"/>
            </w:rPr>
            <w:tab/>
          </w:r>
          <w:r>
            <w:rPr>
              <w:sz w:val="24"/>
              <w:szCs w:val="24"/>
            </w:rPr>
            <w:fldChar w:fldCharType="begin"/>
          </w:r>
          <w:r>
            <w:rPr>
              <w:sz w:val="24"/>
              <w:szCs w:val="24"/>
            </w:rPr>
            <w:instrText xml:space="preserve"> PAGEREF _Toc8620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_Toc3456 </w:instrText>
          </w:r>
          <w:r>
            <w:rPr>
              <w:sz w:val="24"/>
              <w:szCs w:val="24"/>
            </w:rPr>
            <w:fldChar w:fldCharType="separate"/>
          </w:r>
          <w:r>
            <w:rPr>
              <w:rFonts w:ascii="仿宋" w:eastAsia="仿宋" w:hint="eastAsia"/>
              <w:bCs w:val="0"/>
              <w:sz w:val="24"/>
              <w:szCs w:val="24"/>
            </w:rPr>
            <w:t>四、</w:t>
          </w:r>
          <w:r>
            <w:rPr>
              <w:rFonts w:ascii="仿宋" w:eastAsia="仿宋" w:hint="eastAsia"/>
              <w:sz w:val="24"/>
              <w:szCs w:val="24"/>
            </w:rPr>
            <w:t>支</w:t>
          </w:r>
          <w:r>
            <w:rPr>
              <w:rFonts w:ascii="仿宋" w:eastAsia="仿宋" w:hint="eastAsia"/>
              <w:bCs w:val="0"/>
              <w:sz w:val="24"/>
              <w:szCs w:val="24"/>
            </w:rPr>
            <w:t>出总表</w:t>
          </w:r>
          <w:r>
            <w:rPr>
              <w:sz w:val="24"/>
              <w:szCs w:val="24"/>
            </w:rPr>
            <w:tab/>
          </w:r>
          <w:r>
            <w:rPr>
              <w:sz w:val="24"/>
              <w:szCs w:val="24"/>
            </w:rPr>
            <w:fldChar w:fldCharType="begin"/>
          </w:r>
          <w:r>
            <w:rPr>
              <w:sz w:val="24"/>
              <w:szCs w:val="24"/>
            </w:rPr>
            <w:instrText xml:space="preserve"> PAGEREF _Toc3456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_Toc16644 </w:instrText>
          </w:r>
          <w:r>
            <w:rPr>
              <w:sz w:val="24"/>
              <w:szCs w:val="24"/>
            </w:rPr>
            <w:fldChar w:fldCharType="separate"/>
          </w:r>
          <w:r>
            <w:rPr>
              <w:rFonts w:ascii="仿宋" w:eastAsia="仿宋" w:hint="eastAsia"/>
              <w:bCs w:val="0"/>
              <w:sz w:val="24"/>
              <w:szCs w:val="24"/>
            </w:rPr>
            <w:t>五、</w:t>
          </w:r>
          <w:r>
            <w:rPr>
              <w:rFonts w:ascii="仿宋" w:eastAsia="仿宋" w:hint="eastAsia"/>
              <w:sz w:val="24"/>
              <w:szCs w:val="24"/>
            </w:rPr>
            <w:t>财</w:t>
          </w:r>
          <w:r>
            <w:rPr>
              <w:rFonts w:ascii="仿宋" w:eastAsia="仿宋" w:hint="eastAsia"/>
              <w:bCs w:val="0"/>
              <w:sz w:val="24"/>
              <w:szCs w:val="24"/>
            </w:rPr>
            <w:t>政拨款收入支出决算总表</w:t>
          </w:r>
          <w:r>
            <w:rPr>
              <w:sz w:val="24"/>
              <w:szCs w:val="24"/>
            </w:rPr>
            <w:tab/>
          </w:r>
          <w:r>
            <w:rPr>
              <w:sz w:val="24"/>
              <w:szCs w:val="24"/>
            </w:rPr>
            <w:fldChar w:fldCharType="begin"/>
          </w:r>
          <w:r>
            <w:rPr>
              <w:sz w:val="24"/>
              <w:szCs w:val="24"/>
            </w:rPr>
            <w:instrText xml:space="preserve"> PAGEREF _Toc16644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_Toc25449 </w:instrText>
          </w:r>
          <w:r>
            <w:rPr>
              <w:sz w:val="24"/>
              <w:szCs w:val="24"/>
            </w:rPr>
            <w:fldChar w:fldCharType="separate"/>
          </w:r>
          <w:r>
            <w:rPr>
              <w:rFonts w:ascii="仿宋" w:eastAsia="仿宋" w:hint="eastAsia"/>
              <w:bCs w:val="0"/>
              <w:sz w:val="24"/>
              <w:szCs w:val="24"/>
            </w:rPr>
            <w:t>六、</w:t>
          </w:r>
          <w:r>
            <w:rPr>
              <w:rFonts w:ascii="仿宋" w:eastAsia="仿宋" w:hint="eastAsia"/>
              <w:sz w:val="24"/>
              <w:szCs w:val="24"/>
            </w:rPr>
            <w:t>财</w:t>
          </w:r>
          <w:r>
            <w:rPr>
              <w:rFonts w:ascii="仿宋" w:eastAsia="仿宋" w:hint="eastAsia"/>
              <w:bCs w:val="0"/>
              <w:sz w:val="24"/>
              <w:szCs w:val="24"/>
            </w:rPr>
            <w:t>政拨款支出决算明细表</w:t>
          </w:r>
          <w:r>
            <w:rPr>
              <w:sz w:val="24"/>
              <w:szCs w:val="24"/>
            </w:rPr>
            <w:tab/>
          </w:r>
          <w:r>
            <w:rPr>
              <w:sz w:val="24"/>
              <w:szCs w:val="24"/>
            </w:rPr>
            <w:fldChar w:fldCharType="begin"/>
          </w:r>
          <w:r>
            <w:rPr>
              <w:sz w:val="24"/>
              <w:szCs w:val="24"/>
            </w:rPr>
            <w:instrText xml:space="preserve"> PAGEREF _Toc25449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_Toc8089 </w:instrText>
          </w:r>
          <w:r>
            <w:rPr>
              <w:sz w:val="24"/>
              <w:szCs w:val="24"/>
            </w:rPr>
            <w:fldChar w:fldCharType="separate"/>
          </w:r>
          <w:r>
            <w:rPr>
              <w:rFonts w:ascii="仿宋" w:eastAsia="仿宋" w:hint="eastAsia"/>
              <w:bCs w:val="0"/>
              <w:sz w:val="24"/>
              <w:szCs w:val="24"/>
            </w:rPr>
            <w:t>七、</w:t>
          </w:r>
          <w:r>
            <w:rPr>
              <w:rFonts w:ascii="仿宋" w:eastAsia="仿宋" w:hint="eastAsia"/>
              <w:sz w:val="24"/>
              <w:szCs w:val="24"/>
            </w:rPr>
            <w:t>一</w:t>
          </w:r>
          <w:r>
            <w:rPr>
              <w:rFonts w:ascii="仿宋" w:eastAsia="仿宋" w:hint="eastAsia"/>
              <w:bCs w:val="0"/>
              <w:sz w:val="24"/>
              <w:szCs w:val="24"/>
            </w:rPr>
            <w:t>般公共预算财政拨款支出决算表</w:t>
          </w:r>
          <w:r>
            <w:rPr>
              <w:sz w:val="24"/>
              <w:szCs w:val="24"/>
            </w:rPr>
            <w:tab/>
          </w:r>
          <w:r>
            <w:rPr>
              <w:sz w:val="24"/>
              <w:szCs w:val="24"/>
            </w:rPr>
            <w:fldChar w:fldCharType="begin"/>
          </w:r>
          <w:r>
            <w:rPr>
              <w:sz w:val="24"/>
              <w:szCs w:val="24"/>
            </w:rPr>
            <w:instrText xml:space="preserve"> PAGEREF _Toc8089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_Toc12897 </w:instrText>
          </w:r>
          <w:r>
            <w:rPr>
              <w:sz w:val="24"/>
              <w:szCs w:val="24"/>
            </w:rPr>
            <w:fldChar w:fldCharType="separate"/>
          </w:r>
          <w:r>
            <w:rPr>
              <w:rFonts w:ascii="仿宋" w:eastAsia="仿宋" w:hint="eastAsia"/>
              <w:bCs w:val="0"/>
              <w:sz w:val="24"/>
              <w:szCs w:val="24"/>
            </w:rPr>
            <w:t>八、</w:t>
          </w:r>
          <w:r>
            <w:rPr>
              <w:rFonts w:ascii="仿宋" w:eastAsia="仿宋" w:hint="eastAsia"/>
              <w:sz w:val="24"/>
              <w:szCs w:val="24"/>
            </w:rPr>
            <w:t>一</w:t>
          </w:r>
          <w:r>
            <w:rPr>
              <w:rFonts w:ascii="仿宋" w:eastAsia="仿宋" w:hint="eastAsia"/>
              <w:bCs w:val="0"/>
              <w:sz w:val="24"/>
              <w:szCs w:val="24"/>
            </w:rPr>
            <w:t>般公共预算财政拨款支出决算明细表</w:t>
          </w:r>
          <w:r>
            <w:rPr>
              <w:sz w:val="24"/>
              <w:szCs w:val="24"/>
            </w:rPr>
            <w:tab/>
          </w:r>
          <w:r>
            <w:rPr>
              <w:sz w:val="24"/>
              <w:szCs w:val="24"/>
            </w:rPr>
            <w:fldChar w:fldCharType="begin"/>
          </w:r>
          <w:r>
            <w:rPr>
              <w:sz w:val="24"/>
              <w:szCs w:val="24"/>
            </w:rPr>
            <w:instrText xml:space="preserve"> PAGEREF _Toc12897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_Toc20403 </w:instrText>
          </w:r>
          <w:r>
            <w:rPr>
              <w:sz w:val="24"/>
              <w:szCs w:val="24"/>
            </w:rPr>
            <w:fldChar w:fldCharType="separate"/>
          </w:r>
          <w:r>
            <w:rPr>
              <w:rFonts w:ascii="仿宋" w:eastAsia="仿宋" w:hint="eastAsia"/>
              <w:bCs w:val="0"/>
              <w:sz w:val="24"/>
              <w:szCs w:val="24"/>
            </w:rPr>
            <w:t>九、</w:t>
          </w:r>
          <w:r>
            <w:rPr>
              <w:rFonts w:ascii="仿宋" w:eastAsia="仿宋" w:hint="eastAsia"/>
              <w:sz w:val="24"/>
              <w:szCs w:val="24"/>
            </w:rPr>
            <w:t>一</w:t>
          </w:r>
          <w:r>
            <w:rPr>
              <w:rFonts w:ascii="仿宋" w:eastAsia="仿宋" w:hint="eastAsia"/>
              <w:bCs w:val="0"/>
              <w:sz w:val="24"/>
              <w:szCs w:val="24"/>
            </w:rPr>
            <w:t>般公共预算财政拨款基本支出决算表</w:t>
          </w:r>
          <w:r>
            <w:rPr>
              <w:sz w:val="24"/>
              <w:szCs w:val="24"/>
            </w:rPr>
            <w:tab/>
          </w:r>
          <w:r>
            <w:rPr>
              <w:sz w:val="24"/>
              <w:szCs w:val="24"/>
            </w:rPr>
            <w:fldChar w:fldCharType="begin"/>
          </w:r>
          <w:r>
            <w:rPr>
              <w:sz w:val="24"/>
              <w:szCs w:val="24"/>
            </w:rPr>
            <w:instrText xml:space="preserve"> PAGEREF _Toc20403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_Toc13229 </w:instrText>
          </w:r>
          <w:r>
            <w:rPr>
              <w:sz w:val="24"/>
              <w:szCs w:val="24"/>
            </w:rPr>
            <w:fldChar w:fldCharType="separate"/>
          </w:r>
          <w:r>
            <w:rPr>
              <w:rFonts w:ascii="仿宋" w:eastAsia="仿宋" w:hint="eastAsia"/>
              <w:bCs w:val="0"/>
              <w:sz w:val="24"/>
              <w:szCs w:val="24"/>
            </w:rPr>
            <w:t>十、</w:t>
          </w:r>
          <w:r>
            <w:rPr>
              <w:rFonts w:ascii="仿宋" w:eastAsia="仿宋" w:hint="eastAsia"/>
              <w:sz w:val="24"/>
              <w:szCs w:val="24"/>
            </w:rPr>
            <w:t>一</w:t>
          </w:r>
          <w:r>
            <w:rPr>
              <w:rFonts w:ascii="仿宋" w:eastAsia="仿宋" w:hint="eastAsia"/>
              <w:bCs w:val="0"/>
              <w:sz w:val="24"/>
              <w:szCs w:val="24"/>
            </w:rPr>
            <w:t>般公共预算财政拨款项目支出决算表</w:t>
          </w:r>
          <w:r>
            <w:rPr>
              <w:sz w:val="24"/>
              <w:szCs w:val="24"/>
            </w:rPr>
            <w:tab/>
          </w:r>
          <w:r>
            <w:rPr>
              <w:sz w:val="24"/>
              <w:szCs w:val="24"/>
            </w:rPr>
            <w:fldChar w:fldCharType="begin"/>
          </w:r>
          <w:r>
            <w:rPr>
              <w:sz w:val="24"/>
              <w:szCs w:val="24"/>
            </w:rPr>
            <w:instrText xml:space="preserve"> PAGEREF _Toc13229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_Toc23838 </w:instrText>
          </w:r>
          <w:r>
            <w:rPr>
              <w:sz w:val="24"/>
              <w:szCs w:val="24"/>
            </w:rPr>
            <w:fldChar w:fldCharType="separate"/>
          </w:r>
          <w:r>
            <w:rPr>
              <w:rFonts w:ascii="仿宋" w:eastAsia="仿宋" w:hint="eastAsia"/>
              <w:bCs w:val="0"/>
              <w:sz w:val="24"/>
              <w:szCs w:val="24"/>
            </w:rPr>
            <w:t>十一、</w:t>
          </w:r>
          <w:r>
            <w:rPr>
              <w:rFonts w:ascii="仿宋" w:eastAsia="仿宋" w:hint="eastAsia"/>
              <w:sz w:val="24"/>
              <w:szCs w:val="24"/>
            </w:rPr>
            <w:t>一</w:t>
          </w:r>
          <w:r>
            <w:rPr>
              <w:rFonts w:ascii="仿宋" w:eastAsia="仿宋" w:hint="eastAsia"/>
              <w:bCs w:val="0"/>
              <w:sz w:val="24"/>
              <w:szCs w:val="24"/>
            </w:rPr>
            <w:t>般公共预算财政拨款“三公”经费支出决算表</w:t>
          </w:r>
          <w:r>
            <w:rPr>
              <w:sz w:val="24"/>
              <w:szCs w:val="24"/>
            </w:rPr>
            <w:tab/>
          </w:r>
          <w:r>
            <w:rPr>
              <w:sz w:val="24"/>
              <w:szCs w:val="24"/>
            </w:rPr>
            <w:fldChar w:fldCharType="begin"/>
          </w:r>
          <w:r>
            <w:rPr>
              <w:sz w:val="24"/>
              <w:szCs w:val="24"/>
            </w:rPr>
            <w:instrText xml:space="preserve"> PAGEREF _Toc23838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_Toc1311 </w:instrText>
          </w:r>
          <w:r>
            <w:rPr>
              <w:sz w:val="24"/>
              <w:szCs w:val="24"/>
            </w:rPr>
            <w:fldChar w:fldCharType="separate"/>
          </w:r>
          <w:r>
            <w:rPr>
              <w:rFonts w:ascii="仿宋" w:eastAsia="仿宋" w:hint="eastAsia"/>
              <w:bCs w:val="0"/>
              <w:sz w:val="24"/>
              <w:szCs w:val="24"/>
            </w:rPr>
            <w:t>十二、</w:t>
          </w:r>
          <w:r>
            <w:rPr>
              <w:rFonts w:ascii="仿宋" w:eastAsia="仿宋" w:hint="eastAsia"/>
              <w:sz w:val="24"/>
              <w:szCs w:val="24"/>
            </w:rPr>
            <w:t>政</w:t>
          </w:r>
          <w:r>
            <w:rPr>
              <w:rFonts w:ascii="仿宋" w:eastAsia="仿宋" w:hint="eastAsia"/>
              <w:bCs w:val="0"/>
              <w:sz w:val="24"/>
              <w:szCs w:val="24"/>
            </w:rPr>
            <w:t>府性基金预算财政拨款收入支出决算表</w:t>
          </w:r>
          <w:r>
            <w:rPr>
              <w:sz w:val="24"/>
              <w:szCs w:val="24"/>
            </w:rPr>
            <w:tab/>
          </w:r>
          <w:r>
            <w:rPr>
              <w:sz w:val="24"/>
              <w:szCs w:val="24"/>
            </w:rPr>
            <w:fldChar w:fldCharType="begin"/>
          </w:r>
          <w:r>
            <w:rPr>
              <w:sz w:val="24"/>
              <w:szCs w:val="24"/>
            </w:rPr>
            <w:instrText xml:space="preserve"> PAGEREF _Toc1311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_Toc29390 </w:instrText>
          </w:r>
          <w:r>
            <w:rPr>
              <w:sz w:val="24"/>
              <w:szCs w:val="24"/>
            </w:rPr>
            <w:fldChar w:fldCharType="separate"/>
          </w:r>
          <w:r>
            <w:rPr>
              <w:rFonts w:ascii="仿宋" w:eastAsia="仿宋" w:hint="eastAsia"/>
              <w:bCs w:val="0"/>
              <w:sz w:val="24"/>
              <w:szCs w:val="24"/>
            </w:rPr>
            <w:t>十三、</w:t>
          </w:r>
          <w:r>
            <w:rPr>
              <w:rFonts w:ascii="仿宋" w:eastAsia="仿宋" w:hint="eastAsia"/>
              <w:sz w:val="24"/>
              <w:szCs w:val="24"/>
            </w:rPr>
            <w:t>政</w:t>
          </w:r>
          <w:r>
            <w:rPr>
              <w:rFonts w:ascii="仿宋" w:eastAsia="仿宋" w:hint="eastAsia"/>
              <w:bCs w:val="0"/>
              <w:sz w:val="24"/>
              <w:szCs w:val="24"/>
            </w:rPr>
            <w:t>府性基金预算财政拨款“三公”经费支出决算表</w:t>
          </w:r>
          <w:r>
            <w:rPr>
              <w:sz w:val="24"/>
              <w:szCs w:val="24"/>
            </w:rPr>
            <w:tab/>
          </w:r>
          <w:r>
            <w:rPr>
              <w:sz w:val="24"/>
              <w:szCs w:val="24"/>
            </w:rPr>
            <w:fldChar w:fldCharType="begin"/>
          </w:r>
          <w:r>
            <w:rPr>
              <w:sz w:val="24"/>
              <w:szCs w:val="24"/>
            </w:rPr>
            <w:instrText xml:space="preserve"> PAGEREF _Toc29390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_Toc16542 </w:instrText>
          </w:r>
          <w:r>
            <w:rPr>
              <w:sz w:val="24"/>
              <w:szCs w:val="24"/>
            </w:rPr>
            <w:fldChar w:fldCharType="separate"/>
          </w:r>
          <w:r>
            <w:rPr>
              <w:rFonts w:ascii="仿宋" w:eastAsia="仿宋" w:hint="eastAsia"/>
              <w:bCs w:val="0"/>
              <w:sz w:val="24"/>
              <w:szCs w:val="24"/>
            </w:rPr>
            <w:t>十四、</w:t>
          </w:r>
          <w:r>
            <w:rPr>
              <w:rFonts w:ascii="仿宋" w:eastAsia="仿宋" w:hint="eastAsia"/>
              <w:sz w:val="24"/>
              <w:szCs w:val="24"/>
            </w:rPr>
            <w:t>国</w:t>
          </w:r>
          <w:r>
            <w:rPr>
              <w:rFonts w:ascii="仿宋" w:eastAsia="仿宋" w:hint="eastAsia"/>
              <w:bCs w:val="0"/>
              <w:sz w:val="24"/>
              <w:szCs w:val="24"/>
            </w:rPr>
            <w:t>有资本经营财政拨款收入支出决算表</w:t>
          </w:r>
          <w:r>
            <w:rPr>
              <w:sz w:val="24"/>
              <w:szCs w:val="24"/>
            </w:rPr>
            <w:tab/>
          </w:r>
          <w:r>
            <w:rPr>
              <w:sz w:val="24"/>
              <w:szCs w:val="24"/>
            </w:rPr>
            <w:fldChar w:fldCharType="begin"/>
          </w:r>
          <w:r>
            <w:rPr>
              <w:sz w:val="24"/>
              <w:szCs w:val="24"/>
            </w:rPr>
            <w:instrText xml:space="preserve"> PAGEREF _Toc16542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26"/>
            <w:tabs>
              <w:tab w:val="right" w:leader="dot" w:pos="8306"/>
            </w:tabs>
            <w:rPr>
              <w:sz w:val="24"/>
              <w:szCs w:val="24"/>
            </w:rPr>
          </w:pPr>
          <w:r>
            <w:rPr>
              <w:sz w:val="24"/>
              <w:szCs w:val="24"/>
            </w:rPr>
            <w:fldChar w:fldCharType="begin"/>
          </w:r>
          <w:r>
            <w:rPr>
              <w:sz w:val="24"/>
              <w:szCs w:val="24"/>
            </w:rPr>
            <w:instrText xml:space="preserve"> HYPERLINK \l _Toc31432 </w:instrText>
          </w:r>
          <w:r>
            <w:rPr>
              <w:sz w:val="24"/>
              <w:szCs w:val="24"/>
            </w:rPr>
            <w:fldChar w:fldCharType="separate"/>
          </w:r>
          <w:r>
            <w:rPr>
              <w:rFonts w:ascii="仿宋" w:eastAsia="仿宋" w:hint="eastAsia"/>
              <w:bCs w:val="0"/>
              <w:sz w:val="24"/>
              <w:szCs w:val="24"/>
            </w:rPr>
            <w:t>十五、国有资本经营预算财政拨款支出决算表</w:t>
          </w:r>
          <w:r>
            <w:rPr>
              <w:sz w:val="24"/>
              <w:szCs w:val="24"/>
            </w:rPr>
            <w:tab/>
          </w:r>
          <w:r>
            <w:rPr>
              <w:sz w:val="24"/>
              <w:szCs w:val="24"/>
            </w:rPr>
            <w:fldChar w:fldCharType="begin"/>
          </w:r>
          <w:r>
            <w:rPr>
              <w:sz w:val="24"/>
              <w:szCs w:val="24"/>
            </w:rPr>
            <w:instrText xml:space="preserve"> PAGEREF _Toc31432 \h </w:instrText>
          </w:r>
          <w:r>
            <w:rPr>
              <w:sz w:val="24"/>
              <w:szCs w:val="24"/>
            </w:rPr>
            <w:fldChar w:fldCharType="separate"/>
          </w:r>
          <w:r>
            <w:rPr>
              <w:sz w:val="24"/>
              <w:szCs w:val="24"/>
            </w:rPr>
            <w:t>16</w:t>
          </w:r>
          <w:r>
            <w:rPr>
              <w:sz w:val="24"/>
              <w:szCs w:val="24"/>
            </w:rPr>
            <w:fldChar w:fldCharType="end"/>
          </w:r>
          <w:r>
            <w:rPr>
              <w:sz w:val="24"/>
              <w:szCs w:val="24"/>
            </w:rPr>
            <w:fldChar w:fldCharType="end"/>
          </w:r>
        </w:p>
        <w:p>
          <w:r>
            <w:rPr>
              <w:b/>
              <w:sz w:val="24"/>
              <w:szCs w:val="24"/>
            </w:rPr>
            <w:fldChar w:fldCharType="end"/>
          </w:r>
        </w:p>
      </w:sdtContent>
    </w:sdt>
    <w:p>
      <w:pPr>
        <w:widowControl/>
        <w:jc w:val="left"/>
        <w:rPr>
          <w:rFonts w:ascii="黑体" w:eastAsia="黑体"/>
          <w:bCs/>
          <w:kern w:val="44"/>
          <w:sz w:val="44"/>
          <w:szCs w:val="44"/>
        </w:rPr>
      </w:pPr>
      <w:r>
        <w:rPr>
          <w:rFonts w:ascii="黑体" w:eastAsia="黑体"/>
          <w:b/>
        </w:rPr>
        <w:br w:type="page"/>
      </w:r>
    </w:p>
    <w:p>
      <w:pPr>
        <w:pStyle w:val="1"/>
        <w:jc w:val="center"/>
        <w:rPr>
          <w:rFonts w:ascii="黑体" w:eastAsia="黑体"/>
          <w:color w:val="000000"/>
          <w:sz w:val="32"/>
          <w:szCs w:val="32"/>
        </w:rPr>
      </w:pPr>
      <w:bookmarkStart w:id="8" w:name="_Toc27921"/>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6"/>
      <w:bookmarkEnd w:id="7"/>
      <w:bookmarkEnd w:id="8"/>
    </w:p>
    <w:p>
      <w:pPr>
        <w:pStyle w:val="2"/>
        <w:spacing w:before="0" w:after="0" w:line="240" w:lineRule="auto"/>
        <w:ind w:left="640" w:hangingChars="200" w:hanging="640"/>
        <w:rPr>
          <w:rStyle w:val="2Char"/>
          <w:rFonts w:ascii="黑体" w:eastAsia="黑体"/>
          <w:b w:val="0"/>
          <w:bCs w:val="0"/>
        </w:rPr>
      </w:pPr>
      <w:bookmarkStart w:id="9" w:name="_Toc5385"/>
      <w:bookmarkStart w:id="10" w:name="_Toc15377197"/>
      <w:bookmarkStart w:id="11" w:name="_Toc15396600"/>
      <w:r>
        <w:rPr>
          <w:rFonts w:ascii="黑体" w:eastAsia="黑体" w:hint="eastAsia"/>
          <w:b w:val="0"/>
          <w:color w:val="000000"/>
        </w:rPr>
        <w:t>一、基</w:t>
      </w:r>
      <w:r>
        <w:rPr>
          <w:rStyle w:val="2Char"/>
          <w:rFonts w:ascii="黑体" w:eastAsia="黑体" w:hint="eastAsia"/>
          <w:b w:val="0"/>
          <w:bCs w:val="0"/>
        </w:rPr>
        <w:t>本职能及主要工作</w:t>
      </w:r>
      <w:bookmarkStart w:id="12" w:name="_Toc15378445"/>
      <w:bookmarkStart w:id="13" w:name="_Toc15377198"/>
      <w:bookmarkEnd w:id="9"/>
      <w:bookmarkEnd w:id="10"/>
      <w:bookmarkEnd w:id="11"/>
    </w:p>
    <w:p>
      <w:pPr>
        <w:pStyle w:val="2"/>
        <w:spacing w:before="0" w:after="0" w:line="240" w:lineRule="auto"/>
        <w:ind w:leftChars="153" w:left="641" w:hangingChars="100" w:hanging="320"/>
        <w:rPr>
          <w:rFonts w:ascii="楷体" w:eastAsia="楷体" w:cs="楷体"/>
          <w:color w:val="000000"/>
        </w:rPr>
      </w:pPr>
      <w:bookmarkStart w:id="14" w:name="_Toc27783"/>
      <w:r>
        <w:rPr>
          <w:rFonts w:ascii="楷体" w:eastAsia="楷体" w:cs="楷体" w:hint="eastAsia"/>
          <w:color w:val="000000"/>
        </w:rPr>
        <w:t>（一）主要职能</w:t>
      </w:r>
      <w:bookmarkStart w:id="15" w:name="_Toc15378446"/>
      <w:bookmarkStart w:id="16" w:name="_Toc15377199"/>
      <w:bookmarkEnd w:id="12"/>
      <w:bookmarkEnd w:id="13"/>
      <w:bookmarkEnd w:id="14"/>
    </w:p>
    <w:p>
      <w:pPr>
        <w:snapToGrid w:val="0"/>
        <w:spacing w:line="520" w:lineRule="exact"/>
        <w:ind w:firstLineChars="200" w:firstLine="640"/>
        <w:rPr>
          <w:rFonts w:ascii="仿宋_GB2312" w:eastAsia="仿宋_GB2312" w:hint="eastAsia"/>
          <w:sz w:val="32"/>
          <w:szCs w:val="32"/>
        </w:rPr>
      </w:pPr>
      <w:r>
        <w:rPr>
          <w:rFonts w:ascii="仿宋_GB2312" w:eastAsia="仿宋_GB2312" w:hint="eastAsia"/>
          <w:sz w:val="32"/>
          <w:szCs w:val="32"/>
        </w:rPr>
        <w:t>1．主要职能。</w:t>
      </w:r>
    </w:p>
    <w:p>
      <w:pPr>
        <w:ind w:firstLineChars="400" w:firstLine="1088"/>
        <w:rPr>
          <w:rFonts w:ascii="仿宋_GB2312" w:eastAsia="仿宋_GB2312" w:hint="eastAsia"/>
          <w:spacing w:val="-14"/>
          <w:sz w:val="30"/>
          <w:szCs w:val="30"/>
        </w:rPr>
      </w:pPr>
      <w:r>
        <w:rPr>
          <w:rFonts w:ascii="仿宋_GB2312" w:eastAsia="仿宋_GB2312" w:hint="eastAsia"/>
          <w:spacing w:val="-14"/>
          <w:sz w:val="30"/>
          <w:szCs w:val="30"/>
        </w:rPr>
        <w:t>1、承担本县居民的预防、医疗和保健任务。</w:t>
      </w:r>
    </w:p>
    <w:p>
      <w:pPr>
        <w:ind w:firstLineChars="400" w:firstLine="1088"/>
        <w:rPr>
          <w:rFonts w:ascii="仿宋_GB2312" w:eastAsia="仿宋_GB2312" w:hint="eastAsia"/>
          <w:spacing w:val="-14"/>
          <w:sz w:val="30"/>
          <w:szCs w:val="30"/>
        </w:rPr>
      </w:pPr>
      <w:r>
        <w:rPr>
          <w:rFonts w:ascii="仿宋_GB2312" w:eastAsia="仿宋_GB2312" w:hint="eastAsia"/>
          <w:spacing w:val="-14"/>
          <w:sz w:val="30"/>
          <w:szCs w:val="30"/>
        </w:rPr>
        <w:t>2、本县内传染病、职业病和非传染性慢性病的防控。</w:t>
      </w:r>
    </w:p>
    <w:p>
      <w:pPr>
        <w:ind w:firstLineChars="400" w:firstLine="1088"/>
        <w:rPr>
          <w:rFonts w:ascii="仿宋_GB2312" w:eastAsia="仿宋_GB2312" w:hint="eastAsia"/>
          <w:spacing w:val="-14"/>
          <w:sz w:val="30"/>
          <w:szCs w:val="30"/>
        </w:rPr>
      </w:pPr>
      <w:r>
        <w:rPr>
          <w:rFonts w:ascii="仿宋_GB2312" w:eastAsia="仿宋_GB2312" w:hint="eastAsia"/>
          <w:spacing w:val="-14"/>
          <w:sz w:val="30"/>
          <w:szCs w:val="30"/>
        </w:rPr>
        <w:t>3、本县内人群的健康教育工作。</w:t>
      </w:r>
    </w:p>
    <w:p>
      <w:pPr>
        <w:ind w:firstLineChars="400" w:firstLine="1088"/>
        <w:rPr>
          <w:rFonts w:ascii="仿宋_GB2312" w:eastAsia="仿宋_GB2312" w:hint="eastAsia"/>
          <w:sz w:val="32"/>
          <w:szCs w:val="32"/>
        </w:rPr>
      </w:pPr>
      <w:r>
        <w:rPr>
          <w:rFonts w:ascii="仿宋_GB2312" w:eastAsia="仿宋_GB2312" w:hint="eastAsia"/>
          <w:spacing w:val="-14"/>
          <w:sz w:val="30"/>
          <w:szCs w:val="30"/>
        </w:rPr>
        <w:t>4、强化本县内医疗救治体系，有效应对各种突发性公共卫生事件。</w:t>
      </w:r>
    </w:p>
    <w:p>
      <w:pPr>
        <w:pStyle w:val="2"/>
        <w:spacing w:before="0" w:after="0" w:line="240" w:lineRule="auto"/>
        <w:ind w:firstLineChars="100" w:firstLine="320"/>
        <w:rPr>
          <w:rFonts w:ascii="楷体" w:eastAsia="楷体" w:cs="楷体"/>
          <w:color w:val="000000"/>
        </w:rPr>
      </w:pPr>
      <w:bookmarkStart w:id="17" w:name="_Toc7373"/>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15"/>
      <w:bookmarkEnd w:id="16"/>
      <w:bookmarkEnd w:id="17"/>
    </w:p>
    <w:p>
      <w:pPr>
        <w:snapToGrid w:val="0"/>
        <w:spacing w:line="520" w:lineRule="exact"/>
        <w:ind w:left="0" w:firstLineChars="200" w:firstLine="640"/>
        <w:rPr>
          <w:rFonts w:ascii="仿宋_GB2312" w:eastAsia="仿宋_GB2312" w:hint="eastAsia"/>
          <w:sz w:val="32"/>
          <w:szCs w:val="32"/>
          <w:lang w:eastAsia="zh-CN"/>
        </w:rPr>
      </w:pPr>
      <w:bookmarkStart w:id="18" w:name="_Toc15377200"/>
      <w:bookmarkStart w:id="19" w:name="_Toc15396601"/>
      <w:r>
        <w:rPr>
          <w:rFonts w:ascii="仿宋_GB2312" w:eastAsia="仿宋_GB2312" w:hint="eastAsia"/>
          <w:sz w:val="32"/>
          <w:szCs w:val="32"/>
        </w:rPr>
        <w:t>医院在县委、县政府的正确领导下，在上级主管部门的指导下,20</w:t>
      </w:r>
      <w:r>
        <w:rPr>
          <w:rFonts w:ascii="仿宋_GB2312" w:eastAsia="仿宋_GB2312" w:hint="eastAsia"/>
          <w:sz w:val="32"/>
          <w:szCs w:val="32"/>
          <w:lang w:val="en-US" w:eastAsia="zh-CN"/>
        </w:rPr>
        <w:t>22</w:t>
      </w:r>
      <w:r>
        <w:rPr>
          <w:rFonts w:ascii="仿宋_GB2312" w:eastAsia="仿宋_GB2312" w:hint="eastAsia"/>
          <w:sz w:val="32"/>
          <w:szCs w:val="32"/>
        </w:rPr>
        <w:t>年医院将进一步落实科学发展观，认真学习宣</w:t>
      </w:r>
      <w:r>
        <w:rPr>
          <w:rFonts w:ascii="仿宋_GB2312" w:eastAsia="仿宋_GB2312" w:hint="eastAsia"/>
          <w:sz w:val="32"/>
          <w:szCs w:val="32"/>
          <w:lang w:val="en-US" w:eastAsia="zh-CN"/>
        </w:rPr>
        <w:t>传</w:t>
      </w:r>
      <w:r>
        <w:rPr>
          <w:rFonts w:ascii="仿宋_GB2312" w:eastAsia="仿宋_GB2312" w:hint="eastAsia"/>
          <w:sz w:val="32"/>
          <w:szCs w:val="32"/>
        </w:rPr>
        <w:t>；1、进一步解放思想，深化改革，加快医院发展步伐；2、进一步强化管理、理顺机制，深化医院改革；我们将继续加强制度建设，进一步完善规章制度；紧紧围绕“以病人为中心，以质量为核心，为患者提供安全、温馨的就医环境”的活动主题，提高医疗质量，强化医疗服务;进一步加快信息化建设进程，实现管理科学化、现代化</w:t>
      </w:r>
      <w:r>
        <w:rPr>
          <w:rFonts w:ascii="仿宋_GB2312" w:eastAsia="仿宋_GB2312" w:hint="eastAsia"/>
          <w:sz w:val="32"/>
          <w:szCs w:val="32"/>
          <w:lang w:eastAsia="zh-CN"/>
        </w:rPr>
        <w:t>，</w:t>
      </w:r>
      <w:r>
        <w:rPr>
          <w:rFonts w:ascii="仿宋_GB2312" w:eastAsia="仿宋_GB2312" w:hint="eastAsia"/>
          <w:sz w:val="32"/>
          <w:szCs w:val="32"/>
        </w:rPr>
        <w:t>构建医院信息化系统，使之成为管理科学化、现代化管理的一个重要手段，成为患者与社会沟通的交流平台</w:t>
      </w:r>
      <w:r>
        <w:rPr>
          <w:rFonts w:ascii="仿宋_GB2312" w:eastAsia="仿宋_GB2312" w:hint="eastAsia"/>
          <w:sz w:val="32"/>
          <w:szCs w:val="32"/>
          <w:lang w:eastAsia="zh-CN"/>
        </w:rPr>
        <w:t>。</w:t>
      </w:r>
      <w:r>
        <w:rPr>
          <w:rFonts w:ascii="仿宋_GB2312" w:eastAsia="仿宋_GB2312" w:hint="eastAsia"/>
          <w:sz w:val="32"/>
          <w:szCs w:val="32"/>
          <w:lang w:val="en-US" w:eastAsia="zh-CN"/>
        </w:rPr>
        <w:t>3、落实完善疫情防控工作。</w:t>
      </w:r>
    </w:p>
    <w:p>
      <w:pPr>
        <w:numPr>
          <w:ilvl w:val="0"/>
          <w:numId w:val="1"/>
        </w:numPr>
        <w:spacing w:line="578" w:lineRule="exact"/>
        <w:ind w:left="0" w:firstLineChars="200" w:firstLine="640"/>
        <w:outlineLvl w:val="1"/>
        <w:rPr>
          <w:rStyle w:val="2Char"/>
          <w:rFonts w:ascii="黑体" w:eastAsia="黑体" w:hint="eastAsia"/>
          <w:b w:val="0"/>
          <w:bCs w:val="0"/>
        </w:rPr>
      </w:pPr>
      <w:bookmarkStart w:id="20" w:name="_Toc14564"/>
      <w:r>
        <w:rPr>
          <w:rStyle w:val="2Char"/>
          <w:rFonts w:ascii="黑体" w:eastAsia="黑体" w:hint="eastAsia"/>
          <w:b w:val="0"/>
          <w:bCs w:val="0"/>
        </w:rPr>
        <w:t>机构设置</w:t>
      </w:r>
      <w:bookmarkStart w:id="21" w:name="_Toc15377204"/>
      <w:bookmarkStart w:id="22" w:name="_Toc15396602"/>
      <w:bookmarkEnd w:id="18"/>
      <w:bookmarkEnd w:id="19"/>
      <w:bookmarkEnd w:id="20"/>
    </w:p>
    <w:p>
      <w:pPr>
        <w:spacing w:line="578" w:lineRule="exact"/>
        <w:ind w:left="0" w:firstLineChars="200" w:firstLine="640"/>
        <w:rPr>
          <w:rFonts w:ascii="仿宋" w:eastAsia="仿宋_GB2312" w:hAnsi="仿宋"/>
          <w:color w:val="000000"/>
          <w:kern w:val="0"/>
          <w:sz w:val="32"/>
          <w:szCs w:val="32"/>
          <w:lang w:val="en-US" w:eastAsia="zh-CN"/>
        </w:rPr>
      </w:pPr>
      <w:r>
        <w:rPr>
          <w:rFonts w:ascii="仿宋_GB2312" w:eastAsia="仿宋_GB2312" w:hint="eastAsia"/>
          <w:color w:val="000000"/>
          <w:sz w:val="32"/>
          <w:szCs w:val="32"/>
          <w:lang w:val="en-US" w:eastAsia="zh-CN"/>
        </w:rPr>
        <w:t>金川县人民医院</w:t>
      </w:r>
      <w:r>
        <w:rPr>
          <w:rFonts w:ascii="仿宋_GB2312" w:eastAsia="仿宋_GB2312" w:hint="eastAsia"/>
          <w:bCs/>
          <w:color w:val="000000"/>
          <w:sz w:val="32"/>
          <w:szCs w:val="32"/>
        </w:rPr>
        <w:t>，设</w:t>
      </w:r>
      <w:r>
        <w:rPr>
          <w:rFonts w:ascii="仿宋_GB2312" w:eastAsia="仿宋_GB2312" w:hint="eastAsia"/>
          <w:color w:val="000000"/>
          <w:sz w:val="32"/>
          <w:szCs w:val="32"/>
        </w:rPr>
        <w:t>统一核算机构为1个，独立编制机构</w:t>
      </w:r>
      <w:r>
        <w:rPr>
          <w:rFonts w:ascii="仿宋_GB2312" w:eastAsia="仿宋_GB2312" w:hint="eastAsia"/>
          <w:color w:val="000000"/>
          <w:sz w:val="32"/>
          <w:szCs w:val="32"/>
          <w:lang w:val="en-US" w:eastAsia="zh-CN"/>
        </w:rPr>
        <w:t>1</w:t>
      </w:r>
      <w:r>
        <w:rPr>
          <w:rFonts w:ascii="仿宋_GB2312" w:eastAsia="仿宋_GB2312" w:hint="eastAsia"/>
          <w:color w:val="000000"/>
          <w:sz w:val="32"/>
          <w:szCs w:val="32"/>
        </w:rPr>
        <w:t>个，其中:</w:t>
      </w:r>
      <w:r>
        <w:rPr>
          <w:rFonts w:ascii="仿宋_GB2312" w:eastAsia="仿宋_GB2312" w:hint="eastAsia"/>
          <w:color w:val="000000"/>
          <w:sz w:val="32"/>
          <w:szCs w:val="32"/>
          <w:lang w:val="en-US" w:eastAsia="zh-CN"/>
        </w:rPr>
        <w:t>事业单位</w:t>
      </w:r>
      <w:r>
        <w:rPr>
          <w:rFonts w:ascii="仿宋_GB2312" w:eastAsia="仿宋_GB2312" w:hint="eastAsia"/>
          <w:color w:val="000000"/>
          <w:sz w:val="32"/>
          <w:szCs w:val="32"/>
        </w:rPr>
        <w:t>1个，</w:t>
      </w:r>
      <w:r>
        <w:rPr>
          <w:rFonts w:ascii="仿宋_GB2312" w:eastAsia="仿宋_GB2312" w:hint="eastAsia"/>
          <w:color w:val="000000"/>
          <w:sz w:val="32"/>
          <w:szCs w:val="32"/>
          <w:lang w:val="en-US" w:eastAsia="zh-CN"/>
        </w:rPr>
        <w:t>事业编制数164个。</w:t>
      </w:r>
      <w:r>
        <w:rPr>
          <w:rFonts w:ascii="仿宋_GB2312" w:eastAsia="仿宋_GB2312" w:hint="eastAsia"/>
          <w:bCs/>
          <w:sz w:val="32"/>
        </w:rPr>
        <w:t>实有在职职工</w:t>
      </w:r>
      <w:r>
        <w:rPr>
          <w:rFonts w:ascii="仿宋_GB2312" w:eastAsia="仿宋_GB2312" w:hint="eastAsia"/>
          <w:bCs/>
          <w:sz w:val="32"/>
          <w:lang w:val="en-US" w:eastAsia="zh-CN"/>
        </w:rPr>
        <w:t>160</w:t>
      </w:r>
      <w:r>
        <w:rPr>
          <w:rFonts w:ascii="仿宋_GB2312" w:eastAsia="仿宋_GB2312" w:hint="eastAsia"/>
          <w:bCs/>
          <w:sz w:val="32"/>
        </w:rPr>
        <w:t>人</w:t>
      </w:r>
      <w:r>
        <w:rPr>
          <w:rFonts w:ascii="仿宋_GB2312" w:eastAsia="仿宋_GB2312" w:hint="eastAsia"/>
          <w:color w:val="000000"/>
          <w:sz w:val="32"/>
          <w:szCs w:val="32"/>
          <w:lang w:val="en-US" w:eastAsia="zh-CN"/>
        </w:rPr>
        <w:t>。</w:t>
      </w:r>
    </w:p>
    <w:p>
      <w:pPr>
        <w:pStyle w:val="1"/>
        <w:ind w:right="440"/>
        <w:jc w:val="right"/>
      </w:pPr>
      <w:bookmarkStart w:id="23" w:name="_Toc10840"/>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eastAsia="zh-CN"/>
        </w:rPr>
        <w:t>2</w:t>
      </w:r>
      <w:r>
        <w:rPr>
          <w:rStyle w:val="1Char"/>
          <w:rFonts w:ascii="黑体" w:eastAsia="黑体" w:hint="eastAsia"/>
          <w:b w:val="0"/>
          <w:bCs w:val="0"/>
        </w:rPr>
        <w:t>年度部门决算情况说明</w:t>
      </w:r>
      <w:bookmarkEnd w:id="21"/>
      <w:bookmarkEnd w:id="22"/>
      <w:bookmarkEnd w:id="23"/>
    </w:p>
    <w:p>
      <w:pPr>
        <w:pStyle w:val="23"/>
        <w:numPr>
          <w:ilvl w:val="0"/>
          <w:numId w:val="2"/>
        </w:numPr>
        <w:ind w:left="0" w:firstLineChars="0" w:firstLine="0"/>
        <w:outlineLvl w:val="1"/>
        <w:rPr>
          <w:rStyle w:val="2Char"/>
          <w:rFonts w:ascii="黑体" w:eastAsia="黑体"/>
          <w:b w:val="0"/>
        </w:rPr>
      </w:pPr>
      <w:bookmarkStart w:id="24" w:name="_Toc15396603"/>
      <w:bookmarkStart w:id="25" w:name="_Toc15377205"/>
      <w:bookmarkStart w:id="26" w:name="_Toc24455"/>
      <w:r>
        <w:rPr>
          <w:rFonts w:ascii="黑体" w:eastAsia="黑体" w:hint="eastAsia"/>
          <w:color w:val="000000"/>
          <w:sz w:val="32"/>
          <w:szCs w:val="32"/>
        </w:rPr>
        <w:t>收</w:t>
      </w:r>
      <w:r>
        <w:rPr>
          <w:rStyle w:val="2Char"/>
          <w:rFonts w:ascii="黑体" w:eastAsia="黑体" w:hint="eastAsia"/>
          <w:b w:val="0"/>
        </w:rPr>
        <w:t>入支出决算总体情况说明</w:t>
      </w:r>
      <w:bookmarkEnd w:id="24"/>
      <w:bookmarkEnd w:id="25"/>
      <w:bookmarkEnd w:id="26"/>
    </w:p>
    <w:p>
      <w:pPr>
        <w:snapToGrid w:val="0"/>
        <w:spacing w:line="560" w:lineRule="exact"/>
        <w:ind w:firstLineChars="200" w:firstLine="640"/>
        <w:rPr>
          <w:rFonts w:ascii="仿宋_GB2312" w:eastAsia="仿宋_GB2312" w:cs="仿宋_GB2312" w:hint="eastAsia"/>
          <w:b w:val="0"/>
          <w:bCs w:val="0"/>
          <w:sz w:val="32"/>
          <w:szCs w:val="32"/>
          <w:lang w:eastAsia="zh-CN"/>
        </w:rPr>
      </w:pPr>
      <w:bookmarkStart w:id="27" w:name="_Toc15396604"/>
      <w:bookmarkStart w:id="28" w:name="_Toc15377206"/>
      <w:r>
        <w:rPr>
          <w:rFonts w:ascii="仿宋_GB2312" w:eastAsia="仿宋_GB2312" w:cs="仿宋_GB2312" w:hint="eastAsia"/>
          <w:b w:val="0"/>
          <w:bCs w:val="0"/>
          <w:sz w:val="32"/>
          <w:szCs w:val="32"/>
        </w:rPr>
        <w:t>20</w:t>
      </w:r>
      <w:r>
        <w:rPr>
          <w:rFonts w:ascii="仿宋_GB2312" w:eastAsia="仿宋_GB2312" w:cs="仿宋_GB2312" w:hint="eastAsia"/>
          <w:b w:val="0"/>
          <w:bCs w:val="0"/>
          <w:sz w:val="32"/>
          <w:szCs w:val="32"/>
          <w:lang w:val="en-US" w:eastAsia="zh-CN"/>
        </w:rPr>
        <w:t>21</w:t>
      </w:r>
      <w:r>
        <w:rPr>
          <w:rFonts w:ascii="仿宋_GB2312" w:eastAsia="仿宋_GB2312" w:cs="仿宋_GB2312" w:hint="eastAsia"/>
          <w:b w:val="0"/>
          <w:bCs w:val="0"/>
          <w:sz w:val="32"/>
          <w:szCs w:val="32"/>
        </w:rPr>
        <w:t>年收</w:t>
      </w:r>
      <w:r>
        <w:rPr>
          <w:rFonts w:ascii="仿宋_GB2312" w:eastAsia="仿宋_GB2312" w:cs="仿宋_GB2312" w:hint="eastAsia"/>
          <w:b w:val="0"/>
          <w:bCs w:val="0"/>
          <w:sz w:val="32"/>
          <w:szCs w:val="32"/>
          <w:lang w:eastAsia="zh-CN"/>
        </w:rPr>
        <w:t>入</w:t>
      </w:r>
      <w:r>
        <w:rPr>
          <w:rFonts w:ascii="仿宋_GB2312" w:eastAsia="仿宋_GB2312" w:hint="eastAsia"/>
          <w:sz w:val="32"/>
          <w:lang w:val="en-US" w:eastAsia="zh-CN"/>
        </w:rPr>
        <w:t>2823.12</w:t>
      </w:r>
      <w:r>
        <w:rPr>
          <w:rFonts w:ascii="仿宋_GB2312" w:eastAsia="仿宋_GB2312" w:cs="仿宋_GB2312" w:hint="eastAsia"/>
          <w:b w:val="0"/>
          <w:bCs w:val="0"/>
          <w:sz w:val="32"/>
          <w:szCs w:val="32"/>
          <w:lang w:val="en-US" w:eastAsia="zh-CN"/>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rPr>
        <w:t>20</w:t>
      </w:r>
      <w:r>
        <w:rPr>
          <w:rFonts w:ascii="仿宋_GB2312" w:eastAsia="仿宋_GB2312" w:cs="仿宋_GB2312" w:hint="eastAsia"/>
          <w:b w:val="0"/>
          <w:bCs w:val="0"/>
          <w:sz w:val="32"/>
          <w:szCs w:val="32"/>
          <w:lang w:val="en-US" w:eastAsia="zh-CN"/>
        </w:rPr>
        <w:t>22</w:t>
      </w:r>
      <w:r>
        <w:rPr>
          <w:rFonts w:ascii="仿宋_GB2312" w:eastAsia="仿宋_GB2312" w:cs="仿宋_GB2312" w:hint="eastAsia"/>
          <w:b w:val="0"/>
          <w:bCs w:val="0"/>
          <w:sz w:val="32"/>
          <w:szCs w:val="32"/>
        </w:rPr>
        <w:t>年收入</w:t>
      </w:r>
      <w:r>
        <w:rPr>
          <w:rFonts w:ascii="仿宋_GB2312" w:eastAsia="仿宋_GB2312" w:hint="eastAsia"/>
          <w:sz w:val="32"/>
          <w:lang w:val="en-US" w:eastAsia="zh-CN"/>
        </w:rPr>
        <w:t>3474.90</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rPr>
        <w:t>比去年</w:t>
      </w:r>
      <w:r>
        <w:rPr>
          <w:rFonts w:ascii="仿宋_GB2312" w:eastAsia="仿宋_GB2312" w:cs="仿宋_GB2312" w:hint="eastAsia"/>
          <w:b w:val="0"/>
          <w:bCs w:val="0"/>
          <w:sz w:val="32"/>
          <w:szCs w:val="32"/>
          <w:lang w:val="en-US" w:eastAsia="zh-CN"/>
        </w:rPr>
        <w:t>增加651.78</w:t>
      </w:r>
      <w:r>
        <w:rPr>
          <w:rFonts w:ascii="仿宋_GB2312" w:eastAsia="仿宋_GB2312" w:cs="仿宋_GB2312" w:hint="eastAsia"/>
          <w:b w:val="0"/>
          <w:bCs w:val="0"/>
          <w:sz w:val="32"/>
          <w:szCs w:val="32"/>
        </w:rPr>
        <w:t>万元（原因</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人员增加及项目收入增加</w:t>
      </w:r>
      <w:r>
        <w:rPr>
          <w:rFonts w:ascii="仿宋_GB2312" w:eastAsia="仿宋_GB2312" w:cs="仿宋_GB2312" w:hint="eastAsia"/>
          <w:b w:val="0"/>
          <w:bCs w:val="0"/>
          <w:sz w:val="32"/>
          <w:szCs w:val="32"/>
        </w:rPr>
        <w:t>）</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2021年</w:t>
      </w:r>
      <w:r>
        <w:rPr>
          <w:rFonts w:ascii="仿宋_GB2312" w:eastAsia="仿宋_GB2312" w:cs="仿宋_GB2312" w:hint="eastAsia"/>
          <w:b w:val="0"/>
          <w:bCs w:val="0"/>
          <w:sz w:val="32"/>
          <w:szCs w:val="32"/>
        </w:rPr>
        <w:t>支</w:t>
      </w:r>
      <w:r>
        <w:rPr>
          <w:rFonts w:ascii="仿宋_GB2312" w:eastAsia="仿宋_GB2312" w:cs="仿宋_GB2312" w:hint="eastAsia"/>
          <w:b w:val="0"/>
          <w:bCs w:val="0"/>
          <w:sz w:val="32"/>
          <w:szCs w:val="32"/>
          <w:lang w:eastAsia="zh-CN"/>
        </w:rPr>
        <w:t>出</w:t>
      </w:r>
      <w:r>
        <w:rPr>
          <w:rFonts w:ascii="仿宋_GB2312" w:eastAsia="仿宋_GB2312" w:cs="仿宋_GB2312" w:hint="eastAsia"/>
          <w:b w:val="0"/>
          <w:bCs w:val="0"/>
          <w:sz w:val="32"/>
          <w:szCs w:val="32"/>
          <w:lang w:val="en-US" w:eastAsia="zh-CN"/>
        </w:rPr>
        <w:t>4393.28</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2022年</w:t>
      </w:r>
      <w:r>
        <w:rPr>
          <w:rFonts w:ascii="仿宋_GB2312" w:eastAsia="仿宋_GB2312" w:cs="仿宋_GB2312" w:hint="eastAsia"/>
          <w:b w:val="0"/>
          <w:bCs w:val="0"/>
          <w:sz w:val="32"/>
          <w:szCs w:val="32"/>
        </w:rPr>
        <w:t>支出</w:t>
      </w:r>
      <w:r>
        <w:rPr>
          <w:rFonts w:ascii="仿宋_GB2312" w:eastAsia="仿宋_GB2312" w:cs="仿宋_GB2312" w:hint="eastAsia"/>
          <w:b w:val="0"/>
          <w:bCs w:val="0"/>
          <w:sz w:val="32"/>
          <w:szCs w:val="32"/>
          <w:lang w:val="en-US" w:eastAsia="zh-CN"/>
        </w:rPr>
        <w:t>3464.67</w:t>
      </w:r>
      <w:r>
        <w:rPr>
          <w:rFonts w:ascii="仿宋_GB2312" w:eastAsia="仿宋_GB2312" w:cs="仿宋_GB2312" w:hint="eastAsia"/>
          <w:b w:val="0"/>
          <w:bCs w:val="0"/>
          <w:sz w:val="32"/>
          <w:szCs w:val="32"/>
        </w:rPr>
        <w:t>万元,比去年</w:t>
      </w:r>
      <w:r>
        <w:rPr>
          <w:rFonts w:ascii="仿宋_GB2312" w:eastAsia="仿宋_GB2312" w:cs="仿宋_GB2312" w:hint="eastAsia"/>
          <w:b w:val="0"/>
          <w:bCs w:val="0"/>
          <w:sz w:val="32"/>
          <w:szCs w:val="32"/>
          <w:lang w:val="en-US" w:eastAsia="zh-CN"/>
        </w:rPr>
        <w:t>减少928.61</w:t>
      </w:r>
      <w:r>
        <w:rPr>
          <w:rFonts w:ascii="仿宋_GB2312" w:eastAsia="仿宋_GB2312" w:cs="仿宋_GB2312" w:hint="eastAsia"/>
          <w:b w:val="0"/>
          <w:bCs w:val="0"/>
          <w:sz w:val="32"/>
          <w:szCs w:val="32"/>
        </w:rPr>
        <w:t>万元（原因</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项目支出减少</w:t>
      </w:r>
      <w:r>
        <w:rPr>
          <w:rFonts w:ascii="仿宋_GB2312" w:eastAsia="仿宋_GB2312" w:cs="仿宋_GB2312" w:hint="eastAsia"/>
          <w:b w:val="0"/>
          <w:bCs w:val="0"/>
          <w:sz w:val="32"/>
          <w:szCs w:val="32"/>
        </w:rPr>
        <w:t>）</w:t>
      </w:r>
      <w:r>
        <w:rPr>
          <w:rFonts w:ascii="仿宋_GB2312" w:eastAsia="仿宋_GB2312" w:cs="仿宋_GB2312" w:hint="eastAsia"/>
          <w:b w:val="0"/>
          <w:bCs w:val="0"/>
          <w:sz w:val="32"/>
          <w:szCs w:val="32"/>
          <w:lang w:eastAsia="zh-CN"/>
        </w:rPr>
        <w:t>。</w:t>
      </w:r>
    </w:p>
    <w:p>
      <w:pPr>
        <w:snapToGrid w:val="0"/>
        <w:spacing w:line="240" w:lineRule="auto"/>
        <w:rPr>
          <w:rFonts w:ascii="仿宋_GB2312" w:eastAsia="仿宋_GB2312" w:cs="仿宋_GB2312" w:hint="eastAsia"/>
          <w:b w:val="0"/>
          <w:bCs w:val="0"/>
          <w:sz w:val="32"/>
          <w:szCs w:val="32"/>
          <w:lang w:val="en-US" w:eastAsia="zh-CN"/>
        </w:rPr>
      </w:pPr>
      <w:r>
        <w:rPr>
          <w:rFonts w:ascii="仿宋_GB2312" w:eastAsia="仿宋_GB2312" w:cs="仿宋_GB2312" w:hint="eastAsia"/>
          <w:b w:val="0"/>
          <w:bCs w:val="0"/>
          <w:sz w:val="32"/>
          <w:szCs w:val="32"/>
          <w:lang w:val="en-US" w:eastAsia="zh-CN"/>
        </w:rPr>
        <w:t xml:space="preserve">           </w:t>
      </w:r>
    </w:p>
    <w:p>
      <w:pPr>
        <w:snapToGrid w:val="0"/>
        <w:spacing w:line="240" w:lineRule="auto"/>
        <w:rPr>
          <w:rFonts w:ascii="仿宋_GB2312" w:eastAsia="仿宋_GB2312" w:cs="仿宋_GB2312" w:hint="eastAsia"/>
          <w:b w:val="0"/>
          <w:bCs w:val="0"/>
          <w:sz w:val="32"/>
          <w:szCs w:val="32"/>
          <w:lang w:val="en-US" w:eastAsia="zh-CN"/>
        </w:rPr>
      </w:pPr>
      <w:r>
        <w:rPr>
          <w:rFonts w:ascii="仿宋_GB2312" w:eastAsia="仿宋_GB2312" w:cs="仿宋_GB2312" w:hint="eastAsia"/>
          <w:b w:val="0"/>
          <w:bCs w:val="0"/>
          <w:sz w:val="32"/>
          <w:szCs w:val="32"/>
          <w:lang w:val="en-US" w:eastAsia="zh-CN"/>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width:406.5pt;height:306.75pt;" o:ole="">
            <v:stroke color="#000000"/>
            <v:imagedata r:id="rId9" o:title="image1"/>
            <o:lock aspectratio="t"/>
            <w10:anchorLock/>
          </v:shape>
          <o:OLEObject Type="Embed" ProgID="Package" ShapeID="_x0000_i1" DrawAspect="Content" ObjectID="_1393063351" r:id="rId10"/>
        </w:object>
      </w:r>
    </w:p>
    <w:p>
      <w:pPr>
        <w:pageBreakBefore w:val="0"/>
        <w:widowControl w:val="0"/>
        <w:kinsoku/>
        <w:wordWrap/>
        <w:overflowPunct/>
        <w:topLinePunct w:val="0"/>
        <w:bidi w:val="0"/>
        <w:spacing w:line="576" w:lineRule="exact"/>
        <w:ind w:firstLineChars="200" w:firstLine="640"/>
        <w:rPr>
          <w:rFonts w:ascii="黑体" w:eastAsia="黑体" w:hint="eastAsia"/>
          <w:color w:val="000000"/>
          <w:sz w:val="32"/>
          <w:szCs w:val="32"/>
        </w:rPr>
      </w:pPr>
      <w:bookmarkStart w:id="29" w:name="_Toc21320"/>
      <w:r>
        <w:rPr>
          <w:rFonts w:ascii="Times New Roman" w:eastAsia="仿宋_GB2312" w:cs="Times New Roman" w:hAnsi="Times New Roman"/>
          <w:color w:val="auto"/>
          <w:sz w:val="32"/>
          <w:szCs w:val="32"/>
        </w:rPr>
        <w:t>（图1：收、支决算总计变动情况图）（柱状图）</w:t>
      </w:r>
    </w:p>
    <w:p>
      <w:pPr>
        <w:spacing w:line="600" w:lineRule="exact"/>
        <w:outlineLvl w:val="1"/>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27"/>
      <w:bookmarkEnd w:id="28"/>
      <w:bookmarkEnd w:id="29"/>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_GB2312" w:eastAsia="仿宋_GB2312" w:hint="eastAsia"/>
          <w:sz w:val="32"/>
          <w:szCs w:val="32"/>
          <w:lang w:val="en-US" w:eastAsia="zh-CN"/>
        </w:rPr>
        <w:t>3474.90</w:t>
      </w:r>
      <w:r>
        <w:rPr>
          <w:rFonts w:ascii="仿宋_GB2312" w:eastAsia="仿宋_GB2312" w:hint="eastAsia"/>
          <w:sz w:val="32"/>
          <w:szCs w:val="32"/>
        </w:rPr>
        <w:t>万元，其中：一般</w:t>
      </w:r>
      <w:r>
        <w:rPr>
          <w:rFonts w:ascii="仿宋_GB2312" w:eastAsia="仿宋_GB2312" w:hint="eastAsia"/>
          <w:sz w:val="32"/>
          <w:szCs w:val="32"/>
          <w:lang w:val="en-US" w:eastAsia="zh-CN"/>
        </w:rPr>
        <w:t>公共预算</w:t>
      </w:r>
      <w:r>
        <w:rPr>
          <w:rFonts w:ascii="仿宋_GB2312" w:eastAsia="仿宋_GB2312" w:hint="eastAsia"/>
          <w:sz w:val="32"/>
          <w:szCs w:val="32"/>
        </w:rPr>
        <w:t>财政拨款收入</w:t>
      </w:r>
      <w:r>
        <w:rPr>
          <w:rFonts w:ascii="仿宋_GB2312" w:eastAsia="仿宋_GB2312" w:hint="eastAsia"/>
          <w:sz w:val="32"/>
          <w:szCs w:val="32"/>
          <w:lang w:val="en-US" w:eastAsia="zh-CN"/>
        </w:rPr>
        <w:t>3464.67</w:t>
      </w:r>
      <w:r>
        <w:rPr>
          <w:rFonts w:ascii="仿宋_GB2312" w:eastAsia="仿宋_GB2312" w:hint="eastAsia"/>
          <w:sz w:val="32"/>
          <w:szCs w:val="32"/>
        </w:rPr>
        <w:t>万元，占总收入的</w:t>
      </w:r>
      <w:r>
        <w:rPr>
          <w:rFonts w:ascii="仿宋_GB2312" w:eastAsia="仿宋_GB2312" w:hint="eastAsia"/>
          <w:sz w:val="32"/>
          <w:szCs w:val="32"/>
          <w:lang w:val="en-US" w:eastAsia="zh-CN"/>
        </w:rPr>
        <w:t>99.70</w:t>
      </w:r>
      <w:r>
        <w:rPr>
          <w:rFonts w:ascii="仿宋_GB2312" w:eastAsia="仿宋_GB2312" w:hint="eastAsia"/>
          <w:sz w:val="32"/>
          <w:szCs w:val="32"/>
        </w:rPr>
        <w:t>%；事业收入</w:t>
      </w:r>
      <w:r>
        <w:rPr>
          <w:rFonts w:ascii="仿宋_GB2312" w:eastAsia="仿宋_GB2312" w:hint="eastAsia"/>
          <w:sz w:val="32"/>
          <w:szCs w:val="32"/>
          <w:lang w:val="en-US" w:eastAsia="zh-CN"/>
        </w:rPr>
        <w:t>10.23</w:t>
      </w:r>
      <w:r>
        <w:rPr>
          <w:rFonts w:ascii="仿宋_GB2312" w:eastAsia="仿宋_GB2312" w:hint="eastAsia"/>
          <w:sz w:val="32"/>
          <w:szCs w:val="32"/>
        </w:rPr>
        <w:t>万元，占总收入的</w:t>
      </w:r>
      <w:r>
        <w:rPr>
          <w:rFonts w:ascii="仿宋_GB2312" w:eastAsia="仿宋_GB2312" w:hint="eastAsia"/>
          <w:sz w:val="32"/>
          <w:szCs w:val="32"/>
          <w:lang w:val="en-US" w:eastAsia="zh-CN"/>
        </w:rPr>
        <w:t>0.3</w:t>
      </w:r>
      <w:r>
        <w:rPr>
          <w:rFonts w:ascii="仿宋_GB2312" w:eastAsia="仿宋_GB2312" w:hint="eastAsia"/>
          <w:sz w:val="32"/>
          <w:szCs w:val="32"/>
        </w:rPr>
        <w:t>%；</w:t>
      </w:r>
      <w:r>
        <w:rPr>
          <w:rFonts w:ascii="仿宋_GB2312" w:eastAsia="仿宋_GB2312" w:hint="eastAsia"/>
          <w:sz w:val="32"/>
          <w:szCs w:val="32"/>
          <w:lang w:eastAsia="zh-CN"/>
        </w:rPr>
        <w:t>。</w:t>
      </w:r>
    </w:p>
    <w:p>
      <w:pPr>
        <w:spacing w:line="600" w:lineRule="exact"/>
        <w:outlineLvl w:val="9"/>
        <w:rPr>
          <w:rFonts w:ascii="黑体" w:eastAsia="黑体"/>
          <w:color w:val="000000"/>
          <w:sz w:val="32"/>
          <w:szCs w:val="32"/>
        </w:rPr>
      </w:pPr>
      <w:r>
        <w:rPr>
          <w:rFonts w:ascii="黑体" w:eastAsia="黑体" w:hint="eastAsia"/>
          <w:color w:val="000000"/>
          <w:sz w:val="32"/>
          <w:szCs w:val="32"/>
          <w:lang w:eastAsia="zh-CN"/>
        </w:rPr>
        <w:drawing>
          <wp:inline distT="0" distB="0" distL="114300" distR="114300">
            <wp:extent cx="5079999" cy="3810000"/>
            <wp:effectExtent l="0" t="0" r="0" b="0"/>
            <wp:docPr id="3" name="图表 1" descr="7b0a202020202263686172745265734964223a20223230343735353138220a7d0a"/>
            <wp:cNvGraphicFramePr>
              <a:graphicFrameLocks noChangeAspect="0"/>
            </wp:cNvGraphicFramePr>
            <a:graphic>
              <a:graphicData uri="http://schemas.openxmlformats.org/drawingml/2006/chart">
                <c:chart xmlns:c="http://schemas.openxmlformats.org/drawingml/2006/chart" r:id="rId11"/>
              </a:graphicData>
            </a:graphic>
          </wp:inline>
        </w:drawing>
      </w:r>
      <w:r>
        <w:rPr>
          <w:rFonts w:ascii="黑体" w:eastAsia="黑体" w:hint="eastAsia"/>
          <w:color w:val="000000"/>
          <w:sz w:val="32"/>
          <w:szCs w:val="32"/>
          <w:lang w:eastAsia="zh-CN"/>
        </w:rPr>
        <w:drawing>
          <wp:anchor distT="0" distB="0" distL="114300" distR="114300" simplePos="0" relativeHeight="26" behindDoc="0" locked="0" layoutInCell="1" hidden="0" allowOverlap="1">
            <wp:simplePos x="0" y="0"/>
            <wp:positionH relativeFrom="column">
              <wp:posOffset>95885</wp:posOffset>
            </wp:positionH>
            <wp:positionV relativeFrom="paragraph">
              <wp:posOffset>135890</wp:posOffset>
            </wp:positionV>
            <wp:extent cx="5079999" cy="2597785"/>
            <wp:effectExtent l="0" t="0" r="13" b="24"/>
            <wp:wrapSquare wrapText="bothSides"/>
            <wp:docPr id="4" name="图表 2" descr="7b0a202020202263686172745265734964223a20223230343735383537220a7d0a"/>
            <wp:cNvGraphicFramePr>
              <a:graphicFrameLocks noChangeAspect="0"/>
            </wp:cNvGraphicFramePr>
            <a:graphic>
              <a:graphicData uri="http://schemas.openxmlformats.org/drawingml/2006/chart">
                <c:chart xmlns:c="http://schemas.openxmlformats.org/drawingml/2006/chart" r:id="rId12"/>
              </a:graphicData>
            </a:graphic>
          </wp:anchor>
        </w:drawing>
      </w:r>
    </w:p>
    <w:p>
      <w:pPr>
        <w:pageBreakBefore w:val="0"/>
        <w:widowControl w:val="0"/>
        <w:kinsoku/>
        <w:wordWrap/>
        <w:overflowPunct/>
        <w:topLinePunct w:val="0"/>
        <w:bidi w:val="0"/>
        <w:spacing w:line="576" w:lineRule="exact"/>
        <w:ind w:firstLineChars="200" w:firstLine="640"/>
        <w:jc w:val="center"/>
        <w:rPr>
          <w:rFonts w:ascii="黑体" w:eastAsia="黑体"/>
          <w:color w:val="000000"/>
          <w:sz w:val="32"/>
          <w:szCs w:val="32"/>
        </w:rPr>
      </w:pPr>
      <w:r>
        <w:rPr>
          <w:rFonts w:ascii="Times New Roman" w:eastAsia="仿宋_GB2312" w:cs="Times New Roman" w:hAnsi="Times New Roman"/>
          <w:color w:val="auto"/>
          <w:sz w:val="32"/>
          <w:szCs w:val="32"/>
        </w:rPr>
        <w:t>（图2：收入决算结构图）（饼状图）</w:t>
      </w:r>
    </w:p>
    <w:p>
      <w:pPr>
        <w:spacing w:line="600" w:lineRule="exact"/>
        <w:outlineLvl w:val="1"/>
        <w:rPr>
          <w:rStyle w:val="2Char"/>
          <w:rFonts w:ascii="黑体" w:eastAsia="黑体"/>
          <w:b w:val="0"/>
        </w:rPr>
      </w:pPr>
      <w:bookmarkStart w:id="30" w:name="_Toc28234"/>
      <w:r>
        <w:rPr>
          <w:rFonts w:ascii="黑体" w:eastAsia="黑体" w:hint="eastAsia"/>
          <w:color w:val="000000"/>
          <w:sz w:val="32"/>
          <w:szCs w:val="32"/>
        </w:rPr>
        <w:t>三、支出决</w:t>
      </w:r>
      <w:r>
        <w:rPr>
          <w:rStyle w:val="2Char"/>
          <w:rFonts w:ascii="黑体" w:eastAsia="黑体" w:hint="eastAsia"/>
          <w:b w:val="0"/>
        </w:rPr>
        <w:t>算情况说明</w:t>
      </w:r>
      <w:bookmarkEnd w:id="1"/>
      <w:bookmarkEnd w:id="2"/>
      <w:bookmarkEnd w:id="30"/>
    </w:p>
    <w:p>
      <w:pPr>
        <w:snapToGrid w:val="0"/>
        <w:spacing w:line="560" w:lineRule="exact"/>
        <w:ind w:firstLineChars="200" w:firstLine="640"/>
        <w:rPr>
          <w:rFonts w:ascii="仿宋_GB2312" w:eastAsia="仿宋_GB2312" w:cs="仿宋_GB2312"/>
          <w:b w:val="0"/>
          <w:bCs w:val="0"/>
          <w:color w:val="auto"/>
          <w:sz w:val="32"/>
          <w:szCs w:val="32"/>
          <w:lang w:val="en-US" w:eastAsia="zh-CN"/>
        </w:rPr>
      </w:pPr>
      <w:bookmarkStart w:id="31" w:name="_Toc15396606"/>
      <w:bookmarkStart w:id="32" w:name="_Toc15377208"/>
      <w:r>
        <w:rPr>
          <w:rFonts w:ascii="仿宋_GB2312" w:eastAsia="仿宋_GB2312" w:cs="仿宋_GB2312" w:hint="eastAsia"/>
          <w:b w:val="0"/>
          <w:bCs w:val="0"/>
          <w:sz w:val="32"/>
          <w:szCs w:val="32"/>
        </w:rPr>
        <w:t>20</w:t>
      </w:r>
      <w:r>
        <w:rPr>
          <w:rFonts w:ascii="仿宋_GB2312" w:eastAsia="仿宋_GB2312" w:cs="仿宋_GB2312" w:hint="eastAsia"/>
          <w:b w:val="0"/>
          <w:bCs w:val="0"/>
          <w:sz w:val="32"/>
          <w:szCs w:val="32"/>
          <w:lang w:val="en-US" w:eastAsia="zh-CN"/>
        </w:rPr>
        <w:t>22</w:t>
      </w:r>
      <w:r>
        <w:rPr>
          <w:rFonts w:ascii="仿宋_GB2312" w:eastAsia="仿宋_GB2312" w:cs="仿宋_GB2312" w:hint="eastAsia"/>
          <w:b w:val="0"/>
          <w:bCs w:val="0"/>
          <w:sz w:val="32"/>
          <w:szCs w:val="32"/>
        </w:rPr>
        <w:t>年度本单位支出为</w:t>
      </w:r>
      <w:r>
        <w:rPr>
          <w:rFonts w:ascii="仿宋_GB2312" w:eastAsia="仿宋_GB2312" w:cs="仿宋_GB2312" w:hint="eastAsia"/>
          <w:b w:val="0"/>
          <w:bCs w:val="0"/>
          <w:sz w:val="32"/>
          <w:szCs w:val="32"/>
          <w:lang w:val="en-US" w:eastAsia="zh-CN"/>
        </w:rPr>
        <w:t>3464.67</w:t>
      </w:r>
      <w:r>
        <w:rPr>
          <w:rFonts w:ascii="仿宋_GB2312" w:eastAsia="仿宋_GB2312" w:cs="仿宋_GB2312" w:hint="eastAsia"/>
          <w:b w:val="0"/>
          <w:bCs w:val="0"/>
          <w:sz w:val="32"/>
          <w:szCs w:val="32"/>
        </w:rPr>
        <w:t>万元，分别是社会保障和就业支出</w:t>
      </w:r>
      <w:r>
        <w:rPr>
          <w:rFonts w:ascii="仿宋_GB2312" w:eastAsia="仿宋_GB2312" w:cs="仿宋_GB2312" w:hint="eastAsia"/>
          <w:b w:val="0"/>
          <w:bCs w:val="0"/>
          <w:sz w:val="32"/>
          <w:szCs w:val="32"/>
          <w:lang w:val="en-US" w:eastAsia="zh-CN"/>
        </w:rPr>
        <w:t>401.88万元,占总支出的11.59%；卫生健康支出2839.04万元，占总支出的81.94%；住房保障支出223.74万元，占总支出的6.47%。</w:t>
      </w:r>
    </w:p>
    <w:p>
      <w:pPr>
        <w:snapToGrid w:val="0"/>
        <w:spacing w:line="560" w:lineRule="exact"/>
        <w:ind w:firstLineChars="200" w:firstLine="640"/>
        <w:rPr>
          <w:rFonts w:ascii="仿宋_GB2312" w:eastAsia="仿宋_GB2312" w:cs="仿宋_GB2312" w:hint="eastAsia"/>
          <w:b w:val="0"/>
          <w:bCs w:val="0"/>
          <w:color w:val="auto"/>
          <w:sz w:val="32"/>
          <w:szCs w:val="32"/>
          <w:lang w:val="en-US" w:eastAsia="zh-CN"/>
        </w:rPr>
      </w:pPr>
      <w:r>
        <w:rPr>
          <w:rFonts w:ascii="仿宋_GB2312" w:eastAsia="仿宋_GB2312" w:hint="eastAsia"/>
          <w:sz w:val="32"/>
          <w:szCs w:val="32"/>
        </w:rPr>
        <w:t>其中基本支出：</w:t>
      </w:r>
      <w:r>
        <w:rPr>
          <w:rFonts w:ascii="仿宋_GB2312" w:eastAsia="仿宋_GB2312" w:hint="eastAsia"/>
          <w:sz w:val="32"/>
          <w:szCs w:val="32"/>
          <w:lang w:val="en-US" w:eastAsia="zh-CN"/>
        </w:rPr>
        <w:t>3180.83</w:t>
      </w:r>
      <w:r>
        <w:rPr>
          <w:rFonts w:ascii="仿宋_GB2312" w:eastAsia="仿宋_GB2312" w:hint="eastAsia"/>
          <w:sz w:val="32"/>
          <w:szCs w:val="32"/>
        </w:rPr>
        <w:t>万元，占</w:t>
      </w:r>
      <w:r>
        <w:rPr>
          <w:rFonts w:ascii="仿宋_GB2312" w:eastAsia="仿宋_GB2312" w:hint="eastAsia"/>
          <w:sz w:val="32"/>
          <w:szCs w:val="32"/>
          <w:lang w:val="en-US" w:eastAsia="zh-CN"/>
        </w:rPr>
        <w:t>91.80</w:t>
      </w:r>
      <w:r>
        <w:rPr>
          <w:rFonts w:ascii="仿宋_GB2312" w:eastAsia="仿宋_GB2312" w:hint="eastAsia"/>
          <w:sz w:val="32"/>
          <w:szCs w:val="32"/>
        </w:rPr>
        <w:t>%；项目支出：</w:t>
      </w:r>
      <w:r>
        <w:rPr>
          <w:rFonts w:ascii="仿宋_GB2312" w:eastAsia="仿宋_GB2312" w:hint="eastAsia"/>
          <w:sz w:val="32"/>
          <w:szCs w:val="32"/>
          <w:lang w:val="en-US" w:eastAsia="zh-CN"/>
        </w:rPr>
        <w:t>283.84</w:t>
      </w:r>
      <w:r>
        <w:rPr>
          <w:rFonts w:ascii="仿宋_GB2312" w:eastAsia="仿宋_GB2312" w:hint="eastAsia"/>
          <w:sz w:val="32"/>
          <w:szCs w:val="32"/>
        </w:rPr>
        <w:t>万元，占</w:t>
      </w:r>
      <w:r>
        <w:rPr>
          <w:rFonts w:ascii="仿宋_GB2312" w:eastAsia="仿宋_GB2312" w:hint="eastAsia"/>
          <w:sz w:val="32"/>
          <w:szCs w:val="32"/>
          <w:lang w:val="en-US" w:eastAsia="zh-CN"/>
        </w:rPr>
        <w:t>8.20</w:t>
      </w:r>
      <w:r>
        <w:rPr>
          <w:rFonts w:ascii="仿宋_GB2312" w:eastAsia="仿宋_GB2312" w:hint="eastAsia"/>
          <w:sz w:val="32"/>
          <w:szCs w:val="32"/>
        </w:rPr>
        <w:t>%。</w:t>
      </w:r>
    </w:p>
    <w:p>
      <w:pPr>
        <w:snapToGrid w:val="0"/>
        <w:spacing w:line="560" w:lineRule="exact"/>
        <w:ind w:firstLineChars="200" w:firstLine="640"/>
        <w:rPr>
          <w:rFonts w:ascii="仿宋_GB2312" w:eastAsia="仿宋_GB2312" w:cs="仿宋_GB2312" w:hint="eastAsia"/>
          <w:b w:val="0"/>
          <w:bCs w:val="0"/>
          <w:color w:val="auto"/>
          <w:sz w:val="32"/>
          <w:szCs w:val="32"/>
          <w:lang w:eastAsia="zh-CN"/>
        </w:rPr>
      </w:pPr>
      <w:r>
        <w:rPr>
          <w:rFonts w:ascii="仿宋_GB2312" w:eastAsia="仿宋_GB2312" w:cs="仿宋_GB2312" w:hint="eastAsia"/>
          <w:b w:val="0"/>
          <w:bCs w:val="0"/>
          <w:color w:val="auto"/>
          <w:sz w:val="32"/>
          <w:szCs w:val="32"/>
          <w:lang w:val="en-US" w:eastAsia="zh-CN"/>
        </w:rPr>
        <w:t>2022年</w:t>
      </w:r>
      <w:r>
        <w:rPr>
          <w:rFonts w:ascii="仿宋_GB2312" w:eastAsia="仿宋_GB2312" w:cs="仿宋_GB2312" w:hint="eastAsia"/>
          <w:b w:val="0"/>
          <w:bCs w:val="0"/>
          <w:color w:val="auto"/>
          <w:sz w:val="32"/>
          <w:szCs w:val="32"/>
        </w:rPr>
        <w:t>各项</w:t>
      </w:r>
      <w:r>
        <w:rPr>
          <w:rFonts w:ascii="仿宋_GB2312" w:eastAsia="仿宋_GB2312" w:cs="仿宋_GB2312" w:hint="eastAsia"/>
          <w:b w:val="0"/>
          <w:bCs w:val="0"/>
          <w:color w:val="auto"/>
          <w:sz w:val="32"/>
          <w:szCs w:val="32"/>
          <w:lang w:eastAsia="zh-CN"/>
        </w:rPr>
        <w:t>支出</w:t>
      </w:r>
      <w:r>
        <w:rPr>
          <w:rFonts w:ascii="仿宋_GB2312" w:eastAsia="仿宋_GB2312" w:cs="仿宋_GB2312" w:hint="eastAsia"/>
          <w:b w:val="0"/>
          <w:bCs w:val="0"/>
          <w:color w:val="auto"/>
          <w:sz w:val="32"/>
          <w:szCs w:val="32"/>
        </w:rPr>
        <w:t>占总</w:t>
      </w:r>
      <w:r>
        <w:rPr>
          <w:rFonts w:ascii="仿宋_GB2312" w:eastAsia="仿宋_GB2312" w:cs="仿宋_GB2312" w:hint="eastAsia"/>
          <w:b w:val="0"/>
          <w:bCs w:val="0"/>
          <w:color w:val="auto"/>
          <w:sz w:val="32"/>
          <w:szCs w:val="32"/>
          <w:lang w:eastAsia="zh-CN"/>
        </w:rPr>
        <w:t>支出</w:t>
      </w:r>
      <w:r>
        <w:rPr>
          <w:rFonts w:ascii="仿宋_GB2312" w:eastAsia="仿宋_GB2312" w:cs="仿宋_GB2312" w:hint="eastAsia"/>
          <w:b w:val="0"/>
          <w:bCs w:val="0"/>
          <w:color w:val="auto"/>
          <w:sz w:val="32"/>
          <w:szCs w:val="32"/>
        </w:rPr>
        <w:t>的比重，</w:t>
      </w:r>
      <w:r>
        <w:rPr>
          <w:rFonts w:ascii="仿宋_GB2312" w:eastAsia="仿宋_GB2312" w:cs="仿宋_GB2312" w:hint="eastAsia"/>
          <w:b w:val="0"/>
          <w:bCs w:val="0"/>
          <w:color w:val="auto"/>
          <w:sz w:val="32"/>
          <w:szCs w:val="32"/>
          <w:lang w:eastAsia="zh-CN"/>
        </w:rPr>
        <w:t>用饼状图表示如下：</w:t>
      </w:r>
    </w:p>
    <w:p>
      <w:pPr>
        <w:snapToGrid w:val="0"/>
        <w:spacing w:line="240" w:lineRule="auto"/>
        <w:ind w:firstLineChars="200" w:firstLine="640"/>
        <w:rPr>
          <w:rFonts w:ascii="黑体" w:eastAsia="黑体" w:hint="eastAsia"/>
          <w:color w:val="000000"/>
          <w:sz w:val="32"/>
          <w:szCs w:val="32"/>
        </w:rPr>
      </w:pPr>
      <w:r>
        <w:rPr>
          <w:rFonts w:ascii="仿宋_GB2312" w:eastAsia="仿宋_GB2312" w:cs="仿宋_GB2312" w:hint="eastAsia"/>
          <w:b w:val="0"/>
          <w:bCs w:val="0"/>
          <w:color w:val="auto"/>
          <w:sz w:val="32"/>
          <w:szCs w:val="32"/>
          <w:lang w:eastAsia="zh-CN"/>
        </w:rPr>
        <w:drawing>
          <wp:inline distT="0" distB="0" distL="114300" distR="114300">
            <wp:extent cx="5079999" cy="2580640"/>
            <wp:effectExtent l="0" t="0" r="0" b="0"/>
            <wp:docPr id="5" name="图表 8" descr="7b0a202020202263686172745265734964223a20223230343735383537220a7d0a"/>
            <wp:cNvGraphicFramePr>
              <a:graphicFrameLocks noChangeAspect="0"/>
            </wp:cNvGraphicFramePr>
            <a:graphic>
              <a:graphicData uri="http://schemas.openxmlformats.org/drawingml/2006/chart">
                <c:chart xmlns:c="http://schemas.openxmlformats.org/drawingml/2006/chart" r:id="rId13"/>
              </a:graphicData>
            </a:graphic>
          </wp:inline>
        </w:drawing>
      </w:r>
    </w:p>
    <w:p>
      <w:pPr>
        <w:pageBreakBefore w:val="0"/>
        <w:widowControl w:val="0"/>
        <w:kinsoku/>
        <w:wordWrap/>
        <w:overflowPunct/>
        <w:topLinePunct w:val="0"/>
        <w:bidi w:val="0"/>
        <w:spacing w:line="576" w:lineRule="exact"/>
        <w:ind w:firstLineChars="200" w:firstLine="640"/>
        <w:jc w:val="center"/>
        <w:rPr>
          <w:rFonts w:ascii="黑体" w:eastAsia="黑体" w:hint="eastAsia"/>
          <w:color w:val="000000"/>
          <w:sz w:val="32"/>
          <w:szCs w:val="32"/>
        </w:rPr>
      </w:pPr>
      <w:bookmarkStart w:id="33" w:name="_Toc27110"/>
      <w:r>
        <w:rPr>
          <w:rFonts w:ascii="Times New Roman" w:eastAsia="仿宋_GB2312" w:cs="Times New Roman" w:hAnsi="Times New Roman"/>
          <w:color w:val="auto"/>
          <w:sz w:val="32"/>
          <w:szCs w:val="32"/>
        </w:rPr>
        <w:t>（图3：支出决算结构图）（饼状图）</w:t>
      </w: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31"/>
      <w:bookmarkEnd w:id="32"/>
      <w:bookmarkEnd w:id="33"/>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w:t>
      </w:r>
      <w:r>
        <w:rPr>
          <w:rFonts w:ascii="仿宋_GB2312" w:eastAsia="仿宋_GB2312" w:cs="仿宋_GB2312" w:hint="eastAsia"/>
          <w:b w:val="0"/>
          <w:bCs w:val="0"/>
          <w:sz w:val="32"/>
          <w:szCs w:val="32"/>
        </w:rPr>
        <w:t>0</w:t>
      </w:r>
      <w:r>
        <w:rPr>
          <w:rFonts w:ascii="仿宋_GB2312" w:eastAsia="仿宋_GB2312" w:cs="仿宋_GB2312" w:hint="eastAsia"/>
          <w:b w:val="0"/>
          <w:bCs w:val="0"/>
          <w:sz w:val="32"/>
          <w:szCs w:val="32"/>
          <w:lang w:val="en-US" w:eastAsia="zh-CN"/>
        </w:rPr>
        <w:t>21</w:t>
      </w:r>
      <w:r>
        <w:rPr>
          <w:rFonts w:ascii="仿宋_GB2312" w:eastAsia="仿宋_GB2312" w:cs="仿宋_GB2312" w:hint="eastAsia"/>
          <w:b w:val="0"/>
          <w:bCs w:val="0"/>
          <w:sz w:val="32"/>
          <w:szCs w:val="32"/>
        </w:rPr>
        <w:t>年收</w:t>
      </w:r>
      <w:r>
        <w:rPr>
          <w:rFonts w:ascii="仿宋_GB2312" w:eastAsia="仿宋_GB2312" w:cs="仿宋_GB2312" w:hint="eastAsia"/>
          <w:b w:val="0"/>
          <w:bCs w:val="0"/>
          <w:sz w:val="32"/>
          <w:szCs w:val="32"/>
          <w:lang w:eastAsia="zh-CN"/>
        </w:rPr>
        <w:t>入</w:t>
      </w:r>
      <w:r>
        <w:rPr>
          <w:rFonts w:ascii="仿宋_GB2312" w:eastAsia="仿宋_GB2312" w:hint="eastAsia"/>
          <w:sz w:val="32"/>
          <w:lang w:val="en-US" w:eastAsia="zh-CN"/>
        </w:rPr>
        <w:t>2823.12</w:t>
      </w:r>
      <w:r>
        <w:rPr>
          <w:rFonts w:ascii="仿宋_GB2312" w:eastAsia="仿宋_GB2312" w:cs="仿宋_GB2312" w:hint="eastAsia"/>
          <w:b w:val="0"/>
          <w:bCs w:val="0"/>
          <w:sz w:val="32"/>
          <w:szCs w:val="32"/>
          <w:lang w:val="en-US" w:eastAsia="zh-CN"/>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rPr>
        <w:t>20</w:t>
      </w:r>
      <w:r>
        <w:rPr>
          <w:rFonts w:ascii="仿宋_GB2312" w:eastAsia="仿宋_GB2312" w:cs="仿宋_GB2312" w:hint="eastAsia"/>
          <w:b w:val="0"/>
          <w:bCs w:val="0"/>
          <w:sz w:val="32"/>
          <w:szCs w:val="32"/>
          <w:lang w:val="en-US" w:eastAsia="zh-CN"/>
        </w:rPr>
        <w:t>22</w:t>
      </w:r>
      <w:r>
        <w:rPr>
          <w:rFonts w:ascii="仿宋_GB2312" w:eastAsia="仿宋_GB2312" w:cs="仿宋_GB2312" w:hint="eastAsia"/>
          <w:b w:val="0"/>
          <w:bCs w:val="0"/>
          <w:sz w:val="32"/>
          <w:szCs w:val="32"/>
        </w:rPr>
        <w:t>年收入</w:t>
      </w:r>
      <w:r>
        <w:rPr>
          <w:rFonts w:ascii="仿宋_GB2312" w:eastAsia="仿宋_GB2312" w:hint="eastAsia"/>
          <w:sz w:val="32"/>
          <w:lang w:val="en-US" w:eastAsia="zh-CN"/>
        </w:rPr>
        <w:t>3474.90</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hint="eastAsia"/>
          <w:sz w:val="32"/>
          <w:szCs w:val="32"/>
        </w:rPr>
        <w:t>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年相比，一般公共预算财政拨款收入</w:t>
      </w:r>
      <w:r>
        <w:rPr>
          <w:rFonts w:ascii="仿宋_GB2312" w:eastAsia="仿宋_GB2312" w:cs="仿宋_GB2312" w:hint="eastAsia"/>
          <w:b w:val="0"/>
          <w:bCs w:val="0"/>
          <w:sz w:val="32"/>
          <w:szCs w:val="32"/>
        </w:rPr>
        <w:t>比去年</w:t>
      </w:r>
      <w:r>
        <w:rPr>
          <w:rFonts w:ascii="仿宋_GB2312" w:eastAsia="仿宋_GB2312" w:cs="仿宋_GB2312" w:hint="eastAsia"/>
          <w:b w:val="0"/>
          <w:bCs w:val="0"/>
          <w:sz w:val="32"/>
          <w:szCs w:val="32"/>
          <w:lang w:val="en-US" w:eastAsia="zh-CN"/>
        </w:rPr>
        <w:t>增加651.78</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同比增加23.08%，</w:t>
      </w:r>
      <w:r>
        <w:rPr>
          <w:rFonts w:ascii="仿宋_GB2312" w:eastAsia="仿宋_GB2312" w:cs="仿宋_GB2312" w:hint="eastAsia"/>
          <w:b w:val="0"/>
          <w:bCs w:val="0"/>
          <w:sz w:val="32"/>
          <w:szCs w:val="32"/>
        </w:rPr>
        <w:t>原因</w:t>
      </w:r>
      <w:r>
        <w:rPr>
          <w:rFonts w:ascii="仿宋_GB2312" w:eastAsia="仿宋_GB2312" w:cs="仿宋_GB2312" w:hint="eastAsia"/>
          <w:b w:val="0"/>
          <w:bCs w:val="0"/>
          <w:sz w:val="32"/>
          <w:szCs w:val="32"/>
          <w:lang w:val="en-US" w:eastAsia="zh-CN"/>
        </w:rPr>
        <w:t>是人员增加及项目收入增加。</w:t>
      </w:r>
    </w:p>
    <w:p>
      <w:pPr>
        <w:snapToGrid w:val="0"/>
        <w:spacing w:line="560" w:lineRule="exact"/>
        <w:ind w:firstLineChars="200" w:firstLine="640"/>
        <w:rPr>
          <w:rFonts w:ascii="仿宋_GB2312" w:eastAsia="仿宋_GB2312" w:hint="eastAsia"/>
          <w:sz w:val="32"/>
          <w:szCs w:val="32"/>
          <w:lang w:eastAsia="zh-CN"/>
        </w:rPr>
      </w:pPr>
    </w:p>
    <w:p>
      <w:pPr>
        <w:snapToGrid w:val="0"/>
        <w:spacing w:line="560" w:lineRule="exact"/>
        <w:ind w:firstLineChars="200" w:firstLine="640"/>
        <w:rPr>
          <w:rFonts w:ascii="仿宋_GB2312" w:eastAsia="仿宋_GB2312"/>
          <w:sz w:val="32"/>
          <w:szCs w:val="32"/>
        </w:rPr>
      </w:pPr>
      <w:bookmarkStart w:id="34" w:name="_Toc15377209"/>
      <w:bookmarkStart w:id="35" w:name="_Toc15396607"/>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rPr>
          <w:rFonts w:ascii="仿宋_GB2312" w:eastAsia="仿宋_GB2312"/>
          <w:sz w:val="32"/>
          <w:szCs w:val="32"/>
        </w:rPr>
      </w:pP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lang w:eastAsia="zh-CN"/>
        </w:rPr>
        <w:drawing>
          <wp:anchor distT="0" distB="0" distL="114300" distR="114300" simplePos="0" relativeHeight="28" behindDoc="0" locked="0" layoutInCell="1" hidden="0" allowOverlap="1">
            <wp:simplePos x="0" y="0"/>
            <wp:positionH relativeFrom="column">
              <wp:posOffset>410844</wp:posOffset>
            </wp:positionH>
            <wp:positionV relativeFrom="paragraph">
              <wp:posOffset>-2778125</wp:posOffset>
            </wp:positionV>
            <wp:extent cx="5069840" cy="3048635"/>
            <wp:effectExtent l="0" t="1" r="46" b="16"/>
            <wp:wrapSquare wrapText="bothSides"/>
            <wp:docPr id="6" name="图表 4"/>
            <wp:cNvGraphicFramePr>
              <a:graphicFrameLocks noChangeAspect="0"/>
            </wp:cNvGraphicFramePr>
            <a:graphic>
              <a:graphicData uri="http://schemas.openxmlformats.org/drawingml/2006/chart">
                <c:chart xmlns:c="http://schemas.openxmlformats.org/drawingml/2006/chart" r:id="rId14"/>
              </a:graphicData>
            </a:graphic>
          </wp:anchor>
        </w:drawing>
      </w:r>
    </w:p>
    <w:p>
      <w:pPr>
        <w:pageBreakBefore w:val="0"/>
        <w:widowControl w:val="0"/>
        <w:kinsoku/>
        <w:wordWrap/>
        <w:overflowPunct/>
        <w:topLinePunct w:val="0"/>
        <w:bidi w:val="0"/>
        <w:spacing w:line="576" w:lineRule="exact"/>
        <w:ind w:firstLineChars="400" w:firstLine="1280"/>
        <w:rPr>
          <w:rFonts w:ascii="仿宋_GB2312" w:eastAsia="仿宋_GB2312" w:hint="eastAsia"/>
          <w:sz w:val="32"/>
          <w:szCs w:val="32"/>
        </w:rPr>
      </w:pPr>
      <w:r>
        <w:rPr>
          <w:rFonts w:ascii="Times New Roman" w:eastAsia="仿宋_GB2312" w:cs="Times New Roman" w:hAnsi="Times New Roman"/>
          <w:color w:val="auto"/>
          <w:sz w:val="32"/>
          <w:szCs w:val="32"/>
        </w:rPr>
        <w:t>（图4：财政拨款</w:t>
      </w:r>
      <w:r>
        <w:rPr>
          <w:rFonts w:ascii="Times New Roman" w:eastAsia="仿宋_GB2312" w:cs="Times New Roman" w:hAnsi="Times New Roman" w:hint="eastAsia"/>
          <w:color w:val="auto"/>
          <w:sz w:val="32"/>
          <w:szCs w:val="32"/>
          <w:lang w:val="en-US" w:eastAsia="zh-CN"/>
        </w:rPr>
        <w:t>收入</w:t>
      </w:r>
      <w:r>
        <w:rPr>
          <w:rFonts w:ascii="Times New Roman" w:eastAsia="仿宋_GB2312" w:cs="Times New Roman" w:hAnsi="Times New Roman"/>
          <w:color w:val="auto"/>
          <w:sz w:val="32"/>
          <w:szCs w:val="32"/>
        </w:rPr>
        <w:t>决算变动情况）（柱状图）</w:t>
      </w:r>
    </w:p>
    <w:p>
      <w:pPr>
        <w:spacing w:line="460" w:lineRule="exact"/>
        <w:ind w:firstLineChars="196" w:firstLine="627"/>
        <w:rPr>
          <w:rFonts w:ascii="仿宋_GB2312" w:eastAsia="仿宋_GB2312" w:cs="仿宋_GB2312" w:hint="eastAsia"/>
          <w:b w:val="0"/>
          <w:bCs w:val="0"/>
          <w:sz w:val="32"/>
          <w:szCs w:val="32"/>
          <w:lang w:eastAsia="zh-CN"/>
        </w:rPr>
      </w:pPr>
      <w:r>
        <w:rPr>
          <w:rFonts w:ascii="仿宋_GB2312" w:eastAsia="仿宋_GB2312" w:cs="仿宋_GB2312" w:hint="eastAsia"/>
          <w:b w:val="0"/>
          <w:bCs w:val="0"/>
          <w:sz w:val="32"/>
          <w:szCs w:val="32"/>
          <w:lang w:val="en-US" w:eastAsia="zh-CN"/>
        </w:rPr>
        <w:t>2021年</w:t>
      </w:r>
      <w:r>
        <w:rPr>
          <w:rFonts w:ascii="仿宋_GB2312" w:eastAsia="仿宋_GB2312" w:cs="仿宋_GB2312" w:hint="eastAsia"/>
          <w:b w:val="0"/>
          <w:bCs w:val="0"/>
          <w:sz w:val="32"/>
          <w:szCs w:val="32"/>
        </w:rPr>
        <w:t>支</w:t>
      </w:r>
      <w:r>
        <w:rPr>
          <w:rFonts w:ascii="仿宋_GB2312" w:eastAsia="仿宋_GB2312" w:cs="仿宋_GB2312" w:hint="eastAsia"/>
          <w:b w:val="0"/>
          <w:bCs w:val="0"/>
          <w:sz w:val="32"/>
          <w:szCs w:val="32"/>
          <w:lang w:eastAsia="zh-CN"/>
        </w:rPr>
        <w:t>出</w:t>
      </w:r>
      <w:r>
        <w:rPr>
          <w:rFonts w:ascii="仿宋_GB2312" w:eastAsia="仿宋_GB2312" w:cs="仿宋_GB2312" w:hint="eastAsia"/>
          <w:b w:val="0"/>
          <w:bCs w:val="0"/>
          <w:sz w:val="32"/>
          <w:szCs w:val="32"/>
          <w:lang w:val="en-US" w:eastAsia="zh-CN"/>
        </w:rPr>
        <w:t>4393.28</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2022年</w:t>
      </w:r>
      <w:r>
        <w:rPr>
          <w:rFonts w:ascii="仿宋_GB2312" w:eastAsia="仿宋_GB2312" w:cs="仿宋_GB2312" w:hint="eastAsia"/>
          <w:b w:val="0"/>
          <w:bCs w:val="0"/>
          <w:sz w:val="32"/>
          <w:szCs w:val="32"/>
        </w:rPr>
        <w:t>支出</w:t>
      </w:r>
      <w:r>
        <w:rPr>
          <w:rFonts w:ascii="仿宋_GB2312" w:eastAsia="仿宋_GB2312" w:cs="仿宋_GB2312" w:hint="eastAsia"/>
          <w:b w:val="0"/>
          <w:bCs w:val="0"/>
          <w:sz w:val="32"/>
          <w:szCs w:val="32"/>
          <w:lang w:val="en-US" w:eastAsia="zh-CN"/>
        </w:rPr>
        <w:t>3464.67</w:t>
      </w:r>
      <w:r>
        <w:rPr>
          <w:rFonts w:ascii="仿宋_GB2312" w:eastAsia="仿宋_GB2312" w:cs="仿宋_GB2312" w:hint="eastAsia"/>
          <w:b w:val="0"/>
          <w:bCs w:val="0"/>
          <w:sz w:val="32"/>
          <w:szCs w:val="32"/>
        </w:rPr>
        <w:t>万元,</w:t>
      </w:r>
      <w:r>
        <w:rPr>
          <w:rFonts w:ascii="仿宋_GB2312" w:eastAsia="仿宋_GB2312" w:hint="eastAsia"/>
          <w:sz w:val="32"/>
          <w:szCs w:val="32"/>
          <w:lang w:eastAsia="zh-CN"/>
        </w:rPr>
        <w:drawing>
          <wp:anchor distT="0" distB="0" distL="114300" distR="114300" simplePos="0" relativeHeight="30" behindDoc="0" locked="0" layoutInCell="1" hidden="0" allowOverlap="1">
            <wp:simplePos x="0" y="0"/>
            <wp:positionH relativeFrom="column">
              <wp:posOffset>-82550</wp:posOffset>
            </wp:positionH>
            <wp:positionV relativeFrom="paragraph">
              <wp:posOffset>798195</wp:posOffset>
            </wp:positionV>
            <wp:extent cx="5710555" cy="2995930"/>
            <wp:effectExtent l="0" t="0" r="24" b="17"/>
            <wp:wrapSquare wrapText="bothSides"/>
            <wp:docPr id="7" name="图表 9"/>
            <wp:cNvGraphicFramePr>
              <a:graphicFrameLocks noChangeAspect="0"/>
            </wp:cNvGraphicFramePr>
            <a:graphic>
              <a:graphicData uri="http://schemas.openxmlformats.org/drawingml/2006/chart">
                <c:chart xmlns:c="http://schemas.openxmlformats.org/drawingml/2006/chart" r:id="rId15"/>
              </a:graphicData>
            </a:graphic>
          </wp:anchor>
        </w:drawing>
      </w:r>
      <w:r>
        <w:rPr>
          <w:rFonts w:ascii="仿宋_GB2312" w:eastAsia="仿宋_GB2312" w:cs="仿宋_GB2312" w:hint="eastAsia"/>
          <w:b w:val="0"/>
          <w:bCs w:val="0"/>
          <w:sz w:val="32"/>
          <w:szCs w:val="32"/>
        </w:rPr>
        <w:t>比去年</w:t>
      </w:r>
      <w:r>
        <w:rPr>
          <w:rFonts w:ascii="仿宋_GB2312" w:eastAsia="仿宋_GB2312" w:cs="仿宋_GB2312" w:hint="eastAsia"/>
          <w:b w:val="0"/>
          <w:bCs w:val="0"/>
          <w:sz w:val="32"/>
          <w:szCs w:val="32"/>
          <w:lang w:val="en-US" w:eastAsia="zh-CN"/>
        </w:rPr>
        <w:t>减少928.61</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同比减少21.13%，</w:t>
      </w:r>
      <w:r>
        <w:rPr>
          <w:rFonts w:ascii="仿宋_GB2312" w:eastAsia="仿宋_GB2312" w:cs="仿宋_GB2312" w:hint="eastAsia"/>
          <w:b w:val="0"/>
          <w:bCs w:val="0"/>
          <w:sz w:val="32"/>
          <w:szCs w:val="32"/>
        </w:rPr>
        <w:t>原因</w:t>
      </w:r>
      <w:r>
        <w:rPr>
          <w:rFonts w:ascii="仿宋_GB2312" w:eastAsia="仿宋_GB2312" w:cs="仿宋_GB2312" w:hint="eastAsia"/>
          <w:b w:val="0"/>
          <w:bCs w:val="0"/>
          <w:sz w:val="32"/>
          <w:szCs w:val="32"/>
          <w:lang w:val="en-US" w:eastAsia="zh-CN"/>
        </w:rPr>
        <w:t>是项目支出减少</w:t>
      </w:r>
      <w:r>
        <w:rPr>
          <w:rFonts w:ascii="仿宋_GB2312" w:eastAsia="仿宋_GB2312" w:cs="仿宋_GB2312" w:hint="eastAsia"/>
          <w:b w:val="0"/>
          <w:bCs w:val="0"/>
          <w:sz w:val="32"/>
          <w:szCs w:val="32"/>
          <w:lang w:eastAsia="zh-CN"/>
        </w:rPr>
        <w:t>。</w:t>
      </w:r>
    </w:p>
    <w:p>
      <w:pPr>
        <w:snapToGrid w:val="0"/>
        <w:spacing w:line="560" w:lineRule="exact"/>
        <w:ind w:firstLineChars="200" w:firstLine="640"/>
        <w:rPr>
          <w:rFonts w:ascii="黑体" w:eastAsia="黑体" w:hint="eastAsia"/>
          <w:color w:val="000000"/>
          <w:sz w:val="32"/>
          <w:szCs w:val="32"/>
        </w:rPr>
      </w:pPr>
      <w:bookmarkStart w:id="36" w:name="_Toc17119"/>
      <w:r>
        <w:rPr>
          <w:rFonts w:ascii="Times New Roman" w:eastAsia="仿宋_GB2312" w:cs="Times New Roman" w:hAnsi="Times New Roman"/>
          <w:color w:val="auto"/>
          <w:sz w:val="32"/>
          <w:szCs w:val="32"/>
        </w:rPr>
        <w:t>（图</w:t>
      </w:r>
      <w:r>
        <w:rPr>
          <w:rFonts w:ascii="Times New Roman" w:eastAsia="仿宋_GB2312" w:cs="Times New Roman" w:hAnsi="Times New Roman" w:hint="eastAsia"/>
          <w:color w:val="auto"/>
          <w:sz w:val="32"/>
          <w:szCs w:val="32"/>
          <w:lang w:val="en-US" w:eastAsia="zh-CN"/>
        </w:rPr>
        <w:t>5</w:t>
      </w:r>
      <w:r>
        <w:rPr>
          <w:rFonts w:ascii="Times New Roman" w:eastAsia="仿宋_GB2312" w:cs="Times New Roman" w:hAnsi="Times New Roman"/>
          <w:color w:val="auto"/>
          <w:sz w:val="32"/>
          <w:szCs w:val="32"/>
        </w:rPr>
        <w:t>：财政拨款</w:t>
      </w:r>
      <w:r>
        <w:rPr>
          <w:rFonts w:ascii="Times New Roman" w:eastAsia="仿宋_GB2312" w:cs="Times New Roman" w:hAnsi="Times New Roman" w:hint="eastAsia"/>
          <w:color w:val="auto"/>
          <w:sz w:val="32"/>
          <w:szCs w:val="32"/>
          <w:lang w:val="en-US" w:eastAsia="zh-CN"/>
        </w:rPr>
        <w:t>支出</w:t>
      </w:r>
      <w:r>
        <w:rPr>
          <w:rFonts w:ascii="Times New Roman" w:eastAsia="仿宋_GB2312" w:cs="Times New Roman" w:hAnsi="Times New Roman"/>
          <w:color w:val="auto"/>
          <w:sz w:val="32"/>
          <w:szCs w:val="32"/>
        </w:rPr>
        <w:t>决算变动情况）（柱状图）</w:t>
      </w: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34"/>
      <w:bookmarkEnd w:id="35"/>
      <w:bookmarkEnd w:id="36"/>
    </w:p>
    <w:p>
      <w:pPr>
        <w:spacing w:line="600" w:lineRule="exact"/>
        <w:ind w:firstLineChars="200" w:firstLine="640"/>
        <w:outlineLvl w:val="2"/>
        <w:rPr>
          <w:rFonts w:ascii="仿宋" w:eastAsia="仿宋"/>
          <w:b/>
          <w:color w:val="000000"/>
          <w:sz w:val="32"/>
          <w:szCs w:val="32"/>
        </w:rPr>
      </w:pPr>
      <w:bookmarkStart w:id="37" w:name="_Toc15377210"/>
      <w:r>
        <w:rPr>
          <w:rFonts w:ascii="仿宋" w:eastAsia="仿宋" w:hint="eastAsia"/>
          <w:b/>
          <w:color w:val="000000"/>
          <w:sz w:val="32"/>
          <w:szCs w:val="32"/>
        </w:rPr>
        <w:t>（一）一般公共预算财政拨款支出决算总体情况</w:t>
      </w:r>
      <w:bookmarkEnd w:id="37"/>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cs="仿宋_GB2312" w:hint="eastAsia"/>
          <w:b w:val="0"/>
          <w:bCs w:val="0"/>
          <w:sz w:val="32"/>
          <w:szCs w:val="32"/>
          <w:lang w:val="en-US" w:eastAsia="zh-CN"/>
        </w:rPr>
        <w:t>金川县人民医院</w:t>
      </w:r>
      <w:r>
        <w:rPr>
          <w:rFonts w:ascii="仿宋_GB2312" w:eastAsia="仿宋_GB2312" w:hint="eastAsia"/>
          <w:sz w:val="32"/>
          <w:szCs w:val="32"/>
        </w:rPr>
        <w:t>一般公共预算财政拨款支出</w:t>
      </w:r>
      <w:r>
        <w:rPr>
          <w:rFonts w:ascii="仿宋_GB2312" w:eastAsia="仿宋_GB2312" w:hint="eastAsia"/>
          <w:sz w:val="32"/>
          <w:szCs w:val="32"/>
          <w:lang w:val="en-US" w:eastAsia="zh-CN"/>
        </w:rPr>
        <w:t>3464.67</w:t>
      </w:r>
      <w:r>
        <w:rPr>
          <w:rFonts w:ascii="仿宋_GB2312" w:eastAsia="仿宋_GB2312" w:hint="eastAsia"/>
          <w:sz w:val="32"/>
          <w:szCs w:val="32"/>
        </w:rPr>
        <w:t>万元，占本年总支出的100%。与202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年相比，一般公共预算财政拨款支出</w:t>
      </w:r>
      <w:r>
        <w:rPr>
          <w:rFonts w:ascii="仿宋_GB2312" w:eastAsia="仿宋_GB2312" w:hint="eastAsia"/>
          <w:sz w:val="32"/>
          <w:szCs w:val="32"/>
          <w:lang w:val="en-US" w:eastAsia="zh-CN"/>
        </w:rPr>
        <w:t>减少</w:t>
      </w:r>
      <w:r>
        <w:rPr>
          <w:rFonts w:ascii="仿宋_GB2312" w:eastAsia="仿宋_GB2312" w:hint="eastAsia"/>
          <w:sz w:val="32"/>
          <w:szCs w:val="32"/>
        </w:rPr>
        <w:t>了</w:t>
      </w:r>
      <w:r>
        <w:rPr>
          <w:rFonts w:ascii="仿宋_GB2312" w:eastAsia="仿宋_GB2312" w:cs="仿宋_GB2312" w:hint="eastAsia"/>
          <w:b w:val="0"/>
          <w:bCs w:val="0"/>
          <w:sz w:val="32"/>
          <w:szCs w:val="32"/>
          <w:lang w:val="en-US" w:eastAsia="zh-CN"/>
        </w:rPr>
        <w:t>928.61</w:t>
      </w:r>
      <w:r>
        <w:rPr>
          <w:rFonts w:ascii="仿宋_GB2312" w:eastAsia="仿宋_GB2312" w:cs="仿宋_GB2312" w:hint="eastAsia"/>
          <w:b w:val="0"/>
          <w:bCs w:val="0"/>
          <w:sz w:val="32"/>
          <w:szCs w:val="32"/>
        </w:rPr>
        <w:t>万元</w:t>
      </w:r>
      <w:r>
        <w:rPr>
          <w:rFonts w:ascii="仿宋_GB2312" w:eastAsia="仿宋_GB2312" w:cs="仿宋_GB2312" w:hint="eastAsia"/>
          <w:b w:val="0"/>
          <w:bCs w:val="0"/>
          <w:sz w:val="32"/>
          <w:szCs w:val="32"/>
          <w:lang w:eastAsia="zh-CN"/>
        </w:rPr>
        <w:t>，</w:t>
      </w:r>
      <w:r>
        <w:rPr>
          <w:rFonts w:ascii="仿宋_GB2312" w:eastAsia="仿宋_GB2312" w:cs="仿宋_GB2312" w:hint="eastAsia"/>
          <w:b w:val="0"/>
          <w:bCs w:val="0"/>
          <w:sz w:val="32"/>
          <w:szCs w:val="32"/>
          <w:lang w:val="en-US" w:eastAsia="zh-CN"/>
        </w:rPr>
        <w:t>同比减少21.13%</w:t>
      </w:r>
      <w:r>
        <w:rPr>
          <w:rFonts w:ascii="仿宋_GB2312" w:eastAsia="仿宋_GB2312" w:hint="eastAsia"/>
          <w:sz w:val="32"/>
          <w:szCs w:val="32"/>
        </w:rPr>
        <w:t>，原因是项目</w:t>
      </w:r>
      <w:r>
        <w:rPr>
          <w:rFonts w:ascii="仿宋_GB2312" w:eastAsia="仿宋_GB2312" w:hint="eastAsia"/>
          <w:sz w:val="32"/>
          <w:szCs w:val="32"/>
          <w:lang w:val="en-US" w:eastAsia="zh-CN"/>
        </w:rPr>
        <w:t>支出减少。</w:t>
      </w:r>
    </w:p>
    <w:p>
      <w:pPr>
        <w:snapToGrid w:val="0"/>
        <w:spacing w:line="520" w:lineRule="exact"/>
        <w:ind w:firstLineChars="200" w:firstLine="640"/>
        <w:rPr>
          <w:rFonts w:ascii="仿宋" w:eastAsia="仿宋"/>
          <w:b/>
          <w:color w:val="000000"/>
          <w:sz w:val="32"/>
          <w:szCs w:val="32"/>
        </w:rPr>
      </w:pPr>
      <w:bookmarkStart w:id="38" w:name="_Toc15377211"/>
      <w:r>
        <w:rPr>
          <w:rFonts w:ascii="仿宋" w:eastAsia="仿宋" w:hint="eastAsia"/>
          <w:b/>
          <w:color w:val="000000"/>
          <w:sz w:val="32"/>
          <w:szCs w:val="32"/>
        </w:rPr>
        <w:t>（二）一般公共预算财政拨款支出决算结构情况</w:t>
      </w:r>
      <w:bookmarkEnd w:id="38"/>
    </w:p>
    <w:p>
      <w:pPr>
        <w:snapToGrid w:val="0"/>
        <w:spacing w:line="560" w:lineRule="exact"/>
        <w:ind w:firstLineChars="200" w:firstLine="640"/>
        <w:rPr>
          <w:rFonts w:ascii="仿宋_GB2312" w:eastAsia="仿宋_GB2312" w:cs="仿宋_GB2312" w:hint="eastAsia"/>
          <w:b w:val="0"/>
          <w:bCs w:val="0"/>
          <w:sz w:val="32"/>
          <w:szCs w:val="32"/>
          <w:lang w:val="en-US" w:eastAsia="zh-CN"/>
        </w:rPr>
      </w:pPr>
      <w:r>
        <w:rPr>
          <w:rFonts w:ascii="仿宋_GB2312" w:eastAsia="仿宋_GB2312" w:cs="仿宋_GB2312" w:hint="eastAsia"/>
          <w:b w:val="0"/>
          <w:bCs w:val="0"/>
          <w:sz w:val="32"/>
          <w:szCs w:val="32"/>
        </w:rPr>
        <w:t>20</w:t>
      </w:r>
      <w:r>
        <w:rPr>
          <w:rFonts w:ascii="仿宋_GB2312" w:eastAsia="仿宋_GB2312" w:cs="仿宋_GB2312" w:hint="eastAsia"/>
          <w:b w:val="0"/>
          <w:bCs w:val="0"/>
          <w:sz w:val="32"/>
          <w:szCs w:val="32"/>
          <w:lang w:val="en-US" w:eastAsia="zh-CN"/>
        </w:rPr>
        <w:t>22</w:t>
      </w:r>
      <w:r>
        <w:rPr>
          <w:rFonts w:ascii="仿宋_GB2312" w:eastAsia="仿宋_GB2312" w:cs="仿宋_GB2312" w:hint="eastAsia"/>
          <w:b w:val="0"/>
          <w:bCs w:val="0"/>
          <w:sz w:val="32"/>
          <w:szCs w:val="32"/>
        </w:rPr>
        <w:t>年度</w:t>
      </w:r>
      <w:r>
        <w:rPr>
          <w:rFonts w:ascii="仿宋_GB2312" w:eastAsia="仿宋_GB2312" w:cs="仿宋_GB2312" w:hint="eastAsia"/>
          <w:b w:val="0"/>
          <w:bCs w:val="0"/>
          <w:sz w:val="32"/>
          <w:szCs w:val="32"/>
          <w:lang w:val="en-US" w:eastAsia="zh-CN"/>
        </w:rPr>
        <w:t>金川县人民医院</w:t>
      </w:r>
      <w:r>
        <w:rPr>
          <w:rFonts w:ascii="仿宋_GB2312" w:eastAsia="仿宋_GB2312" w:cs="仿宋_GB2312" w:hint="eastAsia"/>
          <w:b w:val="0"/>
          <w:bCs w:val="0"/>
          <w:sz w:val="32"/>
          <w:szCs w:val="32"/>
        </w:rPr>
        <w:t>支出为</w:t>
      </w:r>
      <w:r>
        <w:rPr>
          <w:rFonts w:ascii="仿宋_GB2312" w:eastAsia="仿宋_GB2312" w:cs="仿宋_GB2312" w:hint="eastAsia"/>
          <w:b w:val="0"/>
          <w:bCs w:val="0"/>
          <w:sz w:val="32"/>
          <w:szCs w:val="32"/>
          <w:lang w:val="en-US" w:eastAsia="zh-CN"/>
        </w:rPr>
        <w:t>3464.67</w:t>
      </w:r>
      <w:r>
        <w:rPr>
          <w:rFonts w:ascii="仿宋_GB2312" w:eastAsia="仿宋_GB2312" w:cs="仿宋_GB2312" w:hint="eastAsia"/>
          <w:b w:val="0"/>
          <w:bCs w:val="0"/>
          <w:sz w:val="32"/>
          <w:szCs w:val="32"/>
        </w:rPr>
        <w:t>万元，分别是社会保障和就业支出</w:t>
      </w:r>
      <w:r>
        <w:rPr>
          <w:rFonts w:ascii="仿宋_GB2312" w:eastAsia="仿宋_GB2312" w:cs="仿宋_GB2312" w:hint="eastAsia"/>
          <w:b w:val="0"/>
          <w:bCs w:val="0"/>
          <w:sz w:val="32"/>
          <w:szCs w:val="32"/>
          <w:lang w:val="en-US" w:eastAsia="zh-CN"/>
        </w:rPr>
        <w:t>401.88万元,占总支出的11.59%；卫生健康支出2839.04万元，占总支出的81.94%；住房保障支出223.74万元，占总支出的6.47%。</w:t>
      </w:r>
    </w:p>
    <w:p>
      <w:pPr>
        <w:pStyle w:val="15"/>
        <w:rPr>
          <w:lang w:val="en-US" w:eastAsia="zh-CN"/>
        </w:rPr>
      </w:pPr>
      <w:r>
        <w:rPr>
          <w:rFonts w:ascii="仿宋_GB2312" w:eastAsia="仿宋_GB2312" w:cs="仿宋_GB2312" w:hint="eastAsia"/>
          <w:b w:val="0"/>
          <w:bCs w:val="0"/>
          <w:color w:val="auto"/>
          <w:sz w:val="32"/>
          <w:szCs w:val="32"/>
          <w:lang w:eastAsia="zh-CN"/>
        </w:rPr>
        <w:drawing>
          <wp:inline distT="0" distB="0" distL="114300" distR="114300">
            <wp:extent cx="5079999" cy="2580640"/>
            <wp:effectExtent l="0" t="0" r="0" b="0"/>
            <wp:docPr id="8" name="图表 12" descr="7b0a202020202263686172745265734964223a20223230343735383537220a7d0a"/>
            <wp:cNvGraphicFramePr>
              <a:graphicFrameLocks noChangeAspect="0"/>
            </wp:cNvGraphicFramePr>
            <a:graphic>
              <a:graphicData uri="http://schemas.openxmlformats.org/drawingml/2006/chart">
                <c:chart xmlns:c="http://schemas.openxmlformats.org/drawingml/2006/chart" r:id="rId16"/>
              </a:graphicData>
            </a:graphic>
          </wp:inline>
        </w:drawing>
      </w:r>
    </w:p>
    <w:p>
      <w:pPr>
        <w:pageBreakBefore w:val="0"/>
        <w:widowControl w:val="0"/>
        <w:kinsoku/>
        <w:wordWrap/>
        <w:overflowPunct/>
        <w:topLinePunct w:val="0"/>
        <w:bidi w:val="0"/>
        <w:spacing w:line="576" w:lineRule="exact"/>
        <w:ind w:firstLineChars="200" w:firstLine="640"/>
        <w:rPr>
          <w:rFonts w:ascii="仿宋" w:eastAsia="仿宋"/>
          <w:b/>
          <w:color w:val="000000"/>
          <w:sz w:val="32"/>
          <w:szCs w:val="32"/>
        </w:rPr>
      </w:pPr>
      <w:r>
        <w:rPr>
          <w:rFonts w:ascii="Times New Roman" w:eastAsia="仿宋" w:cs="Times New Roman" w:hAnsi="Times New Roman"/>
          <w:color w:val="auto"/>
          <w:sz w:val="32"/>
          <w:szCs w:val="32"/>
        </w:rPr>
        <w:t>（图</w:t>
      </w:r>
      <w:r>
        <w:rPr>
          <w:rFonts w:ascii="Times New Roman" w:eastAsia="仿宋" w:cs="Times New Roman" w:hAnsi="Times New Roman" w:hint="eastAsia"/>
          <w:color w:val="auto"/>
          <w:sz w:val="32"/>
          <w:szCs w:val="32"/>
          <w:lang w:val="en-US" w:eastAsia="zh-CN"/>
        </w:rPr>
        <w:t>7</w:t>
      </w:r>
      <w:r>
        <w:rPr>
          <w:rFonts w:ascii="Times New Roman" w:eastAsia="仿宋" w:cs="Times New Roman" w:hAnsi="Times New Roman"/>
          <w:color w:val="auto"/>
          <w:sz w:val="32"/>
          <w:szCs w:val="32"/>
        </w:rPr>
        <w:t>：一般公共预算财政拨款支出决算结构）（饼状图）</w:t>
      </w:r>
      <w:bookmarkStart w:id="39" w:name="_Toc15377212"/>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9"/>
    </w:p>
    <w:p>
      <w:pPr>
        <w:spacing w:line="560" w:lineRule="exact"/>
        <w:ind w:firstLineChars="200" w:firstLine="640"/>
        <w:rPr>
          <w:rFonts w:ascii="仿宋_GB2312" w:eastAsia="仿宋_GB2312" w:hint="eastAsia"/>
          <w:b/>
          <w:bCs/>
          <w:sz w:val="32"/>
          <w:szCs w:val="32"/>
        </w:rPr>
      </w:pPr>
      <w:bookmarkStart w:id="40" w:name="_Toc15396608"/>
      <w:bookmarkStart w:id="41" w:name="_Toc15377214"/>
      <w:bookmarkEnd w:id="3"/>
      <w:bookmarkEnd w:id="4"/>
      <w:bookmarkEnd w:id="5"/>
      <w:r>
        <w:rPr>
          <w:rFonts w:ascii="仿宋_GB2312" w:eastAsia="仿宋_GB2312" w:hint="eastAsia"/>
          <w:b/>
          <w:bCs/>
          <w:sz w:val="32"/>
          <w:szCs w:val="32"/>
        </w:rPr>
        <w:t>202</w:t>
      </w:r>
      <w:r>
        <w:rPr>
          <w:rFonts w:ascii="仿宋_GB2312" w:eastAsia="仿宋_GB2312" w:hint="eastAsia"/>
          <w:b/>
          <w:bCs/>
          <w:sz w:val="32"/>
          <w:szCs w:val="32"/>
          <w:lang w:val="en-US" w:eastAsia="zh-CN"/>
        </w:rPr>
        <w:t>2</w:t>
      </w:r>
      <w:r>
        <w:rPr>
          <w:rFonts w:ascii="仿宋_GB2312" w:eastAsia="仿宋_GB2312" w:hint="eastAsia"/>
          <w:b/>
          <w:bCs/>
          <w:sz w:val="32"/>
          <w:szCs w:val="32"/>
        </w:rPr>
        <w:t>年一般公共预算支出决算数为</w:t>
      </w:r>
      <w:r>
        <w:rPr>
          <w:rFonts w:ascii="仿宋_GB2312" w:eastAsia="仿宋_GB2312" w:hint="eastAsia"/>
          <w:b/>
          <w:bCs/>
          <w:sz w:val="32"/>
          <w:szCs w:val="32"/>
          <w:lang w:val="en-US" w:eastAsia="zh-CN"/>
        </w:rPr>
        <w:t>3464.71万元</w:t>
      </w:r>
      <w:r>
        <w:rPr>
          <w:rFonts w:ascii="仿宋_GB2312" w:eastAsia="仿宋_GB2312" w:hint="eastAsia"/>
          <w:b/>
          <w:bCs/>
          <w:sz w:val="32"/>
          <w:szCs w:val="32"/>
        </w:rPr>
        <w:t>，完成预算</w:t>
      </w:r>
      <w:r>
        <w:rPr>
          <w:rFonts w:ascii="仿宋_GB2312" w:eastAsia="仿宋_GB2312" w:hint="eastAsia"/>
          <w:b/>
          <w:bCs/>
          <w:sz w:val="32"/>
          <w:szCs w:val="32"/>
          <w:lang w:val="en-US" w:eastAsia="zh-CN"/>
        </w:rPr>
        <w:t>100</w:t>
      </w:r>
      <w:r>
        <w:rPr>
          <w:rFonts w:ascii="仿宋_GB2312" w:eastAsia="仿宋_GB2312" w:hint="eastAsia"/>
          <w:b/>
          <w:bCs/>
          <w:sz w:val="32"/>
          <w:szCs w:val="32"/>
        </w:rPr>
        <w:t>%。其中：</w:t>
      </w:r>
    </w:p>
    <w:p>
      <w:pPr>
        <w:spacing w:line="560" w:lineRule="exact"/>
        <w:ind w:firstLineChars="200" w:firstLine="640"/>
        <w:rPr>
          <w:rFonts w:ascii="仿宋" w:eastAsia="仿宋" w:hint="eastAsia"/>
          <w:b/>
          <w:color w:val="000000"/>
          <w:sz w:val="32"/>
          <w:szCs w:val="32"/>
        </w:rPr>
      </w:pPr>
      <w:r>
        <w:rPr>
          <w:rStyle w:val="22"/>
          <w:rFonts w:ascii="仿宋" w:eastAsia="仿宋" w:hint="eastAsia"/>
          <w:bCs/>
          <w:color w:val="000000"/>
          <w:sz w:val="32"/>
          <w:szCs w:val="32"/>
          <w:lang w:val="en-US" w:eastAsia="zh-CN"/>
        </w:rPr>
        <w:t>1</w:t>
      </w:r>
      <w:r>
        <w:rPr>
          <w:rStyle w:val="22"/>
          <w:rFonts w:ascii="仿宋" w:eastAsia="仿宋" w:hint="eastAsia"/>
          <w:bCs/>
          <w:color w:val="000000"/>
          <w:sz w:val="32"/>
          <w:szCs w:val="32"/>
        </w:rPr>
        <w:t>.</w:t>
      </w:r>
      <w:r>
        <w:rPr>
          <w:rStyle w:val="22"/>
          <w:rFonts w:ascii="仿宋" w:eastAsia="仿宋" w:hint="eastAsia"/>
          <w:b w:val="0"/>
          <w:bCs/>
          <w:color w:val="000000"/>
          <w:sz w:val="32"/>
          <w:szCs w:val="32"/>
        </w:rPr>
        <w:t xml:space="preserve"> </w:t>
      </w:r>
      <w:r>
        <w:rPr>
          <w:rStyle w:val="22"/>
          <w:rFonts w:ascii="仿宋" w:eastAsia="仿宋" w:hint="eastAsia"/>
          <w:bCs/>
          <w:color w:val="000000"/>
          <w:sz w:val="32"/>
          <w:szCs w:val="32"/>
        </w:rPr>
        <w:t>社会保障和就业（类）</w:t>
      </w:r>
      <w:r>
        <w:rPr>
          <w:rStyle w:val="22"/>
          <w:rFonts w:ascii="仿宋" w:eastAsia="仿宋" w:hint="eastAsia"/>
          <w:bCs/>
          <w:color w:val="000000"/>
          <w:sz w:val="32"/>
          <w:szCs w:val="32"/>
          <w:lang w:val="en-US" w:eastAsia="zh-CN"/>
        </w:rPr>
        <w:t>行政事业单位养老支出</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机关事业单位基本养老保险缴费支出</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 xml:space="preserve"> 支出决算为</w:t>
      </w:r>
      <w:r>
        <w:rPr>
          <w:rStyle w:val="22"/>
          <w:rFonts w:ascii="仿宋" w:eastAsia="仿宋" w:hint="eastAsia"/>
          <w:b w:val="0"/>
          <w:bCs/>
          <w:color w:val="000000"/>
          <w:sz w:val="32"/>
          <w:szCs w:val="32"/>
          <w:lang w:val="en-US" w:eastAsia="zh-CN"/>
        </w:rPr>
        <w:t>267.92</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Fonts w:ascii="仿宋" w:eastAsia="仿宋" w:hint="eastAsia"/>
          <w:b/>
          <w:color w:val="000000"/>
          <w:sz w:val="32"/>
          <w:szCs w:val="32"/>
        </w:rPr>
      </w:pPr>
      <w:r>
        <w:rPr>
          <w:rStyle w:val="22"/>
          <w:rFonts w:ascii="仿宋" w:eastAsia="仿宋" w:hint="eastAsia"/>
          <w:bCs/>
          <w:color w:val="000000"/>
          <w:sz w:val="32"/>
          <w:szCs w:val="32"/>
          <w:lang w:val="en-US" w:eastAsia="zh-CN"/>
        </w:rPr>
        <w:t>2</w:t>
      </w:r>
      <w:r>
        <w:rPr>
          <w:rStyle w:val="22"/>
          <w:rFonts w:ascii="仿宋" w:eastAsia="仿宋" w:hint="eastAsia"/>
          <w:bCs/>
          <w:color w:val="000000"/>
          <w:sz w:val="32"/>
          <w:szCs w:val="32"/>
        </w:rPr>
        <w:t>.社会保障和就业（类）</w:t>
      </w:r>
      <w:r>
        <w:rPr>
          <w:rStyle w:val="22"/>
          <w:rFonts w:ascii="仿宋" w:eastAsia="仿宋" w:hint="eastAsia"/>
          <w:bCs/>
          <w:color w:val="000000"/>
          <w:sz w:val="32"/>
          <w:szCs w:val="32"/>
          <w:lang w:val="en-US" w:eastAsia="zh-CN"/>
        </w:rPr>
        <w:t>行政事业单位养老支出</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机关事业单位基本职业年金缴费支出</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133.96</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2"/>
          <w:rFonts w:ascii="仿宋" w:eastAsia="仿宋" w:hint="eastAsia"/>
          <w:bCs/>
          <w:color w:val="000000"/>
          <w:sz w:val="32"/>
          <w:szCs w:val="32"/>
          <w:lang w:val="en-US" w:eastAsia="zh-CN"/>
        </w:rPr>
        <w:t>3.</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公立医院</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综合医院</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2394.07</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2"/>
          <w:rFonts w:ascii="仿宋" w:eastAsia="仿宋" w:hint="eastAsia"/>
          <w:bCs/>
          <w:color w:val="000000"/>
          <w:sz w:val="32"/>
          <w:szCs w:val="32"/>
          <w:lang w:val="en-US" w:eastAsia="zh-CN"/>
        </w:rPr>
        <w:t>4.</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公立医院</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其他公立医院支出</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280.62</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lang w:eastAsia="zh-CN"/>
        </w:rPr>
      </w:pPr>
      <w:r>
        <w:rPr>
          <w:rStyle w:val="22"/>
          <w:rFonts w:ascii="仿宋" w:eastAsia="仿宋" w:hint="eastAsia"/>
          <w:bCs/>
          <w:color w:val="000000"/>
          <w:sz w:val="32"/>
          <w:szCs w:val="32"/>
          <w:lang w:val="en-US" w:eastAsia="zh-CN"/>
        </w:rPr>
        <w:t>5.</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公共卫生</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基本公共卫生服务</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1.22</w:t>
      </w:r>
      <w:r>
        <w:rPr>
          <w:rStyle w:val="22"/>
          <w:rFonts w:ascii="仿宋" w:eastAsia="仿宋" w:hint="eastAsia"/>
          <w:b w:val="0"/>
          <w:bCs/>
          <w:color w:val="000000"/>
          <w:sz w:val="32"/>
          <w:szCs w:val="32"/>
        </w:rPr>
        <w:t>万元</w:t>
      </w:r>
      <w:r>
        <w:rPr>
          <w:rStyle w:val="22"/>
          <w:rFonts w:ascii="仿宋" w:eastAsia="仿宋" w:hint="eastAsia"/>
          <w:b w:val="0"/>
          <w:bCs/>
          <w:color w:val="000000"/>
          <w:sz w:val="32"/>
          <w:szCs w:val="32"/>
          <w:lang w:eastAsia="zh-CN"/>
        </w:rPr>
        <w:t>。</w:t>
      </w:r>
    </w:p>
    <w:p>
      <w:pPr>
        <w:spacing w:line="560" w:lineRule="exact"/>
        <w:ind w:firstLineChars="200" w:firstLine="640"/>
        <w:rPr>
          <w:rStyle w:val="22"/>
          <w:rFonts w:ascii="仿宋" w:eastAsia="仿宋" w:hint="eastAsia"/>
          <w:bCs/>
          <w:color w:val="000000"/>
          <w:sz w:val="32"/>
          <w:szCs w:val="32"/>
          <w:lang w:val="en-US" w:eastAsia="zh-CN"/>
        </w:rPr>
      </w:pPr>
      <w:r>
        <w:rPr>
          <w:rStyle w:val="22"/>
          <w:rFonts w:ascii="仿宋" w:eastAsia="仿宋" w:hint="eastAsia"/>
          <w:bCs/>
          <w:color w:val="000000"/>
          <w:sz w:val="32"/>
          <w:szCs w:val="32"/>
          <w:lang w:val="en-US" w:eastAsia="zh-CN"/>
        </w:rPr>
        <w:t>6.</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公共卫生</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突发公共卫生事件应急处理</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2</w:t>
      </w:r>
      <w:r>
        <w:rPr>
          <w:rStyle w:val="22"/>
          <w:rFonts w:ascii="仿宋" w:eastAsia="仿宋" w:hint="eastAsia"/>
          <w:b w:val="0"/>
          <w:bCs/>
          <w:color w:val="000000"/>
          <w:sz w:val="32"/>
          <w:szCs w:val="32"/>
        </w:rPr>
        <w:t>万元</w:t>
      </w:r>
      <w:r>
        <w:rPr>
          <w:rStyle w:val="22"/>
          <w:rFonts w:ascii="仿宋" w:eastAsia="仿宋" w:hint="eastAsia"/>
          <w:b w:val="0"/>
          <w:bCs/>
          <w:color w:val="000000"/>
          <w:sz w:val="32"/>
          <w:szCs w:val="32"/>
          <w:lang w:eastAsia="zh-CN"/>
        </w:rPr>
        <w:t>。</w:t>
      </w:r>
    </w:p>
    <w:p>
      <w:pPr>
        <w:spacing w:line="560" w:lineRule="exact"/>
        <w:ind w:firstLineChars="200" w:firstLine="640"/>
        <w:rPr>
          <w:rFonts w:ascii="仿宋" w:eastAsia="仿宋" w:hint="eastAsia"/>
          <w:color w:val="000000"/>
          <w:sz w:val="32"/>
          <w:szCs w:val="32"/>
        </w:rPr>
      </w:pPr>
      <w:r>
        <w:rPr>
          <w:rStyle w:val="22"/>
          <w:rFonts w:ascii="仿宋" w:eastAsia="仿宋" w:hint="eastAsia"/>
          <w:bCs/>
          <w:color w:val="000000"/>
          <w:sz w:val="32"/>
          <w:szCs w:val="32"/>
          <w:lang w:val="en-US" w:eastAsia="zh-CN"/>
        </w:rPr>
        <w:t>7.</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行政事业单位医疗</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事业单位医疗</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117.72</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Fonts w:ascii="仿宋" w:eastAsia="仿宋" w:hint="eastAsia"/>
          <w:color w:val="000000"/>
          <w:sz w:val="32"/>
          <w:szCs w:val="32"/>
        </w:rPr>
      </w:pPr>
      <w:r>
        <w:rPr>
          <w:rStyle w:val="22"/>
          <w:rFonts w:ascii="仿宋" w:eastAsia="仿宋" w:hint="eastAsia"/>
          <w:bCs/>
          <w:color w:val="000000"/>
          <w:sz w:val="32"/>
          <w:szCs w:val="32"/>
          <w:lang w:val="en-US" w:eastAsia="zh-CN"/>
        </w:rPr>
        <w:t>8.</w:t>
      </w:r>
      <w:r>
        <w:rPr>
          <w:rStyle w:val="22"/>
          <w:rFonts w:ascii="仿宋" w:eastAsia="仿宋" w:hint="eastAsia"/>
          <w:bCs/>
          <w:color w:val="000000"/>
          <w:sz w:val="32"/>
          <w:szCs w:val="32"/>
          <w:lang w:eastAsia="zh-CN"/>
        </w:rPr>
        <w:t>卫生健康支出</w:t>
      </w:r>
      <w:r>
        <w:rPr>
          <w:rStyle w:val="22"/>
          <w:rFonts w:ascii="仿宋" w:eastAsia="仿宋" w:hint="eastAsia"/>
          <w:bCs/>
          <w:color w:val="000000"/>
          <w:sz w:val="32"/>
          <w:szCs w:val="32"/>
        </w:rPr>
        <w:t>（类）</w:t>
      </w:r>
      <w:r>
        <w:rPr>
          <w:rStyle w:val="22"/>
          <w:rFonts w:ascii="仿宋" w:eastAsia="仿宋" w:hint="eastAsia"/>
          <w:bCs/>
          <w:color w:val="000000"/>
          <w:sz w:val="32"/>
          <w:szCs w:val="32"/>
          <w:lang w:val="en-US" w:eastAsia="zh-CN"/>
        </w:rPr>
        <w:t>行政事业单位医疗</w:t>
      </w:r>
      <w:r>
        <w:rPr>
          <w:rStyle w:val="22"/>
          <w:rFonts w:ascii="仿宋" w:eastAsia="仿宋" w:hint="eastAsia"/>
          <w:bCs/>
          <w:color w:val="000000"/>
          <w:sz w:val="32"/>
          <w:szCs w:val="32"/>
        </w:rPr>
        <w:t>（款）</w:t>
      </w:r>
      <w:r>
        <w:rPr>
          <w:rStyle w:val="22"/>
          <w:rFonts w:ascii="仿宋" w:eastAsia="仿宋" w:hint="eastAsia"/>
          <w:bCs/>
          <w:color w:val="000000"/>
          <w:sz w:val="32"/>
          <w:szCs w:val="32"/>
          <w:lang w:val="en-US" w:eastAsia="zh-CN"/>
        </w:rPr>
        <w:t>其他行政事业单位医疗支出</w:t>
      </w:r>
      <w:r>
        <w:rPr>
          <w:rStyle w:val="22"/>
          <w:rFonts w:ascii="仿宋" w:eastAsia="仿宋" w:hint="eastAsia"/>
          <w:bCs/>
          <w:color w:val="000000"/>
          <w:sz w:val="32"/>
          <w:szCs w:val="32"/>
        </w:rPr>
        <w:t>（项）: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43.40</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560" w:lineRule="exact"/>
        <w:ind w:firstLineChars="200" w:firstLine="640"/>
        <w:rPr>
          <w:rStyle w:val="22"/>
          <w:rFonts w:ascii="仿宋" w:eastAsia="仿宋" w:hint="eastAsia"/>
          <w:b w:val="0"/>
          <w:bCs/>
          <w:color w:val="000000"/>
          <w:sz w:val="32"/>
          <w:szCs w:val="32"/>
        </w:rPr>
      </w:pPr>
      <w:r>
        <w:rPr>
          <w:rStyle w:val="22"/>
          <w:rFonts w:ascii="仿宋" w:eastAsia="仿宋" w:hint="eastAsia"/>
          <w:bCs/>
          <w:color w:val="000000"/>
          <w:sz w:val="32"/>
          <w:szCs w:val="32"/>
          <w:lang w:val="en-US" w:eastAsia="zh-CN"/>
        </w:rPr>
        <w:t>9.住房保障（类）住房改革支出（款）住房公积金（项）：</w:t>
      </w:r>
      <w:r>
        <w:rPr>
          <w:rStyle w:val="22"/>
          <w:rFonts w:ascii="仿宋" w:eastAsia="仿宋" w:hint="eastAsia"/>
          <w:b w:val="0"/>
          <w:bCs/>
          <w:color w:val="000000"/>
          <w:sz w:val="32"/>
          <w:szCs w:val="32"/>
        </w:rPr>
        <w:t>支出决算为</w:t>
      </w:r>
      <w:r>
        <w:rPr>
          <w:rStyle w:val="22"/>
          <w:rFonts w:ascii="仿宋" w:eastAsia="仿宋" w:hint="eastAsia"/>
          <w:b w:val="0"/>
          <w:bCs/>
          <w:color w:val="000000"/>
          <w:sz w:val="32"/>
          <w:szCs w:val="32"/>
          <w:lang w:val="en-US" w:eastAsia="zh-CN"/>
        </w:rPr>
        <w:t>223.74</w:t>
      </w:r>
      <w:r>
        <w:rPr>
          <w:rStyle w:val="22"/>
          <w:rFonts w:ascii="仿宋" w:eastAsia="仿宋" w:hint="eastAsia"/>
          <w:b w:val="0"/>
          <w:bCs/>
          <w:color w:val="000000"/>
          <w:sz w:val="32"/>
          <w:szCs w:val="32"/>
        </w:rPr>
        <w:t>万元，完成预算</w:t>
      </w:r>
      <w:r>
        <w:rPr>
          <w:rStyle w:val="22"/>
          <w:rFonts w:ascii="仿宋" w:eastAsia="仿宋" w:hint="eastAsia"/>
          <w:b w:val="0"/>
          <w:bCs/>
          <w:color w:val="000000"/>
          <w:sz w:val="32"/>
          <w:szCs w:val="32"/>
          <w:lang w:val="en-US" w:eastAsia="zh-CN"/>
        </w:rPr>
        <w:t>100</w:t>
      </w:r>
      <w:r>
        <w:rPr>
          <w:rStyle w:val="22"/>
          <w:rFonts w:ascii="仿宋" w:eastAsia="仿宋" w:hint="eastAsia"/>
          <w:b w:val="0"/>
          <w:bCs/>
          <w:color w:val="000000"/>
          <w:sz w:val="32"/>
          <w:szCs w:val="32"/>
        </w:rPr>
        <w:t>%。</w:t>
      </w:r>
    </w:p>
    <w:p>
      <w:pPr>
        <w:spacing w:line="600" w:lineRule="exact"/>
        <w:ind w:firstLine="640"/>
        <w:outlineLvl w:val="1"/>
        <w:rPr>
          <w:rStyle w:val="2Char"/>
        </w:rPr>
      </w:pPr>
      <w:bookmarkStart w:id="42" w:name="_Toc32633"/>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40"/>
      <w:bookmarkEnd w:id="41"/>
      <w:bookmarkEnd w:id="42"/>
      <w:r>
        <w:rPr>
          <w:rStyle w:val="2Char"/>
          <w:rFonts w:ascii="黑体" w:eastAsia="黑体"/>
          <w:b w:val="0"/>
        </w:rPr>
        <w:tab/>
      </w:r>
    </w:p>
    <w:p>
      <w:pPr>
        <w:spacing w:line="600" w:lineRule="exact"/>
        <w:ind w:firstLine="645"/>
        <w:rPr>
          <w:rFonts w:ascii="仿宋" w:eastAsia="仿宋"/>
          <w:color w:val="000000"/>
          <w:sz w:val="32"/>
          <w:szCs w:val="32"/>
        </w:rPr>
      </w:pPr>
      <w:r>
        <w:rPr>
          <w:rFonts w:ascii="仿宋" w:eastAsia="仿宋"/>
          <w:color w:val="000000"/>
          <w:sz w:val="32"/>
          <w:szCs w:val="32"/>
        </w:rPr>
        <w:t>202</w:t>
      </w:r>
      <w:r>
        <w:rPr>
          <w:rFonts w:ascii="仿宋" w:eastAsia="仿宋" w:hint="eastAsia"/>
          <w:color w:val="000000"/>
          <w:sz w:val="32"/>
          <w:szCs w:val="32"/>
          <w:lang w:val="en-US" w:eastAsia="zh-CN"/>
        </w:rPr>
        <w:t>2</w:t>
      </w:r>
      <w:r>
        <w:rPr>
          <w:rFonts w:ascii="仿宋" w:eastAsia="仿宋" w:hint="eastAsia"/>
          <w:color w:val="000000"/>
          <w:sz w:val="32"/>
          <w:szCs w:val="32"/>
        </w:rPr>
        <w:t>年一般公共预算财政拨款基本支出</w:t>
      </w:r>
      <w:r>
        <w:rPr>
          <w:rFonts w:ascii="仿宋" w:eastAsia="仿宋" w:hint="eastAsia"/>
          <w:color w:val="000000"/>
          <w:sz w:val="32"/>
          <w:szCs w:val="32"/>
          <w:lang w:val="en-US" w:eastAsia="zh-CN"/>
        </w:rPr>
        <w:t>3180.83</w:t>
      </w:r>
      <w:r>
        <w:rPr>
          <w:rFonts w:ascii="仿宋" w:eastAsia="仿宋" w:hint="eastAsia"/>
          <w:color w:val="000000"/>
          <w:sz w:val="32"/>
          <w:szCs w:val="32"/>
        </w:rPr>
        <w:t>万元，其中：</w:t>
      </w:r>
    </w:p>
    <w:p>
      <w:pPr>
        <w:spacing w:line="600" w:lineRule="exact"/>
        <w:ind w:firstLine="645"/>
        <w:rPr>
          <w:rFonts w:ascii="仿宋" w:eastAsia="仿宋" w:hint="eastAsia"/>
          <w:color w:val="000000"/>
          <w:sz w:val="32"/>
          <w:szCs w:val="32"/>
          <w:lang w:eastAsia="zh-CN"/>
        </w:rPr>
      </w:pPr>
      <w:r>
        <w:rPr>
          <w:rFonts w:ascii="仿宋" w:eastAsia="仿宋" w:hint="eastAsia"/>
          <w:color w:val="000000"/>
          <w:sz w:val="32"/>
          <w:szCs w:val="32"/>
        </w:rPr>
        <w:t>工资福利支出</w:t>
      </w:r>
      <w:r>
        <w:rPr>
          <w:rFonts w:ascii="仿宋" w:eastAsia="仿宋" w:hint="eastAsia"/>
          <w:color w:val="000000"/>
          <w:sz w:val="32"/>
          <w:szCs w:val="32"/>
          <w:lang w:val="en-US" w:eastAsia="zh-CN"/>
        </w:rPr>
        <w:t>2769.87</w:t>
      </w:r>
      <w:r>
        <w:rPr>
          <w:rFonts w:ascii="仿宋" w:eastAsia="仿宋" w:hint="eastAsia"/>
          <w:color w:val="000000"/>
          <w:sz w:val="32"/>
          <w:szCs w:val="32"/>
        </w:rPr>
        <w:t>万元，主要包括：基本工资</w:t>
      </w:r>
      <w:r>
        <w:rPr>
          <w:rFonts w:ascii="仿宋" w:eastAsia="仿宋" w:hint="eastAsia"/>
          <w:color w:val="000000"/>
          <w:sz w:val="32"/>
          <w:szCs w:val="32"/>
          <w:lang w:val="en-US" w:eastAsia="zh-CN"/>
        </w:rPr>
        <w:t>713.46</w:t>
      </w:r>
      <w:r>
        <w:rPr>
          <w:rFonts w:ascii="仿宋" w:eastAsia="仿宋" w:hint="eastAsia"/>
          <w:color w:val="000000"/>
          <w:sz w:val="32"/>
          <w:szCs w:val="32"/>
        </w:rPr>
        <w:t>万元、津贴补贴</w:t>
      </w:r>
      <w:r>
        <w:rPr>
          <w:rFonts w:ascii="仿宋" w:eastAsia="仿宋" w:hint="eastAsia"/>
          <w:color w:val="000000"/>
          <w:sz w:val="32"/>
          <w:szCs w:val="32"/>
          <w:lang w:val="en-US" w:eastAsia="zh-CN"/>
        </w:rPr>
        <w:t>265.53</w:t>
      </w:r>
      <w:r>
        <w:rPr>
          <w:rFonts w:ascii="仿宋" w:eastAsia="仿宋" w:hint="eastAsia"/>
          <w:color w:val="000000"/>
          <w:sz w:val="32"/>
          <w:szCs w:val="32"/>
        </w:rPr>
        <w:t>万元、奖金</w:t>
      </w:r>
      <w:r>
        <w:rPr>
          <w:rFonts w:ascii="仿宋" w:eastAsia="仿宋" w:hint="eastAsia"/>
          <w:color w:val="000000"/>
          <w:sz w:val="32"/>
          <w:szCs w:val="32"/>
          <w:lang w:val="en-US" w:eastAsia="zh-CN"/>
        </w:rPr>
        <w:t>448.04</w:t>
      </w:r>
      <w:r>
        <w:rPr>
          <w:rFonts w:ascii="仿宋" w:eastAsia="仿宋" w:hint="eastAsia"/>
          <w:color w:val="000000"/>
          <w:sz w:val="32"/>
          <w:szCs w:val="32"/>
        </w:rPr>
        <w:t>万元、绩效工资</w:t>
      </w:r>
      <w:r>
        <w:rPr>
          <w:rFonts w:ascii="仿宋" w:eastAsia="仿宋" w:hint="eastAsia"/>
          <w:color w:val="000000"/>
          <w:sz w:val="32"/>
          <w:szCs w:val="32"/>
          <w:lang w:val="en-US" w:eastAsia="zh-CN"/>
        </w:rPr>
        <w:t>508.66</w:t>
      </w:r>
      <w:r>
        <w:rPr>
          <w:rFonts w:ascii="仿宋" w:eastAsia="仿宋" w:hint="eastAsia"/>
          <w:color w:val="000000"/>
          <w:sz w:val="32"/>
          <w:szCs w:val="32"/>
        </w:rPr>
        <w:t>万元、机关事业单位基本养老保险缴费</w:t>
      </w:r>
      <w:r>
        <w:rPr>
          <w:rFonts w:ascii="仿宋" w:eastAsia="仿宋" w:hint="eastAsia"/>
          <w:color w:val="000000"/>
          <w:sz w:val="32"/>
          <w:szCs w:val="32"/>
          <w:lang w:val="en-US" w:eastAsia="zh-CN"/>
        </w:rPr>
        <w:t>267.92</w:t>
      </w:r>
      <w:r>
        <w:rPr>
          <w:rFonts w:ascii="仿宋" w:eastAsia="仿宋" w:hint="eastAsia"/>
          <w:color w:val="000000"/>
          <w:sz w:val="32"/>
          <w:szCs w:val="32"/>
        </w:rPr>
        <w:t>万元、职业年金缴费</w:t>
      </w:r>
      <w:r>
        <w:rPr>
          <w:rFonts w:ascii="仿宋" w:eastAsia="仿宋" w:hint="eastAsia"/>
          <w:color w:val="000000"/>
          <w:sz w:val="32"/>
          <w:szCs w:val="32"/>
          <w:lang w:val="en-US" w:eastAsia="zh-CN"/>
        </w:rPr>
        <w:t>133.96</w:t>
      </w:r>
      <w:r>
        <w:rPr>
          <w:rFonts w:ascii="仿宋" w:eastAsia="仿宋" w:hint="eastAsia"/>
          <w:color w:val="000000"/>
          <w:sz w:val="32"/>
          <w:szCs w:val="32"/>
        </w:rPr>
        <w:t>万元、职工基本医疗保险缴费</w:t>
      </w:r>
      <w:r>
        <w:rPr>
          <w:rFonts w:ascii="仿宋" w:eastAsia="仿宋" w:hint="eastAsia"/>
          <w:color w:val="000000"/>
          <w:sz w:val="32"/>
          <w:szCs w:val="32"/>
          <w:lang w:val="en-US" w:eastAsia="zh-CN"/>
        </w:rPr>
        <w:t>117.72</w:t>
      </w:r>
      <w:r>
        <w:rPr>
          <w:rFonts w:ascii="仿宋" w:eastAsia="仿宋" w:hint="eastAsia"/>
          <w:color w:val="000000"/>
          <w:sz w:val="32"/>
          <w:szCs w:val="32"/>
        </w:rPr>
        <w:t>万元、其他社会保障缴费</w:t>
      </w:r>
      <w:r>
        <w:rPr>
          <w:rFonts w:ascii="仿宋" w:eastAsia="仿宋" w:hint="eastAsia"/>
          <w:color w:val="000000"/>
          <w:sz w:val="32"/>
          <w:szCs w:val="32"/>
          <w:lang w:val="en-US" w:eastAsia="zh-CN"/>
        </w:rPr>
        <w:t>90.82</w:t>
      </w:r>
      <w:r>
        <w:rPr>
          <w:rFonts w:ascii="仿宋" w:eastAsia="仿宋" w:hint="eastAsia"/>
          <w:color w:val="000000"/>
          <w:sz w:val="32"/>
          <w:szCs w:val="32"/>
        </w:rPr>
        <w:t>万元、住房公积金</w:t>
      </w:r>
      <w:r>
        <w:rPr>
          <w:rFonts w:ascii="仿宋" w:eastAsia="仿宋" w:hint="eastAsia"/>
          <w:color w:val="000000"/>
          <w:sz w:val="32"/>
          <w:szCs w:val="32"/>
          <w:lang w:val="en-US" w:eastAsia="zh-CN"/>
        </w:rPr>
        <w:t>223.74</w:t>
      </w:r>
      <w:r>
        <w:rPr>
          <w:rFonts w:ascii="仿宋" w:eastAsia="仿宋" w:hint="eastAsia"/>
          <w:color w:val="000000"/>
          <w:sz w:val="32"/>
          <w:szCs w:val="32"/>
        </w:rPr>
        <w:t>万元</w:t>
      </w:r>
      <w:r>
        <w:rPr>
          <w:rFonts w:ascii="仿宋" w:eastAsia="仿宋" w:hint="eastAsia"/>
          <w:color w:val="000000"/>
          <w:sz w:val="32"/>
          <w:szCs w:val="32"/>
          <w:lang w:eastAsia="zh-CN"/>
        </w:rPr>
        <w:t>。</w:t>
      </w:r>
    </w:p>
    <w:p>
      <w:pPr>
        <w:spacing w:line="600" w:lineRule="exact"/>
        <w:ind w:firstLine="645"/>
        <w:rPr>
          <w:rFonts w:ascii="仿宋" w:eastAsia="仿宋"/>
          <w:color w:val="000000"/>
          <w:sz w:val="32"/>
          <w:szCs w:val="32"/>
          <w:lang w:val="en-US" w:eastAsia="zh-CN"/>
        </w:rPr>
      </w:pPr>
      <w:r>
        <w:rPr>
          <w:rFonts w:ascii="仿宋" w:eastAsia="仿宋" w:hint="eastAsia"/>
          <w:color w:val="000000"/>
          <w:sz w:val="32"/>
          <w:szCs w:val="32"/>
          <w:lang w:val="en-US" w:eastAsia="zh-CN"/>
        </w:rPr>
        <w:t>商品和服务支出为1.5万元，</w:t>
      </w:r>
      <w:r>
        <w:rPr>
          <w:rFonts w:ascii="仿宋" w:eastAsia="仿宋" w:hint="eastAsia"/>
          <w:color w:val="000000"/>
          <w:sz w:val="32"/>
          <w:szCs w:val="32"/>
        </w:rPr>
        <w:t>主要包括：公务用车运行维护费</w:t>
      </w:r>
      <w:r>
        <w:rPr>
          <w:rFonts w:ascii="仿宋" w:eastAsia="仿宋" w:hint="eastAsia"/>
          <w:color w:val="000000"/>
          <w:sz w:val="32"/>
          <w:szCs w:val="32"/>
          <w:lang w:val="en-US" w:eastAsia="zh-CN"/>
        </w:rPr>
        <w:t>1.5万元。</w:t>
      </w:r>
    </w:p>
    <w:p>
      <w:pPr>
        <w:spacing w:line="600" w:lineRule="exact"/>
        <w:ind w:firstLine="645"/>
        <w:rPr>
          <w:rFonts w:ascii="仿宋" w:eastAsia="仿宋"/>
          <w:color w:val="000000"/>
          <w:sz w:val="32"/>
          <w:szCs w:val="32"/>
        </w:rPr>
      </w:pPr>
      <w:r>
        <w:rPr>
          <w:rFonts w:ascii="仿宋" w:eastAsia="仿宋" w:hint="eastAsia"/>
          <w:color w:val="000000"/>
          <w:sz w:val="32"/>
          <w:szCs w:val="32"/>
        </w:rPr>
        <w:t>对个人和家庭的补助</w:t>
      </w:r>
      <w:r>
        <w:rPr>
          <w:rFonts w:ascii="仿宋" w:eastAsia="仿宋" w:hint="eastAsia"/>
          <w:color w:val="000000"/>
          <w:sz w:val="32"/>
          <w:szCs w:val="32"/>
          <w:lang w:val="en-US" w:eastAsia="zh-CN"/>
        </w:rPr>
        <w:t>409.45万元，</w:t>
      </w:r>
      <w:r>
        <w:rPr>
          <w:rFonts w:ascii="仿宋" w:eastAsia="仿宋" w:hint="eastAsia"/>
          <w:color w:val="000000"/>
          <w:sz w:val="32"/>
          <w:szCs w:val="32"/>
        </w:rPr>
        <w:t>主要包括：</w:t>
      </w:r>
      <w:r>
        <w:rPr>
          <w:rFonts w:ascii="仿宋" w:eastAsia="仿宋" w:hint="eastAsia"/>
          <w:color w:val="000000"/>
          <w:sz w:val="32"/>
          <w:szCs w:val="32"/>
          <w:lang w:val="en-US" w:eastAsia="zh-CN"/>
        </w:rPr>
        <w:t>抚恤金6.12万元，</w:t>
      </w:r>
      <w:r>
        <w:rPr>
          <w:rFonts w:ascii="仿宋" w:eastAsia="仿宋" w:hint="eastAsia"/>
          <w:color w:val="000000"/>
          <w:sz w:val="32"/>
          <w:szCs w:val="32"/>
        </w:rPr>
        <w:t>生活补助</w:t>
      </w:r>
      <w:r>
        <w:rPr>
          <w:rFonts w:ascii="仿宋" w:eastAsia="仿宋" w:hint="eastAsia"/>
          <w:color w:val="000000"/>
          <w:sz w:val="32"/>
          <w:szCs w:val="32"/>
          <w:lang w:val="en-US" w:eastAsia="zh-CN"/>
        </w:rPr>
        <w:t>78.07</w:t>
      </w:r>
      <w:r>
        <w:rPr>
          <w:rFonts w:ascii="仿宋" w:eastAsia="仿宋" w:hint="eastAsia"/>
          <w:color w:val="000000"/>
          <w:sz w:val="32"/>
          <w:szCs w:val="32"/>
        </w:rPr>
        <w:t>万元、奖励金</w:t>
      </w:r>
      <w:r>
        <w:rPr>
          <w:rFonts w:ascii="仿宋" w:eastAsia="仿宋" w:hint="eastAsia"/>
          <w:color w:val="000000"/>
          <w:sz w:val="32"/>
          <w:szCs w:val="32"/>
          <w:lang w:val="en-US" w:eastAsia="zh-CN"/>
        </w:rPr>
        <w:t>325.25</w:t>
      </w:r>
      <w:r>
        <w:rPr>
          <w:rFonts w:ascii="仿宋" w:eastAsia="仿宋" w:hint="eastAsia"/>
          <w:color w:val="000000"/>
          <w:sz w:val="32"/>
          <w:szCs w:val="32"/>
        </w:rPr>
        <w:t>万元。</w:t>
      </w:r>
    </w:p>
    <w:p>
      <w:pPr>
        <w:spacing w:line="600" w:lineRule="exact"/>
        <w:ind w:firstLineChars="200" w:firstLine="640"/>
        <w:outlineLvl w:val="1"/>
        <w:rPr>
          <w:rStyle w:val="2Char"/>
          <w:rFonts w:ascii="黑体" w:eastAsia="黑体"/>
          <w:b w:val="0"/>
        </w:rPr>
      </w:pPr>
      <w:bookmarkStart w:id="43" w:name="_Toc12872"/>
      <w:bookmarkStart w:id="44" w:name="_Toc15396609"/>
      <w:bookmarkStart w:id="45" w:name="_Toc15377215"/>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43"/>
      <w:bookmarkEnd w:id="44"/>
      <w:bookmarkEnd w:id="45"/>
    </w:p>
    <w:p>
      <w:pPr>
        <w:spacing w:line="600" w:lineRule="exact"/>
        <w:ind w:firstLine="640"/>
        <w:outlineLvl w:val="2"/>
        <w:rPr>
          <w:rFonts w:ascii="仿宋" w:eastAsia="仿宋"/>
          <w:b/>
          <w:color w:val="000000"/>
          <w:sz w:val="32"/>
          <w:szCs w:val="32"/>
        </w:rPr>
      </w:pPr>
      <w:bookmarkStart w:id="46" w:name="_Toc15377216"/>
      <w:r>
        <w:rPr>
          <w:rFonts w:ascii="仿宋" w:eastAsia="仿宋" w:hint="eastAsia"/>
          <w:b/>
          <w:color w:val="000000"/>
          <w:sz w:val="32"/>
          <w:szCs w:val="32"/>
        </w:rPr>
        <w:t>（一）“三公”经费财政拨款支出决算总体情况说明</w:t>
      </w:r>
      <w:bookmarkEnd w:id="46"/>
    </w:p>
    <w:p>
      <w:pPr>
        <w:spacing w:line="600" w:lineRule="exact"/>
        <w:ind w:firstLine="640"/>
        <w:rPr>
          <w:rFonts w:ascii="仿宋" w:eastAsia="仿宋"/>
          <w:color w:val="000000"/>
          <w:sz w:val="32"/>
          <w:szCs w:val="32"/>
          <w:lang w:val="en-US" w:eastAsia="zh-CN"/>
        </w:rPr>
      </w:pPr>
      <w:r>
        <w:rPr>
          <w:rFonts w:ascii="仿宋" w:eastAsia="仿宋"/>
          <w:color w:val="000000"/>
          <w:sz w:val="32"/>
          <w:szCs w:val="32"/>
        </w:rPr>
        <w:t>202</w:t>
      </w:r>
      <w:r>
        <w:rPr>
          <w:rFonts w:ascii="仿宋" w:eastAsia="仿宋" w:hint="eastAsia"/>
          <w:color w:val="000000"/>
          <w:sz w:val="32"/>
          <w:szCs w:val="32"/>
          <w:lang w:val="en-US" w:eastAsia="zh-CN"/>
        </w:rPr>
        <w:t>2</w:t>
      </w:r>
      <w:r>
        <w:rPr>
          <w:rFonts w:ascii="仿宋" w:eastAsia="仿宋" w:hint="eastAsia"/>
          <w:color w:val="000000"/>
          <w:sz w:val="32"/>
          <w:szCs w:val="32"/>
        </w:rPr>
        <w:t>年“三公”经费财政拨款支出决算为</w:t>
      </w:r>
      <w:r>
        <w:rPr>
          <w:rFonts w:ascii="仿宋" w:eastAsia="仿宋" w:hint="eastAsia"/>
          <w:color w:val="000000"/>
          <w:sz w:val="32"/>
          <w:szCs w:val="32"/>
          <w:lang w:val="en-US" w:eastAsia="zh-CN"/>
        </w:rPr>
        <w:t>1.5</w:t>
      </w:r>
      <w:r>
        <w:rPr>
          <w:rFonts w:ascii="仿宋" w:eastAsia="仿宋" w:hint="eastAsia"/>
          <w:color w:val="000000"/>
          <w:sz w:val="32"/>
          <w:szCs w:val="32"/>
        </w:rPr>
        <w:t>万元，较</w:t>
      </w:r>
      <w:r>
        <w:rPr>
          <w:rFonts w:ascii="仿宋" w:eastAsia="仿宋" w:hint="eastAsia"/>
          <w:color w:val="000000"/>
          <w:sz w:val="32"/>
          <w:szCs w:val="32"/>
          <w:lang w:val="en-US" w:eastAsia="zh-CN"/>
        </w:rPr>
        <w:t>上年无</w:t>
      </w:r>
      <w:r>
        <w:rPr>
          <w:rFonts w:ascii="仿宋" w:eastAsia="仿宋" w:hint="eastAsia"/>
          <w:color w:val="000000"/>
          <w:sz w:val="32"/>
          <w:szCs w:val="32"/>
          <w:lang w:eastAsia="zh-CN"/>
        </w:rPr>
        <w:t>变化。</w:t>
      </w:r>
      <w:r>
        <w:rPr>
          <w:rFonts w:ascii="仿宋" w:eastAsia="仿宋" w:hint="eastAsia"/>
          <w:color w:val="000000"/>
          <w:sz w:val="32"/>
          <w:szCs w:val="32"/>
          <w:lang w:val="en-US" w:eastAsia="zh-CN"/>
        </w:rPr>
        <w:t>2022年“三公”经费预算0万元，较上年无变化。</w:t>
      </w:r>
    </w:p>
    <w:p>
      <w:pPr>
        <w:spacing w:line="600" w:lineRule="exact"/>
        <w:ind w:firstLine="640"/>
        <w:outlineLvl w:val="2"/>
        <w:rPr>
          <w:rFonts w:ascii="仿宋" w:eastAsia="仿宋"/>
          <w:b/>
          <w:color w:val="000000"/>
          <w:sz w:val="32"/>
          <w:szCs w:val="32"/>
        </w:rPr>
      </w:pPr>
      <w:bookmarkStart w:id="47" w:name="_Toc15377217"/>
      <w:r>
        <w:rPr>
          <w:rFonts w:ascii="仿宋" w:eastAsia="仿宋" w:hint="eastAsia"/>
          <w:b/>
          <w:color w:val="000000"/>
          <w:sz w:val="32"/>
          <w:szCs w:val="32"/>
        </w:rPr>
        <w:t>（二）“三公”经费财政拨款支出决算具体情况说明</w:t>
      </w:r>
      <w:bookmarkEnd w:id="47"/>
    </w:p>
    <w:p>
      <w:pPr>
        <w:spacing w:line="600" w:lineRule="exact"/>
        <w:ind w:firstLine="640"/>
        <w:rPr>
          <w:rFonts w:ascii="仿宋" w:eastAsia="仿宋" w:cs="仿宋" w:hint="eastAsia"/>
          <w:color w:val="000000"/>
          <w:sz w:val="32"/>
          <w:szCs w:val="32"/>
        </w:rPr>
      </w:pPr>
      <w:r>
        <w:rPr>
          <w:rFonts w:ascii="仿宋" w:eastAsia="仿宋" w:cs="仿宋" w:hint="eastAsia"/>
          <w:color w:val="000000"/>
          <w:sz w:val="32"/>
          <w:szCs w:val="32"/>
        </w:rPr>
        <w:t>202</w:t>
      </w:r>
      <w:r>
        <w:rPr>
          <w:rFonts w:ascii="仿宋" w:eastAsia="仿宋" w:cs="仿宋" w:hint="eastAsia"/>
          <w:color w:val="000000"/>
          <w:sz w:val="32"/>
          <w:szCs w:val="32"/>
          <w:lang w:val="en-US" w:eastAsia="zh-CN"/>
        </w:rPr>
        <w:t>2</w:t>
      </w:r>
      <w:r>
        <w:rPr>
          <w:rFonts w:ascii="仿宋" w:eastAsia="仿宋" w:cs="仿宋" w:hint="eastAsia"/>
          <w:color w:val="000000"/>
          <w:sz w:val="32"/>
          <w:szCs w:val="32"/>
        </w:rPr>
        <w:t>年“三公”经费财政拨款支出</w:t>
      </w:r>
      <w:r>
        <w:rPr>
          <w:rFonts w:ascii="仿宋" w:eastAsia="仿宋" w:cs="仿宋" w:hint="eastAsia"/>
          <w:sz w:val="32"/>
          <w:szCs w:val="32"/>
        </w:rPr>
        <w:t>决算</w:t>
      </w:r>
      <w:r>
        <w:rPr>
          <w:rFonts w:ascii="仿宋" w:eastAsia="仿宋" w:cs="仿宋" w:hint="eastAsia"/>
          <w:sz w:val="32"/>
          <w:szCs w:val="32"/>
          <w:lang w:val="en-US" w:eastAsia="zh-CN"/>
        </w:rPr>
        <w:t>1.5</w:t>
      </w:r>
      <w:r>
        <w:rPr>
          <w:rFonts w:ascii="仿宋" w:eastAsia="仿宋" w:cs="仿宋" w:hint="eastAsia"/>
          <w:sz w:val="32"/>
          <w:szCs w:val="32"/>
        </w:rPr>
        <w:t>万元</w:t>
      </w:r>
      <w:r>
        <w:rPr>
          <w:rFonts w:ascii="仿宋" w:eastAsia="仿宋" w:cs="仿宋" w:hint="eastAsia"/>
          <w:color w:val="000000"/>
          <w:sz w:val="32"/>
          <w:szCs w:val="32"/>
        </w:rPr>
        <w:t>，其中：因公出国（境）费支出决算0万元，占0%；公务用车购置及运行维护费支出决算</w:t>
      </w:r>
      <w:r>
        <w:rPr>
          <w:rFonts w:ascii="仿宋" w:eastAsia="仿宋" w:cs="仿宋" w:hint="eastAsia"/>
          <w:color w:val="000000"/>
          <w:sz w:val="32"/>
          <w:szCs w:val="32"/>
          <w:lang w:val="en-US" w:eastAsia="zh-CN"/>
        </w:rPr>
        <w:t>1.5</w:t>
      </w:r>
      <w:r>
        <w:rPr>
          <w:rFonts w:ascii="仿宋" w:eastAsia="仿宋" w:cs="仿宋" w:hint="eastAsia"/>
          <w:color w:val="000000"/>
          <w:sz w:val="32"/>
          <w:szCs w:val="32"/>
        </w:rPr>
        <w:t>万元，占</w:t>
      </w:r>
      <w:r>
        <w:rPr>
          <w:rFonts w:ascii="仿宋" w:eastAsia="仿宋" w:cs="仿宋" w:hint="eastAsia"/>
          <w:color w:val="000000"/>
          <w:sz w:val="32"/>
          <w:szCs w:val="32"/>
          <w:lang w:val="en-US" w:eastAsia="zh-CN"/>
        </w:rPr>
        <w:t>100</w:t>
      </w:r>
      <w:r>
        <w:rPr>
          <w:rFonts w:ascii="仿宋" w:eastAsia="仿宋" w:cs="仿宋" w:hint="eastAsia"/>
          <w:color w:val="000000"/>
          <w:sz w:val="32"/>
          <w:szCs w:val="32"/>
        </w:rPr>
        <w:t>%；公务接待费支出决算0万元，占</w:t>
      </w:r>
      <w:r>
        <w:rPr>
          <w:rFonts w:ascii="仿宋" w:eastAsia="仿宋" w:cs="仿宋" w:hint="eastAsia"/>
          <w:color w:val="000000"/>
          <w:sz w:val="32"/>
          <w:szCs w:val="32"/>
          <w:lang w:val="en-US" w:eastAsia="zh-CN"/>
        </w:rPr>
        <w:t>0</w:t>
      </w:r>
      <w:r>
        <w:rPr>
          <w:rFonts w:ascii="仿宋" w:eastAsia="仿宋" w:cs="仿宋" w:hint="eastAsia"/>
          <w:color w:val="000000"/>
          <w:sz w:val="32"/>
          <w:szCs w:val="32"/>
        </w:rPr>
        <w:t>%。具体情况如下：</w:t>
      </w:r>
    </w:p>
    <w:p>
      <w:pPr>
        <w:spacing w:line="600" w:lineRule="exact"/>
        <w:ind w:firstLine="640"/>
        <w:rPr>
          <w:rFonts w:ascii="仿宋" w:eastAsia="仿宋" w:cs="仿宋" w:hint="eastAsia"/>
          <w:b/>
          <w:sz w:val="32"/>
          <w:szCs w:val="32"/>
        </w:rPr>
      </w:pPr>
      <w:r>
        <w:rPr>
          <w:rFonts w:ascii="仿宋" w:eastAsia="仿宋" w:cs="仿宋" w:hint="eastAsia"/>
          <w:b w:val="0"/>
          <w:bCs/>
          <w:color w:val="000000"/>
          <w:sz w:val="32"/>
          <w:szCs w:val="32"/>
        </w:rPr>
        <w:t>公务</w:t>
      </w:r>
      <w:r>
        <w:rPr>
          <w:rFonts w:ascii="仿宋" w:eastAsia="仿宋" w:cs="仿宋" w:hint="eastAsia"/>
          <w:b w:val="0"/>
          <w:bCs/>
          <w:sz w:val="32"/>
          <w:szCs w:val="32"/>
        </w:rPr>
        <w:t>用车</w:t>
      </w:r>
      <w:r>
        <w:rPr>
          <w:rFonts w:ascii="仿宋" w:eastAsia="仿宋" w:cs="仿宋" w:hint="eastAsia"/>
          <w:b w:val="0"/>
          <w:bCs/>
          <w:color w:val="000000"/>
          <w:sz w:val="32"/>
          <w:szCs w:val="32"/>
        </w:rPr>
        <w:t>购置及运行维护费支出</w:t>
      </w:r>
      <w:r>
        <w:rPr>
          <w:rFonts w:ascii="仿宋" w:eastAsia="仿宋" w:cs="仿宋" w:hint="eastAsia"/>
          <w:color w:val="000000"/>
          <w:sz w:val="32"/>
          <w:szCs w:val="32"/>
          <w:lang w:val="en-US" w:eastAsia="zh-CN"/>
        </w:rPr>
        <w:t>1.5</w:t>
      </w:r>
      <w:r>
        <w:rPr>
          <w:rFonts w:ascii="仿宋" w:eastAsia="仿宋" w:cs="仿宋" w:hint="eastAsia"/>
          <w:color w:val="000000"/>
          <w:sz w:val="32"/>
          <w:szCs w:val="32"/>
        </w:rPr>
        <w:t>万元，主要用我单位</w:t>
      </w:r>
      <w:r>
        <w:rPr>
          <w:rFonts w:ascii="仿宋" w:eastAsia="仿宋" w:cs="仿宋" w:hint="eastAsia"/>
          <w:color w:val="000000"/>
          <w:sz w:val="32"/>
          <w:szCs w:val="32"/>
          <w:lang w:eastAsia="zh-CN"/>
        </w:rPr>
        <w:t>购置公务用车及</w:t>
      </w:r>
      <w:r>
        <w:rPr>
          <w:rFonts w:ascii="仿宋" w:eastAsia="仿宋" w:cs="仿宋" w:hint="eastAsia"/>
          <w:color w:val="000000"/>
          <w:sz w:val="32"/>
          <w:szCs w:val="32"/>
        </w:rPr>
        <w:t>所需的</w:t>
      </w:r>
      <w:r>
        <w:rPr>
          <w:rFonts w:ascii="仿宋" w:eastAsia="仿宋" w:cs="仿宋" w:hint="eastAsia"/>
          <w:color w:val="000000"/>
          <w:sz w:val="32"/>
          <w:szCs w:val="32"/>
          <w:lang w:val="en-US" w:eastAsia="zh-CN"/>
        </w:rPr>
        <w:t>特种用车</w:t>
      </w:r>
      <w:r>
        <w:rPr>
          <w:rFonts w:ascii="仿宋" w:eastAsia="仿宋" w:cs="仿宋" w:hint="eastAsia"/>
          <w:color w:val="000000"/>
          <w:sz w:val="32"/>
          <w:szCs w:val="32"/>
        </w:rPr>
        <w:t>用车燃料费、维修费、过路过桥费、保险费等支出。</w:t>
      </w:r>
    </w:p>
    <w:p>
      <w:pPr>
        <w:spacing w:line="600" w:lineRule="exact"/>
        <w:ind w:firstLine="640"/>
        <w:outlineLvl w:val="1"/>
        <w:rPr>
          <w:rStyle w:val="2Char"/>
          <w:rFonts w:ascii="黑体" w:eastAsia="黑体"/>
        </w:rPr>
      </w:pPr>
      <w:bookmarkStart w:id="48" w:name="_Toc15396610"/>
      <w:bookmarkStart w:id="49" w:name="_Toc25203"/>
      <w:bookmarkStart w:id="50" w:name="_Toc15377218"/>
      <w:r>
        <w:rPr>
          <w:rFonts w:ascii="黑体" w:eastAsia="黑体" w:hint="eastAsia"/>
          <w:color w:val="000000"/>
          <w:sz w:val="32"/>
          <w:szCs w:val="32"/>
        </w:rPr>
        <w:t>八、</w:t>
      </w:r>
      <w:r>
        <w:rPr>
          <w:rStyle w:val="2Char"/>
          <w:rFonts w:ascii="黑体" w:eastAsia="黑体" w:hint="eastAsia"/>
          <w:b w:val="0"/>
        </w:rPr>
        <w:t>政府性基金预算支出决算情况说明</w:t>
      </w:r>
      <w:bookmarkEnd w:id="48"/>
      <w:bookmarkEnd w:id="49"/>
      <w:bookmarkEnd w:id="50"/>
    </w:p>
    <w:p>
      <w:pPr>
        <w:spacing w:line="600" w:lineRule="exact"/>
        <w:ind w:firstLine="640"/>
        <w:rPr>
          <w:rFonts w:ascii="??_GB2312" w:eastAsia="Times New Roman" w:hAnsi="??_GB2312"/>
          <w:color w:val="000000"/>
          <w:sz w:val="32"/>
          <w:szCs w:val="32"/>
        </w:rPr>
      </w:pPr>
      <w:r>
        <w:rPr>
          <w:rFonts w:ascii="??_GB2312" w:eastAsia="Times New Roman" w:hAnsi="??_GB2312"/>
          <w:color w:val="000000"/>
          <w:sz w:val="32"/>
          <w:szCs w:val="32"/>
        </w:rPr>
        <w:t>20</w:t>
      </w:r>
      <w:r>
        <w:rPr>
          <w:rFonts w:ascii="??_GB2312" w:hAnsi="??_GB2312"/>
          <w:color w:val="000000"/>
          <w:sz w:val="32"/>
          <w:szCs w:val="32"/>
        </w:rPr>
        <w:t>2</w:t>
      </w:r>
      <w:r>
        <w:rPr>
          <w:rFonts w:ascii="??_GB2312" w:hAnsi="??_GB2312" w:hint="eastAsia"/>
          <w:color w:val="000000"/>
          <w:sz w:val="32"/>
          <w:szCs w:val="32"/>
          <w:lang w:val="en-US" w:eastAsia="zh-CN"/>
        </w:rPr>
        <w:t>2</w:t>
      </w:r>
      <w:r>
        <w:rPr>
          <w:rFonts w:ascii="??_GB2312" w:eastAsia="Times New Roman" w:hAnsi="??_GB2312"/>
          <w:color w:val="000000"/>
          <w:sz w:val="32"/>
          <w:szCs w:val="32"/>
        </w:rPr>
        <w:t>年政府性基金预算拨款支出</w:t>
      </w:r>
      <w:r>
        <w:rPr>
          <w:rFonts w:ascii="??_GB2312" w:hAnsi="??_GB2312" w:hint="eastAsia"/>
          <w:color w:val="000000"/>
          <w:sz w:val="32"/>
          <w:szCs w:val="32"/>
        </w:rPr>
        <w:t>0</w:t>
      </w:r>
      <w:r>
        <w:rPr>
          <w:rFonts w:ascii="??_GB2312" w:eastAsia="Times New Roman" w:hAnsi="??_GB2312"/>
          <w:color w:val="000000"/>
          <w:sz w:val="32"/>
          <w:szCs w:val="32"/>
        </w:rPr>
        <w:t>万元。</w:t>
      </w:r>
    </w:p>
    <w:p>
      <w:pPr>
        <w:numPr>
          <w:ilvl w:val="0"/>
          <w:numId w:val="3"/>
        </w:numPr>
        <w:spacing w:line="600" w:lineRule="exact"/>
        <w:ind w:left="0" w:firstLine="640"/>
        <w:outlineLvl w:val="1"/>
        <w:rPr>
          <w:rStyle w:val="2Char"/>
          <w:rFonts w:ascii="黑体" w:eastAsia="黑体"/>
          <w:b w:val="0"/>
        </w:rPr>
      </w:pPr>
      <w:bookmarkStart w:id="51" w:name="_Toc12511"/>
      <w:bookmarkStart w:id="52" w:name="_Toc15396611"/>
      <w:bookmarkStart w:id="53" w:name="_Toc15377219"/>
      <w:r>
        <w:rPr>
          <w:rStyle w:val="2Char"/>
          <w:rFonts w:ascii="黑体" w:eastAsia="黑体" w:hint="eastAsia"/>
          <w:b w:val="0"/>
        </w:rPr>
        <w:t>国有资本经营预算支出决算情况说明</w:t>
      </w:r>
      <w:bookmarkEnd w:id="51"/>
      <w:bookmarkEnd w:id="52"/>
      <w:bookmarkEnd w:id="53"/>
    </w:p>
    <w:p>
      <w:pPr>
        <w:spacing w:line="600" w:lineRule="exact"/>
        <w:ind w:firstLine="640"/>
        <w:rPr>
          <w:rFonts w:ascii="??_GB2312" w:eastAsia="Times New Roman" w:hAnsi="??_GB2312"/>
          <w:color w:val="000000"/>
          <w:sz w:val="32"/>
          <w:szCs w:val="32"/>
        </w:rPr>
      </w:pPr>
      <w:r>
        <w:rPr>
          <w:rFonts w:ascii="??_GB2312" w:eastAsia="Times New Roman" w:hAnsi="??_GB2312"/>
          <w:color w:val="000000"/>
          <w:sz w:val="32"/>
          <w:szCs w:val="32"/>
        </w:rPr>
        <w:t>2</w:t>
      </w:r>
      <w:r>
        <w:rPr>
          <w:rFonts w:ascii="宋体"/>
          <w:color w:val="000000"/>
          <w:sz w:val="32"/>
          <w:szCs w:val="32"/>
        </w:rPr>
        <w:t>02</w:t>
      </w:r>
      <w:r>
        <w:rPr>
          <w:rFonts w:ascii="宋体" w:hint="eastAsia"/>
          <w:color w:val="000000"/>
          <w:sz w:val="32"/>
          <w:szCs w:val="32"/>
          <w:lang w:val="en-US" w:eastAsia="zh-CN"/>
        </w:rPr>
        <w:t>2</w:t>
      </w:r>
      <w:r>
        <w:rPr>
          <w:rFonts w:ascii="??_GB2312" w:eastAsia="Times New Roman" w:hAnsi="??_GB2312"/>
          <w:color w:val="000000"/>
          <w:sz w:val="32"/>
          <w:szCs w:val="32"/>
        </w:rPr>
        <w:t>年国有资本经营预算拨款支出0万元。</w:t>
      </w:r>
    </w:p>
    <w:p>
      <w:pPr>
        <w:pStyle w:val="23"/>
        <w:numPr>
          <w:ilvl w:val="0"/>
          <w:numId w:val="4"/>
        </w:numPr>
        <w:spacing w:line="580" w:lineRule="exact"/>
        <w:ind w:firstLineChars="0"/>
        <w:outlineLvl w:val="1"/>
        <w:rPr>
          <w:rStyle w:val="2Char"/>
          <w:rFonts w:ascii="黑体" w:eastAsia="黑体"/>
          <w:b w:val="0"/>
        </w:rPr>
      </w:pPr>
      <w:bookmarkStart w:id="54" w:name="_Toc16069"/>
      <w:r>
        <w:rPr>
          <w:rStyle w:val="2Char"/>
          <w:rFonts w:ascii="黑体" w:eastAsia="黑体" w:hint="eastAsia"/>
          <w:b w:val="0"/>
        </w:rPr>
        <w:t>预算绩效情况说明</w:t>
      </w:r>
      <w:bookmarkEnd w:id="54"/>
    </w:p>
    <w:p>
      <w:pPr>
        <w:numPr>
          <w:ilvl w:val="0"/>
          <w:numId w:val="5"/>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tabs>
          <w:tab w:val="left" w:pos="420"/>
        </w:tabs>
        <w:spacing w:line="580" w:lineRule="exact"/>
        <w:rPr>
          <w:rFonts w:ascii="仿宋" w:eastAsia="仿宋" w:cs="楷体_GB2312"/>
          <w:b w:val="0"/>
          <w:bCs w:val="0"/>
          <w:sz w:val="32"/>
          <w:szCs w:val="32"/>
          <w:lang w:val="en-US" w:eastAsia="zh-CN"/>
        </w:rPr>
      </w:pPr>
      <w:r>
        <w:rPr>
          <w:rFonts w:ascii="仿宋" w:eastAsia="仿宋" w:cs="楷体_GB2312" w:hint="eastAsia"/>
          <w:b/>
          <w:bCs/>
          <w:sz w:val="32"/>
          <w:szCs w:val="32"/>
          <w:lang w:val="en-US" w:eastAsia="zh-CN"/>
        </w:rPr>
        <w:t xml:space="preserve">  </w:t>
      </w:r>
      <w:r>
        <w:rPr>
          <w:rFonts w:ascii="仿宋" w:eastAsia="仿宋" w:cs="楷体_GB2312" w:hint="eastAsia"/>
          <w:b w:val="0"/>
          <w:bCs w:val="0"/>
          <w:sz w:val="32"/>
          <w:szCs w:val="32"/>
          <w:lang w:val="en-US" w:eastAsia="zh-CN"/>
        </w:rPr>
        <w:t xml:space="preserve"> 本部门按要求对2022年部门整体支出开展绩效自评。我部门深入贯彻落实</w:t>
      </w:r>
      <w:r>
        <w:rPr>
          <w:rFonts w:ascii="仿宋" w:eastAsia="仿宋" w:cs="楷体_GB2312"/>
          <w:b w:val="0"/>
          <w:bCs w:val="0"/>
          <w:sz w:val="32"/>
          <w:szCs w:val="32"/>
          <w:lang w:val="en-US" w:eastAsia="zh-CN"/>
        </w:rPr>
        <w:t>党的</w:t>
      </w:r>
      <w:r>
        <w:rPr>
          <w:rFonts w:ascii="仿宋" w:eastAsia="仿宋" w:cs="楷体_GB2312" w:hint="eastAsia"/>
          <w:b w:val="0"/>
          <w:bCs w:val="0"/>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5"/>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tabs>
          <w:tab w:val="left" w:pos="420"/>
        </w:tabs>
        <w:spacing w:line="580" w:lineRule="exact"/>
        <w:ind w:left="0" w:firstLineChars="200" w:firstLine="640"/>
        <w:rPr>
          <w:rFonts w:ascii="仿宋" w:eastAsia="仿宋" w:cs="楷体_GB2312" w:hint="eastAsia"/>
          <w:b w:val="0"/>
          <w:bCs w:val="0"/>
          <w:sz w:val="32"/>
          <w:szCs w:val="32"/>
          <w:lang w:val="en-US" w:eastAsia="zh-CN"/>
        </w:rPr>
      </w:pPr>
      <w:r>
        <w:rPr>
          <w:rFonts w:ascii="仿宋" w:eastAsia="仿宋" w:cs="楷体_GB2312" w:hint="eastAsia"/>
          <w:b w:val="0"/>
          <w:bCs w:val="0"/>
          <w:sz w:val="32"/>
          <w:szCs w:val="32"/>
          <w:lang w:val="en-US" w:eastAsia="zh-CN"/>
        </w:rPr>
        <w:t>本部门按要求对2022年部门整体支出绩效评价情况开展自评，《金川县人民医院2022年部门预算整体支出绩效评价报告》见附件。</w:t>
      </w:r>
    </w:p>
    <w:p>
      <w:pPr>
        <w:spacing w:line="600" w:lineRule="exact"/>
        <w:ind w:firstLineChars="200" w:firstLine="640"/>
        <w:outlineLvl w:val="1"/>
        <w:rPr>
          <w:rStyle w:val="2Char"/>
          <w:rFonts w:ascii="黑体" w:eastAsia="黑体"/>
        </w:rPr>
      </w:pPr>
      <w:bookmarkStart w:id="55" w:name="_Toc10180"/>
      <w:bookmarkStart w:id="56" w:name="_Toc15396612"/>
      <w:bookmarkStart w:id="57" w:name="_Toc15377221"/>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55"/>
      <w:bookmarkEnd w:id="56"/>
      <w:bookmarkEnd w:id="57"/>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8" w:name="_Toc15377223"/>
      <w:r>
        <w:rPr>
          <w:rFonts w:ascii="仿宋" w:eastAsia="仿宋" w:hint="eastAsia"/>
          <w:b/>
          <w:color w:val="000000"/>
          <w:sz w:val="32"/>
          <w:szCs w:val="32"/>
        </w:rPr>
        <w:t>（</w:t>
      </w:r>
      <w:r>
        <w:rPr>
          <w:rFonts w:ascii="仿宋" w:eastAsia="仿宋" w:hint="eastAsia"/>
          <w:b/>
          <w:color w:val="000000"/>
          <w:sz w:val="32"/>
          <w:szCs w:val="32"/>
          <w:lang w:val="en-US" w:eastAsia="zh-CN"/>
        </w:rPr>
        <w:t>一</w:t>
      </w:r>
      <w:r>
        <w:rPr>
          <w:rFonts w:ascii="仿宋" w:eastAsia="仿宋" w:hint="eastAsia"/>
          <w:b/>
          <w:color w:val="000000"/>
          <w:sz w:val="32"/>
          <w:szCs w:val="32"/>
        </w:rPr>
        <w:t>）政府采购支出情况</w:t>
      </w:r>
      <w:bookmarkEnd w:id="58"/>
    </w:p>
    <w:p>
      <w:pPr>
        <w:tabs>
          <w:tab w:val="left" w:pos="420"/>
        </w:tabs>
        <w:spacing w:line="580" w:lineRule="exact"/>
        <w:ind w:left="0" w:firstLineChars="200" w:firstLine="640"/>
        <w:rPr>
          <w:rFonts w:ascii="仿宋" w:eastAsia="仿宋" w:cs="楷体_GB2312"/>
          <w:b w:val="0"/>
          <w:bCs w:val="0"/>
          <w:sz w:val="32"/>
          <w:szCs w:val="32"/>
          <w:lang w:val="en-US" w:eastAsia="zh-CN"/>
        </w:rPr>
      </w:pPr>
      <w:r>
        <w:rPr>
          <w:rFonts w:ascii="仿宋" w:eastAsia="仿宋" w:cs="楷体_GB2312" w:hint="eastAsia"/>
          <w:b w:val="0"/>
          <w:bCs w:val="0"/>
          <w:sz w:val="32"/>
          <w:szCs w:val="32"/>
          <w:lang w:val="en-US" w:eastAsia="zh-CN"/>
        </w:rPr>
        <w:t>2022年，政府采购支出总额313.72万元，其中：政府采购货物支出313.72万元，占采购总额的100%；政府采购授予中小企业合同金额313.72万元，占合同总额的100%，其中：授予小微企业合同金额313.72万元。</w:t>
      </w:r>
    </w:p>
    <w:p>
      <w:pPr>
        <w:tabs>
          <w:tab w:val="left" w:pos="420"/>
        </w:tabs>
        <w:spacing w:line="580" w:lineRule="exact"/>
        <w:ind w:left="0" w:firstLineChars="200" w:firstLine="640"/>
        <w:rPr>
          <w:rFonts w:ascii="仿宋" w:eastAsia="仿宋" w:cs="楷体_GB2312" w:hint="eastAsia"/>
          <w:b/>
          <w:bCs/>
          <w:sz w:val="32"/>
          <w:szCs w:val="32"/>
          <w:lang w:val="en-US" w:eastAsia="zh-CN"/>
        </w:rPr>
      </w:pPr>
      <w:bookmarkStart w:id="59" w:name="_Toc15377224"/>
      <w:r>
        <w:rPr>
          <w:rFonts w:ascii="仿宋" w:eastAsia="仿宋" w:cs="楷体_GB2312" w:hint="eastAsia"/>
          <w:b/>
          <w:bCs/>
          <w:sz w:val="32"/>
          <w:szCs w:val="32"/>
          <w:lang w:val="en-US" w:eastAsia="zh-CN"/>
        </w:rPr>
        <w:t>（二）国有资产占有使用情况</w:t>
      </w:r>
      <w:bookmarkEnd w:id="59"/>
    </w:p>
    <w:p>
      <w:pPr>
        <w:tabs>
          <w:tab w:val="left" w:pos="420"/>
        </w:tabs>
        <w:spacing w:line="580" w:lineRule="exact"/>
        <w:ind w:left="0" w:firstLineChars="200" w:firstLine="640"/>
        <w:rPr>
          <w:rFonts w:ascii="仿宋" w:eastAsia="仿宋" w:cs="楷体_GB2312" w:hint="eastAsia"/>
          <w:b w:val="0"/>
          <w:bCs w:val="0"/>
          <w:sz w:val="32"/>
          <w:szCs w:val="32"/>
          <w:lang w:val="en-US" w:eastAsia="zh-CN"/>
        </w:rPr>
      </w:pPr>
      <w:r>
        <w:rPr>
          <w:rFonts w:ascii="仿宋" w:eastAsia="仿宋" w:cs="楷体_GB2312" w:hint="eastAsia"/>
          <w:b w:val="0"/>
          <w:bCs w:val="0"/>
          <w:sz w:val="32"/>
          <w:szCs w:val="32"/>
          <w:lang w:val="en-US" w:eastAsia="zh-CN"/>
        </w:rPr>
        <w:t>截至2022年12月31日，共有车辆13辆，其中11辆为特种专业技术用车，2辆为其他用车。单价100万元以上专用设备16台（套）。</w:t>
      </w:r>
    </w:p>
    <w:p>
      <w:pPr>
        <w:widowControl/>
        <w:ind w:firstLineChars="200" w:firstLine="640"/>
        <w:jc w:val="left"/>
        <w:rPr>
          <w:rFonts w:ascii="??_GB2312" w:hAnsi="??_GB2312"/>
          <w:b/>
          <w:color w:val="000000"/>
          <w:sz w:val="32"/>
          <w:szCs w:val="32"/>
        </w:rPr>
      </w:pPr>
    </w:p>
    <w:p>
      <w:pPr>
        <w:numPr>
          <w:ilvl w:val="0"/>
          <w:numId w:val="6"/>
        </w:numPr>
        <w:spacing w:line="600" w:lineRule="exact"/>
        <w:ind w:left="0" w:firstLineChars="150" w:firstLine="660"/>
        <w:jc w:val="center"/>
        <w:outlineLvl w:val="0"/>
        <w:rPr>
          <w:rStyle w:val="1Char"/>
          <w:rFonts w:ascii="黑体" w:eastAsia="黑体"/>
          <w:b w:val="0"/>
        </w:rPr>
      </w:pPr>
      <w:bookmarkStart w:id="60" w:name="_Toc15377225"/>
      <w:bookmarkStart w:id="61" w:name="_Toc15396613"/>
      <w:bookmarkStart w:id="62" w:name="_Toc31263"/>
      <w:r>
        <w:rPr>
          <w:rFonts w:ascii="黑体" w:eastAsia="黑体" w:hint="eastAsia"/>
          <w:b/>
          <w:color w:val="000000"/>
          <w:sz w:val="44"/>
          <w:szCs w:val="44"/>
        </w:rPr>
        <w:t>名</w:t>
      </w:r>
      <w:r>
        <w:rPr>
          <w:rStyle w:val="1Char"/>
          <w:rFonts w:ascii="黑体" w:eastAsia="黑体" w:hint="eastAsia"/>
          <w:b w:val="0"/>
        </w:rPr>
        <w:t>词解释</w:t>
      </w:r>
      <w:bookmarkEnd w:id="60"/>
      <w:bookmarkEnd w:id="61"/>
      <w:bookmarkEnd w:id="62"/>
    </w:p>
    <w:p>
      <w:pPr>
        <w:pStyle w:val="24"/>
        <w:spacing w:line="560" w:lineRule="exact"/>
        <w:ind w:firstLineChars="200" w:firstLine="640"/>
        <w:outlineLvl w:val="1"/>
        <w:rPr>
          <w:rFonts w:ascii="仿宋" w:eastAsia="仿宋" w:cs="仿宋" w:hint="eastAsia"/>
          <w:sz w:val="32"/>
          <w:szCs w:val="32"/>
        </w:rPr>
      </w:pPr>
      <w:bookmarkStart w:id="63" w:name="_Toc19127"/>
      <w:r>
        <w:rPr>
          <w:rFonts w:ascii="仿宋" w:eastAsia="仿宋" w:cs="仿宋" w:hint="eastAsia"/>
          <w:sz w:val="32"/>
          <w:szCs w:val="32"/>
        </w:rPr>
        <w:t>1.财政拨款收入：指单位从同级财政部门取得的财政预算资金。</w:t>
      </w:r>
      <w:bookmarkEnd w:id="63"/>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2.事业收入：指事业单位开展专业业务活动及辅助活动取得的收入。</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3.经营收入：指事业单位在专业业务活动及其辅助活动之外开展非独立核算经营活动取得的收入。</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 xml:space="preserve">4.其他收入：指单位取得的除上述收入以外的各项收入。主要是银行存款利息和伙食团缴费等。 </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 xml:space="preserve">5. 年初结转和结余：指以前年度尚未完成、结转到本年按有关规定继续使用的资金。 </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6.结余分配：指事业单位按照事业单位会计制度的规定从非财政补助结余中分配的事业基金和职工福利基金等。</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7、年末结转和结余：指单位按有关规定结转到下年或以后年度继续使用的资金。</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8.</w:t>
      </w:r>
      <w:r>
        <w:rPr>
          <w:rFonts w:ascii="仿宋" w:eastAsia="仿宋" w:cs="仿宋" w:hint="eastAsia"/>
          <w:color w:val="000000"/>
          <w:kern w:val="0"/>
          <w:sz w:val="32"/>
          <w:szCs w:val="32"/>
        </w:rPr>
        <w:t>一般公共服务（类）政府办公厅（室）及相关机构事务（款）行政运行（项）：指行政单位的基本支出</w:t>
      </w:r>
      <w:r>
        <w:rPr>
          <w:rFonts w:ascii="仿宋" w:eastAsia="仿宋" w:cs="仿宋" w:hint="eastAsia"/>
          <w:color w:val="000000"/>
          <w:sz w:val="32"/>
          <w:szCs w:val="32"/>
        </w:rPr>
        <w:t>。</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9.</w:t>
      </w:r>
      <w:r>
        <w:rPr>
          <w:rFonts w:ascii="仿宋" w:eastAsia="仿宋" w:cs="仿宋" w:hint="eastAsia"/>
          <w:color w:val="000000"/>
          <w:kern w:val="0"/>
          <w:sz w:val="32"/>
          <w:szCs w:val="32"/>
        </w:rPr>
        <w:t>一般公共服务（类）政府办公厅（室）及相关机构事务（款）一般行政管理事务（项）：</w:t>
      </w:r>
      <w:r>
        <w:rPr>
          <w:rFonts w:ascii="仿宋" w:eastAsia="仿宋" w:cs="仿宋" w:hint="eastAsia"/>
          <w:color w:val="000000"/>
          <w:sz w:val="32"/>
          <w:szCs w:val="32"/>
        </w:rPr>
        <w:t>指反映行政单位未单独设置顶级科目的其他项目支出。</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10.</w:t>
      </w:r>
      <w:r>
        <w:rPr>
          <w:rFonts w:ascii="仿宋" w:eastAsia="仿宋" w:cs="仿宋" w:hint="eastAsia"/>
          <w:color w:val="000000"/>
          <w:kern w:val="0"/>
          <w:sz w:val="32"/>
          <w:szCs w:val="32"/>
        </w:rPr>
        <w:t>教育（类）其他教育支出（款）其他教育支出（项）：</w:t>
      </w:r>
      <w:r>
        <w:rPr>
          <w:rFonts w:ascii="仿宋" w:eastAsia="仿宋" w:cs="仿宋" w:hint="eastAsia"/>
          <w:color w:val="000000"/>
          <w:sz w:val="32"/>
          <w:szCs w:val="32"/>
        </w:rPr>
        <w:t>除上述项目以外用于教育管理事务方面的支出。</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11.</w:t>
      </w:r>
      <w:r>
        <w:rPr>
          <w:rFonts w:ascii="仿宋" w:eastAsia="仿宋" w:cs="仿宋" w:hint="eastAsia"/>
          <w:color w:val="000000"/>
          <w:kern w:val="0"/>
          <w:sz w:val="32"/>
          <w:szCs w:val="32"/>
        </w:rPr>
        <w:t>社会保障和就业（类）行政事业单位离退休（款）机关事业单位基本养老保险缴费支出（项）：</w:t>
      </w:r>
      <w:r>
        <w:rPr>
          <w:rFonts w:ascii="仿宋" w:eastAsia="仿宋" w:cs="仿宋" w:hint="eastAsia"/>
          <w:color w:val="000000"/>
          <w:sz w:val="32"/>
          <w:szCs w:val="32"/>
        </w:rPr>
        <w:t>指单位为职工缴纳的基本养老保险费。</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12.</w:t>
      </w:r>
      <w:r>
        <w:rPr>
          <w:rFonts w:ascii="仿宋" w:eastAsia="仿宋" w:cs="仿宋" w:hint="eastAsia"/>
          <w:color w:val="000000"/>
          <w:kern w:val="0"/>
          <w:sz w:val="32"/>
          <w:szCs w:val="32"/>
        </w:rPr>
        <w:t>社会保障和就业（类）行政事业单位离退休（款）机关事业单位基本职业年金缴费支出（项）：</w:t>
      </w:r>
      <w:r>
        <w:rPr>
          <w:rFonts w:ascii="仿宋" w:eastAsia="仿宋" w:cs="仿宋" w:hint="eastAsia"/>
          <w:color w:val="000000"/>
          <w:sz w:val="32"/>
          <w:szCs w:val="32"/>
        </w:rPr>
        <w:t>指单位为职工实际缴纳的职业年金。</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13.医疗卫生与计划生育（类）行政事业单位医疗（款）行政单位医疗（项）：指反映职工缴纳的基本医疗保险费。</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14.医疗卫生与计划生育（类）行政事业单位医疗（款）公务员医疗补助（项）：指按规定可享受公务员医疗补助单位为职工缴纳的公务员医疗补助费。</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15.住房保障（类）住房改革支出（款）住房公积金（项）：指单位按规定为职工缴纳的住房公积金。</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16.基本支出：指为保障机构正常运转、完成日常工作任务而发生的人员支出和公用支出。</w:t>
      </w:r>
    </w:p>
    <w:p>
      <w:pPr>
        <w:ind w:firstLineChars="200" w:firstLine="640"/>
        <w:rPr>
          <w:rFonts w:ascii="仿宋" w:eastAsia="仿宋" w:cs="仿宋" w:hint="eastAsia"/>
          <w:color w:val="000000"/>
          <w:sz w:val="32"/>
          <w:szCs w:val="32"/>
        </w:rPr>
      </w:pPr>
      <w:r>
        <w:rPr>
          <w:rFonts w:ascii="仿宋" w:eastAsia="仿宋" w:cs="仿宋" w:hint="eastAsia"/>
          <w:color w:val="000000"/>
          <w:sz w:val="32"/>
          <w:szCs w:val="32"/>
        </w:rPr>
        <w:t xml:space="preserve">17.项目支出：指在基本支出之外为完成特定行政任务和事业发展目标所发生的支出。 </w:t>
      </w:r>
    </w:p>
    <w:p>
      <w:pPr>
        <w:pStyle w:val="24"/>
        <w:spacing w:line="560" w:lineRule="exact"/>
        <w:ind w:firstLineChars="200" w:firstLine="640"/>
        <w:rPr>
          <w:rFonts w:ascii="仿宋" w:eastAsia="仿宋" w:cs="仿宋" w:hint="eastAsia"/>
          <w:sz w:val="32"/>
          <w:szCs w:val="32"/>
        </w:rPr>
      </w:pPr>
      <w:r>
        <w:rPr>
          <w:rFonts w:ascii="仿宋" w:eastAsia="仿宋" w:cs="仿宋" w:hint="eastAsia"/>
          <w:sz w:val="32"/>
          <w:szCs w:val="32"/>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4"/>
        <w:spacing w:line="560" w:lineRule="exact"/>
        <w:ind w:firstLineChars="200" w:firstLine="640"/>
        <w:rPr>
          <w:rFonts w:ascii="仿宋" w:eastAsia="仿宋" w:cs="仿宋" w:hint="eastAsia"/>
          <w:color w:val="000000"/>
          <w:sz w:val="44"/>
          <w:szCs w:val="44"/>
        </w:rPr>
      </w:pPr>
      <w:r>
        <w:rPr>
          <w:rFonts w:ascii="仿宋" w:eastAsia="仿宋" w:cs="仿宋" w:hint="eastAsia"/>
          <w:sz w:val="32"/>
          <w:szCs w:val="32"/>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64" w:name="_Toc15396614"/>
      <w:bookmarkStart w:id="65" w:name="_Toc15377226"/>
    </w:p>
    <w:p>
      <w:pPr>
        <w:pStyle w:val="2"/>
        <w:outlineLvl w:val="0"/>
        <w:rPr>
          <w:rStyle w:val="1Char"/>
          <w:rFonts w:ascii="仿宋" w:eastAsia="仿宋" w:hint="eastAsia"/>
          <w:b w:val="0"/>
          <w:bCs w:val="0"/>
          <w:sz w:val="32"/>
          <w:szCs w:val="32"/>
        </w:rPr>
      </w:pPr>
      <w:bookmarkStart w:id="66" w:name="_Toc29416"/>
      <w:bookmarkStart w:id="67" w:name="_Toc15396615"/>
    </w:p>
    <w:p>
      <w:pPr>
        <w:pStyle w:val="2"/>
        <w:outlineLvl w:val="0"/>
        <w:rPr>
          <w:rStyle w:val="1Char"/>
          <w:rFonts w:ascii="仿宋" w:eastAsia="仿宋"/>
          <w:b w:val="0"/>
          <w:bCs w:val="0"/>
          <w:sz w:val="32"/>
          <w:szCs w:val="32"/>
        </w:rPr>
      </w:pPr>
      <w:r>
        <w:rPr>
          <w:rStyle w:val="1Char"/>
          <w:rFonts w:ascii="仿宋" w:eastAsia="仿宋" w:hint="eastAsia"/>
          <w:b w:val="0"/>
          <w:bCs w:val="0"/>
          <w:sz w:val="32"/>
          <w:szCs w:val="32"/>
        </w:rPr>
        <w:t>附件</w:t>
      </w:r>
      <w:r>
        <w:rPr>
          <w:rStyle w:val="1Char"/>
          <w:rFonts w:ascii="仿宋" w:eastAsia="仿宋"/>
          <w:b w:val="0"/>
          <w:bCs w:val="0"/>
          <w:sz w:val="32"/>
          <w:szCs w:val="32"/>
        </w:rPr>
        <w:t>1</w:t>
      </w:r>
      <w:bookmarkEnd w:id="66"/>
      <w:bookmarkEnd w:id="67"/>
    </w:p>
    <w:p>
      <w:pPr>
        <w:numPr>
          <w:ilvl w:val="0"/>
          <w:numId w:val="6"/>
        </w:numPr>
        <w:spacing w:line="600" w:lineRule="exact"/>
        <w:ind w:left="0" w:firstLineChars="150" w:firstLine="660"/>
        <w:jc w:val="center"/>
        <w:outlineLvl w:val="0"/>
        <w:rPr>
          <w:rStyle w:val="1Char"/>
          <w:rFonts w:ascii="黑体" w:eastAsia="黑体"/>
          <w:b w:val="0"/>
        </w:rPr>
      </w:pPr>
      <w:bookmarkStart w:id="68" w:name="_Toc6553"/>
      <w:r>
        <w:rPr>
          <w:rStyle w:val="1Char"/>
          <w:rFonts w:ascii="黑体" w:eastAsia="黑体" w:hint="eastAsia"/>
          <w:b w:val="0"/>
        </w:rPr>
        <w:t>附件</w:t>
      </w:r>
      <w:bookmarkEnd w:id="64"/>
      <w:bookmarkEnd w:id="68"/>
    </w:p>
    <w:p>
      <w:pPr>
        <w:widowControl/>
        <w:spacing w:line="580" w:lineRule="exact"/>
        <w:contextualSpacing/>
        <w:jc w:val="both"/>
        <w:rPr>
          <w:rFonts w:ascii="宋体" w:eastAsia="宋体" w:hint="eastAsia"/>
          <w:b/>
          <w:sz w:val="44"/>
          <w:szCs w:val="44"/>
          <w:shd w:val="clear" w:color="auto" w:fill="FFFFFF"/>
        </w:rPr>
      </w:pPr>
      <w:bookmarkStart w:id="69" w:name="_Toc15396618"/>
      <w:bookmarkStart w:id="70" w:name="_Toc3078"/>
      <w:bookmarkStart w:id="71" w:name="_Toc15396619"/>
      <w:bookmarkEnd w:id="65"/>
    </w:p>
    <w:p>
      <w:pPr>
        <w:widowControl/>
        <w:spacing w:line="480" w:lineRule="exact"/>
        <w:jc w:val="center"/>
        <w:rPr>
          <w:rFonts w:ascii="方正小标宋简体" w:eastAsia="方正小标宋简体" w:cs="方正小标宋简体"/>
          <w:sz w:val="44"/>
          <w:szCs w:val="44"/>
        </w:rPr>
      </w:pPr>
      <w:r>
        <w:rPr>
          <w:rFonts w:ascii="方正小标宋简体" w:eastAsia="方正小标宋简体" w:cs="方正小标宋简体" w:hint="eastAsia"/>
          <w:sz w:val="44"/>
          <w:szCs w:val="44"/>
        </w:rPr>
        <w:t>20</w:t>
      </w:r>
      <w:r>
        <w:rPr>
          <w:rFonts w:ascii="方正小标宋简体" w:eastAsia="方正小标宋简体" w:cs="方正小标宋简体" w:hint="eastAsia"/>
          <w:sz w:val="44"/>
          <w:szCs w:val="44"/>
          <w:lang w:val="en-US" w:eastAsia="zh-CN"/>
        </w:rPr>
        <w:t>22</w:t>
      </w:r>
      <w:r>
        <w:rPr>
          <w:rFonts w:ascii="方正小标宋简体" w:eastAsia="方正小标宋简体" w:cs="方正小标宋简体" w:hint="eastAsia"/>
          <w:sz w:val="44"/>
          <w:szCs w:val="44"/>
        </w:rPr>
        <w:t>年金川县人民医院整体支出绩效报告</w:t>
      </w:r>
    </w:p>
    <w:p>
      <w:pPr>
        <w:widowControl/>
        <w:adjustRightInd w:val="0"/>
        <w:snapToGrid w:val="0"/>
        <w:spacing w:line="480" w:lineRule="exact"/>
        <w:jc w:val="left"/>
        <w:rPr>
          <w:rFonts w:ascii="黑体" w:eastAsia="黑体" w:cs="宋体"/>
          <w:color w:val="000000"/>
          <w:kern w:val="0"/>
          <w:sz w:val="32"/>
        </w:rPr>
      </w:pPr>
    </w:p>
    <w:p>
      <w:pPr>
        <w:widowControl/>
        <w:adjustRightInd w:val="0"/>
        <w:snapToGrid w:val="0"/>
        <w:spacing w:line="480" w:lineRule="exact"/>
        <w:ind w:firstLine="720"/>
        <w:jc w:val="left"/>
        <w:rPr>
          <w:rFonts w:ascii="黑体" w:eastAsia="黑体" w:cs="宋体"/>
          <w:color w:val="000000"/>
          <w:kern w:val="0"/>
          <w:lang w:val="zh-CN"/>
        </w:rPr>
      </w:pPr>
      <w:r>
        <w:rPr>
          <w:rFonts w:ascii="黑体" w:eastAsia="黑体" w:cs="宋体" w:hint="eastAsia"/>
          <w:color w:val="000000"/>
          <w:kern w:val="0"/>
          <w:sz w:val="32"/>
        </w:rPr>
        <w:t>一、</w:t>
      </w:r>
      <w:r>
        <w:rPr>
          <w:rFonts w:ascii="黑体" w:eastAsia="黑体" w:cs="宋体" w:hint="eastAsia"/>
          <w:color w:val="000000"/>
          <w:kern w:val="0"/>
          <w:sz w:val="32"/>
          <w:lang w:val="zh-CN"/>
        </w:rPr>
        <w:t>部门（单位）概况</w:t>
      </w:r>
    </w:p>
    <w:p>
      <w:pPr>
        <w:widowControl/>
        <w:adjustRightInd w:val="0"/>
        <w:snapToGrid w:val="0"/>
        <w:spacing w:line="540" w:lineRule="exact"/>
        <w:ind w:firstLine="720"/>
        <w:jc w:val="left"/>
        <w:rPr>
          <w:rFonts w:ascii="仿宋_GB2312" w:eastAsia="仿宋_GB2312" w:cs="宋体"/>
          <w:color w:val="000000"/>
          <w:kern w:val="0"/>
          <w:sz w:val="32"/>
          <w:szCs w:val="32"/>
          <w:lang w:val="zh-CN"/>
        </w:rPr>
      </w:pPr>
      <w:r>
        <w:rPr>
          <w:rFonts w:ascii="仿宋_GB2312" w:eastAsia="仿宋_GB2312" w:cs="宋体" w:hint="eastAsia"/>
          <w:color w:val="000000"/>
          <w:kern w:val="0"/>
          <w:sz w:val="32"/>
          <w:szCs w:val="32"/>
          <w:lang w:val="zh-CN"/>
        </w:rPr>
        <w:t>（一）机构组成。</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金川县人民医院由内科、儿科、妇科、外科、康复科、医学检验科、医学影像科、急诊科、口腔科等科室组成，我单位为独立核算，二级预算行政单位。</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cs="宋体" w:hAnsi="仿宋_GB2312" w:hint="eastAsia"/>
          <w:color w:val="000000"/>
          <w:kern w:val="0"/>
          <w:sz w:val="32"/>
          <w:szCs w:val="32"/>
          <w:lang w:val="zh-CN"/>
        </w:rPr>
        <w:t>（</w:t>
      </w:r>
      <w:r>
        <w:rPr>
          <w:rFonts w:ascii="仿宋_GB2312" w:cs="宋体" w:hAnsi="仿宋_GB2312" w:hint="eastAsia"/>
          <w:color w:val="000000"/>
          <w:kern w:val="0"/>
          <w:sz w:val="32"/>
          <w:szCs w:val="32"/>
          <w:lang w:val="en-US" w:eastAsia="zh-CN"/>
        </w:rPr>
        <w:t>二</w:t>
      </w:r>
      <w:r>
        <w:rPr>
          <w:rFonts w:ascii="仿宋_GB2312" w:cs="宋体" w:hAnsi="仿宋_GB2312" w:hint="eastAsia"/>
          <w:color w:val="000000"/>
          <w:kern w:val="0"/>
          <w:sz w:val="32"/>
          <w:szCs w:val="32"/>
          <w:lang w:val="zh-CN"/>
        </w:rPr>
        <w:t>）</w:t>
      </w:r>
      <w:r>
        <w:rPr>
          <w:rFonts w:ascii="仿宋_GB2312" w:eastAsia="仿宋_GB2312" w:cs="宋体" w:hint="eastAsia"/>
          <w:color w:val="000000"/>
          <w:kern w:val="0"/>
          <w:sz w:val="32"/>
          <w:szCs w:val="32"/>
          <w:lang w:val="zh-CN"/>
        </w:rPr>
        <w:t>机构职能。</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1、承担本县居民的预防、医疗和保健任务</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2、本县内传染病、职业病和非传染性慢性病的防控。</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3、本县内人群的健康教育工作。</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4、强化本县内医疗救治体系，有效应对各种突发性公共卫生事件。</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5、做好城镇职工基本医疗保险、城镇居民基本医疗保险和新型农村合作医疗保险等定点医疗机构的各项工作。</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6、参与卫生扶贫、重要会议与重大活动的医疗卫生保障工作。</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7、承担县委</w:t>
      </w:r>
      <w:r>
        <w:rPr>
          <w:rFonts w:ascii="仿宋_GB2312" w:eastAsia="仿宋_GB2312" w:cs="宋体"/>
          <w:color w:val="000000"/>
          <w:kern w:val="0"/>
          <w:sz w:val="32"/>
          <w:szCs w:val="32"/>
          <w:lang w:val="zh-CN"/>
        </w:rPr>
        <w:t>县</w:t>
      </w:r>
      <w:r>
        <w:rPr>
          <w:rFonts w:ascii="仿宋_GB2312" w:eastAsia="仿宋_GB2312" w:cs="宋体" w:hint="eastAsia"/>
          <w:color w:val="000000"/>
          <w:kern w:val="0"/>
          <w:sz w:val="32"/>
          <w:szCs w:val="32"/>
          <w:lang w:val="zh-CN"/>
        </w:rPr>
        <w:t>政府及县卫生局交办的其他卫生工作。 </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cs="宋体" w:hAnsi="仿宋_GB2312" w:hint="eastAsia"/>
          <w:color w:val="000000"/>
          <w:kern w:val="0"/>
          <w:sz w:val="32"/>
          <w:szCs w:val="32"/>
          <w:lang w:val="zh-CN"/>
        </w:rPr>
        <w:t>（</w:t>
      </w:r>
      <w:r>
        <w:rPr>
          <w:rFonts w:ascii="仿宋_GB2312" w:cs="宋体" w:hAnsi="仿宋_GB2312" w:hint="eastAsia"/>
          <w:color w:val="000000"/>
          <w:kern w:val="0"/>
          <w:sz w:val="32"/>
          <w:szCs w:val="32"/>
          <w:lang w:val="en-US" w:eastAsia="zh-CN"/>
        </w:rPr>
        <w:t>三</w:t>
      </w:r>
      <w:r>
        <w:rPr>
          <w:rFonts w:ascii="仿宋_GB2312" w:cs="宋体" w:hAnsi="仿宋_GB2312" w:hint="eastAsia"/>
          <w:color w:val="000000"/>
          <w:kern w:val="0"/>
          <w:sz w:val="32"/>
          <w:szCs w:val="32"/>
          <w:lang w:val="zh-CN"/>
        </w:rPr>
        <w:t>）</w:t>
      </w:r>
      <w:r>
        <w:rPr>
          <w:rFonts w:ascii="仿宋_GB2312" w:eastAsia="仿宋_GB2312" w:cs="宋体" w:hint="eastAsia"/>
          <w:color w:val="000000"/>
          <w:kern w:val="0"/>
          <w:sz w:val="32"/>
          <w:szCs w:val="32"/>
          <w:lang w:val="zh-CN"/>
        </w:rPr>
        <w:t>人员概况。</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eastAsia="zh-CN"/>
        </w:rPr>
      </w:pPr>
      <w:r>
        <w:rPr>
          <w:rFonts w:ascii="仿宋_GB2312" w:eastAsia="仿宋_GB2312" w:cs="宋体" w:hint="eastAsia"/>
          <w:color w:val="000000"/>
          <w:kern w:val="0"/>
          <w:sz w:val="32"/>
          <w:szCs w:val="32"/>
          <w:lang w:val="zh-CN"/>
        </w:rPr>
        <w:t>20</w:t>
      </w:r>
      <w:r>
        <w:rPr>
          <w:rFonts w:ascii="仿宋_GB2312" w:eastAsia="仿宋_GB2312" w:cs="宋体" w:hint="eastAsia"/>
          <w:color w:val="000000"/>
          <w:kern w:val="0"/>
          <w:sz w:val="32"/>
          <w:szCs w:val="32"/>
          <w:lang w:val="en-US" w:eastAsia="zh-CN"/>
        </w:rPr>
        <w:t>2</w:t>
      </w: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zh-CN"/>
        </w:rPr>
        <w:t>年我院独立编制单位机构数为1 个，财政供养人员编制为164 名，事业编制164 名（其中参照公务员法管理人员编制 0人）；20</w:t>
      </w:r>
      <w:r>
        <w:rPr>
          <w:rFonts w:ascii="仿宋_GB2312" w:eastAsia="仿宋_GB2312" w:cs="宋体" w:hint="eastAsia"/>
          <w:color w:val="000000"/>
          <w:kern w:val="0"/>
          <w:sz w:val="32"/>
          <w:szCs w:val="32"/>
          <w:lang w:val="en-US" w:eastAsia="zh-CN"/>
        </w:rPr>
        <w:t>2</w:t>
      </w: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zh-CN"/>
        </w:rPr>
        <w:t>年实际财政供养人员</w:t>
      </w:r>
      <w:r>
        <w:rPr>
          <w:rFonts w:ascii="仿宋_GB2312" w:cs="宋体" w:hAnsi="仿宋_GB2312" w:hint="eastAsia"/>
          <w:color w:val="000000"/>
          <w:kern w:val="0"/>
          <w:sz w:val="32"/>
          <w:szCs w:val="32"/>
          <w:lang w:val="en-US" w:eastAsia="zh-CN"/>
        </w:rPr>
        <w:t>160</w:t>
      </w:r>
      <w:r>
        <w:rPr>
          <w:rFonts w:ascii="仿宋_GB2312" w:eastAsia="仿宋_GB2312" w:cs="宋体" w:hint="eastAsia"/>
          <w:color w:val="000000"/>
          <w:kern w:val="0"/>
          <w:sz w:val="32"/>
          <w:szCs w:val="32"/>
          <w:lang w:val="zh-CN"/>
        </w:rPr>
        <w:t>人</w:t>
      </w:r>
      <w:r>
        <w:rPr>
          <w:rFonts w:ascii="仿宋_GB2312" w:eastAsia="仿宋_GB2312" w:cs="宋体" w:hint="eastAsia"/>
          <w:color w:val="000000"/>
          <w:kern w:val="0"/>
          <w:sz w:val="32"/>
          <w:szCs w:val="32"/>
          <w:lang w:val="zh-CN" w:eastAsia="zh-CN"/>
        </w:rPr>
        <w:t>。</w:t>
      </w:r>
    </w:p>
    <w:p>
      <w:pPr>
        <w:widowControl/>
        <w:adjustRightInd w:val="0"/>
        <w:snapToGrid w:val="0"/>
        <w:spacing w:line="540" w:lineRule="exact"/>
        <w:ind w:firstLine="720"/>
        <w:jc w:val="left"/>
        <w:rPr>
          <w:rFonts w:ascii="仿宋_GB2312" w:eastAsia="仿宋_GB2312" w:cs="宋体" w:hint="eastAsia"/>
          <w:b/>
          <w:bCs/>
          <w:color w:val="000000"/>
          <w:kern w:val="0"/>
          <w:sz w:val="32"/>
          <w:szCs w:val="32"/>
          <w:lang w:val="zh-CN"/>
        </w:rPr>
      </w:pPr>
      <w:r>
        <w:rPr>
          <w:rFonts w:ascii="仿宋_GB2312" w:eastAsia="仿宋_GB2312" w:cs="宋体" w:hint="eastAsia"/>
          <w:b/>
          <w:bCs/>
          <w:color w:val="000000"/>
          <w:kern w:val="0"/>
          <w:sz w:val="32"/>
          <w:szCs w:val="32"/>
          <w:lang w:val="zh-CN"/>
        </w:rPr>
        <w:t>二、部门财政资金收支情况</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（一）部门财政资金收入情况。</w:t>
      </w:r>
    </w:p>
    <w:p>
      <w:pPr>
        <w:widowControl/>
        <w:adjustRightInd w:val="0"/>
        <w:snapToGrid w:val="0"/>
        <w:spacing w:line="540" w:lineRule="exact"/>
        <w:ind w:firstLine="720"/>
        <w:jc w:val="left"/>
        <w:rPr>
          <w:rFonts w:ascii="仿宋_GB2312" w:cs="宋体" w:hAnsi="仿宋_GB2312" w:hint="eastAsia"/>
          <w:color w:val="000000"/>
          <w:kern w:val="0"/>
          <w:sz w:val="32"/>
          <w:szCs w:val="32"/>
          <w:lang w:val="en-US" w:eastAsia="zh-CN"/>
        </w:rPr>
      </w:pPr>
      <w:r>
        <w:rPr>
          <w:rFonts w:ascii="仿宋_GB2312" w:eastAsia="仿宋_GB2312" w:cs="宋体" w:hint="eastAsia"/>
          <w:color w:val="000000"/>
          <w:kern w:val="0"/>
          <w:sz w:val="32"/>
          <w:szCs w:val="32"/>
          <w:lang w:val="zh-CN" w:eastAsia="zh-CN"/>
        </w:rPr>
        <w:t>20</w:t>
      </w:r>
      <w:r>
        <w:rPr>
          <w:rFonts w:ascii="仿宋_GB2312" w:eastAsia="仿宋_GB2312" w:cs="宋体" w:hint="eastAsia"/>
          <w:color w:val="000000"/>
          <w:kern w:val="0"/>
          <w:sz w:val="32"/>
          <w:szCs w:val="32"/>
          <w:lang w:val="en-US" w:eastAsia="zh-CN"/>
        </w:rPr>
        <w:t>2</w:t>
      </w: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zh-CN" w:eastAsia="zh-CN"/>
        </w:rPr>
        <w:t>年度财政拨款收入总决算</w:t>
      </w:r>
      <w:r>
        <w:rPr>
          <w:rFonts w:ascii="仿宋_GB2312" w:cs="宋体" w:hAnsi="仿宋_GB2312" w:hint="eastAsia"/>
          <w:color w:val="000000"/>
          <w:kern w:val="0"/>
          <w:sz w:val="32"/>
          <w:szCs w:val="32"/>
          <w:lang w:val="en-US" w:eastAsia="zh-CN"/>
        </w:rPr>
        <w:t>3474.9</w:t>
      </w:r>
      <w:r>
        <w:rPr>
          <w:rFonts w:ascii="仿宋_GB2312" w:eastAsia="仿宋_GB2312" w:cs="宋体" w:hint="eastAsia"/>
          <w:color w:val="000000"/>
          <w:kern w:val="0"/>
          <w:sz w:val="32"/>
          <w:szCs w:val="32"/>
          <w:lang w:val="zh-CN" w:eastAsia="zh-CN"/>
        </w:rPr>
        <w:t>万元；其中：基本收入</w:t>
      </w:r>
      <w:r>
        <w:rPr>
          <w:rFonts w:ascii="仿宋_GB2312" w:cs="宋体" w:hAnsi="仿宋_GB2312" w:hint="eastAsia"/>
          <w:color w:val="000000"/>
          <w:kern w:val="0"/>
          <w:sz w:val="32"/>
          <w:szCs w:val="32"/>
          <w:lang w:val="en-US" w:eastAsia="zh-CN"/>
        </w:rPr>
        <w:t>3180.83</w:t>
      </w:r>
      <w:r>
        <w:rPr>
          <w:rFonts w:ascii="仿宋_GB2312" w:eastAsia="仿宋_GB2312" w:cs="宋体" w:hint="eastAsia"/>
          <w:color w:val="000000"/>
          <w:kern w:val="0"/>
          <w:sz w:val="32"/>
          <w:szCs w:val="32"/>
          <w:lang w:val="zh-CN" w:eastAsia="zh-CN"/>
        </w:rPr>
        <w:t>万元，占总收入的</w:t>
      </w:r>
      <w:r>
        <w:rPr>
          <w:rFonts w:ascii="仿宋_GB2312" w:cs="宋体" w:hAnsi="仿宋_GB2312" w:hint="eastAsia"/>
          <w:color w:val="000000"/>
          <w:kern w:val="0"/>
          <w:sz w:val="32"/>
          <w:szCs w:val="32"/>
          <w:lang w:val="en-US" w:eastAsia="zh-CN"/>
        </w:rPr>
        <w:t>91.53</w:t>
      </w:r>
      <w:r>
        <w:rPr>
          <w:rFonts w:ascii="仿宋_GB2312" w:eastAsia="仿宋_GB2312" w:cs="宋体" w:hint="eastAsia"/>
          <w:color w:val="000000"/>
          <w:kern w:val="0"/>
          <w:sz w:val="32"/>
          <w:szCs w:val="32"/>
          <w:lang w:val="zh-CN" w:eastAsia="zh-CN"/>
        </w:rPr>
        <w:t xml:space="preserve"> %；项目收入</w:t>
      </w:r>
      <w:r>
        <w:rPr>
          <w:rFonts w:ascii="仿宋_GB2312" w:cs="宋体" w:hAnsi="仿宋_GB2312" w:hint="eastAsia"/>
          <w:color w:val="000000"/>
          <w:kern w:val="0"/>
          <w:sz w:val="32"/>
          <w:szCs w:val="32"/>
          <w:lang w:val="en-US" w:eastAsia="zh-CN"/>
        </w:rPr>
        <w:t>283.84</w:t>
      </w:r>
      <w:r>
        <w:rPr>
          <w:rFonts w:ascii="仿宋_GB2312" w:eastAsia="仿宋_GB2312" w:cs="宋体" w:hint="eastAsia"/>
          <w:color w:val="000000"/>
          <w:kern w:val="0"/>
          <w:sz w:val="32"/>
          <w:szCs w:val="32"/>
          <w:lang w:val="zh-CN" w:eastAsia="zh-CN"/>
        </w:rPr>
        <w:t>万元，占总收入的</w:t>
      </w:r>
      <w:r>
        <w:rPr>
          <w:rFonts w:ascii="仿宋_GB2312" w:cs="宋体" w:hAnsi="仿宋_GB2312" w:hint="eastAsia"/>
          <w:color w:val="000000"/>
          <w:kern w:val="0"/>
          <w:sz w:val="32"/>
          <w:szCs w:val="32"/>
          <w:lang w:val="en-US" w:eastAsia="zh-CN"/>
        </w:rPr>
        <w:t>8.16</w:t>
      </w:r>
      <w:r>
        <w:rPr>
          <w:rFonts w:ascii="仿宋_GB2312" w:eastAsia="仿宋_GB2312" w:cs="宋体" w:hint="eastAsia"/>
          <w:color w:val="000000"/>
          <w:kern w:val="0"/>
          <w:sz w:val="32"/>
          <w:szCs w:val="32"/>
          <w:lang w:val="zh-CN" w:eastAsia="zh-CN"/>
        </w:rPr>
        <w:t>%，</w:t>
      </w:r>
      <w:r>
        <w:rPr>
          <w:rFonts w:ascii="仿宋_GB2312" w:eastAsia="仿宋_GB2312" w:cs="宋体" w:hint="eastAsia"/>
          <w:color w:val="000000"/>
          <w:kern w:val="0"/>
          <w:sz w:val="32"/>
          <w:szCs w:val="32"/>
          <w:lang w:val="en-US" w:eastAsia="zh-CN"/>
        </w:rPr>
        <w:t>事业</w:t>
      </w:r>
      <w:r>
        <w:rPr>
          <w:rFonts w:ascii="仿宋_GB2312" w:eastAsia="仿宋_GB2312" w:cs="宋体" w:hint="eastAsia"/>
          <w:color w:val="000000"/>
          <w:kern w:val="0"/>
          <w:sz w:val="32"/>
          <w:szCs w:val="32"/>
          <w:lang w:val="zh-CN" w:eastAsia="zh-CN"/>
        </w:rPr>
        <w:t>收入</w:t>
      </w:r>
      <w:r>
        <w:rPr>
          <w:rFonts w:ascii="仿宋_GB2312" w:cs="宋体" w:hAnsi="仿宋_GB2312" w:hint="eastAsia"/>
          <w:color w:val="000000"/>
          <w:kern w:val="0"/>
          <w:sz w:val="32"/>
          <w:szCs w:val="32"/>
          <w:lang w:val="en-US" w:eastAsia="zh-CN"/>
        </w:rPr>
        <w:t>10.23</w:t>
      </w:r>
      <w:r>
        <w:rPr>
          <w:rFonts w:ascii="仿宋_GB2312" w:eastAsia="仿宋_GB2312" w:cs="宋体" w:hint="eastAsia"/>
          <w:color w:val="000000"/>
          <w:kern w:val="0"/>
          <w:sz w:val="32"/>
          <w:szCs w:val="32"/>
          <w:lang w:val="zh-CN" w:eastAsia="zh-CN"/>
        </w:rPr>
        <w:t>万元，占总收入的</w:t>
      </w:r>
      <w:r>
        <w:rPr>
          <w:rFonts w:ascii="仿宋_GB2312" w:cs="宋体" w:hAnsi="仿宋_GB2312" w:hint="eastAsia"/>
          <w:color w:val="000000"/>
          <w:kern w:val="0"/>
          <w:sz w:val="32"/>
          <w:szCs w:val="32"/>
          <w:lang w:val="en-US" w:eastAsia="zh-CN"/>
        </w:rPr>
        <w:t>0.31</w:t>
      </w:r>
      <w:r>
        <w:rPr>
          <w:rFonts w:ascii="仿宋_GB2312" w:eastAsia="仿宋_GB2312" w:cs="宋体" w:hint="eastAsia"/>
          <w:color w:val="000000"/>
          <w:kern w:val="0"/>
          <w:sz w:val="32"/>
          <w:szCs w:val="32"/>
          <w:lang w:val="zh-CN" w:eastAsia="zh-CN"/>
        </w:rPr>
        <w:t>%</w:t>
      </w:r>
      <w:r>
        <w:rPr>
          <w:rFonts w:ascii="仿宋_GB2312" w:cs="宋体" w:hAnsi="仿宋_GB2312" w:hint="eastAsia"/>
          <w:color w:val="000000"/>
          <w:kern w:val="0"/>
          <w:sz w:val="32"/>
          <w:szCs w:val="32"/>
          <w:lang w:val="en-US" w:eastAsia="zh-CN"/>
        </w:rPr>
        <w:t>。</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（二）部门财政资金支出情况。</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en-US" w:eastAsia="zh-CN"/>
        </w:rPr>
      </w:pPr>
      <w:r>
        <w:rPr>
          <w:rFonts w:ascii="仿宋_GB2312" w:eastAsia="仿宋_GB2312" w:cs="宋体" w:hint="eastAsia"/>
          <w:color w:val="000000"/>
          <w:kern w:val="0"/>
          <w:sz w:val="32"/>
          <w:szCs w:val="32"/>
          <w:lang w:val="zh-CN"/>
        </w:rPr>
        <w:t>2</w:t>
      </w:r>
      <w:r>
        <w:rPr>
          <w:rFonts w:ascii="仿宋_GB2312" w:eastAsia="仿宋_GB2312" w:cs="宋体" w:hint="eastAsia"/>
          <w:color w:val="000000"/>
          <w:kern w:val="0"/>
          <w:sz w:val="32"/>
          <w:szCs w:val="32"/>
          <w:lang w:val="en-US" w:eastAsia="zh-CN"/>
        </w:rPr>
        <w:t>02</w:t>
      </w: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en-US" w:eastAsia="zh-CN"/>
        </w:rPr>
        <w:t>年金川县人民医院支出合计</w:t>
      </w:r>
      <w:r>
        <w:rPr>
          <w:rFonts w:ascii="仿宋_GB2312" w:cs="宋体" w:hAnsi="仿宋_GB2312" w:hint="eastAsia"/>
          <w:color w:val="000000"/>
          <w:kern w:val="0"/>
          <w:sz w:val="32"/>
          <w:szCs w:val="32"/>
          <w:lang w:val="en-US" w:eastAsia="zh-CN"/>
        </w:rPr>
        <w:t>3464.67</w:t>
      </w:r>
      <w:r>
        <w:rPr>
          <w:rFonts w:ascii="仿宋_GB2312" w:eastAsia="仿宋_GB2312" w:cs="宋体" w:hint="eastAsia"/>
          <w:color w:val="000000"/>
          <w:kern w:val="0"/>
          <w:sz w:val="32"/>
          <w:szCs w:val="32"/>
          <w:lang w:val="en-US" w:eastAsia="zh-CN"/>
        </w:rPr>
        <w:t>万元，其中：基本支出</w:t>
      </w:r>
      <w:r>
        <w:rPr>
          <w:rFonts w:ascii="仿宋_GB2312" w:cs="宋体" w:hAnsi="仿宋_GB2312" w:hint="eastAsia"/>
          <w:color w:val="000000"/>
          <w:kern w:val="0"/>
          <w:sz w:val="32"/>
          <w:szCs w:val="32"/>
          <w:lang w:val="en-US" w:eastAsia="zh-CN"/>
        </w:rPr>
        <w:t>3180.83</w:t>
      </w:r>
      <w:r>
        <w:rPr>
          <w:rFonts w:ascii="仿宋_GB2312" w:eastAsia="仿宋_GB2312" w:cs="宋体" w:hint="eastAsia"/>
          <w:color w:val="000000"/>
          <w:kern w:val="0"/>
          <w:sz w:val="32"/>
          <w:szCs w:val="32"/>
          <w:lang w:val="en-US" w:eastAsia="zh-CN"/>
        </w:rPr>
        <w:t>万元，占</w:t>
      </w:r>
      <w:r>
        <w:rPr>
          <w:rFonts w:ascii="仿宋_GB2312" w:cs="宋体" w:hAnsi="仿宋_GB2312" w:hint="eastAsia"/>
          <w:color w:val="000000"/>
          <w:kern w:val="0"/>
          <w:sz w:val="32"/>
          <w:szCs w:val="32"/>
          <w:lang w:val="en-US" w:eastAsia="zh-CN"/>
        </w:rPr>
        <w:t>91.80</w:t>
      </w:r>
      <w:r>
        <w:rPr>
          <w:rFonts w:ascii="仿宋_GB2312" w:eastAsia="仿宋_GB2312" w:cs="宋体" w:hint="eastAsia"/>
          <w:color w:val="000000"/>
          <w:kern w:val="0"/>
          <w:sz w:val="32"/>
          <w:szCs w:val="32"/>
          <w:lang w:val="en-US" w:eastAsia="zh-CN"/>
        </w:rPr>
        <w:t>%；项目支出</w:t>
      </w:r>
      <w:r>
        <w:rPr>
          <w:rFonts w:ascii="仿宋_GB2312" w:cs="宋体" w:hAnsi="仿宋_GB2312" w:hint="eastAsia"/>
          <w:color w:val="000000"/>
          <w:kern w:val="0"/>
          <w:sz w:val="32"/>
          <w:szCs w:val="32"/>
          <w:lang w:val="en-US" w:eastAsia="zh-CN"/>
        </w:rPr>
        <w:t>283.84</w:t>
      </w:r>
      <w:r>
        <w:rPr>
          <w:rFonts w:ascii="仿宋_GB2312" w:eastAsia="仿宋_GB2312" w:cs="宋体" w:hint="eastAsia"/>
          <w:color w:val="000000"/>
          <w:kern w:val="0"/>
          <w:sz w:val="32"/>
          <w:szCs w:val="32"/>
          <w:lang w:val="en-US" w:eastAsia="zh-CN"/>
        </w:rPr>
        <w:t>万元，占</w:t>
      </w:r>
      <w:r>
        <w:rPr>
          <w:rFonts w:ascii="仿宋_GB2312" w:cs="宋体" w:hAnsi="仿宋_GB2312" w:hint="eastAsia"/>
          <w:color w:val="000000"/>
          <w:kern w:val="0"/>
          <w:sz w:val="32"/>
          <w:szCs w:val="32"/>
          <w:lang w:val="en-US" w:eastAsia="zh-CN"/>
        </w:rPr>
        <w:t>8.2</w:t>
      </w:r>
      <w:r>
        <w:rPr>
          <w:rFonts w:ascii="仿宋_GB2312" w:eastAsia="仿宋_GB2312" w:cs="宋体" w:hint="eastAsia"/>
          <w:color w:val="000000"/>
          <w:kern w:val="0"/>
          <w:sz w:val="32"/>
          <w:szCs w:val="32"/>
          <w:lang w:val="en-US" w:eastAsia="zh-CN"/>
        </w:rPr>
        <w:t xml:space="preserve"> %。</w:t>
      </w:r>
    </w:p>
    <w:p>
      <w:pPr>
        <w:widowControl/>
        <w:adjustRightInd w:val="0"/>
        <w:snapToGrid w:val="0"/>
        <w:spacing w:line="540" w:lineRule="exact"/>
        <w:ind w:firstLine="720"/>
        <w:jc w:val="left"/>
        <w:rPr>
          <w:rFonts w:ascii="仿宋_GB2312" w:eastAsia="仿宋_GB2312" w:cs="宋体" w:hint="eastAsia"/>
          <w:b/>
          <w:bCs/>
          <w:color w:val="000000"/>
          <w:kern w:val="0"/>
          <w:sz w:val="32"/>
          <w:szCs w:val="32"/>
          <w:lang w:val="zh-CN"/>
        </w:rPr>
      </w:pPr>
      <w:r>
        <w:rPr>
          <w:rFonts w:ascii="仿宋_GB2312" w:cs="宋体" w:hAnsi="仿宋_GB2312" w:hint="eastAsia"/>
          <w:b/>
          <w:bCs/>
          <w:color w:val="000000"/>
          <w:kern w:val="0"/>
          <w:sz w:val="32"/>
          <w:szCs w:val="32"/>
          <w:lang w:val="en-US" w:eastAsia="zh-CN"/>
        </w:rPr>
        <w:t>三、</w:t>
      </w:r>
      <w:r>
        <w:rPr>
          <w:rFonts w:ascii="仿宋_GB2312" w:eastAsia="仿宋_GB2312" w:cs="宋体" w:hint="eastAsia"/>
          <w:b/>
          <w:bCs/>
          <w:color w:val="000000"/>
          <w:kern w:val="0"/>
          <w:sz w:val="32"/>
          <w:szCs w:val="32"/>
          <w:lang w:val="zh-CN"/>
        </w:rPr>
        <w:t>部门整体预算绩效管理情况</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（一）部门预算管理。</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绩效目标制定：做到要素完整，指标细化量化；</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目标实现：实际完成情况与预期绩效目标基本一致；</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预算编制准确：年初预算科学准确；</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支出控制：部门公务经费支出与年初预算基本一致；</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预算动态调整：及时进行了预算动态调整；</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en-US" w:eastAsia="zh-CN"/>
        </w:rPr>
      </w:pPr>
      <w:r>
        <w:rPr>
          <w:rFonts w:ascii="仿宋_GB2312" w:eastAsia="仿宋_GB2312" w:cs="宋体" w:hint="eastAsia"/>
          <w:color w:val="000000"/>
          <w:kern w:val="0"/>
          <w:sz w:val="32"/>
          <w:szCs w:val="32"/>
          <w:lang w:val="zh-CN"/>
        </w:rPr>
        <w:t>执行进度：单位预算内支出进度达标</w:t>
      </w:r>
      <w:r>
        <w:rPr>
          <w:rFonts w:ascii="仿宋_GB2312" w:eastAsia="仿宋_GB2312" w:cs="宋体" w:hint="eastAsia"/>
          <w:color w:val="000000"/>
          <w:kern w:val="0"/>
          <w:sz w:val="32"/>
          <w:szCs w:val="32"/>
          <w:lang w:val="en-US" w:eastAsia="zh-CN"/>
        </w:rPr>
        <w:t>；</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en-US" w:eastAsia="zh-CN"/>
        </w:rPr>
      </w:pPr>
      <w:r>
        <w:rPr>
          <w:rFonts w:ascii="仿宋_GB2312" w:eastAsia="仿宋_GB2312" w:cs="宋体" w:hint="eastAsia"/>
          <w:color w:val="000000"/>
          <w:kern w:val="0"/>
          <w:sz w:val="32"/>
          <w:szCs w:val="32"/>
          <w:lang w:val="en-US" w:eastAsia="zh-CN"/>
        </w:rPr>
        <w:t>预算完成情况：年底预算情况全部完成；</w:t>
      </w:r>
    </w:p>
    <w:p>
      <w:pPr>
        <w:widowControl/>
        <w:adjustRightInd w:val="0"/>
        <w:snapToGrid w:val="0"/>
        <w:spacing w:line="540" w:lineRule="exact"/>
        <w:ind w:firstLine="720"/>
        <w:jc w:val="left"/>
        <w:rPr>
          <w:rFonts w:ascii="仿宋_GB2312" w:eastAsia="仿宋_GB2312" w:cs="宋体"/>
          <w:color w:val="000000"/>
          <w:kern w:val="0"/>
          <w:sz w:val="32"/>
          <w:szCs w:val="32"/>
          <w:lang w:val="en-US" w:eastAsia="zh-CN"/>
        </w:rPr>
      </w:pPr>
      <w:r>
        <w:rPr>
          <w:rFonts w:ascii="仿宋_GB2312" w:eastAsia="仿宋_GB2312" w:cs="宋体" w:hint="eastAsia"/>
          <w:color w:val="000000"/>
          <w:kern w:val="0"/>
          <w:sz w:val="32"/>
          <w:szCs w:val="32"/>
          <w:lang w:val="en-US" w:eastAsia="zh-CN"/>
        </w:rPr>
        <w:t>违规记录：无</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（二）结果应用情况。</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eastAsia="zh-CN"/>
        </w:rPr>
      </w:pPr>
      <w:r>
        <w:rPr>
          <w:rFonts w:ascii="仿宋_GB2312" w:eastAsia="仿宋_GB2312" w:cs="宋体" w:hint="eastAsia"/>
          <w:color w:val="000000"/>
          <w:kern w:val="0"/>
          <w:sz w:val="32"/>
          <w:szCs w:val="32"/>
          <w:lang w:val="zh-CN" w:eastAsia="zh-CN"/>
        </w:rPr>
        <w:t>我</w:t>
      </w:r>
      <w:r>
        <w:rPr>
          <w:rFonts w:ascii="仿宋_GB2312" w:eastAsia="仿宋_GB2312" w:cs="宋体" w:hint="eastAsia"/>
          <w:color w:val="000000"/>
          <w:kern w:val="0"/>
          <w:sz w:val="32"/>
          <w:szCs w:val="32"/>
          <w:lang w:val="en-US" w:eastAsia="zh-CN"/>
        </w:rPr>
        <w:t>院</w:t>
      </w:r>
      <w:r>
        <w:rPr>
          <w:rFonts w:ascii="仿宋_GB2312" w:eastAsia="仿宋_GB2312" w:cs="宋体" w:hint="eastAsia"/>
          <w:color w:val="000000"/>
          <w:kern w:val="0"/>
          <w:sz w:val="32"/>
          <w:szCs w:val="32"/>
          <w:lang w:val="zh-CN" w:eastAsia="zh-CN"/>
        </w:rPr>
        <w:t>按要求将相关绩效信息随同决算公开</w:t>
      </w:r>
      <w:r>
        <w:rPr>
          <w:rFonts w:ascii="仿宋_GB2312" w:eastAsia="仿宋_GB2312" w:cs="宋体" w:hint="eastAsia"/>
          <w:color w:val="000000"/>
          <w:kern w:val="0"/>
          <w:sz w:val="32"/>
          <w:szCs w:val="32"/>
          <w:lang w:val="en-US" w:eastAsia="zh-CN"/>
        </w:rPr>
        <w:t>；针对绩效管理过程中（包括绩效目标核查、绩效监控核查和重点绩效评价）提出的问题及时进行整改，将绩效管理结果与预算安排进行；在规定时间内向财政部门反馈应用绩效结果报告。</w:t>
      </w:r>
    </w:p>
    <w:p>
      <w:pPr>
        <w:widowControl/>
        <w:adjustRightInd w:val="0"/>
        <w:snapToGrid w:val="0"/>
        <w:spacing w:line="540" w:lineRule="exact"/>
        <w:ind w:firstLine="720"/>
        <w:jc w:val="left"/>
        <w:rPr>
          <w:rFonts w:ascii="仿宋_GB2312" w:eastAsia="仿宋_GB2312" w:cs="宋体" w:hint="eastAsia"/>
          <w:b/>
          <w:bCs/>
          <w:color w:val="000000"/>
          <w:kern w:val="0"/>
          <w:sz w:val="32"/>
          <w:szCs w:val="32"/>
          <w:lang w:val="zh-CN"/>
        </w:rPr>
      </w:pPr>
      <w:r>
        <w:rPr>
          <w:rFonts w:ascii="仿宋_GB2312" w:eastAsia="仿宋_GB2312" w:cs="宋体" w:hint="eastAsia"/>
          <w:b/>
          <w:bCs/>
          <w:color w:val="000000"/>
          <w:kern w:val="0"/>
          <w:sz w:val="32"/>
          <w:szCs w:val="32"/>
          <w:lang w:val="zh-CN"/>
        </w:rPr>
        <w:t>四、评价结论及建议</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（一）评价结论。</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en-US" w:eastAsia="zh-CN"/>
        </w:rPr>
        <w:t>我院在县卫健委的指导下，以保护广大人民身体健康为己任，竭力做好</w:t>
      </w:r>
      <w:r>
        <w:rPr>
          <w:rFonts w:ascii="仿宋_GB2312" w:eastAsia="仿宋_GB2312" w:cs="宋体" w:hint="eastAsia"/>
          <w:color w:val="000000"/>
          <w:kern w:val="0"/>
          <w:sz w:val="32"/>
          <w:szCs w:val="32"/>
          <w:lang w:val="zh-CN"/>
        </w:rPr>
        <w:t>居民的预防、医疗和保健</w:t>
      </w:r>
      <w:r>
        <w:rPr>
          <w:rFonts w:ascii="仿宋_GB2312" w:eastAsia="仿宋_GB2312" w:cs="宋体" w:hint="eastAsia"/>
          <w:color w:val="000000"/>
          <w:kern w:val="0"/>
          <w:sz w:val="32"/>
          <w:szCs w:val="32"/>
          <w:lang w:val="en-US" w:eastAsia="zh-CN"/>
        </w:rPr>
        <w:t xml:space="preserve">工作。基本完成各项项目指标任务。部门预算执行情况良好，无不良记录及违规违纪行为，预算支出和决算支出情况相符。 </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（二）存在问题。</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1、预算编制不够明确和细化</w:t>
      </w:r>
      <w:r>
        <w:rPr>
          <w:rFonts w:ascii="仿宋_GB2312" w:cs="宋体" w:hAnsi="仿宋_GB2312" w:hint="eastAsia"/>
          <w:color w:val="000000"/>
          <w:kern w:val="0"/>
          <w:sz w:val="32"/>
          <w:szCs w:val="32"/>
          <w:lang w:val="zh-CN"/>
        </w:rPr>
        <w:t>。</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zh-CN"/>
        </w:rPr>
        <w:t>、部门决算上报处理效率还需继续提升</w:t>
      </w:r>
      <w:r>
        <w:rPr>
          <w:rFonts w:ascii="仿宋_GB2312" w:cs="宋体" w:hAnsi="仿宋_GB2312" w:hint="eastAsia"/>
          <w:color w:val="000000"/>
          <w:kern w:val="0"/>
          <w:sz w:val="32"/>
          <w:szCs w:val="32"/>
          <w:lang w:val="zh-CN"/>
        </w:rPr>
        <w:t>。</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zh-CN"/>
        </w:rPr>
      </w:pPr>
      <w:r>
        <w:rPr>
          <w:rFonts w:ascii="仿宋_GB2312" w:eastAsia="仿宋_GB2312" w:cs="宋体" w:hint="eastAsia"/>
          <w:color w:val="000000"/>
          <w:kern w:val="0"/>
          <w:sz w:val="32"/>
          <w:szCs w:val="32"/>
          <w:lang w:val="zh-CN"/>
        </w:rPr>
        <w:t>改进建议。</w:t>
      </w:r>
    </w:p>
    <w:p>
      <w:pPr>
        <w:widowControl/>
        <w:adjustRightInd w:val="0"/>
        <w:snapToGrid w:val="0"/>
        <w:spacing w:line="540" w:lineRule="exact"/>
        <w:ind w:firstLineChars="200" w:firstLine="640"/>
        <w:jc w:val="left"/>
        <w:rPr>
          <w:rFonts w:ascii="仿宋_GB2312" w:eastAsia="仿宋_GB2312" w:cs="宋体" w:hint="eastAsia"/>
          <w:color w:val="000000"/>
          <w:kern w:val="0"/>
          <w:sz w:val="32"/>
          <w:szCs w:val="32"/>
          <w:lang w:val="en-US" w:eastAsia="zh-CN"/>
        </w:rPr>
      </w:pPr>
      <w:r>
        <w:rPr>
          <w:rFonts w:ascii="仿宋_GB2312" w:eastAsia="仿宋_GB2312" w:cs="宋体" w:hint="eastAsia"/>
          <w:color w:val="000000"/>
          <w:kern w:val="0"/>
          <w:sz w:val="32"/>
          <w:szCs w:val="32"/>
          <w:lang w:val="en-US" w:eastAsia="zh-CN"/>
        </w:rPr>
        <w:t>1、加强学习，提高思想认识。要求单位财务人员认真学习《</w:t>
      </w:r>
      <w:r>
        <w:rPr>
          <w:rFonts w:ascii="仿宋_GB2312" w:eastAsia="仿宋_GB2312" w:cs="宋体"/>
          <w:color w:val="000000"/>
          <w:kern w:val="0"/>
          <w:sz w:val="32"/>
          <w:szCs w:val="32"/>
          <w:lang w:val="en-US" w:eastAsia="zh-CN"/>
        </w:rPr>
        <w:t>中华人民共和国</w:t>
      </w:r>
      <w:bookmarkStart w:id="72" w:name="_GoBack"/>
      <w:bookmarkEnd w:id="72"/>
      <w:r>
        <w:rPr>
          <w:rFonts w:ascii="仿宋_GB2312" w:eastAsia="仿宋_GB2312" w:cs="宋体" w:hint="eastAsia"/>
          <w:color w:val="000000"/>
          <w:kern w:val="0"/>
          <w:sz w:val="32"/>
          <w:szCs w:val="32"/>
          <w:lang w:val="en-US" w:eastAsia="zh-CN"/>
        </w:rPr>
        <w:t>预算法》等相关法规、制度，提高单位对全面预算管理的重视程度，增强财务人员的预算意识</w:t>
      </w:r>
      <w:r>
        <w:rPr>
          <w:rFonts w:ascii="仿宋_GB2312" w:cs="宋体" w:hAnsi="仿宋_GB2312" w:hint="eastAsia"/>
          <w:color w:val="000000"/>
          <w:kern w:val="0"/>
          <w:sz w:val="32"/>
          <w:szCs w:val="32"/>
          <w:lang w:val="en-US" w:eastAsia="zh-CN"/>
        </w:rPr>
        <w:t>。</w:t>
      </w:r>
    </w:p>
    <w:p>
      <w:pPr>
        <w:widowControl/>
        <w:adjustRightInd w:val="0"/>
        <w:snapToGrid w:val="0"/>
        <w:spacing w:line="480" w:lineRule="exact"/>
        <w:ind w:firstLineChars="200" w:firstLine="640"/>
        <w:jc w:val="left"/>
        <w:rPr>
          <w:rFonts w:ascii="仿宋_GB2312" w:eastAsia="仿宋_GB2312" w:cs="宋体" w:hint="eastAsia"/>
          <w:color w:val="000000"/>
          <w:kern w:val="0"/>
          <w:sz w:val="32"/>
          <w:lang w:val="zh-CN"/>
        </w:rPr>
      </w:pPr>
      <w:r>
        <w:rPr>
          <w:rFonts w:ascii="仿宋_GB2312" w:cs="宋体" w:hAnsi="仿宋_GB2312" w:hint="eastAsia"/>
          <w:color w:val="000000"/>
          <w:kern w:val="0"/>
          <w:sz w:val="32"/>
          <w:szCs w:val="32"/>
          <w:lang w:val="en-US" w:eastAsia="zh-CN"/>
        </w:rPr>
        <w:t>2、</w:t>
      </w:r>
      <w:r>
        <w:rPr>
          <w:rFonts w:ascii="仿宋_GB2312" w:eastAsia="仿宋_GB2312" w:cs="宋体" w:hint="eastAsia"/>
          <w:color w:val="000000"/>
          <w:kern w:val="0"/>
          <w:sz w:val="32"/>
          <w:szCs w:val="32"/>
          <w:lang w:val="en-US" w:eastAsia="zh-CN"/>
        </w:rPr>
        <w:t xml:space="preserve"> </w:t>
      </w:r>
      <w:r>
        <w:rPr>
          <w:rFonts w:ascii="仿宋_GB2312" w:eastAsia="仿宋_GB2312" w:cs="宋体" w:hint="eastAsia"/>
          <w:color w:val="000000"/>
          <w:kern w:val="0"/>
          <w:sz w:val="32"/>
          <w:lang w:val="zh-CN" w:eastAsia="zh-CN"/>
        </w:rPr>
        <w:t>坚持定期进行财务分析。每季度进行财务收支分析，对收支不合理现象做出预警，并及时通报。开展绩效评价，确保绩效目标完成。</w:t>
      </w:r>
    </w:p>
    <w:p>
      <w:pPr>
        <w:widowControl/>
        <w:adjustRightInd w:val="0"/>
        <w:snapToGrid w:val="0"/>
        <w:spacing w:line="540" w:lineRule="exact"/>
        <w:ind w:firstLine="720"/>
        <w:jc w:val="left"/>
        <w:rPr>
          <w:rFonts w:ascii="仿宋_GB2312" w:eastAsia="仿宋_GB2312" w:cs="宋体" w:hint="eastAsia"/>
          <w:color w:val="000000"/>
          <w:kern w:val="0"/>
          <w:sz w:val="32"/>
          <w:szCs w:val="32"/>
          <w:lang w:val="en-US" w:eastAsia="zh-CN"/>
        </w:rPr>
      </w:pPr>
    </w:p>
    <w:p>
      <w:pPr>
        <w:widowControl/>
        <w:adjustRightInd w:val="0"/>
        <w:snapToGrid w:val="0"/>
        <w:spacing w:line="540" w:lineRule="exact"/>
        <w:ind w:firstLine="720"/>
        <w:jc w:val="left"/>
        <w:rPr>
          <w:rFonts w:ascii="仿宋_GB2312" w:eastAsia="仿宋_GB2312" w:cs="宋体" w:hint="eastAsia"/>
          <w:color w:val="000000"/>
          <w:kern w:val="0"/>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cs="仿宋_GB2312" w:hAnsi="仿宋_GB2312" w:hint="eastAsia"/>
          <w:b w:val="0"/>
          <w:bCs/>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cs="仿宋_GB2312" w:hAnsi="仿宋_GB2312"/>
          <w:b w:val="0"/>
          <w:bCs/>
          <w:lang w:val="en-US" w:eastAsia="zh-CN"/>
        </w:rPr>
      </w:pPr>
      <w:r>
        <w:rPr>
          <w:rFonts w:ascii="仿宋_GB2312" w:cs="仿宋_GB2312" w:hAnsi="仿宋_GB2312" w:hint="eastAsia"/>
          <w:b w:val="0"/>
          <w:bCs/>
          <w:lang w:val="en-US" w:eastAsia="zh-CN"/>
        </w:rPr>
        <w:t xml:space="preserve">                       </w:t>
      </w:r>
    </w:p>
    <w:p>
      <w:pPr>
        <w:spacing w:line="600" w:lineRule="exact"/>
        <w:jc w:val="both"/>
        <w:outlineLvl w:val="0"/>
        <w:rPr>
          <w:rFonts w:ascii="黑体" w:eastAsia="黑体" w:hint="eastAsia"/>
          <w:color w:val="000000"/>
          <w:sz w:val="44"/>
          <w:szCs w:val="44"/>
        </w:rPr>
      </w:pPr>
    </w:p>
    <w:p>
      <w:pPr>
        <w:spacing w:line="600" w:lineRule="exact"/>
        <w:jc w:val="center"/>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69"/>
      <w:bookmarkEnd w:id="70"/>
    </w:p>
    <w:p>
      <w:pPr>
        <w:rPr>
          <w:rFonts w:ascii="黑体" w:eastAsia="黑体" w:cs="黑体"/>
          <w:sz w:val="30"/>
          <w:szCs w:val="30"/>
        </w:rPr>
      </w:pPr>
      <w:bookmarkEnd w:id="71"/>
    </w:p>
    <w:p>
      <w:pPr>
        <w:pStyle w:val="2"/>
        <w:spacing w:before="0" w:after="0" w:line="560" w:lineRule="exact"/>
        <w:rPr>
          <w:rFonts w:ascii="仿宋" w:eastAsia="仿宋" w:hint="eastAsia"/>
          <w:color w:val="000000"/>
        </w:rPr>
      </w:pPr>
      <w:bookmarkStart w:id="73" w:name="_Toc79163636"/>
      <w:bookmarkStart w:id="74" w:name="_Toc31434"/>
      <w:bookmarkStart w:id="75" w:name="_Toc79163886"/>
      <w:r>
        <w:rPr>
          <w:rFonts w:ascii="仿宋" w:eastAsia="仿宋" w:hint="eastAsia"/>
          <w:b w:val="0"/>
          <w:color w:val="000000"/>
        </w:rPr>
        <w:t>一、收</w:t>
      </w:r>
      <w:r>
        <w:rPr>
          <w:rStyle w:val="2Char"/>
          <w:rFonts w:ascii="仿宋" w:eastAsia="仿宋" w:hint="eastAsia"/>
          <w:b/>
          <w:bCs/>
        </w:rPr>
        <w:t>入支出决算总表</w:t>
      </w:r>
      <w:bookmarkEnd w:id="73"/>
      <w:bookmarkEnd w:id="74"/>
      <w:bookmarkEnd w:id="75"/>
    </w:p>
    <w:p>
      <w:pPr>
        <w:pStyle w:val="2"/>
        <w:spacing w:before="0" w:after="0" w:line="560" w:lineRule="exact"/>
        <w:rPr>
          <w:rFonts w:ascii="仿宋" w:eastAsia="仿宋" w:hint="eastAsia"/>
          <w:color w:val="000000"/>
        </w:rPr>
      </w:pPr>
      <w:bookmarkStart w:id="76" w:name="_Toc25040"/>
      <w:bookmarkStart w:id="77" w:name="_Toc79163887"/>
      <w:bookmarkStart w:id="78" w:name="_Toc15396620"/>
      <w:bookmarkStart w:id="79" w:name="_Toc79163637"/>
      <w:r>
        <w:rPr>
          <w:rFonts w:ascii="仿宋" w:eastAsia="仿宋" w:hint="eastAsia"/>
          <w:b w:val="0"/>
          <w:color w:val="000000"/>
        </w:rPr>
        <w:t>二、收</w:t>
      </w:r>
      <w:r>
        <w:rPr>
          <w:rStyle w:val="2Char"/>
          <w:rFonts w:ascii="仿宋" w:eastAsia="仿宋" w:hint="eastAsia"/>
          <w:b/>
          <w:bCs/>
        </w:rPr>
        <w:t>入决算表</w:t>
      </w:r>
      <w:bookmarkEnd w:id="76"/>
      <w:bookmarkEnd w:id="77"/>
      <w:bookmarkEnd w:id="78"/>
      <w:bookmarkEnd w:id="79"/>
    </w:p>
    <w:p>
      <w:pPr>
        <w:pStyle w:val="2"/>
        <w:spacing w:before="0" w:after="0" w:line="560" w:lineRule="exact"/>
        <w:rPr>
          <w:rFonts w:ascii="仿宋" w:eastAsia="仿宋" w:hint="eastAsia"/>
          <w:color w:val="000000"/>
        </w:rPr>
      </w:pPr>
      <w:bookmarkStart w:id="80" w:name="_Toc15396621"/>
      <w:bookmarkStart w:id="81" w:name="_Toc79163888"/>
      <w:bookmarkStart w:id="82" w:name="_Toc79163638"/>
      <w:bookmarkStart w:id="83" w:name="_Toc26368"/>
      <w:r>
        <w:rPr>
          <w:rStyle w:val="2Char"/>
          <w:rFonts w:ascii="仿宋" w:eastAsia="仿宋" w:hint="eastAsia"/>
          <w:b/>
          <w:bCs/>
        </w:rPr>
        <w:t>三、</w:t>
      </w:r>
      <w:r>
        <w:rPr>
          <w:rFonts w:ascii="仿宋" w:eastAsia="仿宋" w:hint="eastAsia"/>
          <w:b w:val="0"/>
          <w:color w:val="000000"/>
        </w:rPr>
        <w:t>支</w:t>
      </w:r>
      <w:r>
        <w:rPr>
          <w:rStyle w:val="2Char"/>
          <w:rFonts w:ascii="仿宋" w:eastAsia="仿宋" w:hint="eastAsia"/>
          <w:b/>
          <w:bCs/>
        </w:rPr>
        <w:t>出决算表</w:t>
      </w:r>
      <w:bookmarkEnd w:id="80"/>
      <w:bookmarkEnd w:id="81"/>
      <w:bookmarkEnd w:id="82"/>
      <w:bookmarkEnd w:id="83"/>
    </w:p>
    <w:p>
      <w:pPr>
        <w:pStyle w:val="2"/>
        <w:spacing w:before="0" w:after="0" w:line="560" w:lineRule="exact"/>
        <w:rPr>
          <w:rFonts w:ascii="仿宋" w:eastAsia="仿宋" w:hint="eastAsia"/>
          <w:b w:val="0"/>
          <w:color w:val="000000"/>
        </w:rPr>
      </w:pPr>
      <w:bookmarkStart w:id="84" w:name="_Toc17173"/>
      <w:bookmarkStart w:id="85" w:name="_Toc79163639"/>
      <w:bookmarkStart w:id="86" w:name="_Toc15396622"/>
      <w:bookmarkStart w:id="87" w:name="_Toc79163889"/>
      <w:r>
        <w:rPr>
          <w:rStyle w:val="2Char"/>
          <w:rFonts w:ascii="仿宋" w:eastAsia="仿宋" w:hint="eastAsia"/>
          <w:b/>
          <w:bCs/>
        </w:rPr>
        <w:t>四、</w:t>
      </w:r>
      <w:r>
        <w:rPr>
          <w:rFonts w:ascii="仿宋" w:eastAsia="仿宋" w:hint="eastAsia"/>
          <w:b w:val="0"/>
          <w:color w:val="000000"/>
        </w:rPr>
        <w:t>财</w:t>
      </w:r>
      <w:r>
        <w:rPr>
          <w:rStyle w:val="2Char"/>
          <w:rFonts w:ascii="仿宋" w:eastAsia="仿宋" w:hint="eastAsia"/>
          <w:b/>
          <w:bCs/>
        </w:rPr>
        <w:t>政拨款收入支出决算总表</w:t>
      </w:r>
      <w:bookmarkEnd w:id="84"/>
      <w:bookmarkEnd w:id="85"/>
      <w:bookmarkEnd w:id="86"/>
      <w:bookmarkEnd w:id="87"/>
    </w:p>
    <w:p>
      <w:pPr>
        <w:pStyle w:val="2"/>
        <w:spacing w:before="0" w:after="0" w:line="560" w:lineRule="exact"/>
        <w:rPr>
          <w:rStyle w:val="2Char"/>
          <w:rFonts w:ascii="仿宋" w:eastAsia="仿宋" w:hint="eastAsia"/>
          <w:b/>
          <w:bCs/>
        </w:rPr>
      </w:pPr>
      <w:bookmarkStart w:id="88" w:name="_Toc23705"/>
      <w:bookmarkStart w:id="89" w:name="_Toc15396623"/>
      <w:bookmarkStart w:id="90" w:name="_Toc79163890"/>
      <w:bookmarkStart w:id="91" w:name="_Toc79163640"/>
      <w:r>
        <w:rPr>
          <w:rStyle w:val="2Char"/>
          <w:rFonts w:ascii="仿宋" w:eastAsia="仿宋" w:hint="eastAsia"/>
          <w:b/>
          <w:bCs/>
        </w:rPr>
        <w:t>五、</w:t>
      </w:r>
      <w:r>
        <w:rPr>
          <w:rFonts w:ascii="仿宋" w:eastAsia="仿宋" w:hint="eastAsia"/>
          <w:b w:val="0"/>
          <w:color w:val="000000"/>
        </w:rPr>
        <w:t>财</w:t>
      </w:r>
      <w:r>
        <w:rPr>
          <w:rStyle w:val="2Char"/>
          <w:rFonts w:ascii="仿宋" w:eastAsia="仿宋" w:hint="eastAsia"/>
          <w:b/>
          <w:bCs/>
        </w:rPr>
        <w:t>政拨款支出决算明细表</w:t>
      </w:r>
      <w:bookmarkStart w:id="92" w:name="_Toc15396624"/>
      <w:bookmarkEnd w:id="88"/>
      <w:bookmarkEnd w:id="89"/>
      <w:bookmarkEnd w:id="90"/>
      <w:bookmarkEnd w:id="91"/>
    </w:p>
    <w:p>
      <w:pPr>
        <w:pStyle w:val="2"/>
        <w:spacing w:before="0" w:after="0" w:line="560" w:lineRule="exact"/>
        <w:rPr>
          <w:rFonts w:ascii="仿宋" w:eastAsia="仿宋" w:hint="eastAsia"/>
          <w:color w:val="000000"/>
        </w:rPr>
      </w:pPr>
      <w:bookmarkStart w:id="93" w:name="_Toc79163641"/>
      <w:bookmarkStart w:id="94" w:name="_Toc29876"/>
      <w:bookmarkStart w:id="95" w:name="_Toc79163891"/>
      <w:r>
        <w:rPr>
          <w:rStyle w:val="2Char"/>
          <w:rFonts w:ascii="仿宋" w:eastAsia="仿宋" w:hint="eastAsia"/>
          <w:b/>
          <w:bCs/>
        </w:rPr>
        <w:t>六、</w:t>
      </w:r>
      <w:r>
        <w:rPr>
          <w:rFonts w:ascii="仿宋" w:eastAsia="仿宋" w:hint="eastAsia"/>
          <w:b w:val="0"/>
          <w:color w:val="000000"/>
        </w:rPr>
        <w:t>一</w:t>
      </w:r>
      <w:r>
        <w:rPr>
          <w:rStyle w:val="2Char"/>
          <w:rFonts w:ascii="仿宋" w:eastAsia="仿宋" w:hint="eastAsia"/>
          <w:b/>
          <w:bCs/>
        </w:rPr>
        <w:t>般公共预算财政拨款支出决算表</w:t>
      </w:r>
      <w:bookmarkEnd w:id="92"/>
      <w:bookmarkEnd w:id="93"/>
      <w:bookmarkEnd w:id="94"/>
      <w:bookmarkEnd w:id="95"/>
    </w:p>
    <w:p>
      <w:pPr>
        <w:pStyle w:val="2"/>
        <w:spacing w:before="0" w:after="0" w:line="560" w:lineRule="exact"/>
        <w:rPr>
          <w:rFonts w:ascii="仿宋" w:eastAsia="仿宋" w:hint="eastAsia"/>
          <w:color w:val="000000"/>
        </w:rPr>
      </w:pPr>
      <w:bookmarkStart w:id="96" w:name="_Toc79163642"/>
      <w:bookmarkStart w:id="97" w:name="_Toc29854"/>
      <w:bookmarkStart w:id="98" w:name="_Toc15396625"/>
      <w:bookmarkStart w:id="99" w:name="_Toc79163892"/>
      <w:r>
        <w:rPr>
          <w:rStyle w:val="2Char"/>
          <w:rFonts w:ascii="仿宋" w:eastAsia="仿宋" w:hint="eastAsia"/>
          <w:b/>
          <w:bCs/>
        </w:rPr>
        <w:t>七、</w:t>
      </w:r>
      <w:r>
        <w:rPr>
          <w:rFonts w:ascii="仿宋" w:eastAsia="仿宋" w:hint="eastAsia"/>
          <w:b w:val="0"/>
          <w:color w:val="000000"/>
        </w:rPr>
        <w:t>一</w:t>
      </w:r>
      <w:r>
        <w:rPr>
          <w:rStyle w:val="2Char"/>
          <w:rFonts w:ascii="仿宋" w:eastAsia="仿宋" w:hint="eastAsia"/>
          <w:b/>
          <w:bCs/>
        </w:rPr>
        <w:t>般公共预算财政拨款支出决算明细表</w:t>
      </w:r>
      <w:bookmarkEnd w:id="96"/>
      <w:bookmarkEnd w:id="97"/>
      <w:bookmarkEnd w:id="98"/>
      <w:bookmarkEnd w:id="99"/>
    </w:p>
    <w:p>
      <w:pPr>
        <w:pStyle w:val="2"/>
        <w:spacing w:before="0" w:after="0" w:line="560" w:lineRule="exact"/>
        <w:rPr>
          <w:rStyle w:val="2Char"/>
          <w:rFonts w:ascii="仿宋" w:eastAsia="仿宋" w:hint="eastAsia"/>
          <w:b/>
          <w:bCs/>
        </w:rPr>
      </w:pPr>
      <w:bookmarkStart w:id="100" w:name="_Toc15396626"/>
      <w:bookmarkStart w:id="101" w:name="_Toc79163643"/>
      <w:bookmarkStart w:id="102" w:name="_Toc31141"/>
      <w:bookmarkStart w:id="103" w:name="_Toc79163893"/>
      <w:r>
        <w:rPr>
          <w:rStyle w:val="2Char"/>
          <w:rFonts w:ascii="仿宋" w:eastAsia="仿宋" w:hint="eastAsia"/>
          <w:b/>
          <w:bCs/>
        </w:rPr>
        <w:t>八、</w:t>
      </w:r>
      <w:r>
        <w:rPr>
          <w:rFonts w:ascii="仿宋" w:eastAsia="仿宋" w:hint="eastAsia"/>
          <w:b w:val="0"/>
          <w:color w:val="000000"/>
        </w:rPr>
        <w:t>一</w:t>
      </w:r>
      <w:r>
        <w:rPr>
          <w:rStyle w:val="2Char"/>
          <w:rFonts w:ascii="仿宋" w:eastAsia="仿宋" w:hint="eastAsia"/>
          <w:b/>
          <w:bCs/>
        </w:rPr>
        <w:t>般公共预算财政拨款基本支出决算明细表</w:t>
      </w:r>
      <w:bookmarkEnd w:id="100"/>
      <w:bookmarkEnd w:id="101"/>
      <w:bookmarkEnd w:id="102"/>
      <w:bookmarkEnd w:id="103"/>
    </w:p>
    <w:p>
      <w:pPr>
        <w:rPr>
          <w:rStyle w:val="2Char"/>
          <w:rFonts w:ascii="仿宋" w:eastAsia="仿宋" w:hint="eastAsia"/>
          <w:b/>
          <w:bCs/>
        </w:rPr>
      </w:pPr>
      <w:r>
        <w:rPr>
          <w:rStyle w:val="2Char"/>
          <w:rFonts w:ascii="仿宋" w:eastAsia="仿宋" w:hint="eastAsia"/>
          <w:b/>
          <w:bCs/>
        </w:rPr>
        <w:t>九、一般公共预算财政拨款项目支出决算表</w:t>
      </w:r>
    </w:p>
    <w:p>
      <w:pPr>
        <w:rPr>
          <w:rStyle w:val="2Char"/>
          <w:rFonts w:ascii="仿宋" w:eastAsia="仿宋" w:hint="eastAsia"/>
          <w:b/>
          <w:bCs/>
        </w:rPr>
      </w:pPr>
      <w:r>
        <w:rPr>
          <w:rStyle w:val="2Char"/>
          <w:rFonts w:ascii="仿宋" w:eastAsia="仿宋" w:hint="eastAsia"/>
          <w:b/>
          <w:bCs/>
        </w:rPr>
        <w:t>十、政府性基金预算财政拨款收入支出决算表</w:t>
      </w:r>
    </w:p>
    <w:p>
      <w:pPr>
        <w:pStyle w:val="2"/>
        <w:spacing w:before="0" w:after="0" w:line="560" w:lineRule="exact"/>
        <w:rPr>
          <w:rStyle w:val="2Char"/>
          <w:rFonts w:ascii="仿宋" w:eastAsia="仿宋" w:hint="eastAsia"/>
          <w:b/>
          <w:bCs/>
          <w:lang w:eastAsia="zh-CN"/>
        </w:rPr>
      </w:pPr>
      <w:r>
        <w:rPr>
          <w:rStyle w:val="2Char"/>
          <w:rFonts w:ascii="仿宋" w:eastAsia="仿宋" w:hint="eastAsia"/>
          <w:b/>
          <w:bCs/>
          <w:lang w:eastAsia="zh-CN"/>
        </w:rPr>
        <w:t>十一、国有资本经营预算财政拨款收入支出决算表</w:t>
      </w:r>
    </w:p>
    <w:p>
      <w:pPr>
        <w:pStyle w:val="2"/>
        <w:spacing w:before="0" w:after="0" w:line="560" w:lineRule="exact"/>
        <w:rPr>
          <w:rStyle w:val="2Char"/>
          <w:rFonts w:ascii="仿宋" w:eastAsia="仿宋" w:hint="eastAsia"/>
          <w:b/>
          <w:bCs/>
          <w:lang w:eastAsia="zh-CN"/>
        </w:rPr>
      </w:pPr>
      <w:r>
        <w:rPr>
          <w:rStyle w:val="2Char"/>
          <w:rFonts w:ascii="仿宋" w:eastAsia="仿宋" w:hint="eastAsia"/>
          <w:b/>
          <w:bCs/>
          <w:lang w:eastAsia="zh-CN"/>
        </w:rPr>
        <w:t>十二、国有资本经营预算财政拨款收入支出决算表</w:t>
      </w:r>
    </w:p>
    <w:p>
      <w:pPr>
        <w:pStyle w:val="2"/>
        <w:spacing w:before="0" w:after="0" w:line="560" w:lineRule="exact"/>
        <w:rPr>
          <w:rStyle w:val="2Char"/>
          <w:rFonts w:ascii="仿宋" w:eastAsia="仿宋" w:hint="eastAsia"/>
          <w:b/>
          <w:bCs/>
          <w:lang w:eastAsia="zh-CN"/>
        </w:rPr>
      </w:pPr>
      <w:r>
        <w:rPr>
          <w:rStyle w:val="2Char"/>
          <w:rFonts w:ascii="仿宋" w:eastAsia="仿宋" w:hint="eastAsia"/>
          <w:b/>
          <w:bCs/>
          <w:lang w:eastAsia="zh-CN"/>
        </w:rPr>
        <w:t>十三、财政拨款“三公”经费支出决算表</w:t>
      </w:r>
    </w:p>
    <w:p/>
    <w:sectPr>
      <w:headerReference w:type="default" r:id="rId3"/>
      <w:headerReference w:type="even" r:id="rId4"/>
      <w:headerReference w:type="first" r:id="rId5"/>
      <w:footerReference w:type="default" r:id="rId6"/>
      <w:footerReference w:type="even" r:id="rId7"/>
      <w:footerReference w:type="first" r:id="rId8"/>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Arial">
    <w:panose1 w:val="020B0604020202020204"/>
    <w:charset w:val="01"/>
    <w:family w:val="swiss"/>
    <w:pitch w:val="variable"/>
    <w:sig w:usb0="E0002AFF" w:usb1="C0007843" w:usb2="00000009" w:usb3="00000000" w:csb0="400001FF" w:csb1="FFFF0000"/>
  </w:font>
  <w:font w:name="方正小标宋简体">
    <w:altName w:val="黑体"/>
    <w:panose1 w:val="02000000000000000000"/>
    <w:charset w:val="86"/>
    <w:family w:val="script"/>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1"/>
    <w:family w:val="auto"/>
    <w:pitch w:val="variable"/>
    <w:sig w:usb0="E0002AFF" w:usb1="C0007841" w:usb2="00000009" w:usb3="00000000" w:csb0="400001FF" w:csb1="FFFF0000"/>
  </w:font>
  <w:font w:name="楷体">
    <w:panose1 w:val="02010609060101010101"/>
    <w:charset w:val="86"/>
    <w:family w:val="modern"/>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0" w:usb1="00000000" w:usb2="0000000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楷体_GB2312">
    <w:altName w:val="楷体"/>
    <w:panose1 w:val="02010609030101010101"/>
    <w:charset w:val="86"/>
    <w:family w:val="modern"/>
    <w:pitch w:val="variable"/>
    <w:sig w:usb0="00000000" w:usb1="00000000" w:usb2="00000010" w:usb3="00000000" w:csb0="00040000" w:csb1="00000000"/>
  </w:font>
  <w:font w:name="Cambria">
    <w:panose1 w:val="02040503050406030204"/>
    <w:charset w:val="00"/>
    <w:family w:val="roman"/>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jc w:val="center"/>
      <w:rPr>
        <w:rFonts w:ascii="Arial" w:cs="Arial" w:hAnsi="Arial"/>
        <w:sz w:val="24"/>
        <w:szCs w:val="24"/>
      </w:rPr>
    </w:pPr>
    <w:r>
      <w:rPr>
        <w:rFonts w:ascii="Arial" w:cs="Arial" w:hAnsi="Arial"/>
        <w:sz w:val="24"/>
        <w:szCs w:val="24"/>
      </w:rPr>
      <w:fldChar w:fldCharType="begin"/>
    </w:r>
    <w:r>
      <w:rPr>
        <w:rFonts w:ascii="Arial" w:cs="Arial" w:hAnsi="Arial"/>
        <w:sz w:val="24"/>
        <w:szCs w:val="24"/>
      </w:rPr>
      <w:instrText xml:space="preserve"> PAGE   \* MERGEFORMAT </w:instrText>
    </w:r>
    <w:r>
      <w:rPr>
        <w:rFonts w:ascii="Arial" w:cs="Arial" w:hAnsi="Arial"/>
        <w:sz w:val="24"/>
        <w:szCs w:val="24"/>
      </w:rPr>
      <w:fldChar w:fldCharType="separate"/>
    </w:r>
    <w:r>
      <w:rPr>
        <w:rFonts w:ascii="Arial" w:cs="Arial" w:hAnsi="Arial"/>
        <w:sz w:val="24"/>
        <w:szCs w:val="24"/>
        <w:lang w:val="zh-CN"/>
      </w:rPr>
      <w:t>2</w:t>
    </w:r>
    <w:r>
      <w:rPr>
        <w:rFonts w:ascii="Arial" w:cs="Arial" w:hAnsi="Arial"/>
        <w:sz w:val="24"/>
        <w:szCs w:val="24"/>
      </w:rPr>
      <w:fldChar w:fldCharType="end"/>
    </w:r>
  </w:p>
  <w:p>
    <w:pPr>
      <w:pStyle w:val="17"/>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17"/>
      <w:tabs>
        <w:tab w:val="center" w:pos="4153"/>
        <w:tab w:val="right" w:pos="8306"/>
      </w:tabs>
    </w:pPr>
  </w:p>
</w:ftr>
</file>

<file path=word/footer3.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pPr>
  </w:p>
</w:ftr>
</file>

<file path=word/footer4.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7"/>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pBdr>
        <w:bottom w:val="none" w:sz="0" w:space="0" w:color="auto"/>
      </w:pBdr>
      <w:tabs>
        <w:tab w:val="center" w:pos="4153"/>
        <w:tab w:val="right" w:pos="8306"/>
      </w:tabs>
    </w:pPr>
  </w:p>
</w:hdr>
</file>

<file path=word/header2.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tabs>
        <w:tab w:val="center" w:pos="4153"/>
        <w:tab w:val="right" w:pos="8306"/>
      </w:tabs>
    </w:pPr>
  </w:p>
</w:hdr>
</file>

<file path=word/header3.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8"/>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43F3443"/>
    <w:multiLevelType w:val="singleLevel"/>
    <w:tmpl w:val="543F3443"/>
    <w:lvl w:ilvl="0">
      <w:start w:val="2"/>
      <w:numFmt w:val="chineseCounting"/>
      <w:lvlRestart w:val="0"/>
      <w:suff w:val="nothing"/>
      <w:lvlText w:val="%1、"/>
      <w:lvlJc w:val="left"/>
      <w:pPr>
        <w:ind w:left="0" w:hanging="0"/>
      </w:pPr>
      <w:rPr>
        <w:rFonts w:hint="eastAsia"/>
      </w:rPr>
    </w:lvl>
  </w:abstractNum>
  <w:abstractNum w:abstractNumId="1">
    <w:nsid w:val="1272550B"/>
    <w:multiLevelType w:val="multilevel"/>
    <w:tmpl w:val="1272550B"/>
    <w:lvl w:ilvl="0">
      <w:start w:val="1"/>
      <w:numFmt w:val="japaneseCounting"/>
      <w:lvlRestart w:val="0"/>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2">
    <w:nsid w:val="CF652CEC"/>
    <w:multiLevelType w:val="singleLevel"/>
    <w:tmpl w:val="CF652CEC"/>
    <w:lvl w:ilvl="0">
      <w:start w:val="9"/>
      <w:numFmt w:val="chineseCounting"/>
      <w:lvlRestart w:val="0"/>
      <w:suff w:val="nothing"/>
      <w:lvlText w:val="%1、"/>
      <w:lvlJc w:val="left"/>
      <w:pPr>
        <w:ind w:left="0" w:hanging="0"/>
      </w:pPr>
      <w:rPr>
        <w:rFonts w:cs="Times New Roman" w:hint="eastAsia"/>
      </w:rPr>
    </w:lvl>
  </w:abstractNum>
  <w:abstractNum w:abstractNumId="3">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4">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5">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zNiZTY4YzkzNTU5MzEzZTU2M2EyYjhhOTcwYmNjMm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15">
    <w:name w:val="Body Text"/>
    <w:basedOn w:val="0"/>
    <w:next w:val="16"/>
    <w:pPr>
      <w:spacing w:beforeLines="30" w:before="30"/>
    </w:pPr>
    <w:rPr>
      <w:rFonts w:ascii="仿宋_GB2312" w:eastAsia="仿宋_GB2312"/>
      <w:kern w:val="0"/>
      <w:sz w:val="30"/>
    </w:rPr>
  </w:style>
  <w:style w:type="paragraph" w:styleId="16">
    <w:name w:val="toc 1"/>
    <w:basedOn w:val="0"/>
    <w:next w:val="0"/>
    <w:pPr>
      <w:tabs>
        <w:tab w:val="right" w:leader="dot" w:pos="8296"/>
      </w:tabs>
      <w:spacing w:before="93"/>
      <w:jc w:val="center"/>
    </w:pPr>
    <w:rPr>
      <w:rFonts w:ascii="仿宋" w:eastAsia="仿宋"/>
      <w:sz w:val="28"/>
      <w:szCs w:val="28"/>
    </w:rPr>
  </w:style>
  <w:style w:type="paragraph" w:styleId="17">
    <w:name w:val="footer"/>
    <w:basedOn w:val="0"/>
    <w:pPr>
      <w:tabs>
        <w:tab w:val="center" w:pos="4153"/>
        <w:tab w:val="right" w:pos="8306"/>
      </w:tabs>
      <w:snapToGrid w:val="0"/>
      <w:jc w:val="left"/>
    </w:pPr>
    <w:rPr>
      <w:rFonts w:ascii="Calibri" w:hAnsi="Calibri"/>
      <w:kern w:val="0"/>
      <w:sz w:val="18"/>
      <w:szCs w:val="18"/>
    </w:rPr>
  </w:style>
  <w:style w:type="paragraph" w:styleId="18">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9">
    <w:name w:val="table of figures"/>
    <w:basedOn w:val="0"/>
    <w:next w:val="0"/>
    <w:pPr>
      <w:ind w:leftChars="200" w:left="400" w:hangingChars="200" w:hanging="200"/>
    </w:pPr>
  </w:style>
  <w:style w:type="paragraph" w:styleId="20">
    <w:name w:val="toc 2"/>
    <w:basedOn w:val="0"/>
    <w:next w:val="0"/>
    <w:pPr>
      <w:tabs>
        <w:tab w:val="right" w:leader="dot" w:pos="8296"/>
      </w:tabs>
      <w:ind w:leftChars="200" w:left="200"/>
    </w:pPr>
  </w:style>
  <w:style w:type="paragraph" w:styleId="21">
    <w:name w:val="Normal (Web)"/>
    <w:basedOn w:val="0"/>
    <w:pPr>
      <w:widowControl/>
      <w:spacing w:before="100" w:beforeAutospacing="1" w:after="100" w:afterAutospacing="1"/>
      <w:jc w:val="left"/>
    </w:pPr>
    <w:rPr>
      <w:rFonts w:ascii="宋体" w:cs="宋体"/>
      <w:kern w:val="0"/>
      <w:sz w:val="24"/>
    </w:rPr>
  </w:style>
  <w:style w:type="character" w:styleId="22">
    <w:name w:val="Strong"/>
    <w:basedOn w:val="10"/>
    <w:rPr>
      <w:rFonts w:cs="Times New Roman"/>
      <w:b/>
    </w:rPr>
  </w:style>
  <w:style w:type="paragraph" w:styleId="23">
    <w:name w:val="List Paragraph"/>
    <w:basedOn w:val="0"/>
    <w:pPr>
      <w:ind w:firstLineChars="200" w:firstLine="200"/>
    </w:pPr>
  </w:style>
  <w:style w:type="paragraph" w:customStyle="1" w:styleId="24">
    <w:name w:val="Default"/>
    <w:pPr>
      <w:widowControl w:val="0"/>
      <w:autoSpaceDE w:val="0"/>
      <w:autoSpaceDN w:val="0"/>
      <w:adjustRightInd w:val="0"/>
    </w:pPr>
    <w:rPr>
      <w:rFonts w:ascii="仿宋" w:eastAsia="仿宋" w:cs="仿宋"/>
      <w:color w:val="000000"/>
      <w:sz w:val="24"/>
      <w:szCs w:val="24"/>
      <w:lang w:val="en-US" w:eastAsia="zh-CN" w:bidi="ar-SA"/>
    </w:rPr>
  </w:style>
  <w:style w:type="paragraph" w:customStyle="1" w:styleId="25">
    <w:name w:val="WPSOffice手动目录 1"/>
    <w:rPr>
      <w:rFonts w:ascii="Calibri" w:eastAsia="宋体" w:cs="Arial" w:hAnsi="Calibri"/>
      <w:sz w:val="20"/>
      <w:szCs w:val="20"/>
    </w:rPr>
  </w:style>
  <w:style w:type="paragraph" w:customStyle="1" w:styleId="26">
    <w:name w:val="WPSOffice手动目录 2"/>
    <w:pPr>
      <w:ind w:leftChars="200" w:left="200"/>
    </w:pPr>
    <w:rPr>
      <w:rFonts w:ascii="Calibri" w:eastAsia="宋体" w:cs="Arial" w:hAnsi="Calibri"/>
      <w:sz w:val="20"/>
      <w:szCs w:val="2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image" Target="media/2.emf"/><Relationship Id="rId10" Type="http://schemas.openxmlformats.org/officeDocument/2006/relationships/oleObject" Target="embeddings/oleObject1.bin"/><Relationship Id="rId11" Type="http://schemas.openxmlformats.org/officeDocument/2006/relationships/chart" Target="charts/chart1.xml"/><Relationship Id="rId12" Type="http://schemas.openxmlformats.org/officeDocument/2006/relationships/chart" Target="charts/chart2.xml"/><Relationship Id="rId13" Type="http://schemas.openxmlformats.org/officeDocument/2006/relationships/chart" Target="charts/chart3.xml"/><Relationship Id="rId14" Type="http://schemas.openxmlformats.org/officeDocument/2006/relationships/chart" Target="charts/chart4.xml"/><Relationship Id="rId15" Type="http://schemas.openxmlformats.org/officeDocument/2006/relationships/chart" Target="charts/chart5.xml"/><Relationship Id="rId16" Type="http://schemas.openxmlformats.org/officeDocument/2006/relationships/chart" Target="charts/chart6.xml"/><Relationship Id="rId17" Type="http://schemas.openxmlformats.org/officeDocument/2006/relationships/styles" Target="styles.xml"/><Relationship Id="rId18" Type="http://schemas.openxmlformats.org/officeDocument/2006/relationships/numbering" Target="numbering.xml"/><Relationship Id="rId1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char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char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char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char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char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char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cap="all" baseline="0">
                <a:solidFill>
                  <a:srgbClr val="000000"/>
                </a:solidFill>
                <a:latin typeface="Times New Roman"/>
                <a:ea typeface="宋体"/>
                <a:cs typeface="Arial"/>
              </a:defRPr>
            </a:pPr>
            <a:r>
              <a:rPr lang="zh-CN"/>
              <a:t>图表标题</a:t>
            </a:r>
          </a:p>
        </c:rich>
      </c:tx>
      <c:layout/>
      <c:overlay val="0"/>
      <c:spPr>
        <a:noFill/>
        <a:ln>
          <a:noFill/>
        </a:ln>
      </c:spPr>
    </c:title>
    <c:autoTitleDeleted val="1"/>
    <c:plotArea>
      <c:layout/>
      <c:barChart>
        <c:barDir val="col"/>
        <c:grouping val="clustered"/>
        <c:varyColors val="0"/>
        <c:ser>
          <c:idx val="0"/>
          <c:order val="0"/>
          <c:tx>
            <c:strRef>
              <c:f>'Sheet1'!$B$1</c:f>
              <c:strCache>
                <c:ptCount val="1"/>
                <c:pt idx="0">
                  <c:v>系列 1</c:v>
                </c:pt>
              </c:strCache>
            </c:strRef>
          </c:tx>
          <c:spPr>
            <a:pattFill prst="narHorz">
              <a:fgClr>
                <a:srgbClr val="FFE84B"/>
              </a:fgClr>
              <a:bgClr>
                <a:srgbClr val="FFFADB"/>
              </a:bgClr>
            </a:pattFill>
            <a:ln w="6350">
              <a:solidFill>
                <a:srgbClr val="FFE84B"/>
              </a:solidFill>
              <a:prstDash val="solid"/>
            </a:ln>
          </c:spPr>
          <c:invertIfNegative val="0"/>
          <c:dLbls>
            <c:spPr>
              <a:noFill/>
              <a:ln>
                <a:noFill/>
              </a:ln>
            </c:spPr>
            <c:txPr>
              <a:bodyPr vert="horz"/>
              <a:lstStyle/>
              <a:p>
                <a:pPr>
                  <a:defRPr sz="900" b="0" i="0" u="none" strike="noStrike" baseline="0">
                    <a:solidFill>
                      <a:srgbClr val="80808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'Sheet1'!$A$2:$A$5</c:f>
              <c:strCache>
                <c:ptCount val="4"/>
                <c:pt idx="0">
                  <c:v>类别 1</c:v>
                </c:pt>
                <c:pt idx="1">
                  <c:v>类别 2</c:v>
                </c:pt>
                <c:pt idx="2">
                  <c:v>类别 3</c:v>
                </c:pt>
                <c:pt idx="3">
                  <c:v>类别 4</c:v>
                </c:pt>
              </c:strCache>
            </c:strRef>
          </c:cat>
          <c:val>
            <c:numRef>
              <c:f>'Sheet1'!$B$2:$B$5</c:f>
              <c:numCache>
                <c:formatCode>General</c:formatCode>
                <c:ptCount val="4"/>
                <c:pt idx="0">
                  <c:v>4.3</c:v>
                </c:pt>
                <c:pt idx="1">
                  <c:v>2.5</c:v>
                </c:pt>
                <c:pt idx="2">
                  <c:v>3.5</c:v>
                </c:pt>
                <c:pt idx="3">
                  <c:v>4.5</c:v>
                </c:pt>
              </c:numCache>
            </c:numRef>
          </c:val>
        </c:ser>
        <c:ser>
          <c:idx val="1"/>
          <c:order val="1"/>
          <c:tx>
            <c:strRef>
              <c:f>'Sheet1'!$C$1</c:f>
              <c:strCache>
                <c:ptCount val="1"/>
                <c:pt idx="0">
                  <c:v>系列 2</c:v>
                </c:pt>
              </c:strCache>
            </c:strRef>
          </c:tx>
          <c:spPr>
            <a:pattFill prst="narHorz">
              <a:fgClr>
                <a:srgbClr val="FFC529"/>
              </a:fgClr>
              <a:bgClr>
                <a:srgbClr val="FFF3D4"/>
              </a:bgClr>
            </a:pattFill>
            <a:ln>
              <a:noFill/>
            </a:ln>
          </c:spPr>
          <c:invertIfNegative val="0"/>
          <c:dLbls>
            <c:spPr>
              <a:noFill/>
              <a:ln>
                <a:noFill/>
              </a:ln>
            </c:spPr>
            <c:txPr>
              <a:bodyPr vert="horz"/>
              <a:lstStyle/>
              <a:p>
                <a:pPr>
                  <a:defRPr sz="900" b="0" i="0" u="none" strike="noStrike" baseline="0">
                    <a:solidFill>
                      <a:srgbClr val="80808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'Sheet1'!$A$2:$A$5</c:f>
              <c:strCache>
                <c:ptCount val="4"/>
                <c:pt idx="0">
                  <c:v>类别 1</c:v>
                </c:pt>
                <c:pt idx="1">
                  <c:v>类别 2</c:v>
                </c:pt>
                <c:pt idx="2">
                  <c:v>类别 3</c:v>
                </c:pt>
                <c:pt idx="3">
                  <c:v>类别 4</c:v>
                </c:pt>
              </c:strCache>
            </c:strRef>
          </c:cat>
          <c:val>
            <c:numRef>
              <c:f>'Sheet1'!$C$2:$C$5</c:f>
              <c:numCache>
                <c:formatCode>General</c:formatCode>
                <c:ptCount val="4"/>
                <c:pt idx="0">
                  <c:v>2.4</c:v>
                </c:pt>
                <c:pt idx="1">
                  <c:v>4.4</c:v>
                </c:pt>
                <c:pt idx="2">
                  <c:v>1.8</c:v>
                </c:pt>
                <c:pt idx="3">
                  <c:v>2.8</c:v>
                </c:pt>
              </c:numCache>
            </c:numRef>
          </c:val>
        </c:ser>
        <c:ser>
          <c:idx val="2"/>
          <c:order val="2"/>
          <c:tx>
            <c:strRef>
              <c:f>'Sheet1'!$D$1</c:f>
              <c:strCache>
                <c:ptCount val="1"/>
                <c:pt idx="0">
                  <c:v>系列 3</c:v>
                </c:pt>
              </c:strCache>
            </c:strRef>
          </c:tx>
          <c:spPr>
            <a:pattFill prst="narHorz">
              <a:fgClr>
                <a:srgbClr val="FF9F15"/>
              </a:fgClr>
              <a:bgClr>
                <a:srgbClr val="FFECD0"/>
              </a:bgClr>
            </a:pattFill>
            <a:ln>
              <a:noFill/>
            </a:ln>
          </c:spPr>
          <c:invertIfNegative val="0"/>
          <c:dLbls>
            <c:spPr>
              <a:noFill/>
              <a:ln>
                <a:noFill/>
              </a:ln>
            </c:spPr>
            <c:txPr>
              <a:bodyPr vert="horz"/>
              <a:lstStyle/>
              <a:p>
                <a:pPr>
                  <a:defRPr sz="900" b="0" i="0" u="none" strike="noStrike" baseline="0">
                    <a:solidFill>
                      <a:srgbClr val="80808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'Sheet1'!$A$2:$A$5</c:f>
              <c:strCache>
                <c:ptCount val="4"/>
                <c:pt idx="0">
                  <c:v>类别 1</c:v>
                </c:pt>
                <c:pt idx="1">
                  <c:v>类别 2</c:v>
                </c:pt>
                <c:pt idx="2">
                  <c:v>类别 3</c:v>
                </c:pt>
                <c:pt idx="3">
                  <c:v>类别 4</c:v>
                </c:pt>
              </c:strCache>
            </c:strRef>
          </c:cat>
          <c:val>
            <c:numRef>
              <c:f>'Sheet1'!$D$2:$D$5</c:f>
              <c:numCache>
                <c:formatCode>General</c:formatCode>
                <c:ptCount val="4"/>
                <c:pt idx="0">
                  <c:v>2.0</c:v>
                </c:pt>
                <c:pt idx="1">
                  <c:v>2.0</c:v>
                </c:pt>
                <c:pt idx="2">
                  <c:v>3.0</c:v>
                </c:pt>
                <c:pt idx="3">
                  <c:v>5.0</c:v>
                </c:pt>
              </c:numCache>
            </c:numRef>
          </c:val>
        </c:ser>
        <c:overlap val="-22"/>
        <c:gapWidth val="164"/>
        <c:axId val="0"/>
        <c:axId val="1"/>
      </c:barChart>
      <c:catAx>
        <c:axId val="0"/>
        <c:scaling>
          <c:orientation val="minMax"/>
        </c:scaling>
        <c:delete val="0"/>
        <c:axPos val="b"/>
        <c:numFmt formatCode="General" sourceLinked="1"/>
        <c:majorTickMark val="none"/>
        <c:minorTickMark val="none"/>
        <c:tickLblPos val="nextTo"/>
        <c:spPr>
          <a:ln w="19050">
            <a:solidFill>
              <a:srgbClr val="BFBFBF"/>
            </a:solidFill>
            <a:prstDash val="solid"/>
          </a:ln>
        </c:spPr>
        <c:txPr>
          <a:bodyPr/>
          <a:lstStyle/>
          <a:p>
            <a:pPr>
              <a:defRPr sz="900" b="0" i="0" u="none" strike="noStrike" baseline="0">
                <a:solidFill>
                  <a:srgbClr val="808080"/>
                </a:solidFill>
                <a:latin typeface="Times New Roman"/>
                <a:ea typeface="宋体"/>
                <a:cs typeface="Arial"/>
              </a:defRPr>
            </a:pPr>
            <a:endParaRPr lang="zh-CN"/>
          </a:p>
        </c:txPr>
        <c:crosses val="autoZero"/>
        <c:auto val="1"/>
        <c:lblOffset val="100"/>
        <c:lblAlgn val="ctr"/>
        <c:noMultiLvlLbl val="0"/>
        <c:crossAx val="1"/>
      </c:catAx>
      <c:valAx>
        <c:axId val="1"/>
        <c:scaling>
          <c:orientation val="minMax"/>
        </c:scaling>
        <c:delete val="0"/>
        <c:axPos val="l"/>
        <c:numFmt formatCode="General" sourceLinked="1"/>
        <c:majorTickMark val="none"/>
        <c:minorTickMark val="none"/>
        <c:tickLblPos val="nextTo"/>
        <c:spPr>
          <a:ln>
            <a:noFill/>
          </a:ln>
        </c:spPr>
        <c:txPr>
          <a:bodyPr/>
          <a:lstStyle/>
          <a:p>
            <a:pPr>
              <a:defRPr sz="900" b="0" i="0" u="none" strike="noStrike" baseline="0">
                <a:solidFill>
                  <a:srgbClr val="808080"/>
                </a:solidFill>
                <a:latin typeface="Times New Roman"/>
                <a:ea typeface="宋体"/>
                <a:cs typeface="Arial"/>
              </a:defRPr>
            </a:pPr>
            <a:endParaRPr lang="zh-CN"/>
          </a:p>
        </c:txPr>
        <c:crossesAt val="1.0"/>
        <c:crossBetween val="between"/>
        <c:crossAx val="0"/>
      </c:valAx>
      <c:spPr>
        <a:noFill/>
        <a:ln>
          <a:noFill/>
        </a:ln>
      </c:spPr>
    </c:plotArea>
    <c:legend>
      <c:legendPos val="t"/>
      <c:layout/>
      <c:overlay val="0"/>
      <c:spPr>
        <a:noFill/>
        <a:ln>
          <a:noFill/>
        </a:ln>
      </c:spPr>
      <c:txPr>
        <a:bodyPr/>
        <a:lstStyle/>
        <a:p>
          <a:pPr>
            <a:defRPr sz="900" b="0" i="0" u="none" strike="noStrike" baseline="0">
              <a:solidFill>
                <a:srgbClr val="808080"/>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000000"/>
                </a:solidFill>
                <a:latin typeface="Times New Roman"/>
                <a:ea typeface="宋体"/>
                <a:cs typeface="Arial"/>
              </a:defRPr>
            </a:pPr>
            <a:r>
              <a:rPr lang="zh-CN"/>
              <a:t>收入占比</a:t>
            </a:r>
          </a:p>
        </c:rich>
      </c:tx>
      <c:layout/>
      <c:overlay val="0"/>
      <c:spPr>
        <a:noFill/>
        <a:ln>
          <a:noFill/>
        </a:ln>
      </c:spPr>
    </c:title>
    <c:autoTitleDeleted val="1"/>
    <c:plotArea>
      <c:layout/>
      <c:pieChart>
        <c:varyColors val="1"/>
        <c:ser>
          <c:idx val="0"/>
          <c:order val="0"/>
          <c:tx>
            <c:strRef>
              <c:f>'Sheet1 (2)'!$B$1</c:f>
              <c:strCache>
                <c:ptCount val="1"/>
                <c:pt idx="0">
                  <c:v>收入</c:v>
                </c:pt>
              </c:strCache>
            </c:strRef>
          </c:tx>
          <c:spPr>
            <a:ln w="19050">
              <a:solidFill>
                <a:srgbClr val="FFFFFF"/>
              </a:solidFill>
              <a:prstDash val="solid"/>
            </a:ln>
            <a:effectLst>
              <a:outerShdw dist="35921" dir="2700000" algn="br">
                <a:srgbClr val="000000"/>
              </a:outerShdw>
            </a:effectLst>
          </c:spPr>
          <c:dPt>
            <c:idx val="0"/>
            <c:bubble3D val="0"/>
            <c:explosion val="9"/>
            <c:spPr>
              <a:gradFill rotWithShape="1">
                <a:gsLst>
                  <a:gs pos="0">
                    <a:srgbClr val="E28C74">
                      <a:alpha val="100000"/>
                    </a:srgbClr>
                  </a:gs>
                  <a:gs pos="83000">
                    <a:srgbClr val="BE4828">
                      <a:alpha val="100000"/>
                    </a:srgbClr>
                  </a:gs>
                </a:gsLst>
                <a:lin ang="2700000" scaled="1"/>
              </a:gradFill>
              <a:ln w="19050">
                <a:solidFill>
                  <a:srgbClr val="FFFFFF"/>
                </a:solidFill>
                <a:prstDash val="solid"/>
              </a:ln>
              <a:effectLst>
                <a:outerShdw dist="35921" dir="2700000" algn="br">
                  <a:srgbClr val="000000"/>
                </a:outerShdw>
              </a:effectLst>
            </c:spPr>
          </c:dPt>
          <c:dPt>
            <c:idx val="1"/>
            <c:bubble3D val="0"/>
            <c:spPr>
              <a:gradFill rotWithShape="1">
                <a:gsLst>
                  <a:gs pos="0">
                    <a:srgbClr val="FFDC7F">
                      <a:alpha val="100000"/>
                    </a:srgbClr>
                  </a:gs>
                  <a:gs pos="83000">
                    <a:srgbClr val="FFC529">
                      <a:alpha val="100000"/>
                    </a:srgbClr>
                  </a:gs>
                </a:gsLst>
                <a:lin ang="2700000" scaled="1"/>
              </a:gradFill>
              <a:ln w="19050">
                <a:solidFill>
                  <a:srgbClr val="FFFFFF"/>
                </a:solidFill>
                <a:prstDash val="solid"/>
              </a:ln>
              <a:effectLst>
                <a:outerShdw dist="35921" dir="2700000" algn="br">
                  <a:srgbClr val="000000"/>
                </a:outerShdw>
              </a:effectLst>
            </c:spPr>
          </c:dPt>
          <c:dLbls>
            <c:spPr>
              <a:noFill/>
              <a:ln>
                <a:noFill/>
              </a:ln>
            </c:spPr>
            <c:txPr>
              <a:bodyPr vert="horz"/>
              <a:lstStyle/>
              <a:p>
                <a:pPr>
                  <a:defRPr sz="900" b="0" i="0" u="none" strike="noStrike" baseline="0">
                    <a:solidFill>
                      <a:srgbClr val="FFFFFF"/>
                    </a:solidFill>
                    <a:latin typeface="Times New Roman"/>
                    <a:ea typeface="宋体"/>
                    <a:cs typeface="Arial"/>
                  </a:defRPr>
                </a:pPr>
                <a:endParaRPr lang="zh-CN"/>
              </a:p>
            </c:txPr>
            <c:numFmt formatCode="0%" sourceLinked="0"/>
            <c:dLblPos val="inEnd"/>
            <c:showLegendKey val="0"/>
            <c:showVal val="0"/>
            <c:showCatName val="0"/>
            <c:showSerName val="0"/>
            <c:showPercent val="1"/>
            <c:showBubbleSize val="0"/>
            <c:showLeaderLines val="1"/>
          </c:dLbls>
          <c:cat>
            <c:strRef>
              <c:f>'Sheet1 (2)'!$A$2:$A$3</c:f>
              <c:strCache>
                <c:ptCount val="2"/>
                <c:pt idx="0">
                  <c:v>一般公共预算财政拨款收入</c:v>
                </c:pt>
                <c:pt idx="1">
                  <c:v>事业收入</c:v>
                </c:pt>
              </c:strCache>
            </c:strRef>
          </c:cat>
          <c:val>
            <c:numRef>
              <c:f>'Sheet1 (2)'!$B$2:$B$3</c:f>
              <c:numCache>
                <c:formatCode>General</c:formatCode>
                <c:ptCount val="2"/>
                <c:pt idx="0">
                  <c:v>3464.67</c:v>
                </c:pt>
                <c:pt idx="1">
                  <c:v>10.23</c:v>
                </c:pt>
              </c:numCache>
            </c:numRef>
          </c:val>
        </c:ser>
        <c:firstSliceAng val="36"/>
      </c:pieChart>
      <c:spPr>
        <a:noFill/>
        <a:ln>
          <a:noFill/>
        </a:ln>
      </c:spPr>
    </c:plotArea>
    <c:legend>
      <c:legendPos val="r"/>
      <c:layout/>
      <c:overlay val="0"/>
      <c:spPr>
        <a:noFill/>
        <a:ln>
          <a:noFill/>
        </a:ln>
      </c:spPr>
      <c:txPr>
        <a:bodyPr/>
        <a:lstStyle/>
        <a:p>
          <a:pPr>
            <a:defRPr sz="900" b="0" i="0" u="none" strike="noStrike" baseline="0">
              <a:solidFill>
                <a:srgbClr val="808080"/>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a:effectLst>
      <a:outerShdw blurRad="50800" dist="38100" dir="2700000" algn="tl" rotWithShape="0">
        <a:prstClr val="black">
          <a:alpha val="40000"/>
        </a:prstClr>
      </a:outerShdw>
    </a:effectLst>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Arial"/>
              </a:defRPr>
            </a:pPr>
            <a:r>
              <a:rPr lang="zh-CN"/>
              <a:t>2022年各项支出占总支出比重（万元）</a:t>
            </a:r>
          </a:p>
        </c:rich>
      </c:tx>
      <c:layout/>
      <c:overlay val="0"/>
      <c:spPr>
        <a:noFill/>
        <a:ln>
          <a:noFill/>
        </a:ln>
      </c:spPr>
    </c:title>
    <c:autoTitleDeleted val="0"/>
    <c:plotArea>
      <c:layout/>
      <c:pieChart>
        <c:varyColors val="1"/>
        <c:ser>
          <c:idx val="0"/>
          <c:order val="0"/>
          <c:tx>
            <c:strRef>
              <c:f>'Sheet1 (3)'!$B$1</c:f>
              <c:strCache>
                <c:ptCount val="1"/>
                <c:pt idx="0">
                  <c:v>2022年各项支出占总支出比重（万元）</c:v>
                </c:pt>
              </c:strCache>
            </c:strRef>
          </c:tx>
          <c:spPr>
            <a:ln w="19050">
              <a:solidFill>
                <a:srgbClr val="FFFFFF"/>
              </a:solidFill>
              <a:prstDash val="solid"/>
            </a:ln>
            <a:effectLst>
              <a:outerShdw dist="35921" dir="2700000" algn="br">
                <a:srgbClr val="000000"/>
              </a:outerShdw>
            </a:effectLst>
          </c:spPr>
          <c:dPt>
            <c:idx val="0"/>
            <c:bubble3D val="0"/>
            <c:explosion val="9"/>
            <c:spPr>
              <a:gradFill rotWithShape="1">
                <a:gsLst>
                  <a:gs pos="0">
                    <a:srgbClr val="E28C74">
                      <a:alpha val="100000"/>
                    </a:srgbClr>
                  </a:gs>
                  <a:gs pos="83000">
                    <a:srgbClr val="BE4828">
                      <a:alpha val="100000"/>
                    </a:srgbClr>
                  </a:gs>
                </a:gsLst>
                <a:lin ang="2700000" scaled="1"/>
              </a:gradFill>
              <a:ln w="19050">
                <a:solidFill>
                  <a:srgbClr val="FFFFFF"/>
                </a:solidFill>
                <a:prstDash val="solid"/>
              </a:ln>
              <a:effectLst>
                <a:outerShdw dist="35921" dir="2700000" algn="br">
                  <a:srgbClr val="000000"/>
                </a:outerShdw>
              </a:effectLst>
            </c:spPr>
          </c:dPt>
          <c:dPt>
            <c:idx val="1"/>
            <c:bubble3D val="0"/>
            <c:spPr>
              <a:gradFill rotWithShape="1">
                <a:gsLst>
                  <a:gs pos="0">
                    <a:srgbClr val="FFDC7F">
                      <a:alpha val="100000"/>
                    </a:srgbClr>
                  </a:gs>
                  <a:gs pos="83000">
                    <a:srgbClr val="FFC529">
                      <a:alpha val="100000"/>
                    </a:srgbClr>
                  </a:gs>
                </a:gsLst>
                <a:lin ang="2700000" scaled="1"/>
              </a:gradFill>
              <a:ln w="19050">
                <a:solidFill>
                  <a:srgbClr val="FFFFFF"/>
                </a:solidFill>
                <a:prstDash val="solid"/>
              </a:ln>
              <a:effectLst>
                <a:outerShdw dist="35921" dir="2700000" algn="br">
                  <a:srgbClr val="000000"/>
                </a:outerShdw>
              </a:effectLst>
            </c:spPr>
          </c:dPt>
          <c:dPt>
            <c:idx val="2"/>
            <c:bubble3D val="0"/>
            <c:spPr>
              <a:gradFill rotWithShape="1">
                <a:gsLst>
                  <a:gs pos="0">
                    <a:srgbClr val="FFA264">
                      <a:alpha val="100000"/>
                    </a:srgbClr>
                  </a:gs>
                  <a:gs pos="83000">
                    <a:srgbClr val="FC6500">
                      <a:alpha val="100000"/>
                    </a:srgbClr>
                  </a:gs>
                </a:gsLst>
                <a:lin ang="2700000" scaled="1"/>
              </a:gradFill>
              <a:ln w="19050">
                <a:solidFill>
                  <a:srgbClr val="FFFFFF"/>
                </a:solidFill>
                <a:prstDash val="solid"/>
              </a:ln>
              <a:effectLst>
                <a:outerShdw dist="35921" dir="2700000" algn="br">
                  <a:srgbClr val="000000"/>
                </a:outerShdw>
              </a:effectLst>
            </c:spPr>
          </c:dPt>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0.00" sourceLinked="1"/>
            <c:showLegendKey val="0"/>
            <c:showVal val="1"/>
            <c:showCatName val="0"/>
            <c:showSerName val="0"/>
            <c:showPercent val="0"/>
            <c:showBubbleSize val="0"/>
            <c:showLeaderLines val="1"/>
          </c:dLbls>
          <c:cat>
            <c:strRef>
              <c:f>'Sheet1 (3)'!$A$2:$A$4</c:f>
              <c:strCache>
                <c:ptCount val="3"/>
                <c:pt idx="0">
                  <c:v>社会保障和就业支出</c:v>
                </c:pt>
                <c:pt idx="1">
                  <c:v>卫生健康支出</c:v>
                </c:pt>
                <c:pt idx="2">
                  <c:v>住房保障支出</c:v>
                </c:pt>
              </c:strCache>
            </c:strRef>
          </c:cat>
          <c:val>
            <c:numRef>
              <c:f>'Sheet1 (3)'!$B$2:$B$4</c:f>
              <c:numCache>
                <c:formatCode>#,##0.00</c:formatCode>
                <c:ptCount val="3"/>
                <c:pt idx="0">
                  <c:v>401.88</c:v>
                </c:pt>
                <c:pt idx="1">
                  <c:v>2839.04</c:v>
                </c:pt>
                <c:pt idx="2">
                  <c:v>223.74</c:v>
                </c:pt>
              </c:numCache>
            </c:numRef>
          </c:val>
        </c:ser>
        <c:firstSliceAng val="36"/>
      </c:pieChart>
      <c:spPr>
        <a:noFill/>
        <a:ln>
          <a:noFill/>
        </a:ln>
      </c:spPr>
    </c:plotArea>
    <c:legend>
      <c:legendPos val="r"/>
      <c:layout/>
      <c:overlay val="0"/>
      <c:spPr>
        <a:noFill/>
        <a:ln>
          <a:noFill/>
        </a:ln>
      </c:spPr>
      <c:txPr>
        <a:bodyPr/>
        <a:lstStyle/>
        <a:p>
          <a:pPr>
            <a:defRPr sz="900" b="0" i="0" u="none" strike="noStrike" baseline="0">
              <a:solidFill>
                <a:srgbClr val="808080"/>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a:effectLst>
      <a:outerShdw blurRad="50800" dist="38100" dir="2700000" algn="tl" rotWithShape="0">
        <a:prstClr val="black">
          <a:alpha val="40000"/>
        </a:prstClr>
      </a:outerShdw>
    </a:effectLst>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b="1" i="0" u="none" strike="noStrike" cap="all" baseline="0">
                <a:solidFill>
                  <a:srgbClr val="808080"/>
                </a:solidFill>
                <a:latin typeface="Times New Roman"/>
                <a:ea typeface="宋体"/>
                <a:cs typeface="Arial"/>
              </a:defRPr>
            </a:pPr>
            <a:r>
              <a:rPr lang="zh-CN"/>
              <a:t>财政拨款收入情况</a:t>
            </a:r>
          </a:p>
        </c:rich>
      </c:tx>
      <c:layout/>
      <c:overlay val="0"/>
      <c:spPr>
        <a:noFill/>
        <a:ln>
          <a:noFill/>
        </a:ln>
      </c:spPr>
    </c:title>
    <c:autoTitleDeleted val="1"/>
    <c:plotArea>
      <c:layout>
        <c:manualLayout>
          <c:layoutTarget val="inner"/>
          <c:xMode val="edge"/>
          <c:yMode val="edge"/>
          <c:x val="0.05598162"/>
          <c:y val="0.24786511"/>
          <c:w val="0.9111111"/>
          <c:h val="0.65402776"/>
        </c:manualLayout>
      </c:layout>
      <c:barChart>
        <c:barDir val="col"/>
        <c:grouping val="clustered"/>
        <c:varyColors val="0"/>
        <c:ser>
          <c:idx val="0"/>
          <c:order val="0"/>
          <c:tx>
            <c:strRef>
              <c:f>'Sheet1 (4)'!$A$1</c:f>
              <c:strCache>
                <c:ptCount val="1"/>
                <c:pt idx="0">
                  <c:v>2021</c:v>
                </c:pt>
              </c:strCache>
            </c:strRef>
          </c:tx>
          <c:spPr>
            <a:pattFill prst="narHorz">
              <a:fgClr>
                <a:srgbClr val="5B9BD5"/>
              </a:fgClr>
              <a:bgClr>
                <a:srgbClr val="DEEBF7"/>
              </a:bgClr>
            </a:patt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trendline>
            <c:spPr>
              <a:ln w="19050">
                <a:solidFill>
                  <a:srgbClr val="5B9BD5"/>
                </a:solidFill>
                <a:prstDash val="solid"/>
              </a:ln>
            </c:spPr>
            <c:trendlineType val="linear"/>
            <c:dispRSqr val="0"/>
            <c:dispEq val="0"/>
          </c:trendline>
          <c:val>
            <c:numRef>
              <c:f>Sheet1 (4)!$A$2</c:f>
              <c:numCache>
                <c:formatCode>General</c:formatCode>
                <c:ptCount val="1"/>
                <c:pt idx="0">
                  <c:v>2823.12</c:v>
                </c:pt>
              </c:numCache>
            </c:numRef>
          </c:val>
        </c:ser>
        <c:ser>
          <c:idx val="1"/>
          <c:order val="1"/>
          <c:tx>
            <c:strRef>
              <c:f>'Sheet1 (4)'!$B$1</c:f>
              <c:strCache>
                <c:ptCount val="1"/>
                <c:pt idx="0">
                  <c:v>2022</c:v>
                </c:pt>
              </c:strCache>
            </c:strRef>
          </c:tx>
          <c:spPr>
            <a:pattFill prst="narHorz">
              <a:fgClr>
                <a:srgbClr val="ED7D31"/>
              </a:fgClr>
              <a:bgClr>
                <a:srgbClr val="FBE5D6"/>
              </a:bgClr>
            </a:patt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val>
            <c:numRef>
              <c:f>Sheet1 (4)!$B$2</c:f>
              <c:numCache>
                <c:formatCode>General</c:formatCode>
                <c:ptCount val="1"/>
                <c:pt idx="0">
                  <c:v>3474.9</c:v>
                </c:pt>
              </c:numCache>
            </c:numRef>
          </c:val>
        </c:ser>
        <c:overlap val="-22"/>
        <c:gapWidth val="164"/>
        <c:axId val="0"/>
        <c:axId val="1"/>
      </c:barChart>
      <c:catAx>
        <c:axId val="0"/>
        <c:scaling>
          <c:orientation val="minMax"/>
        </c:scaling>
        <c:delete val="0"/>
        <c:axPos val="b"/>
        <c:numFmt formatCode="General" sourceLinked="0"/>
        <c:majorTickMark val="out"/>
        <c:minorTickMark val="none"/>
        <c:tickLblPos val="nextTo"/>
        <c:spPr>
          <a:ln w="19050">
            <a:solidFill>
              <a:srgbClr val="BFBFBF"/>
            </a:solidFill>
            <a:prstDash val="solid"/>
          </a:ln>
        </c:spPr>
        <c:txPr>
          <a:bodyPr/>
          <a:lstStyle/>
          <a:p>
            <a:pPr>
              <a:defRPr sz="900" b="0" i="0" u="none" strike="noStrike" baseline="0">
                <a:solidFill>
                  <a:srgbClr val="595959"/>
                </a:solidFill>
                <a:latin typeface="Times New Roman"/>
                <a:ea typeface="宋体"/>
                <a:cs typeface="Arial"/>
              </a:defRPr>
            </a:pPr>
            <a:endParaRPr lang="zh-CN"/>
          </a:p>
        </c:txPr>
        <c:crosses val="autoZero"/>
        <c:auto val="1"/>
        <c:lblOffset val="100"/>
        <c:lblAlgn val="ctr"/>
        <c:noMultiLvlLbl val="0"/>
        <c:crossAx val="1"/>
      </c:catAx>
      <c:valAx>
        <c:axId val="1"/>
        <c:scaling>
          <c:orientation val="minMax"/>
        </c:scaling>
        <c:delete val="0"/>
        <c:axPos val="l"/>
        <c:numFmt formatCode="General" sourceLinked="1"/>
        <c:majorTickMark val="out"/>
        <c:minorTickMark val="none"/>
        <c:tickLblPos val="nextTo"/>
        <c:spPr>
          <a:ln>
            <a:noFill/>
          </a:ln>
        </c:spPr>
        <c:txPr>
          <a:bodyPr/>
          <a:lstStyle/>
          <a:p>
            <a:pPr>
              <a:defRPr sz="900" b="0" i="0" u="none" strike="noStrike" baseline="0">
                <a:solidFill>
                  <a:srgbClr val="595959"/>
                </a:solidFill>
                <a:latin typeface="Times New Roman"/>
                <a:ea typeface="宋体"/>
                <a:cs typeface="Arial"/>
              </a:defRPr>
            </a:pPr>
            <a:endParaRPr lang="zh-CN"/>
          </a:p>
        </c:txPr>
        <c:crossesAt val="1.0"/>
        <c:crossBetween val="between"/>
        <c:crossAx val="0"/>
      </c:valAx>
      <c:spPr>
        <a:noFill/>
        <a:ln>
          <a:noFill/>
        </a:ln>
      </c:spPr>
    </c:plotArea>
    <c:legend>
      <c:legendPos val="t"/>
      <c:layout/>
      <c:overlay val="0"/>
      <c:spPr>
        <a:noFill/>
        <a:ln>
          <a:noFill/>
        </a:ln>
      </c:spPr>
      <c:txPr>
        <a:bodyPr/>
        <a:lstStyle/>
        <a:p>
          <a:pPr>
            <a:defRPr sz="900" b="0" i="0" u="none" strike="noStrike" baseline="0">
              <a:solidFill>
                <a:srgbClr val="595959"/>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800" b="1" i="0" u="none" strike="noStrike" cap="all" baseline="0">
                <a:solidFill>
                  <a:srgbClr val="808080"/>
                </a:solidFill>
                <a:latin typeface="Times New Roman"/>
                <a:ea typeface="宋体"/>
                <a:cs typeface="Arial"/>
              </a:defRPr>
            </a:pPr>
            <a:r>
              <a:rPr lang="zh-CN"/>
              <a:t>财政拨款支出情况</a:t>
            </a:r>
          </a:p>
        </c:rich>
      </c:tx>
      <c:layout/>
      <c:overlay val="0"/>
      <c:spPr>
        <a:noFill/>
        <a:ln>
          <a:noFill/>
        </a:ln>
      </c:spPr>
    </c:title>
    <c:autoTitleDeleted val="1"/>
    <c:plotArea>
      <c:layout>
        <c:manualLayout>
          <c:layoutTarget val="inner"/>
          <c:xMode val="edge"/>
          <c:yMode val="edge"/>
          <c:x val="0.05598162"/>
          <c:y val="0.24786511"/>
          <c:w val="0.9111111"/>
          <c:h val="0.65402776"/>
        </c:manualLayout>
      </c:layout>
      <c:barChart>
        <c:barDir val="col"/>
        <c:grouping val="clustered"/>
        <c:varyColors val="0"/>
        <c:ser>
          <c:idx val="0"/>
          <c:order val="0"/>
          <c:tx>
            <c:strRef>
              <c:f>'Sheet1 (5)'!$A$1</c:f>
              <c:strCache>
                <c:ptCount val="1"/>
                <c:pt idx="0">
                  <c:v>2021</c:v>
                </c:pt>
              </c:strCache>
            </c:strRef>
          </c:tx>
          <c:spPr>
            <a:pattFill prst="narHorz">
              <a:fgClr>
                <a:srgbClr val="5B9BD5"/>
              </a:fgClr>
              <a:bgClr>
                <a:srgbClr val="DEEBF7"/>
              </a:bgClr>
            </a:patt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trendline>
            <c:spPr>
              <a:ln w="19050">
                <a:solidFill>
                  <a:srgbClr val="5B9BD5"/>
                </a:solidFill>
                <a:prstDash val="solid"/>
              </a:ln>
            </c:spPr>
            <c:trendlineType val="linear"/>
            <c:dispRSqr val="0"/>
            <c:dispEq val="0"/>
          </c:trendline>
          <c:val>
            <c:numRef>
              <c:f>Sheet1 (5)!$A$2</c:f>
              <c:numCache>
                <c:formatCode>General</c:formatCode>
                <c:ptCount val="1"/>
                <c:pt idx="0">
                  <c:v>4393.28</c:v>
                </c:pt>
              </c:numCache>
            </c:numRef>
          </c:val>
        </c:ser>
        <c:ser>
          <c:idx val="1"/>
          <c:order val="1"/>
          <c:tx>
            <c:strRef>
              <c:f>'Sheet1 (5)'!$B$1</c:f>
              <c:strCache>
                <c:ptCount val="1"/>
                <c:pt idx="0">
                  <c:v>2022</c:v>
                </c:pt>
              </c:strCache>
            </c:strRef>
          </c:tx>
          <c:spPr>
            <a:pattFill prst="narHorz">
              <a:fgClr>
                <a:srgbClr val="ED7D31"/>
              </a:fgClr>
              <a:bgClr>
                <a:srgbClr val="FBE5D6"/>
              </a:bgClr>
            </a:patt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val>
            <c:numRef>
              <c:f>Sheet1 (5)!$B$2</c:f>
              <c:numCache>
                <c:formatCode>General</c:formatCode>
                <c:ptCount val="1"/>
                <c:pt idx="0">
                  <c:v>3464.67</c:v>
                </c:pt>
              </c:numCache>
            </c:numRef>
          </c:val>
        </c:ser>
        <c:overlap val="-22"/>
        <c:gapWidth val="164"/>
        <c:axId val="0"/>
        <c:axId val="1"/>
      </c:barChart>
      <c:catAx>
        <c:axId val="0"/>
        <c:scaling>
          <c:orientation val="minMax"/>
        </c:scaling>
        <c:delete val="0"/>
        <c:axPos val="b"/>
        <c:numFmt formatCode="General" sourceLinked="0"/>
        <c:majorTickMark val="out"/>
        <c:minorTickMark val="none"/>
        <c:tickLblPos val="nextTo"/>
        <c:spPr>
          <a:ln w="19050">
            <a:solidFill>
              <a:srgbClr val="BFBFBF"/>
            </a:solidFill>
            <a:prstDash val="solid"/>
          </a:ln>
        </c:spPr>
        <c:txPr>
          <a:bodyPr/>
          <a:lstStyle/>
          <a:p>
            <a:pPr>
              <a:defRPr sz="900" b="0" i="0" u="none" strike="noStrike" baseline="0">
                <a:solidFill>
                  <a:srgbClr val="595959"/>
                </a:solidFill>
                <a:latin typeface="Times New Roman"/>
                <a:ea typeface="宋体"/>
                <a:cs typeface="Arial"/>
              </a:defRPr>
            </a:pPr>
            <a:endParaRPr lang="zh-CN"/>
          </a:p>
        </c:txPr>
        <c:crosses val="autoZero"/>
        <c:auto val="1"/>
        <c:lblOffset val="100"/>
        <c:lblAlgn val="ctr"/>
        <c:noMultiLvlLbl val="0"/>
        <c:crossAx val="1"/>
      </c:catAx>
      <c:valAx>
        <c:axId val="1"/>
        <c:scaling>
          <c:orientation val="minMax"/>
        </c:scaling>
        <c:delete val="0"/>
        <c:axPos val="l"/>
        <c:numFmt formatCode="General" sourceLinked="1"/>
        <c:majorTickMark val="out"/>
        <c:minorTickMark val="none"/>
        <c:tickLblPos val="nextTo"/>
        <c:spPr>
          <a:ln>
            <a:noFill/>
          </a:ln>
        </c:spPr>
        <c:txPr>
          <a:bodyPr/>
          <a:lstStyle/>
          <a:p>
            <a:pPr>
              <a:defRPr sz="900" b="0" i="0" u="none" strike="noStrike" baseline="0">
                <a:solidFill>
                  <a:srgbClr val="595959"/>
                </a:solidFill>
                <a:latin typeface="Times New Roman"/>
                <a:ea typeface="宋体"/>
                <a:cs typeface="Arial"/>
              </a:defRPr>
            </a:pPr>
            <a:endParaRPr lang="zh-CN"/>
          </a:p>
        </c:txPr>
        <c:crossesAt val="1.0"/>
        <c:crossBetween val="between"/>
        <c:crossAx val="0"/>
      </c:valAx>
      <c:spPr>
        <a:noFill/>
        <a:ln>
          <a:noFill/>
        </a:ln>
      </c:spPr>
    </c:plotArea>
    <c:legend>
      <c:legendPos val="t"/>
      <c:layout/>
      <c:overlay val="0"/>
      <c:spPr>
        <a:noFill/>
        <a:ln>
          <a:noFill/>
        </a:ln>
      </c:spPr>
      <c:txPr>
        <a:bodyPr/>
        <a:lstStyle/>
        <a:p>
          <a:pPr>
            <a:defRPr sz="900" b="0" i="0" u="none" strike="noStrike" baseline="0">
              <a:solidFill>
                <a:srgbClr val="595959"/>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Arial"/>
              </a:defRPr>
            </a:pPr>
            <a:r>
              <a:rPr lang="zh-CN"/>
              <a:t>2022年各项支出占总支出比重（万元）</a:t>
            </a:r>
          </a:p>
        </c:rich>
      </c:tx>
      <c:layout/>
      <c:overlay val="0"/>
      <c:spPr>
        <a:noFill/>
        <a:ln>
          <a:noFill/>
        </a:ln>
      </c:spPr>
    </c:title>
    <c:autoTitleDeleted val="0"/>
    <c:plotArea>
      <c:layout/>
      <c:pieChart>
        <c:varyColors val="1"/>
        <c:ser>
          <c:idx val="0"/>
          <c:order val="0"/>
          <c:tx>
            <c:strRef>
              <c:f>'Sheet1 (6)'!$B$1</c:f>
              <c:strCache>
                <c:ptCount val="1"/>
                <c:pt idx="0">
                  <c:v>2022年各项支出占总支出比重（万元）</c:v>
                </c:pt>
              </c:strCache>
            </c:strRef>
          </c:tx>
          <c:spPr>
            <a:ln w="19050">
              <a:solidFill>
                <a:srgbClr val="FFFFFF"/>
              </a:solidFill>
              <a:prstDash val="solid"/>
            </a:ln>
            <a:effectLst>
              <a:outerShdw dist="35921" dir="2700000" algn="br">
                <a:srgbClr val="000000"/>
              </a:outerShdw>
            </a:effectLst>
          </c:spPr>
          <c:dPt>
            <c:idx val="0"/>
            <c:bubble3D val="0"/>
            <c:explosion val="9"/>
            <c:spPr>
              <a:gradFill rotWithShape="1">
                <a:gsLst>
                  <a:gs pos="0">
                    <a:srgbClr val="E28C74">
                      <a:alpha val="100000"/>
                    </a:srgbClr>
                  </a:gs>
                  <a:gs pos="83000">
                    <a:srgbClr val="BE4828">
                      <a:alpha val="100000"/>
                    </a:srgbClr>
                  </a:gs>
                </a:gsLst>
                <a:lin ang="2700000" scaled="1"/>
              </a:gradFill>
              <a:ln w="19050">
                <a:solidFill>
                  <a:srgbClr val="FFFFFF"/>
                </a:solidFill>
                <a:prstDash val="solid"/>
              </a:ln>
              <a:effectLst>
                <a:outerShdw dist="35921" dir="2700000" algn="br">
                  <a:srgbClr val="000000"/>
                </a:outerShdw>
              </a:effectLst>
            </c:spPr>
          </c:dPt>
          <c:dPt>
            <c:idx val="1"/>
            <c:bubble3D val="0"/>
            <c:spPr>
              <a:gradFill rotWithShape="1">
                <a:gsLst>
                  <a:gs pos="0">
                    <a:srgbClr val="FFDC7F">
                      <a:alpha val="100000"/>
                    </a:srgbClr>
                  </a:gs>
                  <a:gs pos="83000">
                    <a:srgbClr val="FFC529">
                      <a:alpha val="100000"/>
                    </a:srgbClr>
                  </a:gs>
                </a:gsLst>
                <a:lin ang="2700000" scaled="1"/>
              </a:gradFill>
              <a:ln w="19050">
                <a:solidFill>
                  <a:srgbClr val="FFFFFF"/>
                </a:solidFill>
                <a:prstDash val="solid"/>
              </a:ln>
              <a:effectLst>
                <a:outerShdw dist="35921" dir="2700000" algn="br">
                  <a:srgbClr val="000000"/>
                </a:outerShdw>
              </a:effectLst>
            </c:spPr>
          </c:dPt>
          <c:dPt>
            <c:idx val="2"/>
            <c:bubble3D val="0"/>
            <c:spPr>
              <a:gradFill rotWithShape="1">
                <a:gsLst>
                  <a:gs pos="0">
                    <a:srgbClr val="FFA264">
                      <a:alpha val="100000"/>
                    </a:srgbClr>
                  </a:gs>
                  <a:gs pos="83000">
                    <a:srgbClr val="FC6500">
                      <a:alpha val="100000"/>
                    </a:srgbClr>
                  </a:gs>
                </a:gsLst>
                <a:lin ang="2700000" scaled="1"/>
              </a:gradFill>
              <a:ln w="19050">
                <a:solidFill>
                  <a:srgbClr val="FFFFFF"/>
                </a:solidFill>
                <a:prstDash val="solid"/>
              </a:ln>
              <a:effectLst>
                <a:outerShdw dist="35921" dir="2700000" algn="br">
                  <a:srgbClr val="000000"/>
                </a:outerShdw>
              </a:effectLst>
            </c:spPr>
          </c:dPt>
          <c:dLbls>
            <c:spPr>
              <a:noFill/>
              <a:ln>
                <a:noFill/>
              </a:ln>
            </c:spPr>
            <c:txPr>
              <a:bodyPr vert="horz"/>
              <a:lstStyle/>
              <a:p>
                <a:pPr>
                  <a:defRPr sz="900" b="0" i="0" u="none" strike="noStrike" baseline="0">
                    <a:solidFill>
                      <a:srgbClr val="404040"/>
                    </a:solidFill>
                    <a:latin typeface="Times New Roman"/>
                    <a:ea typeface="宋体"/>
                    <a:cs typeface="Arial"/>
                  </a:defRPr>
                </a:pPr>
                <a:endParaRPr lang="zh-CN"/>
              </a:p>
            </c:txPr>
            <c:numFmt formatCode="#,##0.00" sourceLinked="1"/>
            <c:showLegendKey val="0"/>
            <c:showVal val="1"/>
            <c:showCatName val="0"/>
            <c:showSerName val="0"/>
            <c:showPercent val="0"/>
            <c:showBubbleSize val="0"/>
            <c:showLeaderLines val="1"/>
          </c:dLbls>
          <c:cat>
            <c:strRef>
              <c:f>'Sheet1 (6)'!$A$2:$A$4</c:f>
              <c:strCache>
                <c:ptCount val="3"/>
                <c:pt idx="0">
                  <c:v>社会保障和就业支出</c:v>
                </c:pt>
                <c:pt idx="1">
                  <c:v>卫生健康支出</c:v>
                </c:pt>
                <c:pt idx="2">
                  <c:v>住房保障支出</c:v>
                </c:pt>
              </c:strCache>
            </c:strRef>
          </c:cat>
          <c:val>
            <c:numRef>
              <c:f>'Sheet1 (6)'!$B$2:$B$4</c:f>
              <c:numCache>
                <c:formatCode>#,##0.00</c:formatCode>
                <c:ptCount val="3"/>
                <c:pt idx="0">
                  <c:v>401.88</c:v>
                </c:pt>
                <c:pt idx="1">
                  <c:v>2839.04</c:v>
                </c:pt>
                <c:pt idx="2">
                  <c:v>223.74</c:v>
                </c:pt>
              </c:numCache>
            </c:numRef>
          </c:val>
        </c:ser>
        <c:firstSliceAng val="36"/>
      </c:pieChart>
      <c:spPr>
        <a:noFill/>
        <a:ln>
          <a:noFill/>
        </a:ln>
      </c:spPr>
    </c:plotArea>
    <c:legend>
      <c:legendPos val="r"/>
      <c:layout/>
      <c:overlay val="0"/>
      <c:spPr>
        <a:noFill/>
        <a:ln>
          <a:noFill/>
        </a:ln>
      </c:spPr>
      <c:txPr>
        <a:bodyPr/>
        <a:lstStyle/>
        <a:p>
          <a:pPr>
            <a:defRPr sz="900" b="0" i="0" u="none" strike="noStrike" baseline="0">
              <a:solidFill>
                <a:srgbClr val="808080"/>
              </a:solidFill>
              <a:latin typeface="Times New Roman"/>
              <a:ea typeface="宋体"/>
              <a:cs typeface="Arial"/>
            </a:defRPr>
          </a:pPr>
          <a:endParaRPr lang="zh-CN"/>
        </a:p>
      </c:txPr>
    </c:legend>
    <c:plotVisOnly val="1"/>
    <c:dispBlanksAs val="gap"/>
    <c:showDLblsOverMax val="0"/>
  </c:chart>
  <c:spPr>
    <a:solidFill>
      <a:srgbClr val="FFFFFF"/>
    </a:solidFill>
    <a:ln w="6350">
      <a:solidFill>
        <a:srgbClr val="D9D9D9"/>
      </a:solidFill>
      <a:prstDash val="solid"/>
    </a:ln>
    <a:effectLst>
      <a:outerShdw blurRad="50800" dist="38100" dir="2700000" algn="tl" rotWithShape="0">
        <a:prstClr val="black">
          <a:alpha val="40000"/>
        </a:prstClr>
      </a:outerShdw>
    </a:effectLst>
  </c:spPr>
  <c:txPr>
    <a:bodyPr/>
    <a:lstStyle/>
    <a:p>
      <a:pPr>
        <a:defRPr sz="1000" b="0" i="0" u="none" strike="noStrike" baseline="0">
          <a:solidFill>
            <a:srgbClr val="000000"/>
          </a:solidFill>
          <a:latin typeface="Times New Roman"/>
          <a:ea typeface="宋体"/>
          <a:cs typeface="Arial"/>
        </a:defRPr>
      </a:pPr>
      <a:endParaRPr lang="zh-CN"/>
    </a:p>
  </c:txPr>
  <c:printSettings>
    <c:headerFooter/>
    <c:pageMargins b="0.75" l="0.7" r="0.7" t="0.75" header="0.3" footer="0.3"/>
    <c:pageSetup/>
  </c:printSettings>
  <c:externalData r:id="rId1">
    <c:autoUpdate val="0"/>
  </c:externalData>
</c:chartSpace>
</file>

<file path=docProps/app.xml><?xml version="1.0" encoding="utf-8"?>
<Properties xmlns="http://schemas.openxmlformats.org/officeDocument/2006/extended-properties">
  <Template>Normal.eit</Template>
  <TotalTime>1</TotalTime>
  <Application>Yozo_Office27021597764231179</Application>
  <Pages>17</Pages>
  <Words>5600</Words>
  <Characters>6241</Characters>
  <Lines>348</Lines>
  <Paragraphs>187</Paragraphs>
  <CharactersWithSpaces>6344</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wino</dc:creator>
  <cp:lastModifiedBy>Administrator</cp:lastModifiedBy>
  <cp:revision>1</cp:revision>
  <cp:lastPrinted>2023-08-24T03:03:00Z</cp:lastPrinted>
  <dcterms:created xsi:type="dcterms:W3CDTF">2022-08-29T02:56:00Z</dcterms:created>
  <dcterms:modified xsi:type="dcterms:W3CDTF">2023-08-30T02:28:36Z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2052-11.1.0.14309</vt:lpwstr>
  </property>
  <property fmtid="{D5CDD505-2E9C-101B-9397-08002B2CF9AE}" pid="3" name="ICV">
    <vt:lpwstr>F36E1E135E7C400F8070C57123DC1121_13</vt:lpwstr>
  </property>
</Properties>
</file>